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Musqueam Indian Band Board of Review v. Musqueam Indian Band, [2013] B.C.J. No. 1672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 Maisonville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25-28, 2013; written submissions, March 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31,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S124733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1672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1362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IN THE MATTER OF a Stated Case under Section 80 of the Musqueam Indian Band Property Assessment Bylaw Between Musqueam Indian Band Board of Review, Appellant, and Musqueam Indian Band Assessor for the Musqueam Indian Band and Shaughnessy Golf and Country Club,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(148 paras.)</w:t>
      </w:r>
    </w:p>
    <w:p>
      <w:pPr>
        <w:jc w:val="both"/>
        <w:rPr>
          <w:rFonts w:ascii="arial" w:eastAsia="arial" w:hAnsi="arial" w:cs="arial"/>
          <w:sz w:val="20"/>
          <w:lang w:val="en-US" w:eastAsia="en-US" w:bidi="ar-SA"/>
        </w:rPr>
      </w:pPr>
      <w:bookmarkStart w:id="0" w:name="Counsel"/>
      <w:bookmarkEnd w:id="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Musqueam Indian Band: J.I. Reynolds, M. Morellato, Q.C., L. Pence.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Shaughnessy Golf and Country Club: G.K. MacIntosh, Q.C., L.B. Herbst.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Assessor for the Musqueam Indian Band: R.B.E. Hallsor, G. Jacks.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 w:name="Judgment"/>
      <w:bookmarkEnd w:id="1"/>
      <w:r>
        <w:pict>
          <v:line id="_x0000_s1026" style="position:absolute;z-index:2516981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 w:name="M.A. MAISONVILLE J."/>
            <w:bookmarkEnd w:id="2"/>
            <w:r>
              <w:rPr>
                <w:rFonts w:ascii="arial" w:eastAsia="arial" w:hAnsi="arial" w:cs="arial"/>
                <w:b/>
                <w:color w:val="000000"/>
                <w:sz w:val="30"/>
                <w:lang w:val="en-US" w:eastAsia="en-US" w:bidi="ar-SA"/>
              </w:rPr>
              <w:t>M.A. MAISONVILLE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Can the Musqueam Indian Band Board of Review, when reviewing an assessment made by the Assessor for the Musqueam Indian Band, consider the highest and best use of leased land located on land which forms part of Indian Reserve No. 2 to mean fee simple use, off the reserve, without considering any restriction on the use of the property in a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By way of stated case brought pursuant to Rule 18-2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and s. 80(1) of the Musqueam Indian Band's by-law PR-96-01, </w:t>
      </w:r>
      <w:r>
        <w:rPr>
          <w:rFonts w:ascii="arial" w:eastAsia="arial" w:hAnsi="arial" w:cs="arial"/>
          <w:i/>
          <w:color w:val="000000"/>
          <w:sz w:val="20"/>
          <w:lang w:val="en-US" w:eastAsia="en-US" w:bidi="ar-SA"/>
        </w:rPr>
        <w:t>Property Assessment Bylaw</w:t>
      </w:r>
      <w:r>
        <w:rPr>
          <w:rFonts w:ascii="arial" w:eastAsia="arial" w:hAnsi="arial" w:cs="arial"/>
          <w:color w:val="000000"/>
          <w:sz w:val="20"/>
          <w:lang w:val="en-US" w:eastAsia="en-US" w:bidi="ar-SA"/>
        </w:rPr>
        <w:t>, (22 July 1996)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the Musqueam Indian Band Board of Review (the "Board") brings to the British Columbia Supreme Court questions of law arising from an appeal to the Board by the Musqueam Indian Band (the Band") concerning the decision of the British Columbia Assessment Authority acting as Assessor pursuant to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(the "Assessor"). The appeal to the Board has not yet been heard. The principle question is outlined above and the remainder of the questions stem from that question in the stated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stated case is to guide the decision of the Board in relation to certain lands leased (the "Subject Property") by the Shaughnessy Golf and Country Club (the "Club") in 1958 for a 75-year period from Her Majesty the Queen in Right of Canada in relation to Musqueam Indian Band lands (the "Lease"). The land forms part of Indian Reserve No. 2 of the Musqueam Indian Band. More specifically, the questions posed in this case are to determine whether the Board, when assessing the property, is permitted to consider the highest and best use of the leased property as residential without consideration of the restriction on use contained in the Lease which dictates the property's use as a golf and country club only. In addition to that question, a number of ancillary questions, stemming from the proper construction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have been posed which flow from that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PROCEDURAL BACKGROUND LEADING UP TO THE STATED CASE AND RELEVANT STATUTORY FRAMEWORK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brief, the Musqueam Indian Band Board of Review has submitted questions to this Court for a determination prior to embarking on a review of the assessment relating to the subject property leased by the Shaughnessy Golf and Country Club. The Assessor appointed under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was appointed to conduct assessment services for it. The Assessor has valued the Subject Property on the basis that its highest and best use is as a golf and country club.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Band appealed that 2011 assessment of the Subject Property to the Board pursuant to s. 41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The Band's position is that the Subject Property is to be valued on the basis of residential use without restriction on use. The Club argues in response that the use of the Subject Property is restricted by the 1958 Lease to be that of a golf club and accordingly should not be assessed on the basis of residential use of the Subject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Stated Case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Pursuant to s. 80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the Board may submit a stated case to the Supreme Court of British Columbia. Section 80 provides:</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At any stage of the proceeding before it, the board of review may submit, in the form of a stated case for the opinion of a court of competent jurisdiction ("the court") a question of law arising in the appeal and, in such instance, shall suspend the proceedings and reserve its decision until the opinion of the final appellate court has been given and then the board shall decide the appeal in accordance with the opinion of the court.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affected by a decision of the board on appeal, including the band upon resolution of the council, the surveyor of taxes, or the assessor, may require the board to submit a case for the opinion of a court of competent jurisdiction on a question of law only, by delivering, within twenty-one (21) day after receipt of the decision of the board: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written request to the board to state a case;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copy of the person's written request to the board to all persons affected by the decision of the board.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 shall, within 21 days after receipt of a notice given under subsection (2), submit the case in writing to the court.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and incidental to a stated case shall be at the discretion of the court.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case is stated, the board shall promptly file the case, together with a certified copy of the evidence dealing with the question of law taken during the appeal, in the court registry and it shall be brought on for hearing within one month from the date on which the stated case is filed.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shall hear and determine the question and shall give its opinion with 2 months of the hearing and cause it to be remitted to the board. In the alternative, the court may send the case back to the board for amendment in which case the board shall make such amendments as may be directed by the court and return the case to the court for its opinion.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appeal on a question of law may be taken by a person affected from the decision of the court to an appellate court of competent jurisdiction upon leave for such appeal being granted by an appellate court of competent jurisdiction.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receipt of the opinion of the court or the appellate court on a stated case or on an appeal, the board shall, if the opinion of the court is at variance with the decision of the board, direct the assessor to make such amendments to the assessment roll as may be necessary to give full force and effect to the opinion of the court or the appellate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Section 80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is consistent with the provisions for stated case in Rule 18-2(5)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A stated case is reserved for questions of law and may arise at any point in the proceedings. The stated case must be in writing and include a statement of the facts so that the Court is not required to speculate on the facts. Those facts have been appended here as Appendix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the context of s. 64(2) of the </w:t>
      </w:r>
      <w:r>
        <w:rPr>
          <w:rFonts w:ascii="arial" w:eastAsia="arial" w:hAnsi="arial" w:cs="arial"/>
          <w:i/>
          <w:color w:val="000000"/>
          <w:sz w:val="20"/>
          <w:lang w:val="en-US" w:eastAsia="en-US" w:bidi="ar-SA"/>
        </w:rPr>
        <w:t>Assessment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20</w:t>
      </w:r>
      <w:r>
        <w:rPr>
          <w:rFonts w:ascii="arial" w:eastAsia="arial" w:hAnsi="arial" w:cs="arial"/>
          <w:color w:val="000000"/>
          <w:sz w:val="20"/>
          <w:lang w:val="en-US" w:eastAsia="en-US" w:bidi="ar-SA"/>
        </w:rPr>
        <w:t xml:space="preserve">, the British Columbia Court of Appeal in </w:t>
      </w:r>
      <w:r>
        <w:rPr>
          <w:rFonts w:ascii="arial" w:eastAsia="arial" w:hAnsi="arial" w:cs="arial"/>
          <w:i/>
          <w:color w:val="000000"/>
          <w:sz w:val="20"/>
          <w:lang w:val="en-US" w:eastAsia="en-US" w:bidi="ar-SA"/>
        </w:rPr>
        <w:t>Allard v. British Columbia (Assessor of Area #10 - North Fraser Region</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2010 BCCA 437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Allard</w:t>
      </w:r>
      <w:r>
        <w:rPr>
          <w:rFonts w:ascii="arial" w:eastAsia="arial" w:hAnsi="arial" w:cs="arial"/>
          <w:color w:val="000000"/>
          <w:sz w:val="20"/>
          <w:lang w:val="en-US" w:eastAsia="en-US" w:bidi="ar-SA"/>
        </w:rPr>
        <w:t xml:space="preserve"> ] has made it clear that the Court is not to go beyond the facts in the stated case to interpret or make independent findings of fact or inference of fact. In </w:t>
      </w:r>
      <w:r>
        <w:rPr>
          <w:rFonts w:ascii="arial" w:eastAsia="arial" w:hAnsi="arial" w:cs="arial"/>
          <w:i/>
          <w:color w:val="000000"/>
          <w:sz w:val="20"/>
          <w:lang w:val="en-US" w:eastAsia="en-US" w:bidi="ar-SA"/>
        </w:rPr>
        <w:t>Allard</w:t>
      </w:r>
      <w:r>
        <w:rPr>
          <w:rFonts w:ascii="arial" w:eastAsia="arial" w:hAnsi="arial" w:cs="arial"/>
          <w:color w:val="000000"/>
          <w:sz w:val="20"/>
          <w:lang w:val="en-US" w:eastAsia="en-US" w:bidi="ar-SA"/>
        </w:rPr>
        <w:t>, Garson J.A. in concurring reasons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[115] The stated case must be clear so that the court is not put in the position of having to speculate on the findings of fact or on the conclusions drawn. In Petro Canada, </w:t>
      </w:r>
      <w:hyperlink r:id="rId12" w:history="1">
        <w:r>
          <w:rPr>
            <w:rFonts w:ascii="arial" w:eastAsia="arial" w:hAnsi="arial" w:cs="arial"/>
            <w:i/>
            <w:color w:val="0077CC"/>
            <w:sz w:val="20"/>
            <w:u w:val="single"/>
            <w:shd w:val="clear" w:color="auto" w:fill="FFFFFF"/>
            <w:lang w:val="en-US" w:eastAsia="en-US" w:bidi="ar-SA"/>
          </w:rPr>
          <w:t>[1991] B.C.J. No. 1081</w:t>
        </w:r>
      </w:hyperlink>
      <w:r>
        <w:rPr>
          <w:rFonts w:ascii="arial" w:eastAsia="arial" w:hAnsi="arial" w:cs="arial"/>
          <w:color w:val="000000"/>
          <w:sz w:val="20"/>
          <w:lang w:val="en-US" w:eastAsia="en-US" w:bidi="ar-SA"/>
        </w:rPr>
        <w:t xml:space="preserve">, Sinclair Prowse J. remitted the case back to the Board for amendment because the Board failed to clearly state its findings of fact in the stated case. (See also </w:t>
      </w:r>
      <w:r>
        <w:rPr>
          <w:rFonts w:ascii="arial" w:eastAsia="arial" w:hAnsi="arial" w:cs="arial"/>
          <w:i/>
          <w:color w:val="000000"/>
          <w:sz w:val="20"/>
          <w:lang w:val="en-US" w:eastAsia="en-US" w:bidi="ar-SA"/>
        </w:rPr>
        <w:t>Provincial Assessors of Comox, Cowichan and Nanaimo v. Crown Zellerbach Canada Ltd. et al.</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[1963] B.C.J. No. 138</w:t>
        </w:r>
      </w:hyperlink>
      <w:r>
        <w:rPr>
          <w:rFonts w:ascii="arial" w:eastAsia="arial" w:hAnsi="arial" w:cs="arial"/>
          <w:color w:val="000000"/>
          <w:sz w:val="20"/>
          <w:lang w:val="en-US" w:eastAsia="en-US" w:bidi="ar-SA"/>
        </w:rPr>
        <w:t xml:space="preserve"> at paras. 19-21, </w:t>
      </w:r>
      <w:hyperlink r:id="rId13" w:history="1">
        <w:r>
          <w:rPr>
            <w:rFonts w:ascii="arial" w:eastAsia="arial" w:hAnsi="arial" w:cs="arial"/>
            <w:i/>
            <w:color w:val="0077CC"/>
            <w:sz w:val="20"/>
            <w:u w:val="single"/>
            <w:shd w:val="clear" w:color="auto" w:fill="FFFFFF"/>
            <w:lang w:val="en-US" w:eastAsia="en-US" w:bidi="ar-SA"/>
          </w:rPr>
          <w:t>39 D.L.R. (2d) 381</w:t>
        </w:r>
      </w:hyperlink>
      <w:r>
        <w:rPr>
          <w:rFonts w:ascii="arial" w:eastAsia="arial" w:hAnsi="arial" w:cs="arial"/>
          <w:color w:val="000000"/>
          <w:sz w:val="20"/>
          <w:lang w:val="en-US" w:eastAsia="en-US" w:bidi="ar-SA"/>
        </w:rPr>
        <w:t xml:space="preserve"> (B.C.C.A.), affirmed by the S.C.C. </w:t>
      </w:r>
      <w:hyperlink r:id="rId14" w:history="1">
        <w:r>
          <w:rPr>
            <w:rFonts w:ascii="arial" w:eastAsia="arial" w:hAnsi="arial" w:cs="arial"/>
            <w:i/>
            <w:color w:val="0077CC"/>
            <w:sz w:val="20"/>
            <w:u w:val="single"/>
            <w:shd w:val="clear" w:color="auto" w:fill="FFFFFF"/>
            <w:lang w:val="en-US" w:eastAsia="en-US" w:bidi="ar-SA"/>
          </w:rPr>
          <w:t>[1963] S.C.J. No. 102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[116] </w:t>
      </w:r>
      <w:r>
        <w:rPr>
          <w:rFonts w:ascii="arial" w:eastAsia="arial" w:hAnsi="arial" w:cs="arial"/>
          <w:i/>
          <w:color w:val="000000"/>
          <w:sz w:val="20"/>
          <w:lang w:val="en-US" w:eastAsia="en-US" w:bidi="ar-SA"/>
        </w:rPr>
        <w:t>Petro Canada</w:t>
      </w:r>
      <w:r>
        <w:rPr>
          <w:rFonts w:ascii="arial" w:eastAsia="arial" w:hAnsi="arial" w:cs="arial"/>
          <w:color w:val="000000"/>
          <w:sz w:val="20"/>
          <w:lang w:val="en-US" w:eastAsia="en-US" w:bidi="ar-SA"/>
        </w:rPr>
        <w:t xml:space="preserve"> is consistent with </w:t>
      </w:r>
      <w:r>
        <w:rPr>
          <w:rFonts w:ascii="arial" w:eastAsia="arial" w:hAnsi="arial" w:cs="arial"/>
          <w:i/>
          <w:color w:val="000000"/>
          <w:sz w:val="20"/>
          <w:lang w:val="en-US" w:eastAsia="en-US" w:bidi="ar-SA"/>
        </w:rPr>
        <w:t>Tumbler Ridge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(District) v. British Columbia (Assessor of Area No. 27 - Peace River)</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[1985] B.C.J. No. 810</w:t>
        </w:r>
      </w:hyperlink>
      <w:r>
        <w:rPr>
          <w:rFonts w:ascii="arial" w:eastAsia="arial" w:hAnsi="arial" w:cs="arial"/>
          <w:color w:val="000000"/>
          <w:sz w:val="20"/>
          <w:lang w:val="en-US" w:eastAsia="en-US" w:bidi="ar-SA"/>
        </w:rPr>
        <w:t xml:space="preserve"> (S.C.)] insofar as both require the court to refrain from using the evidence to clarify ambiguous facts or to make findings of fact of its own. However, courts can refer to the evidence to 'flesh out' or amplify the statement of facts in the stated case with respect to uncontroversial facts. Mr. Justice Finch's reference to counsel using the evidence in argument supports this conclusion: it may be necessary, in arguing a point of law, for counsel to refer to facts as described in the evidence, and so long as counsel does not ask the court to interpret and make inferences from the evidence or make an independent finding of fact, this may be appropriate. This reading of the case law is also consistent with the Supreme Court of Canada's reasons in </w:t>
      </w:r>
      <w:r>
        <w:rPr>
          <w:rFonts w:ascii="arial" w:eastAsia="arial" w:hAnsi="arial" w:cs="arial"/>
          <w:i/>
          <w:color w:val="000000"/>
          <w:sz w:val="20"/>
          <w:lang w:val="en-US" w:eastAsia="en-US" w:bidi="ar-SA"/>
        </w:rPr>
        <w:t>Caldwell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Stuart</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[1984] 2 S.C.R. 603</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[117] In conclusion, an appellate court cannot go beyond the facts stated by the Board in the stated case in order to interpret those facts or make independent findings or inferences of fact. However, the Board can refer to the evidence with respect to uncontroverted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Accordingly, I have reviewed the facts submitted jointly by the parties and confine myself in these reasons and analysis to those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Questions to be determined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questions that are before the Court have been stated by the Board as follows: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 the Musqueam Indian Band Board of Review consider the restriction in use set out in the Lease in determining the highest and best use and the actual value of the Subject Property?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Based on the Facts determined by the Board, in exercising its powers under s-s. 41(2)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to either confirm or alter the assessment by the Assessor of the interest of the Club in the Subject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25"/>
        <w:gridCol w:w="511"/>
        <w:gridCol w:w="236"/>
        <w:gridCol w:w="510"/>
        <w:gridCol w:w="236"/>
        <w:gridCol w:w="6619"/>
        <w:gridCol w:w="10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Does the principle of general law relating to strict construction of restrictive provisions relating to use of land apply to the words "any restriction placed on the use of the land and improvements by the band" in s-s. 26(3.2) of the </w:t>
            </w:r>
            <w:r>
              <w:rPr>
                <w:rFonts w:ascii="arial" w:eastAsia="arial" w:hAnsi="arial" w:cs="arial"/>
                <w:i/>
                <w:color w:val="000000"/>
                <w:sz w:val="18"/>
                <w:lang w:val="en-US" w:eastAsia="en-US" w:bidi="ar-SA"/>
              </w:rPr>
              <w:t>Bylaw</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matter of correct legal interpretation, are the use provisions in the Lease a "restriction" for the purposes of s-s. 26(3.2)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in the light of the decision of the British Columbia Court of Appeal in </w:t>
      </w:r>
      <w:r>
        <w:rPr>
          <w:rFonts w:ascii="arial" w:eastAsia="arial" w:hAnsi="arial" w:cs="arial"/>
          <w:i/>
          <w:color w:val="000000"/>
          <w:sz w:val="20"/>
          <w:lang w:val="en-US" w:eastAsia="en-US" w:bidi="ar-SA"/>
        </w:rPr>
        <w:t>Aquadel Golf Course Ltd. v. Lindell Beach Holiday Resort Ltd.</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2009 BCCA 5</w:t>
        </w:r>
      </w:hyperlink>
      <w:r>
        <w:rPr>
          <w:rFonts w:ascii="arial" w:eastAsia="arial" w:hAnsi="arial" w:cs="arial"/>
          <w:color w:val="000000"/>
          <w:sz w:val="20"/>
          <w:lang w:val="en-US" w:eastAsia="en-US" w:bidi="ar-SA"/>
        </w:rPr>
        <w: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matter of correct legal interpretation, can the words "any restriction placed on the use of the land and improvements by the band" in s-s. 26(3.2)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apply to a restriction placed by another party such as the Club or Canada or a judge?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 the words "any restriction placed on the use of the land and improvements by the band" found in s-s. 26(3.2)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be correctly interpreted to apply in circumstances where it is not proven that the majority of the electors of the Band have consented to such a restriction?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 subsections 26(3) and 26(3.2)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require the Assessor to give consideration to the factors described in subsection 26(3) including any restriction placed on the use of the land or improvements by the band for the purposes of s-s. 26(3.2) or do those subsections confer a discretion to do so? If the answer is that those subsections confer a discretion to give consideration to those factors (including such a restriction) but do not impose a requirement to do so:</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discretion have to be exercised reasonably and in the light of all the relevant circumstances?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discretion subject to the exception and the proviso in s-s. 26(3) that such consideration must not conflict with the requirement in subsections 26(1), (2) and (6) that land and improvements shall be assessed at their actual value meaning the market value of the fee simple interest in the land and improvements as if the interest holder held a fee simple interest located off reserve?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Would the Board misinterpret section 26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by applying subsections 26(3) or 26(3.2)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so as to restrict the highest and best use of the Subject Property to golf and country club use?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Relevant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As this is a stated case, the facts have been agreed in the Notice of Stated Case filed July 4, 2012. All counsel rely upon the findings of fact made in the </w:t>
      </w:r>
      <w:r>
        <w:rPr>
          <w:rFonts w:ascii="arial" w:eastAsia="arial" w:hAnsi="arial" w:cs="arial"/>
          <w:i/>
          <w:color w:val="000000"/>
          <w:sz w:val="20"/>
          <w:lang w:val="en-US" w:eastAsia="en-US" w:bidi="ar-SA"/>
        </w:rPr>
        <w:t>Guerin</w:t>
      </w:r>
      <w:r>
        <w:rPr>
          <w:rFonts w:ascii="arial" w:eastAsia="arial" w:hAnsi="arial" w:cs="arial"/>
          <w:color w:val="000000"/>
          <w:sz w:val="20"/>
          <w:lang w:val="en-US" w:eastAsia="en-US" w:bidi="ar-SA"/>
        </w:rPr>
        <w:t xml:space="preserve"> decisions, which are comprised of </w:t>
      </w:r>
      <w:r>
        <w:rPr>
          <w:rFonts w:ascii="arial" w:eastAsia="arial" w:hAnsi="arial" w:cs="arial"/>
          <w:i/>
          <w:color w:val="000000"/>
          <w:sz w:val="20"/>
          <w:lang w:val="en-US" w:eastAsia="en-US" w:bidi="ar-SA"/>
        </w:rPr>
        <w:t>Guerin v. The Queen</w:t>
      </w:r>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[1982] 2 F.C. 385</w:t>
        </w:r>
      </w:hyperlink>
      <w:r>
        <w:rPr>
          <w:rFonts w:ascii="arial" w:eastAsia="arial" w:hAnsi="arial" w:cs="arial"/>
          <w:color w:val="000000"/>
          <w:sz w:val="20"/>
          <w:lang w:val="en-US" w:eastAsia="en-US" w:bidi="ar-SA"/>
        </w:rPr>
        <w:t xml:space="preserve"> (T.D.); </w:t>
      </w:r>
      <w:r>
        <w:rPr>
          <w:rFonts w:ascii="arial" w:eastAsia="arial" w:hAnsi="arial" w:cs="arial"/>
          <w:i/>
          <w:color w:val="000000"/>
          <w:sz w:val="20"/>
          <w:lang w:val="en-US" w:eastAsia="en-US" w:bidi="ar-SA"/>
        </w:rPr>
        <w:t>The Queen v. Guerin</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[1983] 2 F.C. 656</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Guerin v. The Queen</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[1984] 2 S.C.R. 335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Additionally, all counsel have further agreed to the findings of fact for this Court to consider from the </w:t>
      </w:r>
      <w:r>
        <w:rPr>
          <w:rFonts w:ascii="arial" w:eastAsia="arial" w:hAnsi="arial" w:cs="arial"/>
          <w:i/>
          <w:color w:val="000000"/>
          <w:sz w:val="20"/>
          <w:lang w:val="en-US" w:eastAsia="en-US" w:bidi="ar-SA"/>
        </w:rPr>
        <w:t>Guerin</w:t>
      </w:r>
      <w:r>
        <w:rPr>
          <w:rFonts w:ascii="arial" w:eastAsia="arial" w:hAnsi="arial" w:cs="arial"/>
          <w:color w:val="000000"/>
          <w:sz w:val="20"/>
          <w:lang w:val="en-US" w:eastAsia="en-US" w:bidi="ar-SA"/>
        </w:rPr>
        <w:t xml:space="preserve"> decisions. With respect to the findings in </w:t>
      </w:r>
      <w:r>
        <w:rPr>
          <w:rFonts w:ascii="arial" w:eastAsia="arial" w:hAnsi="arial" w:cs="arial"/>
          <w:i/>
          <w:color w:val="000000"/>
          <w:sz w:val="20"/>
          <w:lang w:val="en-US" w:eastAsia="en-US" w:bidi="ar-SA"/>
        </w:rPr>
        <w:t>Guerin</w:t>
      </w:r>
      <w:r>
        <w:rPr>
          <w:rFonts w:ascii="arial" w:eastAsia="arial" w:hAnsi="arial" w:cs="arial"/>
          <w:color w:val="000000"/>
          <w:sz w:val="20"/>
          <w:lang w:val="en-US" w:eastAsia="en-US" w:bidi="ar-SA"/>
        </w:rPr>
        <w:t xml:space="preserve"> during the hearing of this matter, the Court was concerned about the different interpretations counsel were placing on the </w:t>
      </w:r>
      <w:r>
        <w:rPr>
          <w:rFonts w:ascii="arial" w:eastAsia="arial" w:hAnsi="arial" w:cs="arial"/>
          <w:i/>
          <w:color w:val="000000"/>
          <w:sz w:val="20"/>
          <w:lang w:val="en-US" w:eastAsia="en-US" w:bidi="ar-SA"/>
        </w:rPr>
        <w:t>Guerin</w:t>
      </w:r>
      <w:r>
        <w:rPr>
          <w:rFonts w:ascii="arial" w:eastAsia="arial" w:hAnsi="arial" w:cs="arial"/>
          <w:color w:val="000000"/>
          <w:sz w:val="20"/>
          <w:lang w:val="en-US" w:eastAsia="en-US" w:bidi="ar-SA"/>
        </w:rPr>
        <w:t xml:space="preserve"> facts. It became apparent that a possible dispute may arise as to exactly what findings of fact were made in those decisions, and accordingly the Court asked counsel to provide an agreed statement of facts determined in </w:t>
      </w:r>
      <w:r>
        <w:rPr>
          <w:rFonts w:ascii="arial" w:eastAsia="arial" w:hAnsi="arial" w:cs="arial"/>
          <w:i/>
          <w:color w:val="000000"/>
          <w:sz w:val="20"/>
          <w:lang w:val="en-US" w:eastAsia="en-US" w:bidi="ar-SA"/>
        </w:rPr>
        <w:t>Guerin</w:t>
      </w:r>
      <w:r>
        <w:rPr>
          <w:rFonts w:ascii="arial" w:eastAsia="arial" w:hAnsi="arial" w:cs="arial"/>
          <w:color w:val="000000"/>
          <w:sz w:val="20"/>
          <w:lang w:val="en-US" w:eastAsia="en-US" w:bidi="ar-SA"/>
        </w:rPr>
        <w:t>. Following the hearing of this matter, after the Court's request, all parties arrived at a consensus on the facts given the procedure to be employed in a stated case, namely to determine questions of law on undisputed facts. The joint findings were prepared and agreed to by all parties to the stated case and were submitted March 13, 2013. They are reproduced verbatim in Appendix A attached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Attached as Appendix A is the Agreed statement of facts from the Notice of Stated case and the facts of </w:t>
      </w:r>
      <w:r>
        <w:rPr>
          <w:rFonts w:ascii="arial" w:eastAsia="arial" w:hAnsi="arial" w:cs="arial"/>
          <w:i/>
          <w:color w:val="000000"/>
          <w:sz w:val="20"/>
          <w:lang w:val="en-US" w:eastAsia="en-US" w:bidi="ar-SA"/>
        </w:rPr>
        <w:t>Guerin</w:t>
      </w:r>
      <w:r>
        <w:rPr>
          <w:rFonts w:ascii="arial" w:eastAsia="arial" w:hAnsi="arial" w:cs="arial"/>
          <w:color w:val="000000"/>
          <w:sz w:val="20"/>
          <w:lang w:val="en-US" w:eastAsia="en-US" w:bidi="ar-SA"/>
        </w:rPr>
        <w:t xml:space="preserve"> at all levels of Court that all parties are agreed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Duties of the Assessor and Powers of the Board Pursuant to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duties of the Assessor are set out in the Bylaw. Section 59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provides those duties as follows: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assessor appointed under this bylaw shall:</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perform the duties required of the assessor under this bylaw, the taxation bylaw, and any other bylaw of the band,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carry out policies consistent with this bylaw, the taxation bylaw and any other bylaw or law respecting assessment and taxation,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develop and administer a complete system of property assessment consistent with the relevant sections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and with this bylaw, the taxation bylaw, and any other bylaw of the band,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make reports and recommendations to the council respecting any matter that he considers advisable in carrying out the purposes of this bylaw, the taxation bylaw, and any other bylaw of the band,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the preparation and completion of assessment rolls as required by this bylaw, the taxation bylaw, and any other bylaw of the band,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perform such other duties as may be required to effectively implement and administer this bylaw, the taxation bylaw, and any other bylaw of the band, when so directed by the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Section 41(2)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deals with appeals to the Board. It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41(2) The council may by the band manager, its solicitor, or agent authorized by it, or the assessor, make complaint against the assessment roll or any individual entry in the assessment roll on any ground whatever, and the board of review shall deal with the complaint, and either confirm or alter the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 noted, In the matter before the Court, the Band has appealed to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Section 44(1) deals with the powers of the Board. It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44(1) The powers of a board of review constituted under this bylaw are: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meet at the dates, times and places appointed and to try all complaints delivered to the assessor under this bylaw,</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investigate the assessment roll and the various assessments made in it, whether complained against or not, and to adjudicate on the assessments in respect of which a complaint is made under this bylaw and all other complaints made pursuant to this bylaw so that the assessments are at actual value,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direct amendments to be made in the assessment roll necessary to give effect to its decisions,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confirm the assessment roll, either with or without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Section 47 sets out that the onus of proof in an appeal rests with the person bringing the appeal. Specifically, s. 47(5) states: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onus of proof is on the person bringing the appeal to establish that the assessed value of the property should be different from the value determined by the assessor or any other matter properly before the board of review.</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Relevant Regulatory Provisions on 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upon which this stated case is based is included in the Stated Case. The relevant provisions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for the purposes of answering the questions in the stated case are set out in these reasons. On February 12, 1996, the Band signed the framework agreement on First Nations land management which was an agreement between the Crown and a number of First Nations. The Band was one of the original signatories. Within a month in 1996, the Band passed the new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presently under consideration to replace the Original 1990 bylaw. It commences with the Interpretation sections.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Section 1(1) sets out the definitions under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In this bylaw, including without limiting the generality of the foregoing in this subsection: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"actual value" means the market value of the interest in land and improvements as if the Interest holder held a fee simple interest located off reserve,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"agent" means a person who acts with the written authority of a person or interest holder,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"appraiser" means a person who is a property valuator engaged by the Assessor or appointed by council under this bylaw,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"assessment" means a valuation of property for taxation purposes,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Assessment Act</w:t>
      </w:r>
      <w:r>
        <w:rPr>
          <w:rFonts w:ascii="arial" w:eastAsia="arial" w:hAnsi="arial" w:cs="arial"/>
          <w:color w:val="000000"/>
          <w:sz w:val="20"/>
          <w:lang w:val="en-US" w:eastAsia="en-US" w:bidi="ar-SA"/>
        </w:rPr>
        <w:t xml:space="preserve">" means the </w:t>
      </w:r>
      <w:r>
        <w:rPr>
          <w:rFonts w:ascii="arial" w:eastAsia="arial" w:hAnsi="arial" w:cs="arial"/>
          <w:i/>
          <w:color w:val="000000"/>
          <w:sz w:val="20"/>
          <w:lang w:val="en-US" w:eastAsia="en-US" w:bidi="ar-SA"/>
        </w:rPr>
        <w:t>Assessment Act</w:t>
      </w:r>
      <w:r>
        <w:rPr>
          <w:rFonts w:ascii="arial" w:eastAsia="arial" w:hAnsi="arial" w:cs="arial"/>
          <w:color w:val="000000"/>
          <w:sz w:val="20"/>
          <w:lang w:val="en-US" w:eastAsia="en-US" w:bidi="ar-SA"/>
        </w:rPr>
        <w:t>, R.S.B.C. 1979, c. 21,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Assessment Authority Act</w:t>
      </w:r>
      <w:r>
        <w:rPr>
          <w:rFonts w:ascii="arial" w:eastAsia="arial" w:hAnsi="arial" w:cs="arial"/>
          <w:color w:val="000000"/>
          <w:sz w:val="20"/>
          <w:lang w:val="en-US" w:eastAsia="en-US" w:bidi="ar-SA"/>
        </w:rPr>
        <w:t xml:space="preserve">" means the </w:t>
      </w:r>
      <w:r>
        <w:rPr>
          <w:rFonts w:ascii="arial" w:eastAsia="arial" w:hAnsi="arial" w:cs="arial"/>
          <w:i/>
          <w:color w:val="000000"/>
          <w:sz w:val="20"/>
          <w:lang w:val="en-US" w:eastAsia="en-US" w:bidi="ar-SA"/>
        </w:rPr>
        <w:t>Assessment Authority Act</w:t>
      </w:r>
      <w:r>
        <w:rPr>
          <w:rFonts w:ascii="arial" w:eastAsia="arial" w:hAnsi="arial" w:cs="arial"/>
          <w:color w:val="000000"/>
          <w:sz w:val="20"/>
          <w:lang w:val="en-US" w:eastAsia="en-US" w:bidi="ar-SA"/>
        </w:rPr>
        <w:t>, R.S.B.C. 1979, c. 22,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"assessment bylaw" means the Musqueam Indian Band Property Assessment Bylaw, PR-96-0 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"assessment roll" includes a supplementary assessment roll and anything recorded as an addendum to the assessment roll,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"assessor" means an assessor appointed by the council under this bylaw,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"band" means the Musqueam Indian Band, being a band within the meaning of section 2.(1)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"band council resolution" means a motion passed and approved by a majority of the councillors of the band,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"band land register" means the lists and files kept by the land management department of the band in which are listed or filed particulars in respect of property including particulars in respect of property not listed or filed in any land title office or reserve land register,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"band manager" means the band manager of the band or his delegate,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"band member" means a member of the band,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"board" means the board of review,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"board of review" means a board of review appointed by the council under section 40,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"British Columbia Assessment Authority" means the British Columbia Assessment Authority as defined in the </w:t>
      </w:r>
      <w:r>
        <w:rPr>
          <w:rFonts w:ascii="arial" w:eastAsia="arial" w:hAnsi="arial" w:cs="arial"/>
          <w:i/>
          <w:color w:val="000000"/>
          <w:sz w:val="20"/>
          <w:lang w:val="en-US" w:eastAsia="en-US" w:bidi="ar-SA"/>
        </w:rPr>
        <w:t>Assessment Authority Act</w:t>
      </w:r>
      <w:r>
        <w:rPr>
          <w:rFonts w:ascii="arial" w:eastAsia="arial" w:hAnsi="arial" w:cs="arial"/>
          <w:color w:val="000000"/>
          <w:sz w:val="20"/>
          <w:lang w:val="en-US" w:eastAsia="en-US" w:bidi="ar-SA"/>
        </w:rPr>
        <w:t>,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"council" means the council of the Musqueam Indian Band as elected by the band members,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"court" means a court of competent jurisdiction,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means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R.S.C. 1985, c. I-5</w:t>
        </w:r>
      </w:hyperlink>
      <w:r>
        <w:rPr>
          <w:rFonts w:ascii="arial" w:eastAsia="arial" w:hAnsi="arial" w:cs="arial"/>
          <w:color w:val="000000"/>
          <w:sz w:val="20"/>
          <w:lang w:val="en-US" w:eastAsia="en-US" w:bidi="ar-SA"/>
        </w:rPr>
        <w:t>, and any amendments thereto,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"interest" includes any legal or beneficial right, title, estate or interest,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"interest holder" means a person who has an interest in, or is an occupier of, land or improvements, or both,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"land" means land, or interests in land, in the reserve, including rights to occupy, possess or use land in the reserve, and includes, but is not limited to:</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land covered by water,</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quarries,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sand and gravel,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"land co-operative" means a parcel of land of which an interest holder is a corporation which holds its interest in the land exclusively for the benefit of its shareholders who</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have rights to occupy a portion of the parcel,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hold, own or have the use of shares or shares and other securities in the corporation that have a value equivalent to the value of the portion in relation to the value of the parcel,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"land title office" means the land title office or offices for the land title district in which land located in the reserve may have been registered under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of the Province of British Columbia, and without limiting the generality of the foregoing but for greater certainty includes each land title office in which land located in any named reserve may have been so registered,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"minister" means the Minister of Indian Affairs and Northern Development and includes a person designated in writing by the Minister,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"multi dwelling leased parcel" means a parcel of land on which are located two or more residences, the interest holders of one or more of which, under leases having terms of not less than one year, lease portions of the parcel from the interest holder of the parcel or from a lessee of the interest holder of the parcel and on which portion the interest holder of the residence has his residence,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"municipality" means, in accordance with the context, either any area incorporated as a city, district, township, town or village, under any Act of the Province of British Columbia, or the corporation into which the residents of the area have been incorporated as a municipality or regional district pursuant to the provisions of the </w:t>
      </w:r>
      <w:r>
        <w:rPr>
          <w:rFonts w:ascii="arial" w:eastAsia="arial" w:hAnsi="arial" w:cs="arial"/>
          <w:i/>
          <w:color w:val="000000"/>
          <w:sz w:val="20"/>
          <w:lang w:val="en-US" w:eastAsia="en-US" w:bidi="ar-SA"/>
        </w:rPr>
        <w:t>Municipal Act</w:t>
      </w:r>
      <w:r>
        <w:rPr>
          <w:rFonts w:ascii="arial" w:eastAsia="arial" w:hAnsi="arial" w:cs="arial"/>
          <w:color w:val="000000"/>
          <w:sz w:val="20"/>
          <w:lang w:val="en-US" w:eastAsia="en-US" w:bidi="ar-SA"/>
        </w:rPr>
        <w:t xml:space="preserve"> of the Province of British Columbia,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"named reserves" means named reserves as defined in the taxation bylaw,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"occupier" means: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if a trespass has occurred, is entitled to maintain an action for trespass,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in possession of land within the reserve that is held directly or indirectly under a lease, licence, agreement, easement or other record from the Crown, or who simply occupies the land,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in possession of land within the reserve that is held directly or indirectly under a lease, licence, agreement, easement or other record from a person who is exempted from taxation under the taxation bylaw or any Act that applies to land in the reserve or who simply occupies the land, or</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relation to land that in ordinary conditions :</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covered by non-tidal water, or</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sometime or always during a calendar year is covered by tidal water,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 person who is entitled directly or indirectly under a lease or licence to possess or occupy, or who simply occupies, the land, the water covering the land or the surface of the water covering the land,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"parcel" means a lot, block, or other area in which land is held or into which land is subdivided, and does include a highway or portion of a highway and the right or interest of an occupier of Crown land,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"person", in addition to its ordinary meaning, includes a partnership, syndicate, association, corporation, government or any agency or political subdivision thereof and the agent or trustee of a person,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"property" includes land and improvements,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"property class" means a class of property established under section 26(7),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"registered" and "registration", when used in respect of land, refer to registration in the books of the land title office or the books of the reserve land register or listed or filed in the band land register,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"registered owner" means a person registered in the books of the land title office, the reserve land register or the band land register as having or being entitled to property and includes a person who registers a charge,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"reserve" means those lands :</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have been set apart for the use and benefit of the band, pursuant to section 18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have been set apart for the use and benefit of the band pursuant to section 36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"reserve land register" means the register or registers kept by the Department of Indian Affairs and Northern Development pursuant to section 21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and the register or registers kept by the Department of Indian Affairs and Northern Development pursuant to section 55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and without limiting the generality of the foregoing but for greater certainty includes each such register relating to each named reserve,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"residential building" means a building used or designed to be used in whole or in part for residential purposes and includes an associated outbuilding of and other improvements to a building used or designed to be used in whole or in part for residential purposes, but does not include a floating manufactured home,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"Schedule" means a schedule to this bylaw,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"surveyor of taxes" means the surveyor of taxes appointed under the taxation bylaw,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"taxation bylaw" means the Musqueam Indian Band Property Taxation Bylaw, PR-96-02 passed by the council and approved by the minister,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"taxation year" means the calendar year to which an assessment roll applies for the purposes of taxation as referred to in section 2(1.2),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"taxes" means taxes as defined in the taxation bylaw,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"trustee" includes a personal representative, guardian, committee, receiver and any person having or taking on himself the possession, administration or control of property affected by any express trust, or having, by law, the possession, management or control of the property of a person under a legal disability.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Section 25.1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deals specifically with valuation and status dates, and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25.1 (1) For the purpose of determining the actual value of property for an assessment roll, the valuation date is July 1 of the year during which the assessment roll is completed.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actual value of property for an assessment roll is to be determined as if on the valuation date: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and all other properties were in the physical condition that they are in on October 31 following the valuation date,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permitted use of the property and of all properties were the same as on October 31 following the valuation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Section 26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addresses valuation for the purposes of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original bylaw has a number of differences the Band argues are integral to the determination of this matter. The original Bylaw was passed on December 12, 1990. That Bylaw was very similar in wording to the provincial</w:t>
      </w:r>
      <w:r>
        <w:rPr>
          <w:rFonts w:ascii="arial" w:eastAsia="arial" w:hAnsi="arial" w:cs="arial"/>
          <w:i/>
          <w:color w:val="000000"/>
          <w:sz w:val="20"/>
          <w:lang w:val="en-US" w:eastAsia="en-US" w:bidi="ar-SA"/>
        </w:rPr>
        <w:t xml:space="preserve"> Assessment Act</w:t>
      </w:r>
      <w:r>
        <w:rPr>
          <w:rFonts w:ascii="arial" w:eastAsia="arial" w:hAnsi="arial" w:cs="arial"/>
          <w:color w:val="000000"/>
          <w:sz w:val="20"/>
          <w:lang w:val="en-US" w:eastAsia="en-US" w:bidi="ar-SA"/>
        </w:rPr>
        <w:t xml:space="preserve">. It required the Assessor to consider,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restrictions placed by the interest holder. The 1990 bylaw did not have a convenient definition of actual value as "market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relevant provisions of s. 26 of the original bylaw read as follows:</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by-law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"actual value":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"actual value" during calendar year 1991 means the actual value that land and improvements would have had on July 1, 1990 had they and all other land and improvements been on July 1, 1990 in the state and condition that they are in on September 30, 1990 and had their use and permitted use been on July 1, 1990 the same as they are on September 30, 1990, and during calendar years 1992 and all subsequent calendar years "actual value" means the actual value of land as determined under the provisions of this by-law;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the actual value, the assessor may, except where this by-law has a different requirement, give consideration to present use, location, original cost, replacement cost, revenue or rental value, market value of the land and improvements and comparable land and improvements, economic and functional obsolescence and any other circumstances affecting the value of the land and improvements.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and [sic] improvements are liable to assessment under section 34, 35, 36, the assessor shall include in the factors that he considers under subsection (3), any restriction placed on the use of the land and improvements by an interest holder of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present provision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In this bylaw "actual value" means the market value of the fee simple interest in land and improvements as if the interest holder held a fee simple interest located off reserve.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assessor shall determine the actual value of land and improvements and shall enter the actual value of the land and improvements within each named reserve in the assessment roll.</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actual value, the assessor may, except where this bylaw has a different requirement, give consideration to present use, location, original cost, replacement cost, revenue or rental value, selling price of the land and improvements and comparable land and improvements both within and without the reserve, economic and functional obsolescence, the market value of comparable land and improvements both within and without the reserve, jurisdiction, community facilities and amenities, and any other circumstances affecting the value of the land and improvements provided such considerations do not conflict with subsection (1).</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the application of subsections (1) to (3), where an industrial or commercial undertaking, a business or a public utility enterprise is carried on, the land and improvements used by it shall be valued as the property of a going concern.</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assessor may include in the factors that he considers under subsection (3), any restriction placed on the use of the land and improvements </w:t>
      </w:r>
      <w:r>
        <w:rPr>
          <w:rFonts w:ascii="arial" w:eastAsia="arial" w:hAnsi="arial" w:cs="arial"/>
          <w:color w:val="000000"/>
          <w:sz w:val="20"/>
          <w:u w:val="single"/>
          <w:lang w:val="en-US" w:eastAsia="en-US" w:bidi="ar-SA"/>
        </w:rPr>
        <w:t>by the band</w:t>
      </w:r>
      <w:r>
        <w:rPr>
          <w:rFonts w:ascii="arial" w:eastAsia="arial" w:hAnsi="arial" w:cs="arial"/>
          <w:color w:val="000000"/>
          <w:sz w:val="20"/>
          <w:lang w:val="en-US" w:eastAsia="en-US" w:bidi="ar-SA"/>
        </w:rPr>
        <w:t>. (emphasis added)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duration of the interest of an interest holder, or the right of an interest holder or any other person to terminate that interest, is not a restriction within the meaning of subsection (3.2).</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this or any other bylaw of the band, where land and improvements are exempt from taxation, unless ordered by the council, the assessor need not, in respect of the exempt land and improvements: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assess the land and improvements, or</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prepare an annual assessment roll.</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Notwithstanding this or any other bylaw, improvements designed, constructed or installed to provide emergency protection for persons or domestic animals in the event of a disaster or emergency within the meaning of the </w:t>
      </w:r>
      <w:r>
        <w:rPr>
          <w:rFonts w:ascii="arial" w:eastAsia="arial" w:hAnsi="arial" w:cs="arial"/>
          <w:i/>
          <w:color w:val="000000"/>
          <w:sz w:val="20"/>
          <w:lang w:val="en-US" w:eastAsia="en-US" w:bidi="ar-SA"/>
        </w:rPr>
        <w:t>Emergency Program Act</w:t>
      </w:r>
      <w:r>
        <w:rPr>
          <w:rFonts w:ascii="arial" w:eastAsia="arial" w:hAnsi="arial" w:cs="arial"/>
          <w:color w:val="000000"/>
          <w:sz w:val="20"/>
          <w:lang w:val="en-US" w:eastAsia="en-US" w:bidi="ar-SA"/>
        </w:rPr>
        <w:t>, of the Province of British Columbia, are exempt from assessment.</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Land and improvements shall be assessed at their actual value.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Council hereby establishes in Schedule "IV" to this bylaw classes of property for the purpose of administering property taxes and in Schedule "IV" defines the types or uses of land or improvements, or both, to be included in each property class.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actual values of land and improvements determined under this section shall be set down separately on the assessment notice and in the assessment roll together with information specified pursuant to section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As set out above, in 1996, s. 26(3.2)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was amended to read a restriction in use of the property placed "by the Band".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Guiding Principles of Assessment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assessed value of real estate is the basis for real estate taxes. This assessed value should be determined on the guiding principles of assessment theory - those have been stated as "consistency, uniformity and equity": </w:t>
      </w:r>
      <w:r>
        <w:rPr>
          <w:rFonts w:ascii="arial" w:eastAsia="arial" w:hAnsi="arial" w:cs="arial"/>
          <w:i/>
          <w:color w:val="000000"/>
          <w:sz w:val="20"/>
          <w:lang w:val="en-US" w:eastAsia="en-US" w:bidi="ar-SA"/>
        </w:rPr>
        <w:t>see Standard Life Assurance Co. v. British Columbia (Assessor Area #01-Capital)</w:t>
      </w:r>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(1997), 146 D.L.R. (4th) 247</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Standard Life</w:t>
      </w:r>
      <w:r>
        <w:rPr>
          <w:rFonts w:ascii="arial" w:eastAsia="arial" w:hAnsi="arial" w:cs="arial"/>
          <w:color w:val="000000"/>
          <w:sz w:val="20"/>
          <w:lang w:val="en-US" w:eastAsia="en-US" w:bidi="ar-SA"/>
        </w:rPr>
        <w:t xml:space="preserve"> ] per Hollinrake J.A. at para. 18. As noted by Jack Walker and Jerry Grad in </w:t>
      </w:r>
      <w:r>
        <w:rPr>
          <w:rFonts w:ascii="arial" w:eastAsia="arial" w:hAnsi="arial" w:cs="arial"/>
          <w:i/>
          <w:color w:val="000000"/>
          <w:sz w:val="20"/>
          <w:lang w:val="en-US" w:eastAsia="en-US" w:bidi="ar-SA"/>
        </w:rPr>
        <w:t>Ontario Property Tax Assessment Handbook</w:t>
      </w:r>
      <w:r>
        <w:rPr>
          <w:rFonts w:ascii="arial" w:eastAsia="arial" w:hAnsi="arial" w:cs="arial"/>
          <w:color w:val="000000"/>
          <w:sz w:val="20"/>
          <w:lang w:val="en-US" w:eastAsia="en-US" w:bidi="ar-SA"/>
        </w:rPr>
        <w:t>, 2d ed., loose-leaf, (Toronto: Carswell, 1998) at 1:10: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Historically, the courts have pointed out that there are two fundamental principles of municipal taxation in Canada. The lands must be assessed on a common basis of value, i.e. market value and the assessor must determine the value in a manner that is fair and equitable with the level of value prescribed for use in determining the value of other like improvements in the municipality.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Citing </w:t>
      </w:r>
      <w:r>
        <w:rPr>
          <w:rFonts w:ascii="arial" w:eastAsia="arial" w:hAnsi="arial" w:cs="arial"/>
          <w:i/>
          <w:color w:val="000000"/>
          <w:sz w:val="20"/>
          <w:lang w:val="en-US" w:eastAsia="en-US" w:bidi="ar-SA"/>
        </w:rPr>
        <w:t>Strathcona No. 20 (County) v. Alberta (Assessment Appeal Board)</w:t>
      </w:r>
      <w:r>
        <w:rPr>
          <w:rFonts w:ascii="arial" w:eastAsia="arial" w:hAnsi="arial" w:cs="arial"/>
          <w:color w:val="000000"/>
          <w:sz w:val="20"/>
          <w:lang w:val="en-US" w:eastAsia="en-US" w:bidi="ar-SA"/>
        </w:rPr>
        <w:t xml:space="preserve"> (1995), 89 W.A.C. 300, </w:t>
      </w:r>
      <w:hyperlink r:id="rId23" w:history="1">
        <w:r>
          <w:rPr>
            <w:rFonts w:ascii="arial" w:eastAsia="arial" w:hAnsi="arial" w:cs="arial"/>
            <w:i/>
            <w:color w:val="0077CC"/>
            <w:sz w:val="20"/>
            <w:u w:val="single"/>
            <w:shd w:val="clear" w:color="auto" w:fill="FFFFFF"/>
            <w:lang w:val="en-US" w:eastAsia="en-US" w:bidi="ar-SA"/>
          </w:rPr>
          <w:t>165 A.R. 300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objective of assessment valuation is to determine "actual value" which by s. 1(1)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means "market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Standard Life</w:t>
      </w:r>
      <w:r>
        <w:rPr>
          <w:rFonts w:ascii="arial" w:eastAsia="arial" w:hAnsi="arial" w:cs="arial"/>
          <w:color w:val="000000"/>
          <w:sz w:val="20"/>
          <w:lang w:val="en-US" w:eastAsia="en-US" w:bidi="ar-SA"/>
        </w:rPr>
        <w:t xml:space="preserve"> the Court of Appeal was considering an appeal from a decision of a judge in chambers, </w:t>
      </w:r>
      <w:hyperlink r:id="rId24" w:history="1">
        <w:r>
          <w:rPr>
            <w:rFonts w:ascii="arial" w:eastAsia="arial" w:hAnsi="arial" w:cs="arial"/>
            <w:i/>
            <w:color w:val="0077CC"/>
            <w:sz w:val="20"/>
            <w:u w:val="single"/>
            <w:shd w:val="clear" w:color="auto" w:fill="FFFFFF"/>
            <w:lang w:val="en-US" w:eastAsia="en-US" w:bidi="ar-SA"/>
          </w:rPr>
          <w:t>[1996] B.C.J. No. 239</w:t>
        </w:r>
      </w:hyperlink>
      <w:r>
        <w:rPr>
          <w:rFonts w:ascii="arial" w:eastAsia="arial" w:hAnsi="arial" w:cs="arial"/>
          <w:color w:val="000000"/>
          <w:sz w:val="20"/>
          <w:lang w:val="en-US" w:eastAsia="en-US" w:bidi="ar-SA"/>
        </w:rPr>
        <w:t>. The chambers judge had allowed an appeal from the Assessment Appeal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decision of the Board in that case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Appellant argues that "actual value" means "market value" for the purposes of establishing the Roll. Section 26(3) of the Act provides that the Assessor may, in determining actual value, give consideration to ... "the selling price of the land and improvements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Court of Appeal was considering s. 26 of the </w:t>
      </w:r>
      <w:r>
        <w:rPr>
          <w:rFonts w:ascii="arial" w:eastAsia="arial" w:hAnsi="arial" w:cs="arial"/>
          <w:i/>
          <w:color w:val="000000"/>
          <w:sz w:val="20"/>
          <w:lang w:val="en-US" w:eastAsia="en-US" w:bidi="ar-SA"/>
        </w:rPr>
        <w:t>Assessment Act</w:t>
      </w:r>
      <w:r>
        <w:rPr>
          <w:rFonts w:ascii="arial" w:eastAsia="arial" w:hAnsi="arial" w:cs="arial"/>
          <w:color w:val="000000"/>
          <w:sz w:val="20"/>
          <w:lang w:val="en-US" w:eastAsia="en-US" w:bidi="ar-SA"/>
        </w:rPr>
        <w:t xml:space="preserve">, R.S.B.C. 1979, c. 21 (the "1979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similar in wording to the Bylaw prior to its amendment, which set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Valuation for purposes of assessment</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In this section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"actual value" means the market value of the fee simple interest in land and improvements; ...</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assessor shall determine the actual value of land and improvements and shall enter the actual value of the land and improvements in the assessment roll.</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actual value, the assessor may, except where this Act has a different requirement, give consideration to present use, location, original cost, replacement cost, revenue or rental value, selling price of the land and improvements and comparable land and improvements, economic and functional obsolescence and any other circumstances affecting the value of the land and improvements.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facts in </w:t>
      </w:r>
      <w:r>
        <w:rPr>
          <w:rFonts w:ascii="arial" w:eastAsia="arial" w:hAnsi="arial" w:cs="arial"/>
          <w:i/>
          <w:color w:val="000000"/>
          <w:sz w:val="20"/>
          <w:lang w:val="en-US" w:eastAsia="en-US" w:bidi="ar-SA"/>
        </w:rPr>
        <w:t>Standard Life</w:t>
      </w:r>
      <w:r>
        <w:rPr>
          <w:rFonts w:ascii="arial" w:eastAsia="arial" w:hAnsi="arial" w:cs="arial"/>
          <w:color w:val="000000"/>
          <w:sz w:val="20"/>
          <w:lang w:val="en-US" w:eastAsia="en-US" w:bidi="ar-SA"/>
        </w:rPr>
        <w:t xml:space="preserve"> were that the building owner and an anchor tenant had entered into a long-term lease, which from the standpoint of the building owner, was unprofitable. At issue was whether the lease, binding the building owner, could result in a lower value for the purposes of assessment and hence result in lower municipal taxes. The Board in its reasons had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Board is not persuaded that a lease entered into voluntarily between the owner of the building and a major tenant, which decreases the rate of return on the building to the owner, can operate to lower the value of the assessment. The Assessor is required to assess the highest and best use of the property, whether or not the owner is putting it to that use. While it is clear that the uneconomic leases affect the value of the owner's interest in the property, they cannot, for purposes of the Assessment Roll, affect the assessed value of the land and buildings. The Board finds that the scheme of the Assessment Act is such that market value is the value of unimpaired interests, not value to owner, or selling price alone, and that the 1992 amendments to the Act do not have the effect of changing that. There is substantial case authority to support this principle, including Manhattan Holdings Ltd. and Hanover Properties Ltd. v. Assessor of Area 08 - North Shore/Squamish Valley, (1993) B.C.S.C. 340, where the court held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not the rent actually received that must be considered but rather the rent that the land and building may attract in the market-place. Further, it should not be part of the consideration of value to take into consideration the artificial arrangement of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p. 2021), and Re: Merkur &amp; Sons and Regional Assessment Commissioner </w:t>
      </w:r>
      <w:hyperlink r:id="rId25" w:history="1">
        <w:r>
          <w:rPr>
            <w:rFonts w:ascii="arial" w:eastAsia="arial" w:hAnsi="arial" w:cs="arial"/>
            <w:i/>
            <w:color w:val="0077CC"/>
            <w:sz w:val="20"/>
            <w:u w:val="single"/>
            <w:shd w:val="clear" w:color="auto" w:fill="FFFFFF"/>
            <w:lang w:val="en-US" w:eastAsia="en-US" w:bidi="ar-SA"/>
          </w:rPr>
          <w:t>(1977), 17 O.R. (2nd) 339</w:t>
        </w:r>
      </w:hyperlink>
      <w:r>
        <w:rPr>
          <w:rFonts w:ascii="arial" w:eastAsia="arial" w:hAnsi="arial" w:cs="arial"/>
          <w:color w:val="000000"/>
          <w:sz w:val="20"/>
          <w:lang w:val="en-US" w:eastAsia="en-US" w:bidi="ar-SA"/>
        </w:rPr>
        <w:t>, in which the court decided, within a legislative context similar to that of the B.C. Assessment Act,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 am convinced that market value for assessment purposes does not and cannot mean solely what an owner of property can get for the property as it stands if he sells it even though he is a willing vendor to a willing purchaser. It must relate to something more, namely, what a theoretical, willing vendor of all of the lands ... would obtain from a willing purchaser of all of the lands as so defined. It cannot relate entirely to the actual net rentals multiplied by a capitalization factor. The actual rentals received under leases less the net expenses of an owner for the premises for a given year with a proper capitalization rate cannot be market value within the meaning of the Act. (p.346-347)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chambers judge disagreed and allowed the appeal from the board. This decision was considered to be in error by the British Columbia Court of Appeal. Mr. Justice Hollinrake for the unanimous Court of Appeal held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Lastly, I quote from the decision of the judge below in which he allowed the appeal from the Board's decision.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is no question on the facts of the case before me that there was any attempt or intention on the part of the appellant to create an artificial circumstance in order to reduce or minimize property taxes. The rents fixed by the lease at the time of the lease were appropriate for the time and may well have worked out to be higher than current rents for similar properties if different market forces had come into play. Although there is no doubt that the actual rents paid by the principal tenant are below current rates for equivalent properties.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language of s. 26 of the Act is permissive, offering a wide and flexible discretion, in my view it does not permit the assessor to ignore an historic and arm's length agreement which is not personal to the land owner. It is my view that where there is an arm's length transaction made without artifice and yielding a return appropriate for the time, then that is a relevant factor in determining the actual value of the land and improvement. Accordingly, it is my view that the Board did err when it determined that the actual value of the property was to be determined without regard to the market value of the fee simple interest of the land and improvements. The appeal is allowed. Costs shall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Hollinrake J.A. continued at paras. 10-14: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I think the real issue in this case is what is meant by the phrase "the fee simple interest in land and improvements" in s. 26 of the Act. My conclusion is that the Assessor is correct in submitting that the fee simple interest includes all the interests in the land and buildings and not just the owner's interest. In my opinion, the assessor here had to consider not just the owner's interest, as I think the judge below did, but also the tenant's interest. That, for practical purposes, leads to the conclusion that the totality of the interests properly considered should, generally speaking, be the equivalent of the owner's unencumbered interest.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I should say here that the judge below did not appear by his reasons to have considered the significance in the assessment of the concept of "the fee simple interest".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In Re Forfar and Township of East Gwillimbury, </w:t>
      </w:r>
      <w:hyperlink r:id="rId26" w:history="1">
        <w:r>
          <w:rPr>
            <w:rFonts w:ascii="arial" w:eastAsia="arial" w:hAnsi="arial" w:cs="arial"/>
            <w:i/>
            <w:color w:val="0077CC"/>
            <w:sz w:val="20"/>
            <w:u w:val="single"/>
            <w:shd w:val="clear" w:color="auto" w:fill="FFFFFF"/>
            <w:lang w:val="en-US" w:eastAsia="en-US" w:bidi="ar-SA"/>
          </w:rPr>
          <w:t>[1971] 3 O.R. 337</w:t>
        </w:r>
      </w:hyperlink>
      <w:r>
        <w:rPr>
          <w:rFonts w:ascii="arial" w:eastAsia="arial" w:hAnsi="arial" w:cs="arial"/>
          <w:color w:val="000000"/>
          <w:sz w:val="20"/>
          <w:lang w:val="en-US" w:eastAsia="en-US" w:bidi="ar-SA"/>
        </w:rPr>
        <w:t xml:space="preserve"> at 344 (C.A.), the Court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an estate in fee simple is the greatest estate and most extensive interest which a person can possess in land and property, being an absolute estate in perpetuity.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As I have said, in my opinion, the "fee simple interest" is comprised of the entirety of the interests in the property. This bundle of interests includes both the tenant's and the landlord's interest. Implicit in this is the principle that consideration of actual rental value is, generally speaking, not relevant to the valuation of the "fee simple interest". This is because the actual rental value is relevant only to the owner's interest in the land and buildings whereas the actual value in the Act is the totality of all interests in the land and buildings. The owner's interest and the tenant's interest, in principle, should reflect the market or actual value of the land and buildings. It is for this reason that I have concluded that the "fee simple interest" is, again generally speaking, the same as the owner's unencumbered interest.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In Manhattan Holdings Ltd. &amp; Hanover Properties Ltd. v. Assessor of Area 08 - North Shore/Squamish Valley (1993), B.C. Stated Case 340 (S.C.) at p.2020-21 Braidwood J. (as he then was)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Appellant also argued that the Board erred in principle in failing to consider the circumstance that the owner granted a long-term lease for the underlying land. Accordingly, the market value of the land should reflect and be based on the value of the lease.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of the opinion that this is an erroneous approach to evaluation. Although it is necessary to determine separately the value of the land and the value of the building, yet to assume the value of the land is equivalent to the value yielded by the contractual lease is only to assess and determine the value of a partial interest in the land.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the ability of the whole of the property both the improvement and the land to attract rent on which the valuation of the land and buildings must be based. The fact that the interest of the underlying land is divided does not alter the value to be attributed to the whole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core aspect of </w:t>
      </w:r>
      <w:r>
        <w:rPr>
          <w:rFonts w:ascii="arial" w:eastAsia="arial" w:hAnsi="arial" w:cs="arial"/>
          <w:i/>
          <w:color w:val="000000"/>
          <w:sz w:val="20"/>
          <w:lang w:val="en-US" w:eastAsia="en-US" w:bidi="ar-SA"/>
        </w:rPr>
        <w:t>Standard Life</w:t>
      </w:r>
      <w:r>
        <w:rPr>
          <w:rFonts w:ascii="arial" w:eastAsia="arial" w:hAnsi="arial" w:cs="arial"/>
          <w:color w:val="000000"/>
          <w:sz w:val="20"/>
          <w:lang w:val="en-US" w:eastAsia="en-US" w:bidi="ar-SA"/>
        </w:rPr>
        <w:t xml:space="preserve"> applicable to these proceedings is contained in paras. 21-22,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The respondent before us relies on Canadian National Railway Co. v. Vancouver (City) </w:t>
      </w:r>
      <w:hyperlink r:id="rId27" w:history="1">
        <w:r>
          <w:rPr>
            <w:rFonts w:ascii="arial" w:eastAsia="arial" w:hAnsi="arial" w:cs="arial"/>
            <w:i/>
            <w:color w:val="0077CC"/>
            <w:sz w:val="20"/>
            <w:u w:val="single"/>
            <w:shd w:val="clear" w:color="auto" w:fill="FFFFFF"/>
            <w:lang w:val="en-US" w:eastAsia="en-US" w:bidi="ar-SA"/>
          </w:rPr>
          <w:t>(1950), 4 D.L.R. 807</w:t>
        </w:r>
      </w:hyperlink>
      <w:r>
        <w:rPr>
          <w:rFonts w:ascii="arial" w:eastAsia="arial" w:hAnsi="arial" w:cs="arial"/>
          <w:color w:val="000000"/>
          <w:sz w:val="20"/>
          <w:lang w:val="en-US" w:eastAsia="en-US" w:bidi="ar-SA"/>
        </w:rPr>
        <w:t xml:space="preserve"> (B.C.C.A.) and Burnaby/New Westminster Assessor, Area No. 10 v. Central Park Citizen Society </w:t>
      </w:r>
      <w:hyperlink r:id="rId28" w:history="1">
        <w:r>
          <w:rPr>
            <w:rFonts w:ascii="arial" w:eastAsia="arial" w:hAnsi="arial" w:cs="arial"/>
            <w:i/>
            <w:color w:val="0077CC"/>
            <w:sz w:val="20"/>
            <w:u w:val="single"/>
            <w:shd w:val="clear" w:color="auto" w:fill="FFFFFF"/>
            <w:lang w:val="en-US" w:eastAsia="en-US" w:bidi="ar-SA"/>
          </w:rPr>
          <w:t>(1993), 86 B.C.L.R. (2d) 24</w:t>
        </w:r>
      </w:hyperlink>
      <w:r>
        <w:rPr>
          <w:rFonts w:ascii="arial" w:eastAsia="arial" w:hAnsi="arial" w:cs="arial"/>
          <w:color w:val="000000"/>
          <w:sz w:val="20"/>
          <w:lang w:val="en-US" w:eastAsia="en-US" w:bidi="ar-SA"/>
        </w:rPr>
        <w:t xml:space="preserve"> (B.C.S.C.) in support of its submission that the assessor must take into consideration bona fide agreements which are binding on subsequent purchasers of the land.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portion of the Canadian National Railway case relied on by the respondent is found at p.813 where the Court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...[L]and ought to be assessed according to the value disclosed by its use for the purpose for which it is most suitable. That principle must cut both ways. If land by statute, agreement with the City (as here) or otherwise, is restricted to the special use to which it is put, then the assessment rationally must be related to its value in that use, even though the land would be properly assessable at a much higher figure if it could be put to some other use.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mine)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 words "or otherwise" relied on by the respondent.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While the dicta in the Burnaby/New Westminster Assessor case, which I have reproduced above, would appear to support the respondent's position, I think that dicta must be limited to fact situations similar in principle to the Canadian National Railway Co. case where a restraint was placed on the use of the land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Beach Town House Apartments Ltd. v. British Columbia (Assessor of Area #9 - Vancouver Sea to Sky Region)</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2012 BCSC 1060</w:t>
        </w:r>
      </w:hyperlink>
      <w:r>
        <w:rPr>
          <w:rFonts w:ascii="arial" w:eastAsia="arial" w:hAnsi="arial" w:cs="arial"/>
          <w:color w:val="000000"/>
          <w:sz w:val="20"/>
          <w:lang w:val="en-US" w:eastAsia="en-US" w:bidi="ar-SA"/>
        </w:rPr>
        <w:t xml:space="preserve"> aff'd </w:t>
      </w:r>
      <w:hyperlink r:id="rId30" w:history="1">
        <w:r>
          <w:rPr>
            <w:rFonts w:ascii="arial" w:eastAsia="arial" w:hAnsi="arial" w:cs="arial"/>
            <w:i/>
            <w:color w:val="0077CC"/>
            <w:sz w:val="20"/>
            <w:u w:val="single"/>
            <w:shd w:val="clear" w:color="auto" w:fill="FFFFFF"/>
            <w:lang w:val="en-US" w:eastAsia="en-US" w:bidi="ar-SA"/>
          </w:rPr>
          <w:t>2013 BCCA 325</w:t>
        </w:r>
      </w:hyperlink>
      <w:r>
        <w:rPr>
          <w:rFonts w:ascii="arial" w:eastAsia="arial" w:hAnsi="arial" w:cs="arial"/>
          <w:color w:val="000000"/>
          <w:sz w:val="20"/>
          <w:lang w:val="en-US" w:eastAsia="en-US" w:bidi="ar-SA"/>
        </w:rPr>
        <w:t xml:space="preserve"> [Beach Town House Apartments], Voith J.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In </w:t>
      </w:r>
      <w:r>
        <w:rPr>
          <w:rFonts w:ascii="arial" w:eastAsia="arial" w:hAnsi="arial" w:cs="arial"/>
          <w:i/>
          <w:color w:val="000000"/>
          <w:sz w:val="20"/>
          <w:lang w:val="en-US" w:eastAsia="en-US" w:bidi="ar-SA"/>
        </w:rPr>
        <w:t>Standard Life</w:t>
      </w:r>
      <w:r>
        <w:rPr>
          <w:rFonts w:ascii="arial" w:eastAsia="arial" w:hAnsi="arial" w:cs="arial"/>
          <w:color w:val="000000"/>
          <w:sz w:val="20"/>
          <w:lang w:val="en-US" w:eastAsia="en-US" w:bidi="ar-SA"/>
        </w:rPr>
        <w:t>, the Board had decided that the actual rent for a portion of the premises, which was well below market rent, was not to be considered in arriving at the assessed value of the land and building. On the stated case the chambers judge disagreed, and concluded that the Board had been wrong in principle in so deciding.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Voith J. notes the reasoning of the Court of Appeal, allowing the appeal at para. 10, of </w:t>
      </w:r>
      <w:r>
        <w:rPr>
          <w:rFonts w:ascii="arial" w:eastAsia="arial" w:hAnsi="arial" w:cs="arial"/>
          <w:i/>
          <w:color w:val="000000"/>
          <w:sz w:val="20"/>
          <w:lang w:val="en-US" w:eastAsia="en-US" w:bidi="ar-SA"/>
        </w:rPr>
        <w:t>Standard Life</w:t>
      </w:r>
      <w:r>
        <w:rPr>
          <w:rFonts w:ascii="arial" w:eastAsia="arial" w:hAnsi="arial" w:cs="arial"/>
          <w:color w:val="000000"/>
          <w:sz w:val="20"/>
          <w:lang w:val="en-US" w:eastAsia="en-US" w:bidi="ar-SA"/>
        </w:rPr>
        <w:t xml:space="preserve"> to be the guiding principle in a situation of multiple interests when determining actual value of the fee simple interest. The fee simple owner's interests and others' 'bundle of interests' which are to be considered in the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On appeal in </w:t>
      </w:r>
      <w:r>
        <w:rPr>
          <w:rFonts w:ascii="arial" w:eastAsia="arial" w:hAnsi="arial" w:cs="arial"/>
          <w:i/>
          <w:color w:val="000000"/>
          <w:sz w:val="20"/>
          <w:lang w:val="en-US" w:eastAsia="en-US" w:bidi="ar-SA"/>
        </w:rPr>
        <w:t>Beach Town House Apartments</w:t>
      </w:r>
      <w:r>
        <w:rPr>
          <w:rFonts w:ascii="arial" w:eastAsia="arial" w:hAnsi="arial" w:cs="arial"/>
          <w:color w:val="000000"/>
          <w:sz w:val="20"/>
          <w:lang w:val="en-US" w:eastAsia="en-US" w:bidi="ar-SA"/>
        </w:rPr>
        <w:t xml:space="preserve">, Mr. Justice Chiasson also reviews </w:t>
      </w:r>
      <w:r>
        <w:rPr>
          <w:rFonts w:ascii="arial" w:eastAsia="arial" w:hAnsi="arial" w:cs="arial"/>
          <w:i/>
          <w:color w:val="000000"/>
          <w:sz w:val="20"/>
          <w:lang w:val="en-US" w:eastAsia="en-US" w:bidi="ar-SA"/>
        </w:rPr>
        <w:t>Standard Life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Mr. Justice Hollinrake in </w:t>
      </w:r>
      <w:r>
        <w:rPr>
          <w:rFonts w:ascii="arial" w:eastAsia="arial" w:hAnsi="arial" w:cs="arial"/>
          <w:i/>
          <w:color w:val="000000"/>
          <w:sz w:val="20"/>
          <w:lang w:val="en-US" w:eastAsia="en-US" w:bidi="ar-SA"/>
        </w:rPr>
        <w:t>Standard Life</w:t>
      </w:r>
      <w:r>
        <w:rPr>
          <w:rFonts w:ascii="arial" w:eastAsia="arial" w:hAnsi="arial" w:cs="arial"/>
          <w:color w:val="000000"/>
          <w:sz w:val="20"/>
          <w:lang w:val="en-US" w:eastAsia="en-US" w:bidi="ar-SA"/>
        </w:rPr>
        <w:t xml:space="preserve"> stated at para. 2 that the issue was whether the Appeal Board "erred in law in not considering a lease in which the actual rent for the premises was well below what would be the market or economic rent for the space." This Court upheld the Appeal Board's rejection of the contention that an agreed rent could not diminish the actual value of the property for assessment purposes. That was the context for the phrase "unencumbered interest".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In my view, the main thrust of </w:t>
      </w:r>
      <w:r>
        <w:rPr>
          <w:rFonts w:ascii="arial" w:eastAsia="arial" w:hAnsi="arial" w:cs="arial"/>
          <w:i/>
          <w:color w:val="000000"/>
          <w:sz w:val="20"/>
          <w:lang w:val="en-US" w:eastAsia="en-US" w:bidi="ar-SA"/>
        </w:rPr>
        <w:t>Standard Life</w:t>
      </w:r>
      <w:r>
        <w:rPr>
          <w:rFonts w:ascii="arial" w:eastAsia="arial" w:hAnsi="arial" w:cs="arial"/>
          <w:color w:val="000000"/>
          <w:sz w:val="20"/>
          <w:lang w:val="en-US" w:eastAsia="en-US" w:bidi="ar-SA"/>
        </w:rPr>
        <w:t xml:space="preserve"> is found at para. 13, where Hollinrake J.A. stated that "the 'fee simple interest' is comprised of the entirety of the interests in the property. This bundle of interests includes both the tenant's and the landlord's interest."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is clear that an assessment is a highly fact-driven exercise. The Assessor and the Board must be guided by the applicable assessment principles and a review of all separate interest holders' own interests in the property. This must be performed with guidance from the applicable legislation and case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 xml:space="preserve">Not a Reconsideration of the </w:t>
      </w:r>
      <w:r>
        <w:rPr>
          <w:rFonts w:ascii="arial" w:eastAsia="arial" w:hAnsi="arial" w:cs="arial"/>
          <w:b/>
          <w:i/>
          <w:color w:val="000000"/>
          <w:sz w:val="20"/>
          <w:lang w:val="en-US" w:eastAsia="en-US" w:bidi="ar-SA"/>
        </w:rPr>
        <w:t>Guerin</w:t>
      </w:r>
      <w:r>
        <w:rPr>
          <w:rFonts w:ascii="arial" w:eastAsia="arial" w:hAnsi="arial" w:cs="arial"/>
          <w:b/>
          <w:color w:val="000000"/>
          <w:sz w:val="20"/>
          <w:lang w:val="en-US" w:eastAsia="en-US" w:bidi="ar-SA"/>
        </w:rPr>
        <w:t xml:space="preserve">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Prior to reviewing and answering the questions in the Stated Case, it is important to underscore that the Band's position on certain matters will impact on this Court's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First, the Band states, this is not an attempt to re-litigate or a reconsider the validity of the surrender or the lease. The Band submitted that this is not a reattempt to litigate the issues in </w:t>
      </w:r>
      <w:r>
        <w:rPr>
          <w:rFonts w:ascii="arial" w:eastAsia="arial" w:hAnsi="arial" w:cs="arial"/>
          <w:i/>
          <w:color w:val="000000"/>
          <w:sz w:val="20"/>
          <w:lang w:val="en-US" w:eastAsia="en-US" w:bidi="ar-SA"/>
        </w:rPr>
        <w:t>Guerin v. The Queen</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[1984] 2 S.C.R. 335</w:t>
        </w:r>
      </w:hyperlink>
      <w:r>
        <w:rPr>
          <w:rFonts w:ascii="arial" w:eastAsia="arial" w:hAnsi="arial" w:cs="arial"/>
          <w:color w:val="000000"/>
          <w:sz w:val="20"/>
          <w:lang w:val="en-US" w:eastAsia="en-US" w:bidi="ar-SA"/>
        </w:rPr>
        <w:t xml:space="preserve"> numerous times throughout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Club in its argument stressed that the Court should not consider the issues already litigated in </w:t>
      </w:r>
      <w:r>
        <w:rPr>
          <w:rFonts w:ascii="arial" w:eastAsia="arial" w:hAnsi="arial" w:cs="arial"/>
          <w:i/>
          <w:color w:val="000000"/>
          <w:sz w:val="20"/>
          <w:lang w:val="en-US" w:eastAsia="en-US" w:bidi="ar-SA"/>
        </w:rPr>
        <w:t>Guerin</w:t>
      </w:r>
      <w:r>
        <w:rPr>
          <w:rFonts w:ascii="arial" w:eastAsia="arial" w:hAnsi="arial" w:cs="arial"/>
          <w:color w:val="000000"/>
          <w:sz w:val="20"/>
          <w:lang w:val="en-US" w:eastAsia="en-US" w:bidi="ar-SA"/>
        </w:rPr>
        <w:t>. The Club pointed out that following the</w:t>
      </w:r>
      <w:r>
        <w:rPr>
          <w:rFonts w:ascii="arial" w:eastAsia="arial" w:hAnsi="arial" w:cs="arial"/>
          <w:i/>
          <w:color w:val="000000"/>
          <w:sz w:val="20"/>
          <w:lang w:val="en-US" w:eastAsia="en-US" w:bidi="ar-SA"/>
        </w:rPr>
        <w:t xml:space="preserve"> Guerin</w:t>
      </w:r>
      <w:r>
        <w:rPr>
          <w:rFonts w:ascii="arial" w:eastAsia="arial" w:hAnsi="arial" w:cs="arial"/>
          <w:color w:val="000000"/>
          <w:sz w:val="20"/>
          <w:lang w:val="en-US" w:eastAsia="en-US" w:bidi="ar-SA"/>
        </w:rPr>
        <w:t xml:space="preserve"> case, the Band commenced a new action in the Federal Court which included the Club as a defendant in the action. Two days before a motion to strike the action was brought by the defendants, the Band discontinued its claim against the Club. However, at the application, the Club was permitted to appear. Mr. Justice Joyal of the Federal Court Trial Division dismissed the claim as an abuse of process: see </w:t>
      </w:r>
      <w:r>
        <w:rPr>
          <w:rFonts w:ascii="arial" w:eastAsia="arial" w:hAnsi="arial" w:cs="arial"/>
          <w:i/>
          <w:color w:val="000000"/>
          <w:sz w:val="20"/>
          <w:lang w:val="en-US" w:eastAsia="en-US" w:bidi="ar-SA"/>
        </w:rPr>
        <w:t>Musqueam Indian Band v. Canada (Minister of Indian and Northern Affairs)</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[1990] 2 F.C. 351</w:t>
        </w:r>
      </w:hyperlink>
      <w:r>
        <w:rPr>
          <w:rFonts w:ascii="arial" w:eastAsia="arial" w:hAnsi="arial" w:cs="arial"/>
          <w:color w:val="000000"/>
          <w:sz w:val="20"/>
          <w:lang w:val="en-US" w:eastAsia="en-US" w:bidi="ar-SA"/>
        </w:rPr>
        <w:t xml:space="preserve"> (T.D.).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Similarly, the Assessor in its written argument had argued the Band, insofar as it may be seeking to re-litigate any issues before the trial court in </w:t>
      </w:r>
      <w:r>
        <w:rPr>
          <w:rFonts w:ascii="arial" w:eastAsia="arial" w:hAnsi="arial" w:cs="arial"/>
          <w:i/>
          <w:color w:val="000000"/>
          <w:sz w:val="20"/>
          <w:lang w:val="en-US" w:eastAsia="en-US" w:bidi="ar-SA"/>
        </w:rPr>
        <w:t>Guerin</w:t>
      </w:r>
      <w:r>
        <w:rPr>
          <w:rFonts w:ascii="arial" w:eastAsia="arial" w:hAnsi="arial" w:cs="arial"/>
          <w:color w:val="000000"/>
          <w:sz w:val="20"/>
          <w:lang w:val="en-US" w:eastAsia="en-US" w:bidi="ar-SA"/>
        </w:rPr>
        <w:t xml:space="preserve"> was estopped from doing so. However, during the hearing, as a consequence and in reliance on the Band's position, the Assessor asked the Court not to consider all of this argument as it touched on matters relating to that prior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accept the Band's submission that this is not a relitigation of the </w:t>
      </w:r>
      <w:r>
        <w:rPr>
          <w:rFonts w:ascii="arial" w:eastAsia="arial" w:hAnsi="arial" w:cs="arial"/>
          <w:i/>
          <w:color w:val="000000"/>
          <w:sz w:val="20"/>
          <w:lang w:val="en-US" w:eastAsia="en-US" w:bidi="ar-SA"/>
        </w:rPr>
        <w:t>Guerin</w:t>
      </w:r>
      <w:r>
        <w:rPr>
          <w:rFonts w:ascii="arial" w:eastAsia="arial" w:hAnsi="arial" w:cs="arial"/>
          <w:color w:val="000000"/>
          <w:sz w:val="20"/>
          <w:lang w:val="en-US" w:eastAsia="en-US" w:bidi="ar-SA"/>
        </w:rPr>
        <w:t xml:space="preserve"> issues. Consequently, while I am mindful of Joyal J.'s further ruling, outlined in the appended agreed statement of facts, I find it has no relevance to the matters before me to be determined. It follows that I need not consider in these reasons any matters which relate directly or indirectly on those issues which were before the Court in </w:t>
      </w:r>
      <w:r>
        <w:rPr>
          <w:rFonts w:ascii="arial" w:eastAsia="arial" w:hAnsi="arial" w:cs="arial"/>
          <w:i/>
          <w:color w:val="000000"/>
          <w:sz w:val="20"/>
          <w:lang w:val="en-US" w:eastAsia="en-US" w:bidi="ar-SA"/>
        </w:rPr>
        <w:t>Guerin</w:t>
      </w:r>
      <w:r>
        <w:rPr>
          <w:rFonts w:ascii="arial" w:eastAsia="arial" w:hAnsi="arial" w:cs="arial"/>
          <w:color w:val="000000"/>
          <w:sz w:val="20"/>
          <w:lang w:val="en-US" w:eastAsia="en-US" w:bidi="ar-SA"/>
        </w:rPr>
        <w:t xml:space="preserve"> apart from the facts found in those decisions placed jointly before the Court by all parties in the Stated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position of the parties is that this should solely be a determination of the stated case questions. It is argued this is a straightforward determination of assessment. On that basis, the Court will consider the facts in the stated case and the submissions which are properly directed to the stated case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Given my acceptance that this is not a relitigation of </w:t>
      </w:r>
      <w:r>
        <w:rPr>
          <w:rFonts w:ascii="arial" w:eastAsia="arial" w:hAnsi="arial" w:cs="arial"/>
          <w:i/>
          <w:color w:val="000000"/>
          <w:sz w:val="20"/>
          <w:lang w:val="en-US" w:eastAsia="en-US" w:bidi="ar-SA"/>
        </w:rPr>
        <w:t>Guerin</w:t>
      </w:r>
      <w:r>
        <w:rPr>
          <w:rFonts w:ascii="arial" w:eastAsia="arial" w:hAnsi="arial" w:cs="arial"/>
          <w:color w:val="000000"/>
          <w:sz w:val="20"/>
          <w:lang w:val="en-US" w:eastAsia="en-US" w:bidi="ar-SA"/>
        </w:rPr>
        <w:t>, I also note that damages in that case were awarded for the Crown's breach of fiduciary duty. Moving forward, all parties agree that the Lease is valid. Issues relating to the validity of the surrender, and the manner in which the Lease was effected without a vote from the Band have been litigated. I find that it will not be necessary for the Board to consider the history of the Lease in respect of those actions I have noted.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37"/>
        <w:gridCol w:w="236"/>
        <w:gridCol w:w="1019"/>
        <w:gridCol w:w="236"/>
        <w:gridCol w:w="6009"/>
        <w:gridCol w:w="10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Issue No. 1:</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Can the Musqueam Indian Band Board of Review consider the restriction in use set out in the Lease in determining the highest and best use and the actual value of the Subject Property?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Issue No. 2:</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Based on the Facts determined by the Board, in exercising its powers under s-s. 41(2) of the </w:t>
            </w:r>
            <w:r>
              <w:rPr>
                <w:rFonts w:ascii="arial" w:eastAsia="arial" w:hAnsi="arial" w:cs="arial"/>
                <w:b/>
                <w:i/>
                <w:color w:val="000000"/>
                <w:sz w:val="18"/>
                <w:lang w:val="en-US" w:eastAsia="en-US" w:bidi="ar-SA"/>
              </w:rPr>
              <w:t>Bylaw</w:t>
            </w:r>
            <w:r>
              <w:rPr>
                <w:rFonts w:ascii="arial" w:eastAsia="arial" w:hAnsi="arial" w:cs="arial"/>
                <w:b/>
                <w:color w:val="000000"/>
                <w:sz w:val="18"/>
                <w:lang w:val="en-US" w:eastAsia="en-US" w:bidi="ar-SA"/>
              </w:rPr>
              <w:t xml:space="preserve"> to either confirm or alter the assessment by the Assessor of the interest of the Club in the Subject Property: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2(a)(i)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Does the principle of general law relating to strict construction of restrictive provisions relating to use of land apply to the words "any restriction placed on the use of the land and improvements by the band" in s-s. 26(3.2) of the </w:t>
            </w:r>
            <w:r>
              <w:rPr>
                <w:rFonts w:ascii="arial" w:eastAsia="arial" w:hAnsi="arial" w:cs="arial"/>
                <w:b/>
                <w:i/>
                <w:color w:val="000000"/>
                <w:sz w:val="18"/>
                <w:lang w:val="en-US" w:eastAsia="en-US" w:bidi="ar-SA"/>
              </w:rPr>
              <w:t>Bylaw</w:t>
            </w:r>
            <w:r>
              <w:rPr>
                <w:rFonts w:ascii="arial" w:eastAsia="arial" w:hAnsi="arial" w:cs="arial"/>
                <w:b/>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16"/>
        <w:gridCol w:w="1961"/>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2(a)(ii)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As a matter of correct legal interpretation, are the use provisions in the Lease a "restriction" for the purposes of s-s. 26(3.2) of the </w:t>
            </w:r>
            <w:r>
              <w:rPr>
                <w:rFonts w:ascii="arial" w:eastAsia="arial" w:hAnsi="arial" w:cs="arial"/>
                <w:b/>
                <w:i/>
                <w:color w:val="000000"/>
                <w:sz w:val="18"/>
                <w:lang w:val="en-US" w:eastAsia="en-US" w:bidi="ar-SA"/>
              </w:rPr>
              <w:t>Bylaw</w:t>
            </w:r>
            <w:r>
              <w:rPr>
                <w:rFonts w:ascii="arial" w:eastAsia="arial" w:hAnsi="arial" w:cs="arial"/>
                <w:b/>
                <w:color w:val="000000"/>
                <w:sz w:val="18"/>
                <w:lang w:val="en-US" w:eastAsia="en-US" w:bidi="ar-SA"/>
              </w:rPr>
              <w:t xml:space="preserve"> in light of the decision of the British Columbia Court of Appeal in </w:t>
            </w:r>
            <w:r>
              <w:rPr>
                <w:rFonts w:ascii="arial" w:eastAsia="arial" w:hAnsi="arial" w:cs="arial"/>
                <w:b/>
                <w:i/>
                <w:color w:val="000000"/>
                <w:sz w:val="18"/>
                <w:lang w:val="en-US" w:eastAsia="en-US" w:bidi="ar-SA"/>
              </w:rPr>
              <w:t>Aquadel</w:t>
            </w:r>
            <w:r>
              <w:rPr>
                <w:rFonts w:ascii="arial" w:eastAsia="arial" w:hAnsi="arial" w:cs="arial"/>
                <w:b/>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find that these questions can be considered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Simply put, the Band's position is yes, the Board can consider the restriction in use set out in the Lease in determining the highest and best use and the actual value of the subject property under ss. 26(3)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However, the Band, submits that the use provisions found in the Lease are not a "restriction placed on the use of land and improvements by the Band" for the purposes of s. 26(3.2)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Four reasons are advanced:</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provisions are directly related to the rent provision, are placed by the Club, and therefore are not a restriction on use placed by the Band;</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use provisions are not a "restriction" in accordance with how that term is construed by the case law, notably </w:t>
      </w:r>
      <w:r>
        <w:rPr>
          <w:rFonts w:ascii="arial" w:eastAsia="arial" w:hAnsi="arial" w:cs="arial"/>
          <w:i/>
          <w:color w:val="000000"/>
          <w:sz w:val="20"/>
          <w:lang w:val="en-US" w:eastAsia="en-US" w:bidi="ar-SA"/>
        </w:rPr>
        <w:t>Aquadel</w:t>
      </w:r>
      <w:r>
        <w:rPr>
          <w:rFonts w:ascii="arial" w:eastAsia="arial" w:hAnsi="arial" w:cs="arial"/>
          <w:color w:val="000000"/>
          <w:sz w:val="20"/>
          <w:lang w:val="en-US" w:eastAsia="en-US" w:bidi="ar-SA"/>
        </w:rPr>
        <w:t>;</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only restrictions placed "by the Band" can be validly considered pursuant to s. 26(3.2) as a matter of correct legal interpretation which would exclude restrictions placed by any other party, including Her Majesty the Queen in the Right of Canada, a judge, or the Club;</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only restrictions consented to by a majority of the electors of the Band are relevant for the purposes of s-s. 26(3.2)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genesis of the Lease is set out in the agreed statement of facts. The lease was signed January 22, 1958. It provided, as set out in the agreed statement of facts,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 is for 75 years, unless sooner terminated.</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rent for the first 15 years is $29,000 per annum.</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4 succeeding 15-year periods, annual rent is to be determined by mutual agreement, or failing such agreement, by arbitration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such rent to be equal to the fair rent for the demised premises as if the same were still in an uncleared and unimproved condition [and used as a golf course.]</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maximum increase in rent for the second 15-year period (January 1, 1973 to January 1, 1988) is limited to 15% of $29,000, that is, $4,350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relevant elements of the Lease also include as follows:</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to the Lease are Her Majesty Queen Elizabeth the Second in right of Canada represented herein by the Minister of Citizenship and Immigration, as the lessor, and The Shaughnessy Heights Golf Club, as the lessee.</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recitals, it is clear the lessor "agreed to lease to the lessee the said lands upon terms and conditions hereinafter contained".</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terms and conditions set out:</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lessee covenants with the lessor that it will:</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 the demised premises only for a golf and country club, with such additional facilities as the lessee may considerable desirable [sic],</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Undertake and pay the total cost of relocating, or replacing if considered advisable by the parties hereto, on allotments on other parts of the Musqueam Indian Reserve No. 2, designated by the lessor, three Indian houses and ancillary buildings on the demised premises at the date of surrender, any such replacement to be of a similar type of structure arid having equivalent accommodation and services to the house it replaces. The relocation and/or replacement referred to In this clause shall commence and proceed to completion satisfactory to the Lessor as soon as reasonably possible, and in any event on or before December 31st, 1958, but after designation of the new allotments by the Musqueam Indian Band Counsel and approval thereof in accordance with Section 20, Subsection 1 of the "Indian Act".</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specifically understood and agreed between the parties hereto that the demised premises are being leased by the lessor to the lessee for the purposes of constructing and operating thereon a golf and country club, with such additional facilities as the lessee may consider advisable. The lessee shall have the right at any time and form time to time during the term of this lease to make such changes to the contours and landscaping of the said lands as it, in its sole discretion, may consider advisable and shall be at liberty to construct, maintain, alter, repair, replace, demolish and remove buildings and structures of every nature and kind.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Highest and Best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"actual value" expressed to be the market value by s. 26 (1)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contemplates use of the market value method to determine the value of the property. This is also the method to be applied by the principles of assessment law. The basic concept in that method of assessment is to consider the "highest and best use"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"Highest and best use" is a defined by the Appraisal Institute of Canada at 2.28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reasonably probable and legal use of property, that is physically possible, appropriately supported, and financially feasible, and that results in the highest value.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Canadian Uniform Standards of Professional Appraisal Practice</w:t>
      </w:r>
      <w:r>
        <w:rPr>
          <w:rFonts w:ascii="arial" w:eastAsia="arial" w:hAnsi="arial" w:cs="arial"/>
          <w:color w:val="000000"/>
          <w:sz w:val="20"/>
          <w:lang w:val="en-US" w:eastAsia="en-US" w:bidi="ar-SA"/>
        </w:rPr>
        <w:t xml:space="preserve"> (Ottawa: Appraisal Institute of Canada,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Appraisal Institute also discusses it at 12.34(1), giving the following similar definition: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reasonably probable and legal use of vacant land or an improved property which is physically possible, appropriately supported, financially feasible, and that result in the highest value.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Canadian Uniform Standards of Professional Appraisal Practice</w:t>
      </w:r>
      <w:r>
        <w:rPr>
          <w:rFonts w:ascii="arial" w:eastAsia="arial" w:hAnsi="arial" w:cs="arial"/>
          <w:color w:val="000000"/>
          <w:sz w:val="20"/>
          <w:lang w:val="en-US" w:eastAsia="en-US" w:bidi="ar-SA"/>
        </w:rPr>
        <w:t xml:space="preserve"> (Ottawa: Appraisal Institute of Canada, 2010) at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authors of the Continuing Legal Education Society of British Columbia's </w:t>
      </w:r>
      <w:r>
        <w:rPr>
          <w:rFonts w:ascii="arial" w:eastAsia="arial" w:hAnsi="arial" w:cs="arial"/>
          <w:i/>
          <w:color w:val="000000"/>
          <w:sz w:val="20"/>
          <w:lang w:val="en-US" w:eastAsia="en-US" w:bidi="ar-SA"/>
        </w:rPr>
        <w:t>British Columbia Real Property Assessment Manual</w:t>
      </w:r>
      <w:r>
        <w:rPr>
          <w:rFonts w:ascii="arial" w:eastAsia="arial" w:hAnsi="arial" w:cs="arial"/>
          <w:color w:val="000000"/>
          <w:sz w:val="20"/>
          <w:lang w:val="en-US" w:eastAsia="en-US" w:bidi="ar-SA"/>
        </w:rPr>
        <w:t xml:space="preserve"> note that highest and best use is a measurement of the interaction of four criteria:</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uses that are physically possible;</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uses that are legally permissible;</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uses that are financially feasible; and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that is maximally productive.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Linda D. Rainaldi, ed., </w:t>
      </w:r>
      <w:r>
        <w:rPr>
          <w:rFonts w:ascii="arial" w:eastAsia="arial" w:hAnsi="arial" w:cs="arial"/>
          <w:i/>
          <w:color w:val="000000"/>
          <w:sz w:val="20"/>
          <w:lang w:val="en-US" w:eastAsia="en-US" w:bidi="ar-SA"/>
        </w:rPr>
        <w:t>British Columbia Real Property Assessment Manua</w:t>
      </w:r>
      <w:r>
        <w:rPr>
          <w:rFonts w:ascii="arial" w:eastAsia="arial" w:hAnsi="arial" w:cs="arial"/>
          <w:color w:val="000000"/>
          <w:sz w:val="20"/>
          <w:lang w:val="en-US" w:eastAsia="en-US" w:bidi="ar-SA"/>
        </w:rPr>
        <w:t xml:space="preserve"> l, 2013 Update (Vancouver: CLEBC, 2013) at s.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While the highest and best use may appear "obvious", note the authors, an important consideration in its determination is whether analysis may lead to a different conclusion especially considering that any appraisal must consider what can be legally built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fact, a determination of "actual value" without regard to highest and best use would be an error of law: see </w:t>
      </w:r>
      <w:r>
        <w:rPr>
          <w:rFonts w:ascii="arial" w:eastAsia="arial" w:hAnsi="arial" w:cs="arial"/>
          <w:i/>
          <w:color w:val="000000"/>
          <w:sz w:val="20"/>
          <w:lang w:val="en-US" w:eastAsia="en-US" w:bidi="ar-SA"/>
        </w:rPr>
        <w:t>Petro-Canada Inc. v. British Columbia (Assessor of Area 12 - Coquitlam)</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(1991), 61 B.C.L.R. (2d) 86</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Petro-Canada</w:t>
      </w:r>
      <w:r>
        <w:rPr>
          <w:rFonts w:ascii="arial" w:eastAsia="arial" w:hAnsi="arial" w:cs="arial"/>
          <w:color w:val="000000"/>
          <w:sz w:val="20"/>
          <w:lang w:val="en-US" w:eastAsia="en-US" w:bidi="ar-SA"/>
        </w:rPr>
        <w:t xml:space="preserve"> ] leave to appeal refused </w:t>
      </w:r>
      <w:hyperlink r:id="rId33" w:history="1">
        <w:r>
          <w:rPr>
            <w:rFonts w:ascii="arial" w:eastAsia="arial" w:hAnsi="arial" w:cs="arial"/>
            <w:i/>
            <w:color w:val="0077CC"/>
            <w:sz w:val="20"/>
            <w:u w:val="single"/>
            <w:shd w:val="clear" w:color="auto" w:fill="FFFFFF"/>
            <w:lang w:val="en-US" w:eastAsia="en-US" w:bidi="ar-SA"/>
          </w:rPr>
          <w:t>(1992), 10 B.C.A.C. 129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Petro-Canada</w:t>
      </w:r>
      <w:r>
        <w:rPr>
          <w:rFonts w:ascii="arial" w:eastAsia="arial" w:hAnsi="arial" w:cs="arial"/>
          <w:color w:val="000000"/>
          <w:sz w:val="20"/>
          <w:lang w:val="en-US" w:eastAsia="en-US" w:bidi="ar-SA"/>
        </w:rPr>
        <w:t xml:space="preserve">, Allan J. had before her a stated case in connection with an assessment of lands upon which there was an oil refinery. The assessor applied the market value method of assessment and consequently with regard to highest and best use, concluded the value of both the refinery as a major industry and the remaining lands using the highest and best use method was residential. An initial assessment was appealed to the Assessment Appeal Board which increased the value of the property used for industrial purposes, but accepted the taxpayer Petro-Canada's argument that the property not used for the refinery should be assessed as industrial. The Court held this was in error. Madam Justice Allan noted there was "ample authority" that actual value and market value are one and the same concept: see para. 46 citing,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British Columbia (Assessor for Area 9 - Vancouver) v. Bramalea Ltd</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(1990), 52 B.C.L.R. (2d) 218</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Bramalea</w:t>
      </w:r>
      <w:r>
        <w:rPr>
          <w:rFonts w:ascii="arial" w:eastAsia="arial" w:hAnsi="arial" w:cs="arial"/>
          <w:color w:val="000000"/>
          <w:sz w:val="20"/>
          <w:lang w:val="en-US" w:eastAsia="en-US" w:bidi="ar-SA"/>
        </w:rPr>
        <w:t xml:space="preserve"> ] and reasoned that </w:t>
      </w:r>
      <w:r>
        <w:rPr>
          <w:rFonts w:ascii="arial" w:eastAsia="arial" w:hAnsi="arial" w:cs="arial"/>
          <w:i/>
          <w:color w:val="000000"/>
          <w:sz w:val="20"/>
          <w:lang w:val="en-US" w:eastAsia="en-US" w:bidi="ar-SA"/>
        </w:rPr>
        <w:t>Bramalea</w:t>
      </w:r>
      <w:r>
        <w:rPr>
          <w:rFonts w:ascii="arial" w:eastAsia="arial" w:hAnsi="arial" w:cs="arial"/>
          <w:color w:val="000000"/>
          <w:sz w:val="20"/>
          <w:lang w:val="en-US" w:eastAsia="en-US" w:bidi="ar-SA"/>
        </w:rPr>
        <w:t xml:space="preserve"> had not changed the law with respect to the application of the highest and best use consideration in the market value approach. It had, noted Allan J. at paras. 35-39, however, injected other considerations: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neither counsel referred me to the following case, I note that </w:t>
      </w:r>
      <w:r>
        <w:rPr>
          <w:rFonts w:ascii="arial" w:eastAsia="arial" w:hAnsi="arial" w:cs="arial"/>
          <w:i/>
          <w:color w:val="000000"/>
          <w:sz w:val="20"/>
          <w:lang w:val="en-US" w:eastAsia="en-US" w:bidi="ar-SA"/>
        </w:rPr>
        <w:t>Bramalea</w:t>
      </w:r>
      <w:r>
        <w:rPr>
          <w:rFonts w:ascii="arial" w:eastAsia="arial" w:hAnsi="arial" w:cs="arial"/>
          <w:color w:val="000000"/>
          <w:sz w:val="20"/>
          <w:lang w:val="en-US" w:eastAsia="en-US" w:bidi="ar-SA"/>
        </w:rPr>
        <w:t xml:space="preserve"> was considered by Holmes J. in </w:t>
      </w:r>
      <w:r>
        <w:rPr>
          <w:rFonts w:ascii="arial" w:eastAsia="arial" w:hAnsi="arial" w:cs="arial"/>
          <w:i/>
          <w:color w:val="000000"/>
          <w:sz w:val="20"/>
          <w:lang w:val="en-US" w:eastAsia="en-US" w:bidi="ar-SA"/>
        </w:rPr>
        <w:t>T. Eaton Co. Ltd. v. Vancouver Assessor of Area No. 9</w:t>
      </w:r>
      <w:r>
        <w:rPr>
          <w:rFonts w:ascii="arial" w:eastAsia="arial" w:hAnsi="arial" w:cs="arial"/>
          <w:color w:val="000000"/>
          <w:sz w:val="20"/>
          <w:lang w:val="en-US" w:eastAsia="en-US" w:bidi="ar-SA"/>
        </w:rPr>
        <w:t>, B.C.S.C., (August 30, 1991) Vancouver Doc. A901589, [1991] B.C.W.L.D. 2190 (Appeal to the Court of Appeal filed.) There the property was the subject of a restriction as to its present use under an agreement with the city of Vancouver. At p. 6, Holmes J. noted: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Board did, however, consider the nature of the restrictive covenant in the agreement in question and found it neither restrictive nor permanent. In doing so, the Board is required to find whether there is a reasonable expectation the restriction in question could be changed. It would not be open to the Board to assume a change could be made, and reasonable expectation "connotes something higher than a 50% possibility." : </w:t>
      </w:r>
      <w:r>
        <w:rPr>
          <w:rFonts w:ascii="arial" w:eastAsia="arial" w:hAnsi="arial" w:cs="arial"/>
          <w:i/>
          <w:color w:val="000000"/>
          <w:sz w:val="20"/>
          <w:lang w:val="en-US" w:eastAsia="en-US" w:bidi="ar-SA"/>
        </w:rPr>
        <w:t>Farlinger Development Limited v. East York (Borough)</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(1975) 8 L.C.R. 112</w:t>
        </w:r>
      </w:hyperlink>
      <w:r>
        <w:rPr>
          <w:rFonts w:ascii="arial" w:eastAsia="arial" w:hAnsi="arial" w:cs="arial"/>
          <w:color w:val="000000"/>
          <w:sz w:val="20"/>
          <w:lang w:val="en-US" w:eastAsia="en-US" w:bidi="ar-SA"/>
        </w:rPr>
        <w:t xml:space="preserve"> at 123-24 (Ont.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finding that the Board committed no error in law, Holmes J. noted that in </w:t>
      </w:r>
      <w:r>
        <w:rPr>
          <w:rFonts w:ascii="arial" w:eastAsia="arial" w:hAnsi="arial" w:cs="arial"/>
          <w:i/>
          <w:color w:val="000000"/>
          <w:sz w:val="20"/>
          <w:lang w:val="en-US" w:eastAsia="en-US" w:bidi="ar-SA"/>
        </w:rPr>
        <w:t>Bramalea</w:t>
      </w:r>
      <w:r>
        <w:rPr>
          <w:rFonts w:ascii="arial" w:eastAsia="arial" w:hAnsi="arial" w:cs="arial"/>
          <w:color w:val="000000"/>
          <w:sz w:val="20"/>
          <w:lang w:val="en-US" w:eastAsia="en-US" w:bidi="ar-SA"/>
        </w:rPr>
        <w:t>, Taylor, J.A., on behalf of the court, "cautioned as to the 'conservative' nature of assessment valuation and care that must attend giving consideration to ... '...factors of a speculative nature particularly to future changes in permitted use. ...'" In the case before him, he concluded that it was open to the board to find that there was a "reasonable expectation" that changes of use could occur.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analogy, in the present case, it was open to the board to assess the likelihood of future rezoning and changes to the community plan on the basis of the evidence before it. If there was a reasonable expectation, i.e., a greater than 50 per cent possibility, that the amendments could be made and the lands rezoned, it would not be "speculative" to consider future changes in permitted 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board must assess the evidence adduced before it at the hearings and determine whether there is a reasonable expectation that the lands can be rezoned. If the board concludes that the zoning probably can be changed, it should go on to consider the quality of the evidence with respect to the issue of whether the marketing of the subject lands is a realistic concept. As the Board noted in its Reply: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Developing a site to its Highest and Best Use can also be limited by practical restrictions such as topography, the requirement for municipal services and approvals, etc. The economics of development also require consideration.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 issues of whether the lands could be probably be [sic] rezoned and whether the lands could in fact be realistically marketed as residential lots at the relevant time are questions of fact to be determined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Madam Justice Allan found that the departure from the existing use of the property to assess, would only be would only be appropriate if there is a higher than a 50% probability of that use occurring. Accordingly, an assessor and, if an appeal is taken, a Board, must consider any restrictions, their nature and the possibility that the highest and best use existing could be changed by circumstances, for instance rezoning.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Bramalea v. British Columbia Assessor for Area 9 (Vancouver)</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(1990), 76 D.L.R. (4th) 53</w:t>
        </w:r>
      </w:hyperlink>
      <w:r>
        <w:rPr>
          <w:rFonts w:ascii="arial" w:eastAsia="arial" w:hAnsi="arial" w:cs="arial"/>
          <w:color w:val="000000"/>
          <w:sz w:val="20"/>
          <w:lang w:val="en-US" w:eastAsia="en-US" w:bidi="ar-SA"/>
        </w:rPr>
        <w:t>, Taylor J.A. for the Court of Appeal noted that assessments are not a precise mathematical equation. If 'actual value' could always be determined by a set formula which incorporated equitable principles there would be no room for conflict. In that case the court was considering the situation of comparing similar properties, the income approach to market value and the fact that the Board had no power to go back and change assessments of other properties which had a bearing on the assessment in question. Taylor J.A. held at p.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elimination of "subjective" elements of value associated with the concept of "special value to the particular purchaser" and of factors of a speculative nature, particularly as to future changes in permitted use, and the requirement that the hypothetical purchaser be taken to be free from duress and properly informed of all material facts concerning the property, are among factors which render the valuation necessarily a "conservative" one. The purpose, of course, is not necessarily to arrive at the price which the property would in fact have fetched if offered to the highest bidder, but rather to establish a guarded valuation, at a level uniformly applied throughout the municipality, for the specific purpose of providing a sound basis on which the costs of local government can fairly be distributed among property owners in proportion to the relative worth, free of encumbrance, of real property registered in their names.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second principle, on which the system rests, that there be "equity" as between assessed values of similar lands, is likewise found partly in the statute and partly in the common law, the common law being reflected in rules applied by the courts in the interpretation of taxing statutes....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 seems to me that the assessment authority has the duty of deciding, so far as possible, in respect of each class of property an approach most likely to arrive at "actual value", as defined in law, and thereafter to apply available data to each in such a way as to ensure that all within the class are valued, so far as possible, on the same basis. Except to the extent justified by particular characteristics of individual lands and improvements, the assessor is not permitted to discriminate between them in arriving at assessed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It follows that I do not accept the contention that the assessor may assess similar properties at "actual values" which do not bear a fair and just relationship to each other. The duty to deal equitably with all taxpayers is imposed not only on assessment tribunals, but on everyone engaged in the assessment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Relevant also to the consideration of the issues under appeal the Band relied upon the decision of Tysoe J. (as he then was) in </w:t>
      </w:r>
      <w:r>
        <w:rPr>
          <w:rFonts w:ascii="arial" w:eastAsia="arial" w:hAnsi="arial" w:cs="arial"/>
          <w:i/>
          <w:color w:val="000000"/>
          <w:sz w:val="20"/>
          <w:lang w:val="en-US" w:eastAsia="en-US" w:bidi="ar-SA"/>
        </w:rPr>
        <w:t>British Columbia (Assessor of Area No. 10 - Burnaby/New Westminster) v. Central Park Citizen Society</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(1993), 86 B.C.L.R. (2d) 24</w:t>
        </w:r>
      </w:hyperlink>
      <w:r>
        <w:rPr>
          <w:rFonts w:ascii="arial" w:eastAsia="arial" w:hAnsi="arial" w:cs="arial"/>
          <w:color w:val="000000"/>
          <w:sz w:val="20"/>
          <w:lang w:val="en-US" w:eastAsia="en-US" w:bidi="ar-SA"/>
        </w:rPr>
        <w:t xml:space="preserve"> at para. 25 (S.C.), wherein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think that Verchere J. [in </w:t>
      </w:r>
      <w:r>
        <w:rPr>
          <w:rFonts w:ascii="arial" w:eastAsia="arial" w:hAnsi="arial" w:cs="arial"/>
          <w:i/>
          <w:color w:val="000000"/>
          <w:sz w:val="20"/>
          <w:lang w:val="en-US" w:eastAsia="en-US" w:bidi="ar-SA"/>
        </w:rPr>
        <w:t>Re: Desautel's Appeal</w:t>
      </w:r>
      <w:r>
        <w:rPr>
          <w:rFonts w:ascii="arial" w:eastAsia="arial" w:hAnsi="arial" w:cs="arial"/>
          <w:color w:val="000000"/>
          <w:sz w:val="20"/>
          <w:lang w:val="en-US" w:eastAsia="en-US" w:bidi="ar-SA"/>
        </w:rPr>
        <w:t xml:space="preserve"> (1959), 29 W.W.R. 665 (B.C.S.C.)] made a </w:t>
      </w:r>
      <w:r>
        <w:rPr>
          <w:rFonts w:ascii="arial" w:eastAsia="arial" w:hAnsi="arial" w:cs="arial"/>
          <w:color w:val="000000"/>
          <w:sz w:val="20"/>
          <w:u w:val="single"/>
          <w:lang w:val="en-US" w:eastAsia="en-US" w:bidi="ar-SA"/>
        </w:rPr>
        <w:t>very important distinction between agreements that affect the value of the owner's interest in the land and agreements that affect the value of the land</w:t>
      </w:r>
      <w:r>
        <w:rPr>
          <w:rFonts w:ascii="arial" w:eastAsia="arial" w:hAnsi="arial" w:cs="arial"/>
          <w:color w:val="000000"/>
          <w:sz w:val="20"/>
          <w:lang w:val="en-US" w:eastAsia="en-US" w:bidi="ar-SA"/>
        </w:rPr>
        <w:t>. It is the value of the land which [is] being assessed; agreements personal to the owner should not be taken into account...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Accordingly, the Band argues, it is on this basis that it is only a restriction on use that would be binding on a subsequent fee simple owner that should be taken into account. If the restriction does not affect subsequent use, then it should not affect market value. Thus, the Band's argument is that even if the use provisions could somehow be seen as being placed by the Band (although that position is denied given that the Band members were unaware of the terms of the lease for some years), the use provisions do not run with the land, and exist only in a lease which affects only the tenant. It submits that a future fee simple owner would take title free from those provisions, not restricted to golf course use, and would be free to use the lands for the highest and best purposes which the Band submits on the basis of the evidence in </w:t>
      </w:r>
      <w:r>
        <w:rPr>
          <w:rFonts w:ascii="arial" w:eastAsia="arial" w:hAnsi="arial" w:cs="arial"/>
          <w:i/>
          <w:color w:val="000000"/>
          <w:sz w:val="20"/>
          <w:lang w:val="en-US" w:eastAsia="en-US" w:bidi="ar-SA"/>
        </w:rPr>
        <w:t>Guerin</w:t>
      </w:r>
      <w:r>
        <w:rPr>
          <w:rFonts w:ascii="arial" w:eastAsia="arial" w:hAnsi="arial" w:cs="arial"/>
          <w:color w:val="000000"/>
          <w:sz w:val="20"/>
          <w:lang w:val="en-US" w:eastAsia="en-US" w:bidi="ar-SA"/>
        </w:rPr>
        <w:t xml:space="preserve"> is residential and not golf course use. As I understand the argument, this would mean that the Club would be free to use the Subject Property in any manner it wishes, irrespective of the lease at this moment. That cannot be however, as that would be a breach of the provisions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It is important to stress that the restriction here is not one between personal parties as was the situation considered by Tysoe J. (as he then was). Here, it is a restriction placed upon the Subject Property which can be construed, according to the Club and the Assessor arguments as I understand them as having been placed by the taxing authority itself. This is not a situation wherein the property is being deliberately undervalued. It is rather the Club is not violating the provisions of the Lease and is using the Subject Property in accordance with that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 find that the Subject Property cannot be assessed at a residential 'highest and best use' without restriction if it is clear that use is not going to occur. Here, the Club is bound by the terms of the Lease. The Board must properly consider this possibility of highest and best use and determine whether that is a possibility in accordance with the manner that was determined in </w:t>
      </w:r>
      <w:r>
        <w:rPr>
          <w:rFonts w:ascii="arial" w:eastAsia="arial" w:hAnsi="arial" w:cs="arial"/>
          <w:i/>
          <w:color w:val="000000"/>
          <w:sz w:val="20"/>
          <w:lang w:val="en-US" w:eastAsia="en-US" w:bidi="ar-SA"/>
        </w:rPr>
        <w:t>Petro-Canada.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Lease is in fact with the taxing authority which is the Band. This is an extremely unusual situation. This is not a situation like that considered by Tysoe J. (as he then was) in which an owner of, for example, highly desirable residential property purports to use it for something else and seeks to be assessed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Applying the reasoning of the Courts in </w:t>
      </w:r>
      <w:r>
        <w:rPr>
          <w:rFonts w:ascii="arial" w:eastAsia="arial" w:hAnsi="arial" w:cs="arial"/>
          <w:i/>
          <w:color w:val="000000"/>
          <w:sz w:val="20"/>
          <w:lang w:val="en-US" w:eastAsia="en-US" w:bidi="ar-SA"/>
        </w:rPr>
        <w:t>Bramalea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Petro-Canada</w:t>
      </w:r>
      <w:r>
        <w:rPr>
          <w:rFonts w:ascii="arial" w:eastAsia="arial" w:hAnsi="arial" w:cs="arial"/>
          <w:color w:val="000000"/>
          <w:sz w:val="20"/>
          <w:lang w:val="en-US" w:eastAsia="en-US" w:bidi="ar-SA"/>
        </w:rPr>
        <w:t>, I conclude that the Board must consider whether there is a realistic possibility that a lot subdivision would occur contemplating residential construction. I find that the Lease has a bearing on what can be legally built on the property. As the Club could not, pursuant to the terms of the Lease, legally subdivide and develop the property in contravention of the terms of the Lease, the Board may conclude there is a less than 50% chance of such development occurring. This determination rests with the Board. However, the restriction in the Lease must be considered by the Board to arrive at the determination of whether the highest and best use of the property is in fact residential.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Can the Lease restriction be considered pursuant to s. 26(3) and/or s. 26(3.2) of the </w:t>
            </w:r>
            <w:r>
              <w:rPr>
                <w:rFonts w:ascii="arial" w:eastAsia="arial" w:hAnsi="arial" w:cs="arial"/>
                <w:b/>
                <w:i/>
                <w:color w:val="000000"/>
                <w:sz w:val="18"/>
                <w:lang w:val="en-US" w:eastAsia="en-US" w:bidi="ar-SA"/>
              </w:rPr>
              <w:t>Bylaw</w:t>
            </w:r>
            <w:r>
              <w:rPr>
                <w:rFonts w:ascii="arial" w:eastAsia="arial" w:hAnsi="arial" w:cs="arial"/>
                <w:b/>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Band's submission is that the use provisions set out in the Lease may be considered by the Board (and the Assessor) in determining the highest and best use and the actual value of the Subject Property as, in the words of s. 26(3)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a "circumstance affecting the value of the land and improvements". The Lease, however, it is argued, is not a "restriction placed on the use of the land and improvements by the band" and is accordingly inapplicable. As I understand it, one aspect of the Band's argument is that because the Lease is between her Majesty the Queen on behalf of the Band and the Club, it cannot be a restriction imposed "by the band". It is not in dispute, and I refer to the agreed facts, that Her Majesty the Queen in the Right of Canada (the Crown) entered into the Lease as a "fiduciary on behalf of the Band". It is argued, however, that only restrictions placed "by the Band", and not any other party including the Club, Her Majesty the Queen in Right of Canada or a court are applicable as a matter of correct interpretation. Only restrictions consented to by a majority of the electors of the Band would be relevant for the purposes of s. 26(3.2)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according to the Band's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response, the Club argues regard must be had to only the manner in which a contract could be entered into at the time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limitation of use of the property as a golf course is found in the Lease. The correct interpretation of this document is to be guided by the words of the Lease in plain reading and the case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Band argues the salient facts from </w:t>
      </w:r>
      <w:r>
        <w:rPr>
          <w:rFonts w:ascii="arial" w:eastAsia="arial" w:hAnsi="arial" w:cs="arial"/>
          <w:i/>
          <w:color w:val="000000"/>
          <w:sz w:val="20"/>
          <w:lang w:val="en-US" w:eastAsia="en-US" w:bidi="ar-SA"/>
        </w:rPr>
        <w:t>Guerin</w:t>
      </w:r>
      <w:r>
        <w:rPr>
          <w:rFonts w:ascii="arial" w:eastAsia="arial" w:hAnsi="arial" w:cs="arial"/>
          <w:color w:val="000000"/>
          <w:sz w:val="20"/>
          <w:lang w:val="en-US" w:eastAsia="en-US" w:bidi="ar-SA"/>
        </w:rPr>
        <w:t xml:space="preserve"> that frame this case include the fact that at the surrender, the Federal Government did not include provisions regarding arbitration or the manner in which the land would be valued as conditions of the Lease. The Band also notes that the first draft was written by the Club's solicitors. It notes respecting highest and best use that Collier J. in the </w:t>
      </w:r>
      <w:r>
        <w:rPr>
          <w:rFonts w:ascii="arial" w:eastAsia="arial" w:hAnsi="arial" w:cs="arial"/>
          <w:i/>
          <w:color w:val="000000"/>
          <w:sz w:val="20"/>
          <w:lang w:val="en-US" w:eastAsia="en-US" w:bidi="ar-SA"/>
        </w:rPr>
        <w:t>Guerin</w:t>
      </w:r>
      <w:r>
        <w:rPr>
          <w:rFonts w:ascii="arial" w:eastAsia="arial" w:hAnsi="arial" w:cs="arial"/>
          <w:color w:val="000000"/>
          <w:sz w:val="20"/>
          <w:lang w:val="en-US" w:eastAsia="en-US" w:bidi="ar-SA"/>
        </w:rPr>
        <w:t xml:space="preserve"> trial decision found that the four appraisers who were called by the parties "agreed the highest and best use for this property, from 1958 to [the date of trial] is as prime residential, and not as a golf course". Counsel for the Band stressed this was a finding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 is important to note however the context in which this finding of fact was made. The Lease was entered into on January 1, 1958.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the agreed statement of fact, it is noted that Alfred Howell, the appraiser for the Crown did his report in 1956. While he was an appraiser, Mr. Howell was not a land use expert. His report is dated December 28, 1956. It was made prior to the Lease. This appraisal was done when, by October 1956, the Band Council agreed that the lands should be leased out, but had done no more. The Band Council authorized the appraisal to be done with Band funds and the Indian affairs branch requested the appraisal be done by personnel of the Veterans' Land Act administration.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agreed statement of facts notes that Mr. Howell had "assumed in giving his opinion to local Indian Affairs officials, renegotiation of the rent would be based on the improved condition of the land and on the highest and best use principle." That did not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But again, I stress that was the subject of the litigation in </w:t>
      </w:r>
      <w:r>
        <w:rPr>
          <w:rFonts w:ascii="arial" w:eastAsia="arial" w:hAnsi="arial" w:cs="arial"/>
          <w:i/>
          <w:color w:val="000000"/>
          <w:sz w:val="20"/>
          <w:lang w:val="en-US" w:eastAsia="en-US" w:bidi="ar-SA"/>
        </w:rPr>
        <w:t>Guerin</w:t>
      </w:r>
      <w:r>
        <w:rPr>
          <w:rFonts w:ascii="arial" w:eastAsia="arial" w:hAnsi="arial" w:cs="arial"/>
          <w:color w:val="000000"/>
          <w:sz w:val="20"/>
          <w:lang w:val="en-US" w:eastAsia="en-US" w:bidi="ar-SA"/>
        </w:rPr>
        <w:t xml:space="preserve"> and formed the foundation for the assessment of damages and the finding of breach of trust by the trial judge upheld at the Supreme Court of Canada. This case is not a reconsideration of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At the trial before the Federal Court, the defendant called, in respect to evaluation of the 162 acres, Mr. W. Palmer, Mr. K.W. Behr and Mr. D.D. Davis. Mr. Palmer was the manager of the appraisal division in Vancouver of A.E. Lepage Western Limited. He was also senior vice-president and chief appraiser of the national appraisal operations of that organization. Mr. Behr was an appraiser with the A.E. Lepage organization. Mr. Davis was an experienced real estate appraiser. He has been in the real estate business with Ker &amp; Ker Ltd. for over forty years. That company was at one time one of the larger real estate companies in Vancouver. All agreed that the 162 acre property was, in 1957 and 1958, a prime piece of residential property in the City of Vancouver. All four appraisers agreed the highest and best use for this property, from 1958 to that trial was as prime residential, not as a golf course. Again, I note, however, the context of their evidence. Three were assessing the real estate with a view to determining the issue in the matter and that was whether the lease entered with the club as a golf course was an improvident one for the Band at that time. The case turned on, and damages were awarded to the Band on the basis that the land was, in the words of Mr. Howell, a "First Class Residential Area". As noted, that issue is not the subject of this matter. It is not disputed that the assessors deemed the highest and best use as first class residential. The issue is whether in the assessment the Board can consider the Lease, the restriction and also before the court are the ancillary questions flowing from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stated and agreed facts further note other significant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 October 6, 1957, by a majority vote, the members of the Band approved a surrender to the Crown of 162 acres of prime land. The surrender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trust to lease the same to such person or persons, and upon such terms as the Government of Canada may deem most conducive to our welfare and that of our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Indian agent told the Band that the land would be leased on a long-term basis to the Club, and that Lease was in fact entered into January 22, 1958.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Club president, Mr. Harrison, wrote to the Indian agent that "we will pay all taxes assessed against the leased area" on April 4, 1957.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Prior to this, the stated facts note the Club was given information about the appraised value of the land, but the Band, according to the members who gave evidence and whose testimony was accepted at trial, was, at that time, given no information. Accordingly, there was no majority vote by the Band on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April 7, 1957 there was a Band meeting. Two sets of minutes were taken. "I have compared the two sets of minutes." wrote Collier J., who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member of the Band, Andrew Charles Junior, noted the highest possible appraised market sales value of the reserve [properties in question] was $1,346,000. No rent was recorded in his minutes. Both sets record that Council passed a resolution approving the lease of [then] unrequired lands to Shaughnessy Gold Club and the submission to the Band as a whole of surrender documents in respect of the 160 acres. (at 368)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position of the Club is that the starting point in this matter is a review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R.S.C. 1952, c. 149, which was in place at the time the Lease was entered into.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That starting point, it is argued, must examine ss. 18 and 28 which denoted that only the Crown could enter into a lease on behalf of the Band: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(1) Subject to the provisions of this Act, reserves shall be held by Her Majesty for the use and benefit of the respective bands for which they were set apart; and subject to this Act and to the terms of any treaty or surrender, the Governor in Council may determine whether any purpose for which lands in a reserve are used or are to be used is for the use and benefit of the band.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Governor in Council may authorize the use of lands in a reserve for the purpose of Indian schools, the administration of Indian affairs, Indian health projects or for any other purpose for the general welfare of the band, and may take any lands in a reserve required for such purposes, but where an individual Indian immediately prior to such taking, was entitled to the possession of such lands, compensation for such use shall be paid to the Indian, in such amount as may be agreed between the Indian and the Minister, or, failing agreement, as may be determined in such manner as the Minister may direct.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(1) Subject to subsection (2), a deed, lease, contract, instrument, document or agreement of any kind whether written or oral, by which a band or a member of a band purports to permit a person other than a member of that band to occupy or use a reserve or to reside or otherwise exercise any rights on a reserve is void.</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may by permit in writing authorize any person for a period not exceeding one year to occupy or use a reserve or to reside or otherwise exercise rights on a reserve.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For the Subject Property to be leased, the Band needed to surrender it to the Crown. As noted by Collier J. at p. 388 of the </w:t>
      </w:r>
      <w:r>
        <w:rPr>
          <w:rFonts w:ascii="arial" w:eastAsia="arial" w:hAnsi="arial" w:cs="arial"/>
          <w:i/>
          <w:color w:val="000000"/>
          <w:sz w:val="20"/>
          <w:lang w:val="en-US" w:eastAsia="en-US" w:bidi="ar-SA"/>
        </w:rPr>
        <w:t>Guerin</w:t>
      </w:r>
      <w:r>
        <w:rPr>
          <w:rFonts w:ascii="arial" w:eastAsia="arial" w:hAnsi="arial" w:cs="arial"/>
          <w:color w:val="000000"/>
          <w:sz w:val="20"/>
          <w:lang w:val="en-US" w:eastAsia="en-US" w:bidi="ar-SA"/>
        </w:rPr>
        <w:t xml:space="preserve"> trial decision,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R.S.C. 1952, c. 149, as amended by S.C. 1952-53, c. 41, S.C. 1956, c. 40, and S.C. 1958, c. 19, which governed the Band and the Subject Property: "prohibited [a band] from directly transferring its interest to a third party. A lease can only occur after a surrender. After that act, the Crown acts for the Band on its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Indeed, ss. 37-41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were found in </w:t>
      </w:r>
      <w:r>
        <w:rPr>
          <w:rFonts w:ascii="arial" w:eastAsia="arial" w:hAnsi="arial" w:cs="arial"/>
          <w:i/>
          <w:color w:val="000000"/>
          <w:sz w:val="20"/>
          <w:lang w:val="en-US" w:eastAsia="en-US" w:bidi="ar-SA"/>
        </w:rPr>
        <w:t>Leonard v. British Columbia</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(1983), 144 D.L.R. (3d) 512</w:t>
        </w:r>
      </w:hyperlink>
      <w:r>
        <w:rPr>
          <w:rFonts w:ascii="arial" w:eastAsia="arial" w:hAnsi="arial" w:cs="arial"/>
          <w:color w:val="000000"/>
          <w:sz w:val="20"/>
          <w:lang w:val="en-US" w:eastAsia="en-US" w:bidi="ar-SA"/>
        </w:rPr>
        <w:t xml:space="preserve"> (B.C.S.C.) aff'd </w:t>
      </w:r>
      <w:hyperlink r:id="rId38" w:history="1">
        <w:r>
          <w:rPr>
            <w:rFonts w:ascii="arial" w:eastAsia="arial" w:hAnsi="arial" w:cs="arial"/>
            <w:i/>
            <w:color w:val="0077CC"/>
            <w:sz w:val="20"/>
            <w:u w:val="single"/>
            <w:shd w:val="clear" w:color="auto" w:fill="FFFFFF"/>
            <w:lang w:val="en-US" w:eastAsia="en-US" w:bidi="ar-SA"/>
          </w:rPr>
          <w:t>11 D.L.R. (4th) 226</w:t>
        </w:r>
      </w:hyperlink>
      <w:r>
        <w:rPr>
          <w:rFonts w:ascii="arial" w:eastAsia="arial" w:hAnsi="arial" w:cs="arial"/>
          <w:color w:val="000000"/>
          <w:sz w:val="20"/>
          <w:lang w:val="en-US" w:eastAsia="en-US" w:bidi="ar-SA"/>
        </w:rPr>
        <w:t xml:space="preserve"> (B.C.C.A.), to "establish the method an Indian band must follow in order to lease reserve land to private individuals" (at para. 8). The Court of Appeal in </w:t>
      </w:r>
      <w:r>
        <w:rPr>
          <w:rFonts w:ascii="arial" w:eastAsia="arial" w:hAnsi="arial" w:cs="arial"/>
          <w:i/>
          <w:color w:val="000000"/>
          <w:sz w:val="20"/>
          <w:lang w:val="en-US" w:eastAsia="en-US" w:bidi="ar-SA"/>
        </w:rPr>
        <w:t>Guerin</w:t>
      </w:r>
      <w:r>
        <w:rPr>
          <w:rFonts w:ascii="arial" w:eastAsia="arial" w:hAnsi="arial" w:cs="arial"/>
          <w:color w:val="000000"/>
          <w:sz w:val="20"/>
          <w:lang w:val="en-US" w:eastAsia="en-US" w:bidi="ar-SA"/>
        </w:rPr>
        <w:t xml:space="preserve"> at 700 noted the additional importance of these provisions as "ensuring certainty as to the effect of the surrender and the validity of any subsequent disposition of surrendered land". From the above, it is clear that at the time at which the Lease was agreed, the Band (i) had to surrender land to the Crown to allow a lease and (ii) could not enter into the Lease without the Crown acting on its behalf. However, the Band concedes, again, that the validity of the surrender is not at issue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"By the Band"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Band's position is that the restriction simply does not apply because it was not placed by the band. As I understand this argument, the foundation would have to be that the 1996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including its additional element that the assessor may consider restrictions placed on the use of land "by the band", meaning actually in fact by the band and not by implication. Before discussing whether the "by the band" clause can affect events before its enactment, I must determine whether that enactment effects closed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Dikranian v. Quebec (Attorney General)</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[2005] 3 S.C.R. 530</w:t>
        </w:r>
      </w:hyperlink>
      <w:r>
        <w:rPr>
          <w:rFonts w:ascii="arial" w:eastAsia="arial" w:hAnsi="arial" w:cs="arial"/>
          <w:color w:val="000000"/>
          <w:sz w:val="20"/>
          <w:lang w:val="en-US" w:eastAsia="en-US" w:bidi="ar-SA"/>
        </w:rPr>
        <w:t xml:space="preserve"> Bastarache J. for the Court was considering student loan repayment terms. The contracts had been made between the appellant and the bank and considered a particular repayment term. New legislation was enacted by Quebec moving the repayment date forward. Bastarache J. writing for the Court concluded rights created by contract vest when the contract is concluded.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Bastarache J.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The principle against interference with vested rights has long been accepted in Canadian law. It is one of the many intentions attributed to Parliament and the provincial legislatures. As E. A. Driedger states in </w:t>
      </w:r>
      <w:r>
        <w:rPr>
          <w:rFonts w:ascii="arial" w:eastAsia="arial" w:hAnsi="arial" w:cs="arial"/>
          <w:i/>
          <w:color w:val="000000"/>
          <w:sz w:val="20"/>
          <w:lang w:val="en-US" w:eastAsia="en-US" w:bidi="ar-SA"/>
        </w:rPr>
        <w:t>Construction of Statutes</w:t>
      </w:r>
      <w:r>
        <w:rPr>
          <w:rFonts w:ascii="arial" w:eastAsia="arial" w:hAnsi="arial" w:cs="arial"/>
          <w:color w:val="000000"/>
          <w:sz w:val="20"/>
          <w:lang w:val="en-US" w:eastAsia="en-US" w:bidi="ar-SA"/>
        </w:rPr>
        <w:t xml:space="preserve"> (2nd ed. 1983), at p. 183, these presumptions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were designed as protection against interference by the state with the liberty or property of the subject. Hence, it was "presumed", in the absence of a clear indication in the statute to the contrary, that Parliament did not intend prejudicially to affect the liberty or property of the subject.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had already been accepted by Duff J. in </w:t>
      </w:r>
      <w:r>
        <w:rPr>
          <w:rFonts w:ascii="arial" w:eastAsia="arial" w:hAnsi="arial" w:cs="arial"/>
          <w:i/>
          <w:color w:val="000000"/>
          <w:sz w:val="20"/>
          <w:lang w:val="en-US" w:eastAsia="en-US" w:bidi="ar-SA"/>
        </w:rPr>
        <w:t>Upper Canada College v. Smith</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(1920), 61 S.C.R. 413</w:t>
        </w:r>
      </w:hyperlink>
      <w:r>
        <w:rPr>
          <w:rFonts w:ascii="arial" w:eastAsia="arial" w:hAnsi="arial" w:cs="arial"/>
          <w:color w:val="000000"/>
          <w:sz w:val="20"/>
          <w:lang w:val="en-US" w:eastAsia="en-US" w:bidi="ar-SA"/>
        </w:rPr>
        <w:t>, at p. 417: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speaking generally it would not only be widely inconvenient but "a flagrant violation of natural justice" to deprive people of rights acquired by transactions perfectly valid and regular according to the law of the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Acme Village School District No. 2296 (Board of Trustees of) v. Steele-Smith</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[1933] S.C.R. 47</w:t>
        </w:r>
      </w:hyperlink>
      <w:r>
        <w:rPr>
          <w:rFonts w:ascii="arial" w:eastAsia="arial" w:hAnsi="arial" w:cs="arial"/>
          <w:color w:val="000000"/>
          <w:sz w:val="20"/>
          <w:lang w:val="en-US" w:eastAsia="en-US" w:bidi="ar-SA"/>
        </w:rPr>
        <w:t xml:space="preserve">, at p. 51; R. Sullivan, </w:t>
      </w:r>
      <w:r>
        <w:rPr>
          <w:rFonts w:ascii="arial" w:eastAsia="arial" w:hAnsi="arial" w:cs="arial"/>
          <w:i/>
          <w:color w:val="000000"/>
          <w:sz w:val="20"/>
          <w:lang w:val="en-US" w:eastAsia="en-US" w:bidi="ar-SA"/>
        </w:rPr>
        <w:t>Sullivan and Driedger on the Construction of Statutes</w:t>
      </w:r>
      <w:r>
        <w:rPr>
          <w:rFonts w:ascii="arial" w:eastAsia="arial" w:hAnsi="arial" w:cs="arial"/>
          <w:color w:val="000000"/>
          <w:sz w:val="20"/>
          <w:lang w:val="en-US" w:eastAsia="en-US" w:bidi="ar-SA"/>
        </w:rPr>
        <w:t xml:space="preserve"> (4th ed. 2002), at pp. 569-70.)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leading case on this presumption is </w:t>
      </w:r>
      <w:r>
        <w:rPr>
          <w:rFonts w:ascii="arial" w:eastAsia="arial" w:hAnsi="arial" w:cs="arial"/>
          <w:i/>
          <w:color w:val="000000"/>
          <w:sz w:val="20"/>
          <w:lang w:val="en-US" w:eastAsia="en-US" w:bidi="ar-SA"/>
        </w:rPr>
        <w:t>Spooner Oils Ltd. v. Turner Valley Gas Conservation Board</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[1933] S.C.R. 629</w:t>
        </w:r>
      </w:hyperlink>
      <w:r>
        <w:rPr>
          <w:rFonts w:ascii="arial" w:eastAsia="arial" w:hAnsi="arial" w:cs="arial"/>
          <w:color w:val="000000"/>
          <w:sz w:val="20"/>
          <w:lang w:val="en-US" w:eastAsia="en-US" w:bidi="ar-SA"/>
        </w:rPr>
        <w:t>, at p. 638, where this Court stated the principle in the following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legislative enactment is not to be read as prejudicially affecting accrued rights, or "an existing status" (</w:t>
      </w:r>
      <w:r>
        <w:rPr>
          <w:rFonts w:ascii="arial" w:eastAsia="arial" w:hAnsi="arial" w:cs="arial"/>
          <w:i/>
          <w:color w:val="000000"/>
          <w:sz w:val="20"/>
          <w:lang w:val="en-US" w:eastAsia="en-US" w:bidi="ar-SA"/>
        </w:rPr>
        <w:t>Main</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Stark</w:t>
      </w:r>
      <w:r>
        <w:rPr>
          <w:rFonts w:ascii="arial" w:eastAsia="arial" w:hAnsi="arial" w:cs="arial"/>
          <w:color w:val="000000"/>
          <w:sz w:val="20"/>
          <w:lang w:val="en-US" w:eastAsia="en-US" w:bidi="ar-SA"/>
        </w:rPr>
        <w:t xml:space="preserve"> [ (1890), 15 App. Cas. 384, at 388]), unless the language in which it is expressed requires such a construction. The rule is described by Coke as a "law of Parliament" (2 Inst. 292), meaning, no doubt, that it is a rule based on the practice of Parliament; the underlying assumption being that, when Parliament intends prejudicially to affect such rights or such a status, it declares its intention expressly, unless, at all events, that intention is plainly manifested by unavoidable inference.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principle has since been codified in interpretation statutes.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conclude that the amendment "by the band" cannot apply, consequently to closed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It is important to note additionally that, at the time the Lease was entered into, the Band did not have the lawful authority to be a signatory to a lease. The parties have agreed that when construing the facts, the Lease is binding upon the Band, despite the fact that it was entered into without the Band's knowledge of the details of the agreement. Only the Queen by her properly authorized agent could enter the lease on the Band's behalf. In sum, and bearing in mind the Band's position that this is not a relitigation of circumstances behind the surrender or the actions that formed the subject of the damage award for the breach of trust, I view the lease as being validly entered into by the Crown as trustee for the Band and an interest holder in the land. Consequent on that finding and the analysis of the amendment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as not having application to closed transactions, I find that the Assessor and the Board may consider the provisions in the Lease.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Approval by a majority of the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Given that the Band accepts that this is not relitigation of the surrender or the Lease and given that the Band entered the agreement and is subject to the agreement, by virtue of the agreement having been entered into by the Crown on its behalf, the fact that the majority of the electors of the Band did not consent to such a restriction cannot be used as a means to argue the agreement is not in place. That issue was addressed in </w:t>
      </w:r>
      <w:r>
        <w:rPr>
          <w:rFonts w:ascii="arial" w:eastAsia="arial" w:hAnsi="arial" w:cs="arial"/>
          <w:i/>
          <w:color w:val="000000"/>
          <w:sz w:val="20"/>
          <w:lang w:val="en-US" w:eastAsia="en-US" w:bidi="ar-SA"/>
        </w:rPr>
        <w:t>Guerin</w:t>
      </w:r>
      <w:r>
        <w:rPr>
          <w:rFonts w:ascii="arial" w:eastAsia="arial" w:hAnsi="arial" w:cs="arial"/>
          <w:color w:val="000000"/>
          <w:sz w:val="20"/>
          <w:lang w:val="en-US" w:eastAsia="en-US" w:bidi="ar-SA"/>
        </w:rPr>
        <w:t xml:space="preserve"> and the Lease remains in force. Furthermore I have found that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is not to be applied to closed transactions. I find that the issue of whether the majority of the electors of the Band had consented to a restriction would be of no relevance accordingly in the Board's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 find that the provisions set out in the Lease may be considered by the Board and by the Assessor in determining the highest and best use in the actual value of the Property as "a circumstance affecting the value of the land and improvements" under s. 26(3)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with the provision explained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 also note that s. 25.1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states that the determination of actual value is to be determined "as if on the valuation date...the permitted use of the property and of all properties were the same as on October 31 following the valuation date". Accordingly, the Assessor and the Board must consider and cannot ignore the permitted use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Additionally, the golf course use restriction may be considered under s. 26(3)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as "present use" by the Assessor and consequently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G.</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Is the Lease's use provision a</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restriction?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Use provisions are a "restriction" for the purposes of s. 26(3.2) by the plain reading of the </w:t>
      </w:r>
      <w:r>
        <w:rPr>
          <w:rFonts w:ascii="arial" w:eastAsia="arial" w:hAnsi="arial" w:cs="arial"/>
          <w:i/>
          <w:color w:val="000000"/>
          <w:sz w:val="20"/>
          <w:lang w:val="en-US" w:eastAsia="en-US" w:bidi="ar-SA"/>
        </w:rPr>
        <w:t>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There is no use of the words "restrictive covenant" in the Lease. There is also no qualification of the term "restriction" in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Band, however, argues that the use provisions set out in the Lease are not a "restriction placed on the use of the land and improvements by the band" for the purposes of s. 26(3.2)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The Band reasons that these provisions are not a "restriction" as that term is correctly interpreted in accordance with </w:t>
      </w:r>
      <w:r>
        <w:rPr>
          <w:rFonts w:ascii="arial" w:eastAsia="arial" w:hAnsi="arial" w:cs="arial"/>
          <w:i/>
          <w:color w:val="000000"/>
          <w:sz w:val="20"/>
          <w:lang w:val="en-US" w:eastAsia="en-US" w:bidi="ar-SA"/>
        </w:rPr>
        <w:t>Aquadel Golf Course Ltd. v. Lindell Beach Holiday Resort Ltd.</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2009 BCCA 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Aquadel</w:t>
      </w:r>
      <w:r>
        <w:rPr>
          <w:rFonts w:ascii="arial" w:eastAsia="arial" w:hAnsi="arial" w:cs="arial"/>
          <w:color w:val="000000"/>
          <w:sz w:val="20"/>
          <w:lang w:val="en-US" w:eastAsia="en-US" w:bidi="ar-SA"/>
        </w:rPr>
        <w:t xml:space="preserve"> ]. The Band further argues that a restriction must be evidenced by clear and unambiguous language in order to be considered pursuant to s. 26(3.2)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This reasoning is essentially the imputation of case law on restrictive covenants to the term 'restriction' under the </w:t>
      </w:r>
      <w:r>
        <w:rPr>
          <w:rFonts w:ascii="arial" w:eastAsia="arial" w:hAnsi="arial" w:cs="arial"/>
          <w:i/>
          <w:color w:val="000000"/>
          <w:sz w:val="20"/>
          <w:lang w:val="en-US" w:eastAsia="en-US" w:bidi="ar-SA"/>
        </w:rPr>
        <w:t>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H.</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Are the Lease provisions a restriction on rent or use?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According to the Band, the key term in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is "actual value", meaning market value as if the Subject Property was held in fee simple. It is the position of the Band that this is set out in </w:t>
      </w:r>
      <w:r>
        <w:rPr>
          <w:rFonts w:ascii="arial" w:eastAsia="arial" w:hAnsi="arial" w:cs="arial"/>
          <w:i/>
          <w:color w:val="000000"/>
          <w:sz w:val="20"/>
          <w:lang w:val="en-US" w:eastAsia="en-US" w:bidi="ar-SA"/>
        </w:rPr>
        <w:t>Standard Life.</w:t>
      </w:r>
      <w:r>
        <w:rPr>
          <w:rFonts w:ascii="arial" w:eastAsia="arial" w:hAnsi="arial" w:cs="arial"/>
          <w:color w:val="000000"/>
          <w:sz w:val="20"/>
          <w:lang w:val="en-US" w:eastAsia="en-US" w:bidi="ar-SA"/>
        </w:rPr>
        <w:t xml:space="preserve"> It submits that the Lease's golf course use provision is only a restriction on rent, and was placed by the Club (as the draft Lease was made by the Club's solicitors, rather than a restriction on the use of the property within that term's meaning in assessment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Band argues the provisions of the Lease on use are directly related to the provisions on rent and should be read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Club, in contrast, argues the restriction is a general one not limited to the terms of the rent found in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find a plain reading of the Lease is that the restriction on use is not one related to rent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Standard Life</w:t>
      </w:r>
      <w:r>
        <w:rPr>
          <w:rFonts w:ascii="arial" w:eastAsia="arial" w:hAnsi="arial" w:cs="arial"/>
          <w:color w:val="000000"/>
          <w:sz w:val="20"/>
          <w:lang w:val="en-US" w:eastAsia="en-US" w:bidi="ar-SA"/>
        </w:rPr>
        <w:t xml:space="preserve">, reviewed above, the Court was considering s. 26 of the </w:t>
      </w:r>
      <w:r>
        <w:rPr>
          <w:rFonts w:ascii="arial" w:eastAsia="arial" w:hAnsi="arial" w:cs="arial"/>
          <w:i/>
          <w:color w:val="000000"/>
          <w:sz w:val="20"/>
          <w:lang w:val="en-US" w:eastAsia="en-US" w:bidi="ar-SA"/>
        </w:rPr>
        <w:t>Assessment Act</w:t>
      </w:r>
      <w:r>
        <w:rPr>
          <w:rFonts w:ascii="arial" w:eastAsia="arial" w:hAnsi="arial" w:cs="arial"/>
          <w:color w:val="000000"/>
          <w:sz w:val="20"/>
          <w:lang w:val="en-US" w:eastAsia="en-US" w:bidi="ar-SA"/>
        </w:rPr>
        <w:t xml:space="preserve">, wherein "actual value" means the market value of the fee simple interest in land and improvements. In that case, Hollinrake J.A. quoted </w:t>
      </w:r>
      <w:r>
        <w:rPr>
          <w:rFonts w:ascii="arial" w:eastAsia="arial" w:hAnsi="arial" w:cs="arial"/>
          <w:i/>
          <w:color w:val="000000"/>
          <w:sz w:val="20"/>
          <w:lang w:val="en-US" w:eastAsia="en-US" w:bidi="ar-SA"/>
        </w:rPr>
        <w:t>J.D. Shier Lumber Co. Assessment</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(1907), 14 O.L.R. 210</w:t>
        </w:r>
      </w:hyperlink>
      <w:r>
        <w:rPr>
          <w:rFonts w:ascii="arial" w:eastAsia="arial" w:hAnsi="arial" w:cs="arial"/>
          <w:color w:val="000000"/>
          <w:sz w:val="20"/>
          <w:lang w:val="en-US" w:eastAsia="en-US" w:bidi="ar-SA"/>
        </w:rPr>
        <w:t xml:space="preserve"> (C.A.), which the Band states is a binding authority on this Court. His Lordship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In </w:t>
      </w:r>
      <w:r>
        <w:rPr>
          <w:rFonts w:ascii="arial" w:eastAsia="arial" w:hAnsi="arial" w:cs="arial"/>
          <w:i/>
          <w:color w:val="000000"/>
          <w:sz w:val="20"/>
          <w:lang w:val="en-US" w:eastAsia="en-US" w:bidi="ar-SA"/>
        </w:rPr>
        <w:t>J.D. Shier Lumber Co. Assessment</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(1907), 14 O.L.R. 210</w:t>
        </w:r>
      </w:hyperlink>
      <w:r>
        <w:rPr>
          <w:rFonts w:ascii="arial" w:eastAsia="arial" w:hAnsi="arial" w:cs="arial"/>
          <w:color w:val="000000"/>
          <w:sz w:val="20"/>
          <w:lang w:val="en-US" w:eastAsia="en-US" w:bidi="ar-SA"/>
        </w:rPr>
        <w:t xml:space="preserve"> (C.A.) at p. 221 this was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Throughout the assessment law the general principle in the assessment of land has been and is to assess the entire ownership; in other words, the fee simple, in one assessment, and not to assess separately the smaller interests which make up the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His Lordship added that this case, amongst others, reflected the meaning of fee simple interest set out in s. 26 of the </w:t>
      </w:r>
      <w:r>
        <w:rPr>
          <w:rFonts w:ascii="arial" w:eastAsia="arial" w:hAnsi="arial" w:cs="arial"/>
          <w:i/>
          <w:color w:val="000000"/>
          <w:sz w:val="20"/>
          <w:lang w:val="en-US" w:eastAsia="en-US" w:bidi="ar-SA"/>
        </w:rPr>
        <w:t>Assessment Act</w:t>
      </w:r>
      <w:r>
        <w:rPr>
          <w:rFonts w:ascii="arial" w:eastAsia="arial" w:hAnsi="arial" w:cs="arial"/>
          <w:color w:val="000000"/>
          <w:sz w:val="20"/>
          <w:lang w:val="en-US" w:eastAsia="en-US" w:bidi="ar-SA"/>
        </w:rPr>
        <w:t>. The Board must be guided by a consideration of all the interests to assess the one interest that of the fee simple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 do not find that the use provisions in the Lease are related only to the rent provision. Plain reading of the wording in the Lease is clear. Article 5 </w:t>
      </w:r>
      <w:r>
        <w:rPr>
          <w:rFonts w:ascii="arial" w:eastAsia="arial" w:hAnsi="arial" w:cs="arial"/>
          <w:i/>
          <w:color w:val="000000"/>
          <w:sz w:val="20"/>
          <w:lang w:val="en-US" w:eastAsia="en-US" w:bidi="ar-SA"/>
        </w:rPr>
        <w:t>contains</w:t>
      </w:r>
      <w:r>
        <w:rPr>
          <w:rFonts w:ascii="arial" w:eastAsia="arial" w:hAnsi="arial" w:cs="arial"/>
          <w:color w:val="000000"/>
          <w:sz w:val="20"/>
          <w:lang w:val="en-US" w:eastAsia="en-US" w:bidi="ar-SA"/>
        </w:rPr>
        <w:t xml:space="preserve"> the explicit purpose that the use of the Subject Property will be as a golf course. Article 5 reads "the demised premises only for a golf and country club, with such additional facilities as the lessee may considerable desirable".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Respondents submit that it would be difficult to conceive of circumstances where the Club would not be bound by the terms of the Lease such that it </w:t>
      </w:r>
      <w:r>
        <w:rPr>
          <w:rFonts w:ascii="arial" w:eastAsia="arial" w:hAnsi="arial" w:cs="arial"/>
          <w:i/>
          <w:color w:val="000000"/>
          <w:sz w:val="20"/>
          <w:lang w:val="en-US" w:eastAsia="en-US" w:bidi="ar-SA"/>
        </w:rPr>
        <w:t>could</w:t>
      </w:r>
      <w:r>
        <w:rPr>
          <w:rFonts w:ascii="arial" w:eastAsia="arial" w:hAnsi="arial" w:cs="arial"/>
          <w:color w:val="000000"/>
          <w:sz w:val="20"/>
          <w:lang w:val="en-US" w:eastAsia="en-US" w:bidi="ar-SA"/>
        </w:rPr>
        <w:t xml:space="preserve">, by way of example, commence construction of a subdivision on the Subject Property. It submits that the use provision of the Lease is a "restriction" relevant to assessment of the Subject Property regardless of </w:t>
      </w:r>
      <w:r>
        <w:rPr>
          <w:rFonts w:ascii="arial" w:eastAsia="arial" w:hAnsi="arial" w:cs="arial"/>
          <w:i/>
          <w:color w:val="000000"/>
          <w:sz w:val="20"/>
          <w:lang w:val="en-US" w:eastAsia="en-US" w:bidi="ar-SA"/>
        </w:rPr>
        <w:t>Aquadel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interrelated nature of these provisions appears, it is argued, from the wording of the rent provision in paragraph 1(b) of the Lease which limits rent to the uncleared and unimproved condition of the Subject Property "considering the restricted use to which the Lessee may put the demised premises under the terms of this Lease." It is argued that this does not simply restrict the use of the subject property but also the rent payable and thus is a restriction on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Band advocates that the Lease should be read as interrelated based on the approach of the Court in </w:t>
      </w:r>
      <w:r>
        <w:rPr>
          <w:rFonts w:ascii="arial" w:eastAsia="arial" w:hAnsi="arial" w:cs="arial"/>
          <w:i/>
          <w:color w:val="000000"/>
          <w:sz w:val="20"/>
          <w:lang w:val="en-US" w:eastAsia="en-US" w:bidi="ar-SA"/>
        </w:rPr>
        <w:t>Aquadel</w:t>
      </w:r>
      <w:r>
        <w:rPr>
          <w:rFonts w:ascii="arial" w:eastAsia="arial" w:hAnsi="arial" w:cs="arial"/>
          <w:color w:val="000000"/>
          <w:sz w:val="20"/>
          <w:lang w:val="en-US" w:eastAsia="en-US" w:bidi="ar-SA"/>
        </w:rPr>
        <w:t>. In</w:t>
      </w:r>
      <w:r>
        <w:rPr>
          <w:rFonts w:ascii="arial" w:eastAsia="arial" w:hAnsi="arial" w:cs="arial"/>
          <w:i/>
          <w:color w:val="000000"/>
          <w:sz w:val="20"/>
          <w:lang w:val="en-US" w:eastAsia="en-US" w:bidi="ar-SA"/>
        </w:rPr>
        <w:t xml:space="preserve"> Aquadel</w:t>
      </w:r>
      <w:r>
        <w:rPr>
          <w:rFonts w:ascii="arial" w:eastAsia="arial" w:hAnsi="arial" w:cs="arial"/>
          <w:color w:val="000000"/>
          <w:sz w:val="20"/>
          <w:lang w:val="en-US" w:eastAsia="en-US" w:bidi="ar-SA"/>
        </w:rPr>
        <w:t xml:space="preserve">, Finch C.J.B.C., for the unanimous Court of Appeal, distinguished a positive covenant, in that case that the property be a golf course, from a restrictive covenant that runs with the land and does not have a right of </w:t>
      </w:r>
      <w:r>
        <w:rPr>
          <w:rFonts w:ascii="arial" w:eastAsia="arial" w:hAnsi="arial" w:cs="arial"/>
          <w:i/>
          <w:color w:val="000000"/>
          <w:sz w:val="20"/>
          <w:lang w:val="en-US" w:eastAsia="en-US" w:bidi="ar-SA"/>
        </w:rPr>
        <w:t>cancellation</w:t>
      </w:r>
      <w:r>
        <w:rPr>
          <w:rFonts w:ascii="arial" w:eastAsia="arial" w:hAnsi="arial" w:cs="arial"/>
          <w:color w:val="000000"/>
          <w:sz w:val="20"/>
          <w:lang w:val="en-US" w:eastAsia="en-US" w:bidi="ar-SA"/>
        </w:rPr>
        <w:t xml:space="preserve">. Chief Justice Finch considered </w:t>
      </w:r>
      <w:r>
        <w:rPr>
          <w:rFonts w:ascii="arial" w:eastAsia="arial" w:hAnsi="arial" w:cs="arial"/>
          <w:i/>
          <w:color w:val="000000"/>
          <w:sz w:val="20"/>
          <w:lang w:val="en-US" w:eastAsia="en-US" w:bidi="ar-SA"/>
        </w:rPr>
        <w:t>Nylar Foods v. Roman Catholic Episcopal Corp.</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(1988), 48 D.L.R. (4th) 175</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Nylar Foods</w:t>
      </w:r>
      <w:r>
        <w:rPr>
          <w:rFonts w:ascii="arial" w:eastAsia="arial" w:hAnsi="arial" w:cs="arial"/>
          <w:color w:val="000000"/>
          <w:sz w:val="20"/>
          <w:lang w:val="en-US" w:eastAsia="en-US" w:bidi="ar-SA"/>
        </w:rPr>
        <w:t xml:space="preserve"> ]. He noted that the meaning in an agreement must be determined by assessing the document as a whole: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It is also settled law that in construing an agreement the intention of the parties must be determined from the words of the contract read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his </w:t>
      </w:r>
      <w:r>
        <w:rPr>
          <w:rFonts w:ascii="arial" w:eastAsia="arial" w:hAnsi="arial" w:cs="arial"/>
          <w:i/>
          <w:color w:val="000000"/>
          <w:sz w:val="20"/>
          <w:lang w:val="en-US" w:eastAsia="en-US" w:bidi="ar-SA"/>
        </w:rPr>
        <w:t>review</w:t>
      </w:r>
      <w:r>
        <w:rPr>
          <w:rFonts w:ascii="arial" w:eastAsia="arial" w:hAnsi="arial" w:cs="arial"/>
          <w:color w:val="000000"/>
          <w:sz w:val="20"/>
          <w:lang w:val="en-US" w:eastAsia="en-US" w:bidi="ar-SA"/>
        </w:rPr>
        <w:t>, Finch C.J.B.C. examined the agreement as a whole. Germane to the matter before this Court, that the words "he will not use the ... land for any purpose other than as a golf course" created a covenant which is "positive in substance".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fact that the use provision in </w:t>
      </w:r>
      <w:r>
        <w:rPr>
          <w:rFonts w:ascii="arial" w:eastAsia="arial" w:hAnsi="arial" w:cs="arial"/>
          <w:i/>
          <w:color w:val="000000"/>
          <w:sz w:val="20"/>
          <w:lang w:val="en-US" w:eastAsia="en-US" w:bidi="ar-SA"/>
        </w:rPr>
        <w:t>Aquadel</w:t>
      </w:r>
      <w:r>
        <w:rPr>
          <w:rFonts w:ascii="arial" w:eastAsia="arial" w:hAnsi="arial" w:cs="arial"/>
          <w:color w:val="000000"/>
          <w:sz w:val="20"/>
          <w:lang w:val="en-US" w:eastAsia="en-US" w:bidi="ar-SA"/>
        </w:rPr>
        <w:t xml:space="preserve"> was a positive covenant (and thus not a restrictive covenant), according to the Band, means that there is no "restriction" on the use of land for the purpose of assessment. Accordingly, the Band's argument, as I understand it, is that because this provision is not registrable (were this to be off-reserve) as a restrictive covenant and could not be enforced against successors in title, then the Lease provision, unenforceable against future holders of title, is therefore not a restriction in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Should there be any ambiguity, the Band argues "it should be resolved in favour of the free use of land": see </w:t>
      </w:r>
      <w:r>
        <w:rPr>
          <w:rFonts w:ascii="arial" w:eastAsia="arial" w:hAnsi="arial" w:cs="arial"/>
          <w:i/>
          <w:color w:val="000000"/>
          <w:sz w:val="20"/>
          <w:lang w:val="en-US" w:eastAsia="en-US" w:bidi="ar-SA"/>
        </w:rPr>
        <w:t>Qureshi v. Gooch</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2005 BCSC 1584</w:t>
        </w:r>
      </w:hyperlink>
      <w:r>
        <w:rPr>
          <w:rFonts w:ascii="arial" w:eastAsia="arial" w:hAnsi="arial" w:cs="arial"/>
          <w:color w:val="000000"/>
          <w:sz w:val="20"/>
          <w:lang w:val="en-US" w:eastAsia="en-US" w:bidi="ar-SA"/>
        </w:rPr>
        <w:t xml:space="preserve"> at para. 21. In </w:t>
      </w:r>
      <w:r>
        <w:rPr>
          <w:rFonts w:ascii="arial" w:eastAsia="arial" w:hAnsi="arial" w:cs="arial"/>
          <w:i/>
          <w:color w:val="000000"/>
          <w:sz w:val="20"/>
          <w:lang w:val="en-US" w:eastAsia="en-US" w:bidi="ar-SA"/>
        </w:rPr>
        <w:t>Aquadel</w:t>
      </w:r>
      <w:r>
        <w:rPr>
          <w:rFonts w:ascii="arial" w:eastAsia="arial" w:hAnsi="arial" w:cs="arial"/>
          <w:color w:val="000000"/>
          <w:sz w:val="20"/>
          <w:lang w:val="en-US" w:eastAsia="en-US" w:bidi="ar-SA"/>
        </w:rPr>
        <w:t>, however, the Chief Justice was not considering circumstances similar to those at bar. His Lordship was not considering factors relevant to assessment. I find the case is not relevant to the present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In the present case, s. 26(3)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grants a broad scope of considerations for the purpose of assessment. It states "[t]he Assessor [and the Board] may...give consideration to present use...and any other circumstances affecting the value of the land." In addition, s. 26(3.2) provides that: "the Assessor may include in the factors that he considers under subsection (3), any restriction placed on the use of the land and improvements by the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It is accepted law that restrictive covenants are to be strictly construed. Madam Justice McLachlin (as she then was) in </w:t>
      </w:r>
      <w:r>
        <w:rPr>
          <w:rFonts w:ascii="arial" w:eastAsia="arial" w:hAnsi="arial" w:cs="arial"/>
          <w:i/>
          <w:color w:val="000000"/>
          <w:sz w:val="20"/>
          <w:lang w:val="en-US" w:eastAsia="en-US" w:bidi="ar-SA"/>
        </w:rPr>
        <w:t>Nylar Foods</w:t>
      </w:r>
      <w:r>
        <w:rPr>
          <w:rFonts w:ascii="arial" w:eastAsia="arial" w:hAnsi="arial" w:cs="arial"/>
          <w:color w:val="000000"/>
          <w:sz w:val="20"/>
          <w:lang w:val="en-US" w:eastAsia="en-US" w:bidi="ar-SA"/>
        </w:rPr>
        <w:t xml:space="preserve"> considered the issue of whether a provision in a lease was a valid restrictive covenant. She held for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...In order to create a valid restrictive covenant, clear language is required showing unambiguously that the parties intended to create an interest in land in favour of one of them. If it is not entirely clear from the language that the parties intended to create an equity and correlative burden on the land, the restrictive covenant will be treated merely as a personal covenant between the parties who made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decision and reasoning in </w:t>
      </w:r>
      <w:r>
        <w:rPr>
          <w:rFonts w:ascii="arial" w:eastAsia="arial" w:hAnsi="arial" w:cs="arial"/>
          <w:i/>
          <w:color w:val="000000"/>
          <w:sz w:val="20"/>
          <w:lang w:val="en-US" w:eastAsia="en-US" w:bidi="ar-SA"/>
        </w:rPr>
        <w:t>Aquadel</w:t>
      </w:r>
      <w:r>
        <w:rPr>
          <w:rFonts w:ascii="arial" w:eastAsia="arial" w:hAnsi="arial" w:cs="arial"/>
          <w:color w:val="000000"/>
          <w:sz w:val="20"/>
          <w:lang w:val="en-US" w:eastAsia="en-US" w:bidi="ar-SA"/>
        </w:rPr>
        <w:t xml:space="preserve"> is binding insofar as restrictive covenants are under consideration. However, the determination of whether the golf course </w:t>
      </w:r>
      <w:r>
        <w:rPr>
          <w:rFonts w:ascii="arial" w:eastAsia="arial" w:hAnsi="arial" w:cs="arial"/>
          <w:i/>
          <w:color w:val="000000"/>
          <w:sz w:val="20"/>
          <w:lang w:val="en-US" w:eastAsia="en-US" w:bidi="ar-SA"/>
        </w:rPr>
        <w:t>use</w:t>
      </w:r>
      <w:r>
        <w:rPr>
          <w:rFonts w:ascii="arial" w:eastAsia="arial" w:hAnsi="arial" w:cs="arial"/>
          <w:color w:val="000000"/>
          <w:sz w:val="20"/>
          <w:lang w:val="en-US" w:eastAsia="en-US" w:bidi="ar-SA"/>
        </w:rPr>
        <w:t xml:space="preserve"> provision is a restrictive or positive covenant is irrelevant to the issues before the Court; rather, the Court need only determine if the provision is a "restriction" pursuant to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The term "restriction" cannot be limited to only a consideration of restrictive covenants.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Respecting the interpretation of the Lease, I also find that the terms of the Lease read together do not create a restriction only on rent such that for the purposes of an assessment it would be appropriate for the Assessor or the Board to ignore the restriction.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Additionally, the use term does not run with the land. It is a contractual provision of the Lease determinable at the end of the term of the Lease. However, it is nevertheless a </w:t>
      </w:r>
      <w:r>
        <w:rPr>
          <w:rFonts w:ascii="arial" w:eastAsia="arial" w:hAnsi="arial" w:cs="arial"/>
          <w:i/>
          <w:color w:val="000000"/>
          <w:sz w:val="20"/>
          <w:lang w:val="en-US" w:eastAsia="en-US" w:bidi="ar-SA"/>
        </w:rPr>
        <w:t>restriction</w:t>
      </w:r>
      <w:r>
        <w:rPr>
          <w:rFonts w:ascii="arial" w:eastAsia="arial" w:hAnsi="arial" w:cs="arial"/>
          <w:color w:val="000000"/>
          <w:sz w:val="20"/>
          <w:lang w:val="en-US" w:eastAsia="en-US" w:bidi="ar-SA"/>
        </w:rPr>
        <w:t xml:space="preserve"> for the purposes of assessment to be considered by the Assessor and the Board. The Club is restricted to use the land as a golf course. That restriction may be considered for assessment even though it will not run with the land. In these circumstances it is not a positive covenant such as that found in </w:t>
      </w:r>
      <w:r>
        <w:rPr>
          <w:rFonts w:ascii="arial" w:eastAsia="arial" w:hAnsi="arial" w:cs="arial"/>
          <w:i/>
          <w:color w:val="000000"/>
          <w:sz w:val="20"/>
          <w:lang w:val="en-US" w:eastAsia="en-US" w:bidi="ar-SA"/>
        </w:rPr>
        <w:t>Aquadel</w:t>
      </w:r>
      <w:r>
        <w:rPr>
          <w:rFonts w:ascii="arial" w:eastAsia="arial" w:hAnsi="arial" w:cs="arial"/>
          <w:color w:val="000000"/>
          <w:sz w:val="20"/>
          <w:lang w:val="en-US" w:eastAsia="en-US" w:bidi="ar-SA"/>
        </w:rPr>
        <w:t>, which ran with the land and was unenforceable.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 find the Board can consider the restriction in use set out in the Lease to determine the highest and best use and the actual value of the subject property. I find that the restriction in use is not part only of the rent provision in the Lease, but is expressly stated in the Lease to be the only use to which the Club can put </w:t>
      </w:r>
      <w:r>
        <w:rPr>
          <w:rFonts w:ascii="arial" w:eastAsia="arial" w:hAnsi="arial" w:cs="arial"/>
          <w:i/>
          <w:color w:val="000000"/>
          <w:sz w:val="20"/>
          <w:lang w:val="en-US" w:eastAsia="en-US" w:bidi="ar-SA"/>
        </w:rPr>
        <w:t>the</w:t>
      </w:r>
      <w:r>
        <w:rPr>
          <w:rFonts w:ascii="arial" w:eastAsia="arial" w:hAnsi="arial" w:cs="arial"/>
          <w:color w:val="000000"/>
          <w:sz w:val="20"/>
          <w:lang w:val="en-US" w:eastAsia="en-US" w:bidi="ar-SA"/>
        </w:rPr>
        <w:t xml:space="preserve"> subject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It is important to distinguish between the strict construction required to evaluate </w:t>
      </w:r>
      <w:r>
        <w:rPr>
          <w:rFonts w:ascii="arial" w:eastAsia="arial" w:hAnsi="arial" w:cs="arial"/>
          <w:i/>
          <w:color w:val="000000"/>
          <w:sz w:val="20"/>
          <w:lang w:val="en-US" w:eastAsia="en-US" w:bidi="ar-SA"/>
        </w:rPr>
        <w:t>restrictive</w:t>
      </w:r>
      <w:r>
        <w:rPr>
          <w:rFonts w:ascii="arial" w:eastAsia="arial" w:hAnsi="arial" w:cs="arial"/>
          <w:color w:val="000000"/>
          <w:sz w:val="20"/>
          <w:lang w:val="en-US" w:eastAsia="en-US" w:bidi="ar-SA"/>
        </w:rPr>
        <w:t xml:space="preserve"> covenants and restrictions on the use of land for the purpose of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Where it is the Crown, for example, that places restrictions on Crown land, those restrictions are to be taken into account by </w:t>
      </w:r>
      <w:r>
        <w:rPr>
          <w:rFonts w:ascii="arial" w:eastAsia="arial" w:hAnsi="arial" w:cs="arial"/>
          <w:i/>
          <w:color w:val="000000"/>
          <w:sz w:val="20"/>
          <w:lang w:val="en-US" w:eastAsia="en-US" w:bidi="ar-SA"/>
        </w:rPr>
        <w:t>the Assessor: see BC Ferries Service Inc. v. Assessor for Area 8</w:t>
      </w:r>
      <w:r>
        <w:rPr>
          <w:rFonts w:ascii="arial" w:eastAsia="arial" w:hAnsi="arial" w:cs="arial"/>
          <w:color w:val="000000"/>
          <w:sz w:val="20"/>
          <w:lang w:val="en-US" w:eastAsia="en-US" w:bidi="ar-SA"/>
        </w:rPr>
        <w:t xml:space="preserve"> [2012] PAABBC 2012 0002. In that case, the regulatory and legal framework was such that the property could only be used as a ferry terminal. The Board found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Our mandate is to apply the provisions of the </w:t>
      </w:r>
      <w:r>
        <w:rPr>
          <w:rFonts w:ascii="arial" w:eastAsia="arial" w:hAnsi="arial" w:cs="arial"/>
          <w:i/>
          <w:color w:val="000000"/>
          <w:sz w:val="20"/>
          <w:lang w:val="en-US" w:eastAsia="en-US" w:bidi="ar-SA"/>
        </w:rPr>
        <w:t>Assessment Act</w:t>
      </w:r>
      <w:r>
        <w:rPr>
          <w:rFonts w:ascii="arial" w:eastAsia="arial" w:hAnsi="arial" w:cs="arial"/>
          <w:color w:val="000000"/>
          <w:sz w:val="20"/>
          <w:lang w:val="en-US" w:eastAsia="en-US" w:bidi="ar-SA"/>
        </w:rPr>
        <w:t xml:space="preserve"> to ensure that taxpayers are assessed on the actual value, that is to say, the market value of the fee simple interest in the land and improvements, subject to any restrictions placed on the use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Given that the property could only be used as a ferry port according to the lease that was a highly relevant consideration for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Property Assessment Appeal Board as cited by Madam Justice Loo in </w:t>
      </w:r>
      <w:r>
        <w:rPr>
          <w:rFonts w:ascii="arial" w:eastAsia="arial" w:hAnsi="arial" w:cs="arial"/>
          <w:i/>
          <w:color w:val="000000"/>
          <w:sz w:val="20"/>
          <w:lang w:val="en-US" w:eastAsia="en-US" w:bidi="ar-SA"/>
        </w:rPr>
        <w:t>British Columbia (Assessor of Area #09 - Vancouver) v. UBC Property Trust</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2008 BCSC 822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UBC Property Trust</w:t>
      </w:r>
      <w:r>
        <w:rPr>
          <w:rFonts w:ascii="arial" w:eastAsia="arial" w:hAnsi="arial" w:cs="arial"/>
          <w:color w:val="000000"/>
          <w:sz w:val="20"/>
          <w:lang w:val="en-US" w:eastAsia="en-US" w:bidi="ar-SA"/>
        </w:rPr>
        <w:t xml:space="preserve"> ] at para. 30 discussed whether the term of a lease can be considered a restriction, holding: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I further find that the term of the lease is not a factor that is an appropriate consideration when valuing the land with the use restriction in the lease. Section 19(6) states that the duration of the right of a holder is not a restriction in use. Neither can the duration of the lease be used to support an opinion that the use restriction does not affect the actual value for assessment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that case, four educational institutions equally owned land that was leased solely for the purpose of "the storage of equipment and the manufacture of concrete formwork". The Property Assessment Appeal Board considered that restriction in use in arriving at assessed value. Noting the section was language was clear the court held that was not an error to consider the restriction.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Bylaw states that in "determining actual value, the Assessor may...give consideration to present use ... and any other circumstances affecting the value of the land and improvements..." Clearly, the Board, as a direct consequence, must consider the Lease and its provisions which expressly state that the Lease contains the following restrictive language at paragraphs 5 and 6 as a golf club:</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lessee covenants with the lessor that it will:</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 the demised premises only for a golf and country club, with such additional facilities as the lessee may considerable [sic] desirable.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specifically understood and agreed between the parties hereto that the demised premises are being leased by the lessor to the lessee for the purposes of constructing and operating thereon a golf and country club, with such additional facilities as the lessee may consider advisable. As noted by the Assessor these provisions were interpreted by the 2005 Rent Arbitration Tribunal as restrictive to the use of the land by the Club. On page 6 of that judgment, it was stated that fair rent was to be determined in accordance with the two stated conditions in the Lease:</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demised premises were still in an uncleared and unimproved condition at the date of the determination;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Considering the restricted use to which the lessee may put the demised premises under the terms of this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2005 </w:t>
      </w:r>
      <w:r>
        <w:rPr>
          <w:rFonts w:ascii="arial" w:eastAsia="arial" w:hAnsi="arial" w:cs="arial"/>
          <w:i/>
          <w:color w:val="000000"/>
          <w:sz w:val="20"/>
          <w:lang w:val="en-US" w:eastAsia="en-US" w:bidi="ar-SA"/>
        </w:rPr>
        <w:t>Rent</w:t>
      </w:r>
      <w:r>
        <w:rPr>
          <w:rFonts w:ascii="arial" w:eastAsia="arial" w:hAnsi="arial" w:cs="arial"/>
          <w:color w:val="000000"/>
          <w:sz w:val="20"/>
          <w:lang w:val="en-US" w:eastAsia="en-US" w:bidi="ar-SA"/>
        </w:rPr>
        <w:t xml:space="preserve"> Arbitration Tribunal on page 6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see no justification in the wording of the lease for relegating condition (2) to an inferior and uncertain role to be given some effect by a subjective application to the market value of the land, on the basis of its highest and best use with no restrictions as to its use. In our view, if the determination of the value of the land were required as a first step in determining the "fair rent", this determination must be on the basis of the land's highest and best use having regard to the use restrictions in the lease,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as a golf and country club.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UBC Property Trust</w:t>
      </w:r>
      <w:r>
        <w:rPr>
          <w:rFonts w:ascii="arial" w:eastAsia="arial" w:hAnsi="arial" w:cs="arial"/>
          <w:color w:val="000000"/>
          <w:sz w:val="20"/>
          <w:lang w:val="en-US" w:eastAsia="en-US" w:bidi="ar-SA"/>
        </w:rPr>
        <w:t xml:space="preserve">, Loo J. reasoned much like Allan J. above in </w:t>
      </w:r>
      <w:r>
        <w:rPr>
          <w:rFonts w:ascii="arial" w:eastAsia="arial" w:hAnsi="arial" w:cs="arial"/>
          <w:i/>
          <w:color w:val="000000"/>
          <w:sz w:val="20"/>
          <w:lang w:val="en-US" w:eastAsia="en-US" w:bidi="ar-SA"/>
        </w:rPr>
        <w:t>Petro-Canada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It is not Dominion who has the opportunity to redevelop the land; it is the Appellant. There is no evidence to show that the owners would allow Dominion (as the occupier) to redevelop the land in accordance with the zoning. In fact, the evidence of the use restriction and of the short-term nature of the lease demonstrates otherwise. As in </w:t>
      </w:r>
      <w:r>
        <w:rPr>
          <w:rFonts w:ascii="arial" w:eastAsia="arial" w:hAnsi="arial" w:cs="arial"/>
          <w:i/>
          <w:color w:val="000000"/>
          <w:sz w:val="20"/>
          <w:lang w:val="en-US" w:eastAsia="en-US" w:bidi="ar-SA"/>
        </w:rPr>
        <w:t>BC Rail Partnership et al v. Area 08</w:t>
      </w:r>
      <w:r>
        <w:rPr>
          <w:rFonts w:ascii="arial" w:eastAsia="arial" w:hAnsi="arial" w:cs="arial"/>
          <w:color w:val="000000"/>
          <w:sz w:val="20"/>
          <w:lang w:val="en-US" w:eastAsia="en-US" w:bidi="ar-SA"/>
        </w:rPr>
        <w:t xml:space="preserve"> (2007 PAABBC 20070004, para. 27), there is no "reasonable expectation" that the owners as the landlord would allow a use other than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Madam Justice Loo noted in the lease between the parties the restrictions had been placed by fee simple owner. In that regard Loo J.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Section 19(5) is very clear. It is </w:t>
      </w:r>
      <w:r>
        <w:rPr>
          <w:rFonts w:ascii="arial" w:eastAsia="arial" w:hAnsi="arial" w:cs="arial"/>
          <w:i/>
          <w:color w:val="000000"/>
          <w:sz w:val="20"/>
          <w:lang w:val="en-US" w:eastAsia="en-US" w:bidi="ar-SA"/>
        </w:rPr>
        <w:t>any</w:t>
      </w:r>
      <w:r>
        <w:rPr>
          <w:rFonts w:ascii="arial" w:eastAsia="arial" w:hAnsi="arial" w:cs="arial"/>
          <w:color w:val="000000"/>
          <w:sz w:val="20"/>
          <w:lang w:val="en-US" w:eastAsia="en-US" w:bidi="ar-SA"/>
        </w:rPr>
        <w:t xml:space="preserve"> restriction placed on the use of the land ... by the owner of the fee. It does not add "and supported by a provincial or federal statute." I find that the owner of the fee here placed a restriction on the use of the land. That restriction is that the land be used for storage purposes and for manufacture of concrete formwork.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Accordingly, Loo J. held that the Board had properly considered the restrictions on the lease holder placed by the fee simple when assessing the highest and best use of the property. As Loo J. noted at para. 30 it was "a given" that the restriction did affect value. No one in that case was suggesting that the property could, for example, be used to develop waterfront condominiums consequently the court reasoned "the value would have to reflect the restriction on the property to some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the case at bar, the Club is the occupier and the Band is the equivalent of the fee simple owner. The Federal Government on behalf of the Band imposed the restriction that the occupier Club may only use the property as a country club and golf course. That restriction is relevant to the value of the land. From this, it follows that the Board may consider the restriction in the Lease and whether there is a reasonable expectation that the Band would allow residential use of the Subject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Interpretation of Provisions affecting Aboriginal Rights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If there is any ambiguity in the correct interpretation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it is argued by the Band, that ambiguity must be resolved in favour of the Band: see </w:t>
      </w:r>
      <w:r>
        <w:rPr>
          <w:rFonts w:ascii="arial" w:eastAsia="arial" w:hAnsi="arial" w:cs="arial"/>
          <w:i/>
          <w:color w:val="000000"/>
          <w:sz w:val="20"/>
          <w:lang w:val="en-US" w:eastAsia="en-US" w:bidi="ar-SA"/>
        </w:rPr>
        <w:t>Osoyoos Indian Band v. Oliver (Town)</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2001 SCC 85</w:t>
        </w:r>
      </w:hyperlink>
      <w:r>
        <w:rPr>
          <w:rFonts w:ascii="arial" w:eastAsia="arial" w:hAnsi="arial" w:cs="arial"/>
          <w:color w:val="000000"/>
          <w:sz w:val="20"/>
          <w:lang w:val="en-US" w:eastAsia="en-US" w:bidi="ar-SA"/>
        </w:rPr>
        <w:t>. In that case, Iacobucci J. sets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That s. 83(1)(a)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 should be given a broad reading is clear from an application of the principle in [</w:t>
      </w:r>
      <w:r>
        <w:rPr>
          <w:rFonts w:ascii="arial" w:eastAsia="arial" w:hAnsi="arial" w:cs="arial"/>
          <w:i/>
          <w:color w:val="000000"/>
          <w:sz w:val="20"/>
          <w:lang w:val="en-US" w:eastAsia="en-US" w:bidi="ar-SA"/>
        </w:rPr>
        <w:t>Nowegijick v. The Queen</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[1983] 1 S.C.R. 29</w:t>
        </w:r>
      </w:hyperlink>
      <w:r>
        <w:rPr>
          <w:rFonts w:ascii="arial" w:eastAsia="arial" w:hAnsi="arial" w:cs="arial"/>
          <w:color w:val="000000"/>
          <w:sz w:val="20"/>
          <w:lang w:val="en-US" w:eastAsia="en-US" w:bidi="ar-SA"/>
        </w:rPr>
        <w:t>], as explained by La Forest J. in [</w:t>
      </w:r>
      <w:r>
        <w:rPr>
          <w:rFonts w:ascii="arial" w:eastAsia="arial" w:hAnsi="arial" w:cs="arial"/>
          <w:i/>
          <w:color w:val="000000"/>
          <w:sz w:val="20"/>
          <w:lang w:val="en-US" w:eastAsia="en-US" w:bidi="ar-SA"/>
        </w:rPr>
        <w:t>Mitchell v. Peguis Indian Band</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[1990] 2 S.C.R. 85</w:t>
        </w:r>
      </w:hyperlink>
      <w:r>
        <w:rPr>
          <w:rFonts w:ascii="arial" w:eastAsia="arial" w:hAnsi="arial" w:cs="arial"/>
          <w:color w:val="000000"/>
          <w:sz w:val="20"/>
          <w:lang w:val="en-US" w:eastAsia="en-US" w:bidi="ar-SA"/>
        </w:rPr>
        <w:t>], at p. 143: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is clear that in the interpretation of any statutory enactment dealing with Indians, and particularly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w:t>
      </w:r>
      <w:r>
        <w:rPr>
          <w:rFonts w:ascii="arial" w:eastAsia="arial" w:hAnsi="arial" w:cs="arial"/>
          <w:color w:val="000000"/>
          <w:sz w:val="20"/>
          <w:u w:val="single"/>
          <w:lang w:val="en-US" w:eastAsia="en-US" w:bidi="ar-SA"/>
        </w:rPr>
        <w:t xml:space="preserve"> it is appropriate to interpret in a broad manner provisions that are aimed at maintaining Indian rights, and to interpret narrowly provisions aimed at limiting or abrogating them</w:t>
      </w:r>
      <w:r>
        <w:rPr>
          <w:rFonts w:ascii="arial" w:eastAsia="arial" w:hAnsi="arial" w:cs="arial"/>
          <w:color w:val="000000"/>
          <w:sz w:val="20"/>
          <w:lang w:val="en-US" w:eastAsia="en-US" w:bidi="ar-SA"/>
        </w:rPr>
        <w:t xml:space="preserve">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same time, I do not accept that this salutary rule that statutory ambiguities must be resolved in favour of the Indians implies automatic acceptance of a given construction simply because it may be expected that the Indians would favour it over any other competing interpretation. </w:t>
      </w:r>
      <w:r>
        <w:rPr>
          <w:rFonts w:ascii="arial" w:eastAsia="arial" w:hAnsi="arial" w:cs="arial"/>
          <w:color w:val="000000"/>
          <w:sz w:val="20"/>
          <w:u w:val="single"/>
          <w:lang w:val="en-US" w:eastAsia="en-US" w:bidi="ar-SA"/>
        </w:rPr>
        <w:t>It is also necessary to reconcile any given interpretation with the policies the Act seeks to promote.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In the present case, there was no ambiguity as to whether the Lease may be considered </w:t>
      </w:r>
      <w:r>
        <w:rPr>
          <w:rFonts w:ascii="arial" w:eastAsia="arial" w:hAnsi="arial" w:cs="arial"/>
          <w:i/>
          <w:color w:val="000000"/>
          <w:sz w:val="20"/>
          <w:lang w:val="en-US" w:eastAsia="en-US" w:bidi="ar-SA"/>
        </w:rPr>
        <w:t>as</w:t>
      </w:r>
      <w:r>
        <w:rPr>
          <w:rFonts w:ascii="arial" w:eastAsia="arial" w:hAnsi="arial" w:cs="arial"/>
          <w:color w:val="000000"/>
          <w:sz w:val="20"/>
          <w:lang w:val="en-US" w:eastAsia="en-US" w:bidi="ar-SA"/>
        </w:rPr>
        <w:t xml:space="preserve"> a restriction. Further, Mr. Justice Iacobucci is clear in his reasoning that this interpretive principle does not mean automatic acceptance of a given construction is required of the Court because it is favourable to the aboriginal parties. I find this interpretive principle does not affect the Court's conclusions in the present case. I also note parenthetically that this principle may not have been contemplated by the Supreme Court of Canada for application to legislation drafted by an aboriginal band. However, that issue is not for this Court to determine.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J.</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Does the Assessor have discretion to consider relevant assessment factors?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 now turn to the Assessor's discretion aspect of the question, both under the Band's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and under the provincial </w:t>
      </w:r>
      <w:r>
        <w:rPr>
          <w:rFonts w:ascii="arial" w:eastAsia="arial" w:hAnsi="arial" w:cs="arial"/>
          <w:i/>
          <w:color w:val="000000"/>
          <w:sz w:val="20"/>
          <w:lang w:val="en-US" w:eastAsia="en-US" w:bidi="ar-SA"/>
        </w:rPr>
        <w:t>Assessment Act</w:t>
      </w:r>
      <w:r>
        <w:rPr>
          <w:rFonts w:ascii="arial" w:eastAsia="arial" w:hAnsi="arial" w:cs="arial"/>
          <w:color w:val="000000"/>
          <w:sz w:val="20"/>
          <w:lang w:val="en-US" w:eastAsia="en-US" w:bidi="ar-SA"/>
        </w:rPr>
        <w:t xml:space="preserve">, which the Band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substantially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Band argues the Assessor and the Club rely on the exercise of the assessor's discretion to reduce the actual value of the land from its highest and best </w:t>
      </w:r>
      <w:r>
        <w:rPr>
          <w:rFonts w:ascii="arial" w:eastAsia="arial" w:hAnsi="arial" w:cs="arial"/>
          <w:i/>
          <w:color w:val="000000"/>
          <w:sz w:val="20"/>
          <w:lang w:val="en-US" w:eastAsia="en-US" w:bidi="ar-SA"/>
        </w:rPr>
        <w:t>use</w:t>
      </w:r>
      <w:r>
        <w:rPr>
          <w:rFonts w:ascii="arial" w:eastAsia="arial" w:hAnsi="arial" w:cs="arial"/>
          <w:color w:val="000000"/>
          <w:sz w:val="20"/>
          <w:lang w:val="en-US" w:eastAsia="en-US" w:bidi="ar-SA"/>
        </w:rPr>
        <w:t xml:space="preserve"> to an incorrect assessment based on a restriction in the Lease regarding the golf and country club use. The Band argues that it would be a wrong exercise of discretion to do so and to extend the wording of s. 26(3) of the Band's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to conduct an assessment in this manner. It is argued this would conflict with the paramount duty of the Assessor to assess the property on the basis of the market value of a fee simple interest. In this regard, the Band argues its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is materially different from the </w:t>
      </w:r>
      <w:r>
        <w:rPr>
          <w:rFonts w:ascii="arial" w:eastAsia="arial" w:hAnsi="arial" w:cs="arial"/>
          <w:i/>
          <w:color w:val="000000"/>
          <w:sz w:val="20"/>
          <w:lang w:val="en-US" w:eastAsia="en-US" w:bidi="ar-SA"/>
        </w:rPr>
        <w:t>Assessment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Assessor notes that under the provincial legislation, the Assessor has a duty to consider a restriction placed by the fee simple owner if the lands in question are owned by the Crown or another owner who is exempt from paying property taxes. This is not discretionary - the bylaw instructs this consideration at subsection 26(3) by stating to consider "any other circumstances affecting the value of the land". It follows, argues the Assessor, that it does not matter whether a given restriction is a restrictive covenant or a restriction on use. It is a restriction that can and should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An assessment is a highly fact-driven exercise. Here, there is some factual evidence, as found in the Lease that there is a restriction on the use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 find the restriction in use in the Lease may be considered by the Board in its assessment of the Subject Property. It would be in contradiction to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to ignore all the relevant circumstances and instead confer on the Board a discretion to do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Can the Musqueam Indian Band Board of Review consider the restriction in use set out in the Lease in determining the highest and best use and the actual value of the Subject Property?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Based on the Facts determined by the Board, in exercising its powers under ss. 4 1(2) of the </w:t>
            </w:r>
            <w:r>
              <w:rPr>
                <w:rFonts w:ascii="arial" w:eastAsia="arial" w:hAnsi="arial" w:cs="arial"/>
                <w:b/>
                <w:i/>
                <w:color w:val="000000"/>
                <w:sz w:val="18"/>
                <w:lang w:val="en-US" w:eastAsia="en-US" w:bidi="ar-SA"/>
              </w:rPr>
              <w:t>Bylaw</w:t>
            </w:r>
            <w:r>
              <w:rPr>
                <w:rFonts w:ascii="arial" w:eastAsia="arial" w:hAnsi="arial" w:cs="arial"/>
                <w:b/>
                <w:color w:val="000000"/>
                <w:sz w:val="18"/>
                <w:lang w:val="en-US" w:eastAsia="en-US" w:bidi="ar-SA"/>
              </w:rPr>
              <w:t xml:space="preserve"> to either confirm or alter the assessment by the Assessor of the interest of the Club in the Subject Property: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Does the principle of general law relating to strict construction of restrictive provisions relating to use of land apply to the words "any restriction placed on the use of the land and improvements by the band" in ss. 26(3.2) of the </w:t>
      </w:r>
      <w:r>
        <w:rPr>
          <w:rFonts w:ascii="arial" w:eastAsia="arial" w:hAnsi="arial" w:cs="arial"/>
          <w:b/>
          <w:i/>
          <w:color w:val="000000"/>
          <w:sz w:val="20"/>
          <w:lang w:val="en-US" w:eastAsia="en-US" w:bidi="ar-SA"/>
        </w:rPr>
        <w:t>Bylaw</w:t>
      </w:r>
      <w:r>
        <w:rPr>
          <w:rFonts w:ascii="arial" w:eastAsia="arial" w:hAnsi="arial" w:cs="arial"/>
          <w:b/>
          <w:color w:val="000000"/>
          <w:sz w:val="20"/>
          <w:lang w:val="en-US" w:eastAsia="en-US" w:bidi="ar-SA"/>
        </w:rPr>
        <w:t>?</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As a matter of correct legal interpretation, are the use provisions in the Lease a "restriction" for the purposes of ss. 26(3.2) of the </w:t>
      </w:r>
      <w:r>
        <w:rPr>
          <w:rFonts w:ascii="arial" w:eastAsia="arial" w:hAnsi="arial" w:cs="arial"/>
          <w:b/>
          <w:i/>
          <w:color w:val="000000"/>
          <w:sz w:val="20"/>
          <w:lang w:val="en-US" w:eastAsia="en-US" w:bidi="ar-SA"/>
        </w:rPr>
        <w:t>Bylaw</w:t>
      </w:r>
      <w:r>
        <w:rPr>
          <w:rFonts w:ascii="arial" w:eastAsia="arial" w:hAnsi="arial" w:cs="arial"/>
          <w:b/>
          <w:color w:val="000000"/>
          <w:sz w:val="20"/>
          <w:lang w:val="en-US" w:eastAsia="en-US" w:bidi="ar-SA"/>
        </w:rPr>
        <w:t xml:space="preserve"> in light of the decision of the British Columbia Court of Appeal in [</w:t>
      </w:r>
      <w:r>
        <w:rPr>
          <w:rFonts w:ascii="arial" w:eastAsia="arial" w:hAnsi="arial" w:cs="arial"/>
          <w:b/>
          <w:i/>
          <w:color w:val="000000"/>
          <w:sz w:val="20"/>
          <w:lang w:val="en-US" w:eastAsia="en-US" w:bidi="ar-SA"/>
        </w:rPr>
        <w:t>Aquadel</w:t>
      </w:r>
      <w:r>
        <w:rPr>
          <w:rFonts w:ascii="arial" w:eastAsia="arial" w:hAnsi="arial" w:cs="arial"/>
          <w:b/>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answer to Questions 1 is "yes". The Board can consider the restriction in use set out in the Lease to determine the highest and best use and the actual value of the subject property pursuant to s. 26(3). This consideration is not subject to any limitations. The Board may also consider that the restriction in use pursuant to s. 26(3.2).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With regard to Question 2(a)(i), the word in the Bylaw is "restriction" not "restrictive covenant". The strict construction given to those terms is not applicable to a restriction for the purpose of assessment. The answer to 2(a)(i) is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In respect of Question 2(a)(ii), I find that </w:t>
      </w:r>
      <w:r>
        <w:rPr>
          <w:rFonts w:ascii="arial" w:eastAsia="arial" w:hAnsi="arial" w:cs="arial"/>
          <w:i/>
          <w:color w:val="000000"/>
          <w:sz w:val="20"/>
          <w:lang w:val="en-US" w:eastAsia="en-US" w:bidi="ar-SA"/>
        </w:rPr>
        <w:t>Aquadel</w:t>
      </w:r>
      <w:r>
        <w:rPr>
          <w:rFonts w:ascii="arial" w:eastAsia="arial" w:hAnsi="arial" w:cs="arial"/>
          <w:color w:val="000000"/>
          <w:sz w:val="20"/>
          <w:lang w:val="en-US" w:eastAsia="en-US" w:bidi="ar-SA"/>
        </w:rPr>
        <w:t xml:space="preserve"> does not apply to this matter as the issue here does not turn on the meaning of restrictive covenants as was the situation before the Court in </w:t>
      </w:r>
      <w:r>
        <w:rPr>
          <w:rFonts w:ascii="arial" w:eastAsia="arial" w:hAnsi="arial" w:cs="arial"/>
          <w:i/>
          <w:color w:val="000000"/>
          <w:sz w:val="20"/>
          <w:lang w:val="en-US" w:eastAsia="en-US" w:bidi="ar-SA"/>
        </w:rPr>
        <w:t>Aquadel</w:t>
      </w:r>
      <w:r>
        <w:rPr>
          <w:rFonts w:ascii="arial" w:eastAsia="arial" w:hAnsi="arial" w:cs="arial"/>
          <w:color w:val="000000"/>
          <w:sz w:val="20"/>
          <w:lang w:val="en-US" w:eastAsia="en-US" w:bidi="ar-SA"/>
        </w:rPr>
        <w:t xml:space="preserve">. The word in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is simply "restriction" plainly read. Consequently, the answer to Question 2(a)(ii) is, "yes", and the use provisions in the Lease are to be considered as a restriction by the Board.</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As a matter of correct legal interpretation, can the words "any restriction placed on the use of the land and improvements by the band" in s-s. 26(3.2) of the </w:t>
      </w:r>
      <w:r>
        <w:rPr>
          <w:rFonts w:ascii="arial" w:eastAsia="arial" w:hAnsi="arial" w:cs="arial"/>
          <w:b/>
          <w:i/>
          <w:color w:val="000000"/>
          <w:sz w:val="20"/>
          <w:lang w:val="en-US" w:eastAsia="en-US" w:bidi="ar-SA"/>
        </w:rPr>
        <w:t>Bylaw</w:t>
      </w:r>
      <w:r>
        <w:rPr>
          <w:rFonts w:ascii="arial" w:eastAsia="arial" w:hAnsi="arial" w:cs="arial"/>
          <w:b/>
          <w:color w:val="000000"/>
          <w:sz w:val="20"/>
          <w:lang w:val="en-US" w:eastAsia="en-US" w:bidi="ar-SA"/>
        </w:rPr>
        <w:t xml:space="preserve"> apply to a restriction placed by another party such as the Club or Canada or a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 have determined that the amendment to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inserting the words "by the band" does not apply to closed transactions. The "by the band" clause is therefore inapplicable to the present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"[P]laced on the use of the land and improvements by the band" in ss. 26(3.2)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could not apply to a restriction placed by the Club because the Club is governed by the terms of the Lease entered into on the Band's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question asking whether a restriction placed on use of the land by "Canada" I understand to mean something placed by the Government of Canada. I have already addressed the issue of the Crown acting on behalf of the Band in signing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To the extent the above question asks me to address any hypothetical scenario beyond those facts, I decline to answer on the basis of a lack of factual context and further would require the Court to speculate on what facts could result in a restriction. The Court of Appeal's reasoning in </w:t>
      </w:r>
      <w:r>
        <w:rPr>
          <w:rFonts w:ascii="arial" w:eastAsia="arial" w:hAnsi="arial" w:cs="arial"/>
          <w:i/>
          <w:color w:val="000000"/>
          <w:sz w:val="20"/>
          <w:lang w:val="en-US" w:eastAsia="en-US" w:bidi="ar-SA"/>
        </w:rPr>
        <w:t>Tele-Mobile Company v. British Columbia</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2013 BCCA 216</w:t>
        </w:r>
      </w:hyperlink>
      <w:r>
        <w:rPr>
          <w:rFonts w:ascii="arial" w:eastAsia="arial" w:hAnsi="arial" w:cs="arial"/>
          <w:color w:val="000000"/>
          <w:sz w:val="20"/>
          <w:lang w:val="en-US" w:eastAsia="en-US" w:bidi="ar-SA"/>
        </w:rPr>
        <w:t xml:space="preserve"> is apt to this problem in respect of declaratory statements where none are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answer to this question cannot be considered in the absence of context. I find that to be the case with reference to the placement of a restriction by a Judge or party such as the Club as well. In the circumstances, as there is no context or factual background to that question, I decline to answer this question.</w:t>
      </w:r>
      <w:r>
        <w:rPr>
          <w:rFonts w:ascii="arial" w:eastAsia="arial" w:hAnsi="arial" w:cs="arial"/>
          <w:sz w:val="20"/>
          <w:lang w:val="en-US" w:eastAsia="en-US" w:bidi="ar-SA"/>
        </w:rPr>
        <w:cr/>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Can the words "any restriction placed on the use of the land and improvements by the band" found in s-s. 26(3.2) of the </w:t>
      </w:r>
      <w:r>
        <w:rPr>
          <w:rFonts w:ascii="arial" w:eastAsia="arial" w:hAnsi="arial" w:cs="arial"/>
          <w:b/>
          <w:i/>
          <w:color w:val="000000"/>
          <w:sz w:val="20"/>
          <w:lang w:val="en-US" w:eastAsia="en-US" w:bidi="ar-SA"/>
        </w:rPr>
        <w:t>Bylaw</w:t>
      </w:r>
      <w:r>
        <w:rPr>
          <w:rFonts w:ascii="arial" w:eastAsia="arial" w:hAnsi="arial" w:cs="arial"/>
          <w:b/>
          <w:color w:val="000000"/>
          <w:sz w:val="20"/>
          <w:lang w:val="en-US" w:eastAsia="en-US" w:bidi="ar-SA"/>
        </w:rPr>
        <w:t xml:space="preserve"> be correctly interpreted to apply in circumstances where it is not proven that the majority of the electors of the Band have consented to such a restriction?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 find that this question is posed without sufficient factual basis. If it is posed in relation to events preceding the Lease this would then involve a reconsideration of the issues already resolved in the Band's favour in </w:t>
      </w:r>
      <w:r>
        <w:rPr>
          <w:rFonts w:ascii="arial" w:eastAsia="arial" w:hAnsi="arial" w:cs="arial"/>
          <w:i/>
          <w:color w:val="000000"/>
          <w:sz w:val="20"/>
          <w:lang w:val="en-US" w:eastAsia="en-US" w:bidi="ar-SA"/>
        </w:rPr>
        <w:t>Guerin</w:t>
      </w:r>
      <w:r>
        <w:rPr>
          <w:rFonts w:ascii="arial" w:eastAsia="arial" w:hAnsi="arial" w:cs="arial"/>
          <w:color w:val="000000"/>
          <w:sz w:val="20"/>
          <w:lang w:val="en-US" w:eastAsia="en-US" w:bidi="ar-SA"/>
        </w:rPr>
        <w:t xml:space="preserve"> which all parties were in agreement was not being re-litigated. Accordingly, I decline to answer this question.</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Do subsections 26(3) and 26(3.2) of the Bylaw require the Assessor to give consideration to the factors described in section 26(3) including any restriction placed on the use of the land or improvements by the band for the purposes of s-s. 26(3.2) or do those subsections confer a discretion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If the answer is that those subsections confer a discretion to give consideration to those factors (including a restriction) but do not impose a requirement to do so:</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Does the discretion have to be exercised reasonably and in the light of all the relevant circumstances?</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Is the discretion subject to the exception and the proviso in s-s. 26(3) that such consideration must not conflict with the requirement in subsections 26(1), (2) and (6) that land and improvements shall be assessed at their actual value meaning the market value of the fee simple interest in the land and improvements as if the interest holder held a fee simple interest located off reserve?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In response to question 2(d), I find that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directs the Board to consider all of the enumerated provisions in s-s. 26(3) and (3.2) including "any other circumstances affecting the value of the land and improvements" and restrictions. No discretion is conferred.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Actual value is an objective term. The determination of actual value is fact-driven, but there is a proper conclusion to be reached. In order to reach that conclusion, the Board must consider any restrictions on the property which affect that actual value. As such, there is no discretion as to whether to consider the factors listed if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Board may consider </w:t>
      </w:r>
      <w:r>
        <w:rPr>
          <w:rFonts w:ascii="arial" w:eastAsia="arial" w:hAnsi="arial" w:cs="arial"/>
          <w:b/>
          <w:color w:val="000000"/>
          <w:sz w:val="20"/>
          <w:lang w:val="en-US" w:eastAsia="en-US" w:bidi="ar-SA"/>
        </w:rPr>
        <w:t>any</w:t>
      </w:r>
      <w:r>
        <w:rPr>
          <w:rFonts w:ascii="arial" w:eastAsia="arial" w:hAnsi="arial" w:cs="arial"/>
          <w:color w:val="000000"/>
          <w:sz w:val="20"/>
          <w:lang w:val="en-US" w:eastAsia="en-US" w:bidi="ar-SA"/>
        </w:rPr>
        <w:t xml:space="preserve"> of the enumerated items. To ignore the enumerated factors would not accord with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and would be in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That would not be an exercise of discretion and would rather constitute an error disregarding the express provisions of the statute. If a factor is applicable, the Board must consider it. Discretion does not mean the Board would have the ability to ignore a factor. The answer to 2 d. is "yes" and the consideration is not discretionary.</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Would the Board misinterpret section 26 of the </w:t>
      </w:r>
      <w:r>
        <w:rPr>
          <w:rFonts w:ascii="arial" w:eastAsia="arial" w:hAnsi="arial" w:cs="arial"/>
          <w:b/>
          <w:i/>
          <w:color w:val="000000"/>
          <w:sz w:val="20"/>
          <w:lang w:val="en-US" w:eastAsia="en-US" w:bidi="ar-SA"/>
        </w:rPr>
        <w:t>Bylaw</w:t>
      </w:r>
      <w:r>
        <w:rPr>
          <w:rFonts w:ascii="arial" w:eastAsia="arial" w:hAnsi="arial" w:cs="arial"/>
          <w:b/>
          <w:color w:val="000000"/>
          <w:sz w:val="20"/>
          <w:lang w:val="en-US" w:eastAsia="en-US" w:bidi="ar-SA"/>
        </w:rPr>
        <w:t xml:space="preserve"> by applying subsections 26(3) or 26(3.2) of the </w:t>
      </w:r>
      <w:r>
        <w:rPr>
          <w:rFonts w:ascii="arial" w:eastAsia="arial" w:hAnsi="arial" w:cs="arial"/>
          <w:b/>
          <w:i/>
          <w:color w:val="000000"/>
          <w:sz w:val="20"/>
          <w:lang w:val="en-US" w:eastAsia="en-US" w:bidi="ar-SA"/>
        </w:rPr>
        <w:t>Bylaw</w:t>
      </w:r>
      <w:r>
        <w:rPr>
          <w:rFonts w:ascii="arial" w:eastAsia="arial" w:hAnsi="arial" w:cs="arial"/>
          <w:b/>
          <w:color w:val="000000"/>
          <w:sz w:val="20"/>
          <w:lang w:val="en-US" w:eastAsia="en-US" w:bidi="ar-SA"/>
        </w:rPr>
        <w:t xml:space="preserve"> so as to restrict the highest and best use of the Subject Property to golf and country club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 Board must consider all of the relevant factors set out in the applicable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to determine actual value. The Board in considering this will have to consider highest and best use in light of the considerations in the case law and the plain reading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as discussed above. The Board would not be misinterpreting s. 26 by applying subsections 26(3) and 26(3.2).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conclusion, I find the assessment of the subject property is to be conducted in accordance with the answers to the questions noted above where answered. The Board is to consider the restriction of the Lease when assessing highest and best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This matter will be remitted to the Board for consideration in light of the answers to Questions 1, 2(a)(i) and (ii), 2(d), and 2(e). I decline to answer Question 2(b), and 2(c).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If the Parties are unable to agree as to costs, they may arrange to speak to costs or make an application in writing by contacting the Registry within 60 days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 MAISONVILLE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AGREED FACTS</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appeal has been brought by the Musqueam Indian Band (the "Band") with respect to the assessment for the 2011 assessment roll by the British Columbia Assessment Authority (the "Assessor") acting as assessor under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of 162 acres of land located on Musqueam Indian Reserve #2 (the "Subject Property") leased to and occupied by the Shaughnessy Golf and Country Club (the "Club").</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22, 1958, a lease was entered into between Her Majesty the Queen in right of Canada (the "Crown") and the Club, under its former name of Shaughnessy Heights Golf Club, to lease the Subject Property for 75 years (the "Lease"). It was effective as of January 1, 1958 and has not been terminated or amended and remains in effect.</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Band did not sign the Lease and did not receive a copy until 1970. The Crown entered into the Lease as a fiduciary on behalf of the Band which had surrendered the Subject Property for lease under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The Lease is attached as Schedule A.</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Club was incorporated in October 1915 pursuant to the </w:t>
      </w:r>
      <w:r>
        <w:rPr>
          <w:rFonts w:ascii="arial" w:eastAsia="arial" w:hAnsi="arial" w:cs="arial"/>
          <w:i/>
          <w:color w:val="000000"/>
          <w:sz w:val="20"/>
          <w:lang w:val="en-US" w:eastAsia="en-US" w:bidi="ar-SA"/>
        </w:rPr>
        <w:t>Benevolent Societies Act</w:t>
      </w:r>
      <w:r>
        <w:rPr>
          <w:rFonts w:ascii="arial" w:eastAsia="arial" w:hAnsi="arial" w:cs="arial"/>
          <w:color w:val="000000"/>
          <w:sz w:val="20"/>
          <w:lang w:val="en-US" w:eastAsia="en-US" w:bidi="ar-SA"/>
        </w:rPr>
        <w:t xml:space="preserve">. It is now a society under the </w:t>
      </w:r>
      <w:r>
        <w:rPr>
          <w:rFonts w:ascii="arial" w:eastAsia="arial" w:hAnsi="arial" w:cs="arial"/>
          <w:i/>
          <w:color w:val="000000"/>
          <w:sz w:val="20"/>
          <w:lang w:val="en-US" w:eastAsia="en-US" w:bidi="ar-SA"/>
        </w:rPr>
        <w:t>Society Act</w:t>
      </w:r>
      <w:r>
        <w:rPr>
          <w:rFonts w:ascii="arial" w:eastAsia="arial" w:hAnsi="arial" w:cs="arial"/>
          <w:color w:val="000000"/>
          <w:sz w:val="20"/>
          <w:lang w:val="en-US" w:eastAsia="en-US" w:bidi="ar-SA"/>
        </w:rPr>
        <w:t>. Its essential corporate purpose is recreational. The 1915 Declaration of the Club sets out the purposes of the Club as "social intercourse, mutual helpfulness, mental and moral improvements and rational recreation." The 1915 Declaration has not been amended.</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Club has occupied the Subject Property pursuant to the terms of the Lease continuously since 1958. The Club has never asked to use the Subject Property for any purpose other than a golf and country club, and has always operated in accordance with the Lease. The Club has continuously paid either to the Crown on behalf of the Band or to the Band, annual rent pursuant to the Lease since 1958.</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1975, the Band commenced an action (</w:t>
      </w:r>
      <w:r>
        <w:rPr>
          <w:rFonts w:ascii="arial" w:eastAsia="arial" w:hAnsi="arial" w:cs="arial"/>
          <w:i/>
          <w:color w:val="000000"/>
          <w:sz w:val="20"/>
          <w:lang w:val="en-US" w:eastAsia="en-US" w:bidi="ar-SA"/>
        </w:rPr>
        <w:t>Guerin v. The Queen</w:t>
      </w:r>
      <w:r>
        <w:rPr>
          <w:rFonts w:ascii="arial" w:eastAsia="arial" w:hAnsi="arial" w:cs="arial"/>
          <w:color w:val="000000"/>
          <w:sz w:val="20"/>
          <w:lang w:val="en-US" w:eastAsia="en-US" w:bidi="ar-SA"/>
        </w:rPr>
        <w:t>) in the Federal Court (Trial Division) with respect to the Lease. ... Each of the parties have accepted and agreed not to challenge any finding of fact in any of these decisions. The Club was not a party to this litigation but representatives of the Club were witnesses. The three levels of decision in "</w:t>
      </w:r>
      <w:r>
        <w:rPr>
          <w:rFonts w:ascii="arial" w:eastAsia="arial" w:hAnsi="arial" w:cs="arial"/>
          <w:i/>
          <w:color w:val="000000"/>
          <w:sz w:val="20"/>
          <w:lang w:val="en-US" w:eastAsia="en-US" w:bidi="ar-SA"/>
        </w:rPr>
        <w:t>Guerin</w:t>
      </w:r>
      <w:r>
        <w:rPr>
          <w:rFonts w:ascii="arial" w:eastAsia="arial" w:hAnsi="arial" w:cs="arial"/>
          <w:color w:val="000000"/>
          <w:sz w:val="20"/>
          <w:lang w:val="en-US" w:eastAsia="en-US" w:bidi="ar-SA"/>
        </w:rPr>
        <w:t>" are attached as schedules B, C, and D respectively.</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draft lease dated October 17, 1957 contained a use restriction in the same wording as in the Lease (except for a typographical error). It was probably prepared by the solicitors for the Club and not provided to the Band. A copy of the draft lease is attached as Schedule E.</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1988, the Band commenced a further action (</w:t>
      </w:r>
      <w:r>
        <w:rPr>
          <w:rFonts w:ascii="arial" w:eastAsia="arial" w:hAnsi="arial" w:cs="arial"/>
          <w:i/>
          <w:color w:val="000000"/>
          <w:sz w:val="20"/>
          <w:lang w:val="en-US" w:eastAsia="en-US" w:bidi="ar-SA"/>
        </w:rPr>
        <w:t>Grant v. Her Majesty the Queen in Right of Canada as represented by the Minister of Indian and Northern Affairs and the Shaughnessy Golf and Country Club</w:t>
      </w:r>
      <w:r>
        <w:rPr>
          <w:rFonts w:ascii="arial" w:eastAsia="arial" w:hAnsi="arial" w:cs="arial"/>
          <w:color w:val="000000"/>
          <w:sz w:val="20"/>
          <w:lang w:val="en-US" w:eastAsia="en-US" w:bidi="ar-SA"/>
        </w:rPr>
        <w:t xml:space="preserve">) with respect to the Lease, also in the Federal Court (Trial Division) reported as </w:t>
      </w:r>
      <w:r>
        <w:rPr>
          <w:rFonts w:ascii="arial" w:eastAsia="arial" w:hAnsi="arial" w:cs="arial"/>
          <w:i/>
          <w:color w:val="000000"/>
          <w:sz w:val="20"/>
          <w:lang w:val="en-US" w:eastAsia="en-US" w:bidi="ar-SA"/>
        </w:rPr>
        <w:t>Musqueam Indian Band v. Canada</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[1990] 2 F.C. 351</w:t>
        </w:r>
      </w:hyperlink>
      <w:r>
        <w:rPr>
          <w:rFonts w:ascii="arial" w:eastAsia="arial" w:hAnsi="arial" w:cs="arial"/>
          <w:color w:val="000000"/>
          <w:sz w:val="20"/>
          <w:lang w:val="en-US" w:eastAsia="en-US" w:bidi="ar-SA"/>
        </w:rPr>
        <w:t xml:space="preserve"> (T.D.). The action was struck out by Joyal J. under Rule 419 of the Federal Court Rules without a trial. The decision o['Joyal, J. is attached as Schedule F. The Band's Statement of Claim in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is attached as Schedule G.</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Subsequent to the </w:t>
      </w:r>
      <w:r>
        <w:rPr>
          <w:rFonts w:ascii="arial" w:eastAsia="arial" w:hAnsi="arial" w:cs="arial"/>
          <w:i/>
          <w:color w:val="000000"/>
          <w:sz w:val="20"/>
          <w:lang w:val="en-US" w:eastAsia="en-US" w:bidi="ar-SA"/>
        </w:rPr>
        <w:t>Guerin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decisions, the amount of rent to be paid pursuant to the lease has been established by arbitration or by agreement. The Band and the Club entered into a Memorandum of Agreement made December 6, 1990. The terms of the Memorandum of Agreement are set out in Schedule H. The decision in a rent arbitration in 2005 is attached as Schedule I.</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s. 83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the band has jurisdiction over property taxes on its reserve lands and passed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A copy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is attached as Schedule J.</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Assessor has valued the Subject Property on the basis that its highest and best use is as a golf and country club.</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Pursuant to the provisions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 xml:space="preserve">, the Band has made a complaint to the Board against the valuation on the grounds that the Assessor was in error in valuing the Subject Property on the basis set out in paragraph 12 and has sought an alteration in the valuation to a highest and best use that does not restrict the use to that of a golf club pursuant to the use restrictions in the Lease (the "Use Restrictions") and has raised questions as to the proper interpretation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Board has determined to submit questions of law to the Supreme Court of British Columbia for the opinion of the Court pursuant to section 80(1) of the </w:t>
      </w:r>
      <w:r>
        <w:rPr>
          <w:rFonts w:ascii="arial" w:eastAsia="arial" w:hAnsi="arial" w:cs="arial"/>
          <w:i/>
          <w:color w:val="000000"/>
          <w:sz w:val="20"/>
          <w:lang w:val="en-US" w:eastAsia="en-US" w:bidi="ar-SA"/>
        </w:rPr>
        <w:t>Bylaw</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FINDINGS OF FACT FROM THE GUERIN DECISIONS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Musqueam Indian Band Board of Review v. Musqueam Indian Band, Assessor for the Musqueam Indian Band and Shaughnessy Golf and Country Club.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 Action No. S124733 (Vancouver Registry)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Collier J. of the Trial Division of the Federal Court of Canada made the following findings of fact (page numbers and paragraph references refer to the report of the decision at </w:t>
      </w:r>
      <w:hyperlink r:id="rId18" w:history="1">
        <w:r>
          <w:rPr>
            <w:rFonts w:ascii="arial" w:eastAsia="arial" w:hAnsi="arial" w:cs="arial"/>
            <w:i/>
            <w:color w:val="0077CC"/>
            <w:sz w:val="20"/>
            <w:u w:val="single"/>
            <w:shd w:val="clear" w:color="auto" w:fill="FFFFFF"/>
            <w:lang w:val="en-US" w:eastAsia="en-US" w:bidi="ar-SA"/>
          </w:rPr>
          <w:t>[1982] 2 F.C. 385</w:t>
        </w:r>
      </w:hyperlink>
      <w:r>
        <w:rPr>
          <w:rFonts w:ascii="arial" w:eastAsia="arial" w:hAnsi="arial" w:cs="arial"/>
          <w:color w:val="000000"/>
          <w:sz w:val="20"/>
          <w:lang w:val="en-US" w:eastAsia="en-US" w:bidi="ar-SA"/>
        </w:rPr>
        <w:t xml:space="preserve"> attached as Schedule B to the Notice of Stated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action is brought by the Chief and Councillors of the Musqueam Indian Band on their own behalf and, in effect, for the whole Band." [p. 388, 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material times, the legislation governing Indians, Indian bands and Indian lands was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R.S.C. 1952, c. 149, as amended by S.C. 1952-53, c. 41; S.C. 1956, c. 40; S.C. 1958, c. 19. [p. 388, 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British Columbia, there was an Indian Commissioner for B.C. At the relevant times in this matter, William S. Arneil held that position. He died in 1971. Under him was a District Superintendent. One of the key figures in the matters giving rise to this litigation was Frank Earl Anfield. He had succeeded one H.E. Taylor as District Superintendent in 1954 or 1955. Anfield's position was sometimes described as Officer in Charge of the Vancouver Agency. He died on February 23, 1961." [p. 389, b-e]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1955 the reserve contained 416.53 acres. The Band at that time numbered 235." [p. 389, 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Vancouver Indian Affairs Branch recognized the reserve was a valuable one, and that it had potential. Anfield reported to Arneil on October 11, 1955 (Ex. 5), in part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future of the valuable Reserve, situated within the charter area of the City of Vancouver, is of paramount concern to the Indians as well as others. Applications are on file for the acquisition by sale and lease of large areas of the unused, as well as the used portions of this Reserve, but it is practically impossible to get into any workable negotiations until this problem of individual land holdings is settled once and for all." [p. 389, i-j; p. 390,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later report to Arneil on September 17, 1956 (Ex. 9) Anfield suggested a detailed study be made of individuals' land requirements on the reserve, the requirements for band purposes (such as halls, schools, etc.) and the extent of unrequired land. He recommended not just an expert land value appraisal be made, but a land use planning survey "... aimed at maximum development providing long term revenue for the Band ...". He went 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seems to me that the real requirement here is the services of an expert estate planner with courage and vision and whose interest and concern would be as much the future of the Musqueam Indians as the revenue use of the lands unrequired by those Indians. It is essential that any new village be a model community. The present or any Agency staff set up could not possibly manage a project like this, and some very realistic and immediate plans must be formulated to bring about the stated wish of these Musqueam people, the fullest possible use and development for their benefit, of what is undoubtedly the most potentially valuable 400 acres in metropolitan Vancouver today.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then referred to a possible leasing of a low-lying area to the City of Vancouver for sanitary fill purposes. He continued: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Such an operation would fill the low lying areas of about 150 acres to a level comparable to the rest of the Reserve. If any new village were located at the west end of the Reserve, the lease rentals would, if paid in advance, cover a considerable portion of the cost of moving. There would then be left for lease development some 300 acres of land levelled: another potential "British Properties"; as adjacent and unfearful of an Indian Reserve as is its famous counterpart in West Vancouver. Procedure to bring this result to pass would appear to be as follows:</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have the Band approve at Band fund cost an expert land use survey development plan, with valuation appraisal. (It is conceivable that this would be undertaken at cost by the U.B.C. or some large real estate corporation).</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secure from the Band, a resolution requesting (a) the location and development of a new village site of approximately 100 acres; (b) submission of documents for the surrender for leasing of all lands unrequired for such village site, to be approximately 316 acres, with all revenues to go to Band funds.</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advise all presently interested parties in land use on this Reserve that the unrequired areas, when defined and surrendered, will be publicly advertised for lease use and that such advertisement will not likely be within twelve months." [p. 390, d-j; p. 391, a-c]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October 6, 1957, by a majority vote, the members of the Band approved a surrender to the Crown of 162 acres of prime land. The surrender was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trust to lease the same to such person or persons, and upon such terms as the Government of Canada may deem most conducive to our welfare and that of our people.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at the surrender meeting, the Band was told by [the Indian Agent] the land would be leased, on a long-term basis, to the Shaughnessy Heights Golf Club, which proposed to build a new golf course on the acreage. A lease was in fact formally entered into on January 22, 1958 between the defendant and the golf club. The Band alleges that a number of the terms and conditions of the eventual lease are different than those they were told about before the surrender vote; that some of the lease terms were not disclosed to them at all. These matters are asserted against the defendant in support of the claim of failure to exercise the requisite degree of care and management as a trustee." [p. 391, c-g]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1956 the golf club became interested in obtaining land for a new site. Its operation at that time was at 33rd Avenue and Oak Street in Vancouver. It leased its golf course land there from the C.P.R. The lease was to expire in 1960. The indications were it would not be renewed. The land was too expensive to purchase. The golf club began to explore, among other prospects, the possibility of obtaining land on the Musqueam Reserve." [p. 392, a-c]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were others interested, as well, in acquiring land interests in the reserve. A representative of a well-known Vancouver real estate firm made, in February 1956, inquiries of Indian Affairs officials in Ottawa. Interest was expressed by the firm in a long-term lease on certain land in Capilano Indian Reserve No. 5 in West Vancouver, and in securing land on the Musqueam Reserve. The real estate firm was also aware of the golf club's interest. (See Exs. 7 and 8.) That firm's interest, in some kind of development, continued throughout 1956. Anfield and Ameil knew of this. (See Exs. 15 and 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C.E. Kelly, testified. I accept his evidence. From 1955 to 1957 he tried to work out some kind of arrangement with Indian Affairs officials, particularly Anfield, to develop lots on the reserve for housing. He suggested long-term lease arrangements. When he mentioned he would be willing to discuss it with the Band Councillors, he was told by Anfield not to; to deal only with the Indian Affairs personnel." [p. 392, d-h]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witnesses from the Band called on behalf of the plaintiffs all testified they were never told of any interest, or proposals for development, other than that evinced by the golf club. I accept their evidence" [p. 392, i-j]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indeed, carefully scrutinized and considered the testimony of the Band members, Councillors, and Chiefs and former Chiefs. I have kept in mind that Mr. Anfield is not here to present what, the Crown suggests, is an opposite version. I do not agree there would necessarily have been, if Mr. Anfield and Mr. Arneil were alive, an opposite version. I found the Band members to be honest, truthful witnesses. They did not, in my assessment, conjure up the key evidentiary matters disputed by the defendant. Nor, in my view, was their evidence based on hindsight and reconstruction. On some matters, which I will later refer to, the Band members' testimony is, on analysis, supported by other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therefore accept the plaintiffs' evidence as given by the various Band members who were called as witnesses." [p. 393, e-i]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October 1956, the Band seemed to be in agreement with the general idea that unrequired land should be leased. (See Exs. 9 and 11). The Band Council authorized a land appraisal to be done. It was to be paid out of Band funds. The Indian Affairs Branch requested the appraisal be [394] done by personnel of the </w:t>
      </w:r>
      <w:r>
        <w:rPr>
          <w:rFonts w:ascii="arial" w:eastAsia="arial" w:hAnsi="arial" w:cs="arial"/>
          <w:i/>
          <w:color w:val="000000"/>
          <w:sz w:val="20"/>
          <w:lang w:val="en-US" w:eastAsia="en-US" w:bidi="ar-SA"/>
        </w:rPr>
        <w:t>Veterans' Land Act</w:t>
      </w:r>
      <w:r>
        <w:rPr>
          <w:rFonts w:ascii="arial" w:eastAsia="arial" w:hAnsi="arial" w:cs="arial"/>
          <w:color w:val="000000"/>
          <w:sz w:val="20"/>
          <w:lang w:val="en-US" w:eastAsia="en-US" w:bidi="ar-SA"/>
        </w:rPr>
        <w:t xml:space="preserve"> administration. The Superintendent of Reserves and Trusts wrote (Ex. 13):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Reserve consists of some 416 acres and is located in the southwest section of the City of Vancouver and immediately opposite lands held by the University of British Columbia. It will be realized from this that the Reserve is situated in an area of comparatively high valued land and no doubt has considerable potential revenue for the Band if properly managed.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Mr. Alfred Howell did the appraisal. His report is dated December 28, 1956. Howell was a qualified appraiser as to land values. But he was not a land use expert as recommended by Anfield in Exhibit 9. The Band was not given a copy of the Howell report. They did not see one until after this litigation started. But some of the contents of Howell's report were given to the Band Councillors and Band. I shall refer later to that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Howell, for valuation purposes, divided the reserve into four areas. An area of 220 acres (including the 162 acres eventually leased to the golf club) was classified as "First Class Residential Area". The other major area was low-lying land of approximately 157.5 acres. It is not necessary to describe that or the other two areas. Howell used the comparative approach for the top 220 acres. He arrived at a figure of $5,500 per acre, a total of $1,209,120. The low-lying land he valued at $625 per acre." [p. 393, i and p. 394, a-g]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before the appraisal was carried out, Ameil and Anfield had met with City of Vancouver officials in connection with the leasing of the low lands to the City of Vancouver. Ameil and Anfield, at that meeting, had in mind, as well, leasing 150 acres to the golf club at "...a figure of say $20,000 to $25,000 a year." (See Ex. 12.) In a later letter, dated February 5, 1957, Arneil referred to a "contemplated" meeting with city and golf club officials in respect of long-term leases of land. [p. 394, g-i]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documentary evidence at trial showed that meetings and discussions indeed took place between Anfield and Mr. R.T. Jackson and Mr. E.L. Harrison. Jackson was the president of the golf club in 1956, and the early part of 1957. Harrison was on the board of directors and succeeded Jackson as president some time in 1957.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following is a summary of those meetings and discussions: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Exhibit 19 is a copy of a letter dated February 13, 1957, from Anfield to Jackson. The letter indicates the appraisal report had been received; the area in which the golf club was interested was zoned residential; that area was appraised at more than $5,000 an acre; on the basis of a possible rental of 150 acres, at a minimum of 5%, the annual rental would be $37,500. A hand written note by Anfield, dated two days later, indicates the letter was withdrawn. Instead, the matter, including the appraisal values, was discussed with Jackson and Harrison and the Director of the </w:t>
      </w:r>
      <w:r>
        <w:rPr>
          <w:rFonts w:ascii="arial" w:eastAsia="arial" w:hAnsi="arial" w:cs="arial"/>
          <w:i/>
          <w:color w:val="000000"/>
          <w:sz w:val="20"/>
          <w:lang w:val="en-US" w:eastAsia="en-US" w:bidi="ar-SA"/>
        </w:rPr>
        <w:t>Veterans'Land Act</w:t>
      </w:r>
      <w:r>
        <w:rPr>
          <w:rFonts w:ascii="arial" w:eastAsia="arial" w:hAnsi="arial" w:cs="arial"/>
          <w:color w:val="000000"/>
          <w:sz w:val="20"/>
          <w:lang w:val="en-US" w:eastAsia="en-US" w:bidi="ar-SA"/>
        </w:rPr>
        <w:t>. Part of the note appears to me to read: "appraisal values reviewed - Shaughnessy Golf Club to review situation and advise further."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note here that the golf club was, at this stage, being given information as to the appraised value of the lands. But the Band, according to the members who gave evidence and whose testimony I have accepted, was, at that time, given no information." [p. 395, c-j]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April 1, 1957, Anfield wrote Jackson (Ex. 21). ... The rest of Anfield's letter went on to refer to a discussion with Mr. Howell as to certain areas outlined on Harrison's cardboard sketch. Anfield advised the average value of $5,500 per acre could not be reduced. He said "... (Howell) ... thinks that we would be well advised to stand on the basis of $5500 per acre value, capitalized at 6% to determine the rental right across the line"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April 4, 1957 Harrison, now the president of the golf club, wrote Anfield. This is a very important document. I set it out in full: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Sir: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Re: Musqueam Indian Reserve No.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our discussion yesterday, I am writing to set out the terms which I would be prepared to place before our members for their consideration as a basis for leasing part of the above Indian Reserve. These terms are as follows:</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area to be leased comprises approximately 160 acres of the Indian Reserve and is in the location discussed at our meeting yesterday.</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are to have the right to construct on the leased area a golf course and country club and such other buildings and facilities as we consider appropriate for our membership.</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will require a right-of-way over the part of the Reserve lying between Marine Drive and the leased area to give such convenient access as we need.</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initial term of the lease will be for the period of fifteen years commencing May 1st, 1957, and the club will have options to extend the term for four successive periods of fifteen years each, giving a maximum term of seventy-five years.</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rental for the first "fifteen years" of the term of the lease will be $25,000.00 per annum to be paid in advance on the anniversary date each year of the execution of the lease, the first payment of $25,000.00 to be made as soon as the lease has been prepared, executed and delivered.</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rental for each successive fifteen year period of the term will be determined by mutual agreement between your Department and the club and failing agreement, by arbitration pursuant to the "Arbitration Act" of the Province of British Columbia, but the rental for any of the fifteen year renewal periods shall in no event be increased or decreased over that payable for the preceding fifteen year period by an amount more or less than 15% of the initial rent as set out in 5 above.</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rent to be paid for each successive fifteen year period shall be determined before we are required to exercise our option to extend for that period.</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will pay all taxes assessed against the leased area.</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will pay the reasonable cost of relocating on other parts of the Reserve, any Indian houses presently on the leased area.</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during the term of this lease, and for a period of up to six months after termination, we will have the right to remove any buildings and other structures constructed or placed by us upon the leased area, and any course improvements and facilities.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would advise me of your approval of these general terms by Monday, April 8th, I could arrange with our Directors to call a special meeting of the membership in the immediate future." [p. 396, b-397, 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April 7, 1957 there was a Band Council meeting. The evidence before me is that Mr. Anfield arranged practically all of the Band Council meetings and full Band meetings of the Musqueam Band. It was Anfield's practice to preside at those meetings. He frequently kept the minutes. In the case of this meeting there are two sets of minutes. One set was kept in handwriting by Andrew Charles Jr. (Ex. 23). He was a member of the Band. He was 25 years old at the time. The other set of minutes was kept by Anfield. His practice appears to have been to have them typed at a later date." [p. 397, e-h]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compared the two sets of minutes. Anfield's are in a little more detail but the two sets cover, in substantially the same way, the items of business discussed in respect of the reserve. Charles Jr. noted that Anfield had advised the highest possible appraisal market sales value of the reserve was $1,346,000. Charles Jr. noted also that Anfield had "submitted" a formal application by the golf club to lease 160 acres. The initial term of the lease was to be for 15 years commencing May 1, 1957. The club was to have options to extend the term for four successive periods of 15 years. The Charles Jr. minutes do not record the proposed annual rental." [p. 397, i-j- p. 398,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"Anfield's minutes read as follows (Ex. 24):</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Superintendent then placed before Council the application of Shaughnessy Golf Club of Vancouver for a long term lease of approximately 160 acres of land as outlined generally on the McGuigan survey plan at a rental for the first lease period of 15 years of $25,000.00 per year, with options for four additional 15-year periods </w:t>
      </w:r>
      <w:r>
        <w:rPr>
          <w:rFonts w:ascii="arial" w:eastAsia="arial" w:hAnsi="arial" w:cs="arial"/>
          <w:color w:val="000000"/>
          <w:sz w:val="20"/>
          <w:u w:val="single"/>
          <w:lang w:val="en-US" w:eastAsia="en-US" w:bidi="ar-SA"/>
        </w:rPr>
        <w:t>on terms to be agreed upon</w:t>
      </w:r>
      <w:r>
        <w:rPr>
          <w:rFonts w:ascii="arial" w:eastAsia="arial" w:hAnsi="arial" w:cs="arial"/>
          <w:color w:val="000000"/>
          <w:sz w:val="20"/>
          <w:lang w:val="en-US" w:eastAsia="en-US" w:bidi="ar-SA"/>
        </w:rPr>
        <w:t>. [My underlining.Collier J.]" [p. 398, 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"Both sets of minutes recorded that Council passed a resolution approving the lease of unrequired lands to Shaughnessy Golf Club and the submission to the Band as a whole of surrender documents in respect of the 160 acres." (p. 398, 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on behalf of the plaintiffs is that not all of the terms of the Shaughnessy proposal were put before the Band Council at that meeting. William Guerin said copies of the proposal were not given to them. He did not recall any mention of $25,000 per year for rental. He described it as a vague general presentation with reference to 15-year periods. Chief Edward Sparrow said he did not recall the golf club proposal being read out in full.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accept the evidence of William Guerin and Chief Sparrow on this point. The minutes by Charles Jr. and Anfield suggest, to me, only a general indication was given of the proposal by the golf club to lease approximately 160 acres for an initial term of 15 years, with options for additional 15-year periods. I note the Charles Jr. minutes record the exact words of term 4 of the golf club proposal. If the other terms, including rent, had been read out, I am sure Charles Jr. would have recorded them. I note the Anfield minutes on this point conclude with the words '... on terms to be agreed upon'." [p. 398, d-i]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April 11, 1957, Ameil wrote W.C. Bethune, the Superintendent of Reserves and Trusts, in Ottawa. That letter could not be found. But the Superintendent's reply to Ameil dated April 24, 1957 became Exhibit 26. Bethune questioned the adequacy of the $25,000 annual rental for the first 15 years. At an investment return of five to six per cent, he said the rental value would be somewhere between $250 to $300. Using Bethune's figures, the rental value per acre would have been between $40,000 and $48,000 per year for the first 15 years. The golf club proposal, for 150 acres, meant an investment return of approximately 3%. Bethune suggested to Arneil the matter should be discussed with Howell, and his opinion be obtained as to what Howell felt the Indian Affairs Branch could expect to obtain on leasing this area for a long term, as contemplated by the golf club.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Anfield then discussed the matter with Howell. He gave him copies of Bethune's letter. Anfield formally wrote Howell on May 16, 1957. He asked for Howell's written opinion as to whether the $25,000 per year rental for the first 15 years was "just and equitable". He pointed out that in a long-term lease of 75 years it was conceivable the expected rate of return might not exceed 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Howell was not given all the details of the Shaughnessy proposal. He did not know of term 6 where rent increases or decreases for the 15-year renewal periods were limited to 15% of the initial rent of $25,000, or $3,750. Nor was he made aware the golf club proposed to have the right, at any time during the term of the lease, or up to 6 months after termination, to remove any buildings or improvements.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digress slightly. The original Shaughnessy proposal provided for the rent for each successive 15-year period to be mutually agreed upon. Failing agreement, the matter was to be decided by arbitration. There was no stipulation in the April 4 proposal, as in the lease ultimately entered into, that on arbitration the rent would be determined as if the land were in an uncleared and unimproved condition, and restricted to use as a golf course. The Shaughnessy proposal provided, as I read it, the rent could never be increased or decreased by more than $3,750 per year in any of the successive 15-year periods." [p. 398, j; 399, a-j]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"Howell replied to Anfield on May 23, 1957 (Ex. 33). He had re-checked his values in respect of the high land on the reserve. He pointed out the true test of value would be to offer the area on the market for development, and see what offers resulted. ... He went on to justify the reduction of the rate of return to 3%...." [p. 400, a-b]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"Howell...went on to point out a golf course would enhance the value of the surrounding reserve property." [p. 400, 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Howell gave evidence at trial. He said he approved, in 1957, the 3% return rate for the reasons given in his letter: the then bond rate was 3.75%; the golf club was not a financial risk; the improvements would revert to the Band. In cross-examination, he said if he had known the improvements would not revert to the Band, he would have recommended a rate of return of 4 to 6%. He had assumed, in giving his opinion to the local Indian Affairs officials, renegotiation of the rent would be based on the improved condition of the land and on the highest and best use principle. He expressed shock at the ultimate limiting 15% clause, which found its way into the lease which was signed." [p. 400, f-h]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"Howell was, in my view, an honest witness. I accept his evidence as set out in the previous paragraph. I am satisfied he would not have expressed the opinion he gave in Exhibit 33 if he had had all the facts before him." [p. 400, 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"Howell's letter was forwarded to Ottawa with the request that surrender documents for lease purposes be prepared for submission to the Musqueam Band. On June 13, 1957, the Director of Indian Affairs in Ottawa recommended to the Deputy Minister the golf club's offer should be accepted. The Director expressed the view the annual rental was satisfactory; but no lease would be issued until an acceptable surrender was received from the Musqueam Band. The Deputy Minister gave his approval." [p. 400, j-p. 401, 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July 3, 1957, Bethune forwarded the surrender documents and other relevant material to Arneil. He said to Arneil he would like to see the 15% limitation, set out in the golf club proposal, removed. He suggested succeeding rentals should be established by mutual agreement, or failing that, by arbitration." [p. 401, b-e]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July 12 Chief Sparrow and Anfield had a conversation. The Chief had asked for certain figures in respect of the reserve valuation. On July 16, 1957 Anfield wrote Chief Sparrow in reply. Anfield advised the total appraised value of the reserve was $1,360,000. He set out the different values for the various categories of land in the reserve. He [Anfield] went 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golf club people are applying for 162 acres on the highland. This at $5500.00 an acre shows a valuation of $891,000.00 and the offer of $25,000.00 per year rental for the first ten year period in which the golf club will have to spend almost a million dollars of capital funds works out at an investment of 3%, which is considered by the appraiser to be a very high return for such land use.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For your information the investment value of land on which large structures are placed goes between 5 and 6% and it is our appraiser's frank opinion that an investment of 3% for golf club purposes having in mind that the land in its improved state will eventually revert to the Band is considered a very satisfactory return.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reference to the 10-year period was incorrect. At a Band Council meeting on July 26, Chief Sparrow pointed out the Shaughnessy proposal was for 15-year terms. Anfield wrote a letter correcting the error.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Anfield's advice as to Howell's opinion on rate of return is, in my view, an overstatement. The Band was never given a copy of Howell's letter of May 23, 1957. Nor was the Band told, at that time, the golf club proposed to have the right to remove any improvements made to the lands." [p. 401, c-i]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Band Council meeting was held on July 25, 1957 at the reserve. Mr. Anfield presided. For the Band Council there was Chief Sparrow and Councillor Gertrude Guerin. She is the mother of the present Chief Delbert Guerin. Charles Jr., the secretary of the Band Council, was late. Anfield recorded the minutes." [p. 401, j- p. 402,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leasing of the 162 acres was discussed at length. One of the problems was that a number of Band members claimed improvements in the area, and in other areas of the reserve. Certificates of possession had not been issued to those claimants. It was undoubtedly a difficult problem. Several alternative solutions were discussed. The Council passed a resolution that a general meeting of the electors of the Band be held on August 23, 1957. (This date was later changed.) The purpose of that meeting was to consider and vote on the surrender to the Crown of the 162 acres.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further discussion on the proposed lease to the golf club. The two Band Councillors were of the opinion the review periods should be at 10-year intervals, rather than 15." [p. 402, 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September 9, 1957 the Band Council passed a resolution that the rental valuation, in respect of the proposed lease, be "reviewed and renegotiated" with the golf club." [p. 402, 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September 27, 1957 there was a Band Council meeting held at the reserve. Chief Edward Sparrow and Councillors Gertrude Guerin and William Guerin attended. From the Department of Indian Affairs there was Anfield and a William Edward Grant. Grant was described as "officer in charge - Vancouver agency"." Grant gave evidence at the trial. He joined the Indian Affairs Branch in 1950 at Vanderhoof, B.C. In the latter part of June 1957, he was transferred to the regional office in Vancouver. He filled a new post, that of Relieving Indian Superintendent. His duties were to fill in for other superintendents in British Columbia who were ill, or on vacation, or otherwise absent from their regular duties. At about the same time (July 1957) Mr. Anfield was promoted to Assistant Indian Commissioner of British Columbia. Another member of the Department of Indian Affairs, W.A. Anderson, was also present at this Council meeting. [p. 402, f-j]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Harrison and Mr. Jackson of the Shaughnessy Golf Club came to this meeting. The secretary, Mr. Heina attended as well." [p. 403,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presence of the golf club representatives, Chief Sparrow stipulated for 5% income on the value of the 162 acres. That amounted to approximately $44,000 per annum. The figure of $44,000 or $44,550 had actually been calculated by Councillor William Guerin. The golf club people balked at that figure....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one stage at this meeting, the golf club representatives were asked to step outside. The Band Council and the Indian Affairs personnel then had a private discussion. Anfield expressed the view the demand of $44,550 was unreasonable. After considerable discussion the Band Council agreed on a suggested figure of $29,000: they would recommend that amount to the Band as a whole. The golf club representatives were then brought back into the meeting. The figure of $29,000 was put to them. They said they would recommend it to their board of directors." [p. 403, b-t]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"William Guerin testified the Councillors agreed to $29,000 because it was their understanding the first lease period was 10 years; subsequent rental negotiations would be every 5 years; the Band Council felt it could negotiate for 5% of the subsequent values.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Grant's recollection of the meeting is substantially the same as the version I have recounted. There are some discrepancies on minor details. It was Grant's recollection the $29,000 figure came from Anfield. He said Anfield advised the Council to go ahead with the lease and in 10 years demand a healthy increase from the golf club. It was Grant's further recollection that some limitation on maximum rent increases, put forward by the golf club, was discussed. He said the Band Council objected to this; Anfield said he would relay that view to the Department of Indian Affairs. Grant's testimony, which I accept, was that the Band Council reluctantly accepted the $29,000 figure." [p. 403, g-j; p. 404]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Sunday afternoon, October 6, 1957, there was a meeting of members of the Band at the reserve. This was what has been termed the "surrender meeting"." [p. 404,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 to Grant, Anfield had, at this meeting, a copy of a draft lease between the Crown and the golf club. It was Grant's recollection that Anfield made notes on the draft lease during the meeting. The draft was not an exhibit at trial. Grant may have been mistaken. The first draft lease submitted as an exhibit is dated October 17, 1957. It was apparently prepared by the golf club's solicitors. But Mr. Mcintosh, the solicitor, testified he drafted a lease in August or September of 1957. He thought it might form a basis for discussion in respect of the final lease terms. He had discussions with either Anfield or Arneil in respect of that first draft lease." [p. 404, e-g]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satisfied from reading the Grant and Charles Jr. notes, and from the evidence of Chief Sparrow, Charles Jr., William Guerin and Grant that the extent of the information imparted at the meeting, regarding the proposed surrender and lease, was as follows: the golf club wanted to lease 162 acres; the value of the land in question was $5,500 an acre. The original proposal had been a lease of 150 acres at $25,000 a year; the golf club had requested additional land; an increase to $29,000 per year had been obtained. The lease proposal was for 75 years, with renewal periods of 15 years. The owners of improved land within the proposed golf course area would receive 50% of the rental earnings; the remainder would be distributed among members of the Band as a whole. In the first 10 years, that would amount to $132,400 for those owners of improved land, and a similar amount for the Band as a whole. The meeting was told of the proposed 15% limitation on rental increases." [p. 404, h- p. 405,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following facts are in my opinion clear, and I make these findings:</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Band members voted, those present assumed or understood the golf club lease would be, aside from the first term, for 10-year periods, not 15 years.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This is clear from the evidence of Chief Sparrow, William Guerin, Charles Jr., and Grant. Support can also be found in the notes kept by Charles Jr., and Grant. Anfield's own pre-meeting notes (Ex. 50) state "... the Council have asked that the periods be 10 years instead of 15 years." Two newspaper items, published the day following the surrender meeting, referred to "a 10-year agreement" (Ex. 54) and "29,000 for the first 10 years" (Ex. 55). Chief Sparrow testified the newspaper reports, attributing this information to him, were correct...</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Band members voted, those present assumed or understood there would be no 15% limitation on rental increases.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Anfield's pre-meeting notes read as follows: "... the Department do not wish this put in ...". I have already referred to Charles Jr.'s notes and Grant's evidence on this point. On the draft lease (Ex. 60) Anfield's note in respect of the 15% limit, reads "not satisfactory to dept. or Indians".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There was no information given as to the method of negotiating future rental increases. The original golf club proposal (Ex 22) merely provided for succeeding rentals to be agreed upon, or to be determined by arbitration.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 am satisfied that, at the time of the vote, the Indian Affairs personnel and the Band were against any 15% rental limitation; the Band voted on the basis there would be no such limitation.</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meeting was not told the golf club proposed it should have the right, at any time during the lease and for a period of up to six months after termination, to remove any buildings or structures, and any course improvements and facilities..."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Chief Sparrow, William Guerin and Charles Jr., all testified they understood from Anfield, either at the surrender meeting or a Council meeting, all improvements would, on the expiration of the lease, revert to the Band. Grant testified the surrender meeting was told that the Band could keep all improvements made on the golf course land. [p. 405, e-i; 406, c-j]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two other terms of the lease ultimately entered into on January 22, 1958 (Ex. 78) which were the subject of considerable testimony.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was the method of determining future rents. Failing mutual agreement, the matter was to be submitted to arbitration. The new rent was to be the fair rent as if the land were still in an uncleared and unimproved condition and used as a golf club. The other term gave the golf club the right at the end of each 15-year period to terminate the lease. Six months' prior notice was all that was required. There was no similar provision in favour of the Crown.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two matters were, I find, not before the surrender meeting. They were not in the original golf club proposal (Ex. 22). They first appeared in the draft leases, after the surrender meeting. But the two terms were not subsequently brought before the Band Council, or the Band, for comment or approval." [p. 407, a-e];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return to what went on at the surrender meeting.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surrender documents (Ex. 53) were read out. The first portion provided for the surrender to the Crown of the 162 acres. The remainder was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 HAVE AND TO HOLD the same upon Her said Majesty the Queen, her Heirs and Successors forever in trust to lease the same to such person or persons, and upon such terms as the Government of Canada deem most conducive to our Welfare and that of our people.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upon the further condition that all moneys received from the leasing thereof, shall be credits to our revenue trust account at Ottawa.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We, the said Chief and Councillors of the said Musqueam Band of Indians do on behalf of our people and for ourselves, hereby ratify and confirm, and promise to ratify and confirm, whatever the said Government may do, or cause to be lawfully done, in connection with the leasing thereof.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vote was taken. Forty-three members voted. There were 41 votes for the surrender and 2 against it. Another vote was then taken in respect of payment of 50% of revenue to individual owners. Twenty-five members voted in favour, and 3 against.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to be noted that the surrender (Ex. 53) is in very wide terms. The key words are "in trust to lease". There is no mention of the proposed lease to the golf club." [p. 407 f-j; p. 408,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October 24, 1957, [the Indian Agent] wrote on behalf of Ameil (Ex. 63) to Ottawa. He attached a draft lease prepared by the solicitors for the golf club." The draft provided for 5 terms of 15 years each. Anfield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has been discussion with the Indians that this term should be reduced, possibly to 10 year periods. In this regard it should be stated that it is going to take 3 years to get this site into operable condition, in addition to which the Club is going to have to make a million dollar investment in a Club House and the cost of constructing and perfecting the golf course. It would hardly seem fair to expect a review of rentals, presumably upward, in as short a space of time as 10 years and we are inclined to recommend that the 15 year period is fair and equitable." [p. 408, 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respect of the 15% limitation on rental increases he wrote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noted the draft lease includes an escalator clause limiting increase and decrease to 15% of the rental in the previous rental period. The Department, in their letter dated July 3, 1957, are obviously not happy about the inclusion of such a clause and this matter was discussed at very considerable length last summer with the Directors of the Shaughnessy Golf Club. They point out that they are not a commercial firm but a Club, with a limited membership and it is of the utmost importance that the total financial encumbrance over the lease period be reasonably secured. They are very definitely against the suggestion contained in the Department's letter aforementioned; that review of rentals be subject to agreement and, if necessary, by arbitration. They feel that any such course could be fatal in their overall planning. Having this in mind they submitted to us an opinion by Mr. Douglas W. Reeve, obtained by the Club, and a copy of this document is attached herewith. This report purports to present the considered views both of Mr. Reeve and of the Club Directors; with particular reference to whether or not this escalator clause, with its limitation of 15%, should be contained in the lease. The Directors point out to the Department in their request, that this 15% limitation be retained; that they will be turning back to the Musqueam Indian Band property of terrific value and with vast improvements, and they also stressed the point that a vital factor in this entire project is the stability of the Club in its overall financial undertaking of the project." [p. 408, f- p. 409,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Mcintosh testified the 15% limitation of rent increase caused the most difficulty in negotiations with the Indian Affairs Branch. The Branch did not want any such clause. The golf club wanted it in all renewals. A compromise was reached providing a 15% limitation in respect of the first renewal. That compromise, according to Mr. Mcintosh, came as a result of a meeting with Harrison, Jackson and Arneil." [p. 409, a-b]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"Neither the views expressed in Anfield's letter (Ex. 63) nor a copy of the letter containing them, nor a copy of the draft lease were given to the Band Council or Band.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Put baldly, the Band members, regardless of the whole history of dealings and the limited information imparted at the surrender meeting, were never consulted. But it was their land. It was their potential investment and revenue. It was their future." [p. 409, 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November 25, 1957, Bethune wrote to Arneil (Ex. 66). He enclosed two copies of a lease prepared in Ottawa. The third paragraph of the letter was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is, however, one item that I would like you to seriously consider, namely the provision of paragraph three which provides for the cancellation of this lease at the end of any fifteen year period. This clause has been retained merely for the purpose of discussion. It seems paradoxical if the club wants a seventy-five year lease to insert the clause permitting them to cancel it after only fifteen years. On consideration you may come to the conclusion that the Indians have nothing to lose even if the lease is cancelled after the first fifteen years." [p. 409, e-g]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indicates that a copy of this letter was given to Mr. Grant [the Assistant Indian Agent] and to Mr. Mcintosh, the golf club's solicitor, but not to the Band." [p. 409, 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make this comment at this stage. The evidence adduced by the plaintiffs is to the effect Anfield had no discussions with the Band Council, or the Band, following the surrender meeting. None of the documents or letters passing between the golf club and Indian Affairs were given to the Band Council or the Band. There were discussions among Anfield, Ameil and golf club officers, including the solicitors, in respect of the lease terms. The solicitor assumed all matters discussed [410] were being communicated to the Band. Neither the chief nor the Band Council were part of those discussions nor were they advised of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accept that evidence adduced on behalf of the plaintiffs." [p. 409, c-j and p. 410,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I think, three explanations. None are exonerations. The surrender did not specify that any lease was to be made with the golf club. Nor did it provide that any ultimate lease, whomever with, had to be approved by the Band or the Band Council. The probabilities are the Indian Affairs people took the view they were, by the terms of the surrender, free to negotiate for the best possible terms, without the necessity of consulting the Band." [p. 410, a-c]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practice today, and for the last ten years or so, contrasted with the practice in the 1950s and 1960s, was set out in the evidence of Poupore and others. Bands are now encouraged to obtain their own land appraisals and legal advice; not so earlier. There was testimony before me, which I accept, that the Musqueam Band Council had asked for their own appraisers and lawyers, but Anfield had told them those matters would be looked after by the Indian Affairs Branch. In the present era, bands are encouraged to attach key conditions to surrender documents. That was usual in the past. Proposed leases are now given bands for their study. That was not the former practice. Now, bands are given copies of documents affecting their lands. In Anfield and Letcher's time, bands were not usually given copies of documents. Nor was it the practice to see they had free access to departmental records." [p. 411, d-g]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surrender of the lands was accepted by the defendant by Order in Council dated December 6, 1957." [p. 411, i-j]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January 9, 1958 a Band Council meeting was held." [p. 412,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"Letcher read a letter regarding the golf club lease. It indicated the renewal periods were 15 years instead of 10. Chief Sparrow pointed out the Band had demanded 10-year periods. William Guerin said the Council members were flabbergasted to learn about the 15-year terms. William Guerin testified Letcher said the band was "stuck" with the 15-year terms. I accept Guerin's evidence. The Band Council then passed a resolution that it agreed the first term should be 15 years, but insisted the renewal terms be set out at 10-year periods. The lease was finally signed on January 22, 1958. A copy was not given to the Musqueam Band or the Band Council." [p. 412, 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stage I shall set out the essential terms of the lease of January 22, 1958:</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 is for 75 years, unless sooner terminated.</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rent for the first 15 years is $29,000 per annum.</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4 succeeding 15-year periods, annual rent is to be determined by mutual agreement, or failing such agreement, by arbitration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such rent to be equal to the fair rent for the demised premises as if the same were still in an uncleared and unimproved condition as at the date of each respective determination and considering the restricted use to which the Lessee may put the demised premises under the terms of this lease....</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maximum increase in rent for the second 15-year period (January 1, 1973 to January 1, 1988) is limited to 15% of $29,000, that is $4,350 per annum.</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golf club can terminate the lease at the end of any 15-year period by giving 6 months' prior notice.</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golf club can, at any time during the lease and up to 6 months after termination, remove any buildings or other structures, and any course improvements and facilities." [p. 412, e-j]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"Grant [The Assistant Indian Agent] said the terms of the lease ultimately entered into bore little resemblance to what was discussed at the surrender meeting.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Chief Edward Sparrow, William Guerin and Andrew Charles Jr. were present and voted at the surrender meeting of October 6, 1957. They testified they would not have voted to surrender the 162 acres if they had known the ultimate terms of the lease entered into between the defendant and the golf club.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accept their evidence. I found them to be honest, credible witnesses. Their testimony was not seriously affected, in my view, by hindsight.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already set out my findings as to what the members of the Band knew, and did not know, at the time of the surrender vote. The balance of probabilities is, to my mind, the majority of those who voted on October 6, 1957, would not have assented to a surrender of the 162 acres if they had known all the terms of the lease of January 22, 1958.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so find." [p. 413, a-f]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through the persons handling this matter in the Indian Affairs Branch, knew, early on, the defendant was a potential trustee in respect of any land which might be leased to the golf club. At a meeting of April 7, 1957, the Band Council had passed a resolution (drawn presumably by Mr. Anfield)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 we do approve the leasing of unrequired lands on our Musqueam I.R. 2 and that in connection with the application of the Shaughnessy Golf Club, we do approve the submission to our Musqueam Band of surrender documents for leasing 160 acres approximately as generally outlined on the McGuigan survey in red pencil: and further that we approve the entry by the said applicant for survey purposes only pertinent to said surrender: said surveys to be at the applicant's cost and risk entirely." [p. 417, 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said the Crown knew, at that stage, it was a potential trustee. It knew of the intent of the Band to surrender the lands. The resolution, set out above, does not refer to an unqualified surrender for leasing to anyone. The whole implication of the resolution is that the contemplated surrender was for purposes of a lease with the golf club on terms." [p. 417, f-g]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Indian Affairs Branch, from then on, did not give, on the evidence before me, any realistic consideration to leasing the 162 acres to any other interested party. From April 7, 1957 on, all discussions with the Band Council were confined to the proposed lease of those particular lands to the golf club." [p. 417, h-i]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surrender of October 6, 1957, imposed on the defendant, as trustee, a duty as of that date, to lease to Shaughnessy Golf Club on these conditions:</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total term of 75 years.</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rental revenue for the first 15 years to be $29,000.</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remaining 60 years of the lease to be divided into six 10-year terms.</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rental increase to be negotiated for each new term; no provisions regarding arbitration or the manner in which the land would be valued.</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15% limitation on rental increases.</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improvements on the land, on the expiration of the lease, to revert to the Crown." [p. 417, j-p. 418, a-c]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through the personnel and officials of the Indian Affairs Branch, breached her duty as a trustee. The 162 acres were not leased to the golf club on the terms and conditions authorized by the Band. Substantial changes were made, as can be seen in the final lease document. In respect of those changes, no instructions or authorization were sought by the defendant, as trustee, from the Band, the cestui que trust. Band approval ought to have been obtained. There was a duty on the defendant, through her personnel, to do so." [p. 418, 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already found the probabilities are the Band members would not have, if all the terms of the lease of January 22, 1958 had been before them, surrendered the 162 acres." [p. 418, 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is, therefore, liable for breach of trust." [p. 418, 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"Andrew Charles Jr. testified he asked Superintendent Letcher, a number of times, for a copy of the golf club lease. He said he was told the Band was not allowed to have a copy of the lease. In those years, and until the late 1960s, it was not the practice, as I have related, of the Indian Affairs Branch to give Band Councils copies of documents. All that Superintendent Letcher could say was he could not recall being asked for a copy of the lease." [p. 418, j; p. 419,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accept the evidence, led on behalf of the plaintiffs that despite requests for copies of the lease, they were unsuccessful in obtaining a copy until March 1970." [p. 419, b-e]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led some evidence to try and establish that certain Chiefs or Councillors of the Band knew, or ought to have known, the terms of the lease, at least as early as 1963 or 1964. This evidence came from the witness John F. Ellis." [p. 419, 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1960 Ellis was in the real estate business. He represented a syndicate, which ultimately became Musqueam Recreations Ltd. It was interested in obtaining land for the development of a golf driving range and a par 3 golf course." [p. 419, 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"Negotiations between the Band and Musqueam Recreations Ltd. went on for over three years. The Band, at some stage, decided to surrender the land sought. There were approximately 58 acres (ultimately) involved." (p. 419, i-j]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rebuttal to the evidence of Ellis, the plaintiffs called Gertrude Guerin, who was Band Chief in 1962, and Robert Point, who was a Councillor in 1962 and secretary in 1963. Chief Willard Sparrow and John Sparrow (the latter, according to Ellis, had attended some meetings with Willard) died some years ago. Mrs. Guerin and Point testified that, in the discussions in respect of the Musqueam Recreations Ltd. lease, no mention was made by anyone of the terms of the Shaughnessy lease.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accept their evidence." [p. 421, 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the Band and its members were not aware of the actual terms of the Shaughnessy lease, and therefore of the breach of trust, until March of 1970." [p. 422, 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already found the conduct of the Indian Affairs Branch personnel amounted to equitable fraud; that the plaintiffs did not have actual or constructive knowledge of the real terms of the golf course lease until March 1970; that the plaintiffs cannot, on the evidence and in the circumstances here, be said to have been guilty of lack of due diligence in not ascertaining the lease terms sooner." [p. 429, b-e]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Indian Affairs Branch personnel in entering into the golf club lease acted, in my opinion, honestly. There was no deliberate or wilful dishonesty towards the Band. But the personnel, and ultimately the defendant, did not act reasonably in signing the lease without first going back to the Band. I cannot see that it would be fair to excuse the defendant." [p. 430, a-c]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DAMAGES [p. 430, 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found, as well, the probabilities are the Band, if it had known the terms of the lease of January 22, 1958, would not have voted, on October 6, 1957, to surrender the lands to be leased to the golf club." [p. 430, 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of the most difficult questions for decision looms, in view of my factual findings, at the outset of the enquiry into damages. If the plaintiffs had, in effect, turned down the lease of January 22, 1958, what, likely, would have occurred?" [p. 430, 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a number of possibilities, some of which were canvassed in evidence, some in argument, and some in neither." [p. 431,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possibility, not discussed in evidence or argument, was further negotiation and agreement between the golf club and the Band, through the Indian Affairs Branch. The defendant called Mr. Mcintosh, Mr. Jackson. Mr. Harrison, Mr. Pipes and Mr. Gillespie. I shall refer to those gentlemen, collectively, as the golf club witnesses. I conclude, from their evidence, it was unlikely the golf club would have agreed to deletion of the 15% limitation on increase of rent in the second 15-year period, or to any reduction in the rental terms from 15 years to 10. I also think it unlikely, based on the evidence of Mcintosh, the golf club would have relinquished its proposal to have the right to remove improvements at any time the lease came to an end. Nor do I think the golf club would have agreed to negotiations and arbitration for future rental based on the highest and best use of the land." [p. 431, a-e]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chief witness for the plaintiffs on the question of damages was Mr. A.G. Oikawa. He is a real estate appraiser, and consultant in matters relating to real estate evaluation, marketing studies and feasibility studies.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in respect to evaluation of the 162 acres, called Mr. W. Palmer, Mr. K.W. Behr and Mr. D.D. Davis.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Palmer is the manager of the appraisal division in Vancouver of A.E. Lepage Western Limited. He is also senior vice-president and chief appraiser of the national appraisal operations of that organization. Behr is an appraiser with the A.E. Lepage organization. Davis is an experienced real estate appraiser. He has been in the real estate business with Ker &amp; Ker Ltd. for over forty years. That company is one of the larger real estate companies in Vancouver.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Oikawa, Palmer, Behr and Davis were in agreement on one important point: the 162 acres was, in 1957 and 1958, and still is, a prime piece of residential property in the City of Vancouver. All four appraisers agreed the highest and best use for this property, from 1958 to the present is as prime residential, not as a golf course." [p. 431, f-j; p. 432, a-b)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earlier concluded a lease to the Shaughnessy Heights Golf Club could not have been entered into on the terms approved by the Band in October 1957:</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$29,000 per year for the first rental period;</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renewal on a negotiated rental basis every succeeding 10 years, without any restriction on the basis on which the land would be valued;</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15% limitation on any increase in rent for the second 10- year term;</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termination or expiration of the lease, all improvements would revert to the Band." [p. 433, g-j]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of the above points to one conclusion. Davis put it this 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Knowing what we know today, with the tremendous increase in land values and higher interest rates, all of the foregoing points out to the fact that based upon the years 1968, 1973 and 1978, the rental being obtained from Shaughnessy Heights Golf Club is far too low. However, in 1958 we were not aware of any of these facts, and the writer would have to conclude, thinking as to how we did in 1958, that this is a reasonable lease.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problem, unfortunately, is not whether the present golf club lease is reasonable or not. It is to determine the amount of loss suffered on the basis a golf course lease would probably not have been entered into." [p. 435, b-e]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a lengthy consideration of the evidence I have concluded the 162 acres would have, at some stage, been successfully marketed as prepaid, 99-year leasehold lots for single family, and eventually, multi-family use. As to that kind of development, I accept the opinion of Oikawa over the others.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I am not persuaded the area would have necessarily been developed in 1958, or as quickly as Oikawa opined. One must keep in mind the Band, in 1957 and 1958, was trying to market, on a leasehold basis, more than the 162 acres. There were, according to Howell, 220 acres of prime residential land available." [p. 436, g-j]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"Some of that land, excluding the 162 acres, has since been developed on a 99-year leasehold basis. A 40-acre development, known as Musqueam Park, began at the northeast comer of the golf course in 1965. This development was on a 99-year lease basis, but not prepaid. The majority of the houses were built in 1967 and 1968." [p. 437,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1971 and 1972 another area, called Salish Park, was developed. The land is on a prepaid, 99- year lease basis." [p. 437, 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no doubt the success of the Musqueam Park and Salish Park developments was contributed to, to some extent, by the presence of the golf course. I do not accept the view, advanced by the Crown and some of its witnesses, that it was largely responsible for the success of those two areas. Nor do I accept the view, propounded by some of the defendant's expert witnesses, that large areas of this kind (220 acres) could not be successfully developed, on a residential leasehold basis, without the existence of some kind of golf course, or other attracting amenities." [p. 437, 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area would probably have been well on the road to full development, on a residential leasehold basis, by approximately 1968 to 1971." [p. 437, g-h]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turn now to quantum." [p. 437, i]</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put forward, in argument, four suggested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approaches for the calculation of damages." [p. 437, j]</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was to determine the loss of reasonable economic rent to the band from 1958 to the expiry of the lease in 2033. I do not propose to set out the details of this calculation. The estimate was a minimum damage loss of approximately 45 million dollars. This method presupposes Oikawa's rental income of $97,080 per year as of 1958, and his estimates for 1968, 1973 and 1978. The calculation (I am oversimplifying it) then uses the differences between those figures and the golf club rental figures to the date of trial. Estimates are then made as to future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only limited assistance in this method. It assumes the land could have produced, in the market, the rental returns indicated from 1958 on. But my finding is, as earlier set out, it was unlikely that return could have been reached as early as 1958. This approach also assumes the golf club lease will be in effect until 2033. That may not be a realistic assumption.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second method is a variation of the first, with certain other factors taken into consideration. The total figure, under this approach, is again approximately 45 million dollars. It is subject to the same comments as I made in respect of the first method.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third suggestion for estimating quantum is based on the loss to the Band on the assumption the land should, and would have been, in 1958, developed on a residential, prepaid, 99-year lease basis. The reversionary interest is, as well, estimated. The damage calculation is estimated at approximately 53 million dollars.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fourth approach is "... to determine the loss to the band of the opportunity to develop the land ..." as of the date of trial. It is the difference between what the Band has received under the present lease, and what it could receive from the date of trial to 2033, based on the highest and best use, as put forward by Oikawa, plus the value of the reversionary interest. It assumes the land having sat undeveloped until the date of trial. The estimated damages, under this suggested method, are approximately 71 million dollars." [p. 438, a-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make this comment. None of these suggested approaches are completely unrealistic. The calculations, based on acceptance of all the plaintiffs' evidence as to damages, are, to my mind, relatively conservative.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as I have indicated, none of these approaches take into account a very realistic contingency: in 1988, or at a later rental review period, the golf club may decide, because of the obviously high rent in sight, to terminate the lease. The agreement gives it the right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cannot accept the damage loss estimates calculated by the plaintiffs." [p. 439, a- 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though damages may be difficult, or almost impossible of calculation, if a court is satisfied damage or loss has indeed been sustained, then a court must assess damages as best it can, even if it involves guess-work." [p. 440,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assess the plaintiffs' damages at $ 10,000,000." [p. 441, 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considering the amount to be awarded, I experimented, during my deliberations, with various approaches. I did so in the hope I could eventually set out some, even perhaps vague, mathematical basis for coming to this sum. But I found myself unable to set out a precise rationale or approach, mathematical or otherwise. The dollar award is, obviously, a global figure. It is a considered reaction based on the evidence, opinions, the arguments and, in the end, my conclusions of fact." [p. 441, f-g]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shall set out, however, for the parties, factors and contingencies I have had in mind. The list is not exhaustive:</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difficulty in determining when the 162 acres would have been developed, in what way, and at what monetary return. This, on the basis the present lease would never have been consummated.</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contingency that the area might not, even today be satisfactorily developed, or providing a realistic economic return.</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astonishing increase in land values, inflation, and interest rates since 1958, and the fact no one could reasonably, in 1958, have envisaged that increase.</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counter-factor to (c) is that those same tremendous increases must be taken into account in any damage award.</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possibility the present lease will remain in effect until its expiry in 2033.</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very real contingency, in my view, the lease may be terminated at a future rental review period.</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monies which the plaintiffs have received to date under the present lease, and what might be received in the future if the lease remains.</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value of the reversion of the improvements, whether at the end of prepaid, 99-year e residential leases, or at the end of the golf club lease." (p. 441, h-1; p. 442, a-e]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cannot classify the actions of Anfield, Arneil and the officials in Ottawa, as oppressive, arbitrary, or high-handed. I have already found against any allegations of dishonesty, moral fraud, or deliberate, malicious concealment. The Indian Affairs Branch personnel thought they had the right to negotiate the final terms of the lease without consultation with the Band. I have found, in effect, they did not have that right. That finding does not convert their actions into oppressive or arbitrary conduct, warranting punishment by way of exemplary damages." [p. 443, d-f]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damages are assessed at $10,000,000." (p. 443, 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Le Dain J</w:t>
      </w:r>
      <w:r>
        <w:rPr>
          <w:rFonts w:ascii="arial" w:eastAsia="arial" w:hAnsi="arial" w:cs="arial"/>
          <w:color w:val="000000"/>
          <w:sz w:val="20"/>
          <w:lang w:val="en-US" w:eastAsia="en-US" w:bidi="ar-SA"/>
        </w:rPr>
        <w:t xml:space="preserve">. of the Federal Court of Appeal, Heald J. and Culliton D.J. concurring, made the following findings of fact (page numbers refer to the report of the decision at </w:t>
      </w:r>
      <w:hyperlink r:id="rId19" w:history="1">
        <w:r>
          <w:rPr>
            <w:rFonts w:ascii="arial" w:eastAsia="arial" w:hAnsi="arial" w:cs="arial"/>
            <w:i/>
            <w:color w:val="0077CC"/>
            <w:sz w:val="20"/>
            <w:u w:val="single"/>
            <w:shd w:val="clear" w:color="auto" w:fill="FFFFFF"/>
            <w:lang w:val="en-US" w:eastAsia="en-US" w:bidi="ar-SA"/>
          </w:rPr>
          <w:t>[1983] 2 F.C. 656</w:t>
        </w:r>
      </w:hyperlink>
      <w:r>
        <w:rPr>
          <w:rFonts w:ascii="arial" w:eastAsia="arial" w:hAnsi="arial" w:cs="arial"/>
          <w:color w:val="000000"/>
          <w:sz w:val="20"/>
          <w:lang w:val="en-US" w:eastAsia="en-US" w:bidi="ar-SA"/>
        </w:rPr>
        <w:t xml:space="preserve"> (C.A.) attached as Schedule C to the Notice of Stated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respondents sue on their own behalf and on behalf of all past, present and future members of the Band." [p. 662,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Musqueam Indian Band is a "band" within the meaning of the Indian Act, R.S.C. 1970, c. I-6, and the Musqueam Indian Reserve No. 2 is a "reserve" within the meaning of the Act." [p. 662, a-b]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memorandum to Ameil on October 12, 1956, Anfield reported on a meeting with officials of the City of Vancouver concerning the possibility of leasing the 184 acres in "the lower land area" of the reserve to the City for garbage-disposal purposes. He also referred to the possibility of a lease of the "upper level" of 232 acres to the Shaughnessy Golf Club..." [p. 665, b-e]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appraisal of the Musqueam Reserve was made by Alfred Howell, an appraiser with the</w:t>
      </w:r>
      <w:r>
        <w:rPr>
          <w:rFonts w:ascii="arial" w:eastAsia="arial" w:hAnsi="arial" w:cs="arial"/>
          <w:i/>
          <w:color w:val="000000"/>
          <w:sz w:val="20"/>
          <w:lang w:val="en-US" w:eastAsia="en-US" w:bidi="ar-SA"/>
        </w:rPr>
        <w:t>Veterans' Land Act</w:t>
      </w:r>
      <w:r>
        <w:rPr>
          <w:rFonts w:ascii="arial" w:eastAsia="arial" w:hAnsi="arial" w:cs="arial"/>
          <w:color w:val="000000"/>
          <w:sz w:val="20"/>
          <w:lang w:val="en-US" w:eastAsia="en-US" w:bidi="ar-SA"/>
        </w:rPr>
        <w:t xml:space="preserve"> Administration. Howell was a qualified appraiser, but not a land-use expert.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report dated December 28, 1956 characterized the upper land, on which the golf club was eventually located, as a first-class residential area and put a value on it of $5,500 per acre. The total value of $1,360,000 placed on the land assumed a rate of return of 6%." [p. 666, a-b)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1957 Anfield pursued discussions with R.T. Jackson, then president of the Shaughnessy Golf Club, and E.L. Harrison, a director of the club who succeeded Jackson as president during that year, concerning the possibility of a lease of the upper level Musqueam land to the club." [p. 666, 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letter to Jackson on April, 1957 Anfield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Whilst the appraiser has committed himself to a statement that there might be a diminution in rental values on the yellow bordered area, he points out, and insists that we keep very much in mind the fact that he has arrived at his overall figure of $5500.00 per acre value for the 220 acres lying above the 125 ft. contour as an average value, and he feels that if we start cutting down from this average value of $5500.00 per acre we are going to end up with considerably less than the real value of the acreage of land. He does not feel that he should commit himself to a reduction by percentages or dollars, and thinks that we would be well advised to stand on the basis of $5500.00 per acre value, capitalized at 6% to determine the rental right across the line." [p. 667, d-g]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April 4, 1957, Harrison, who had become the president of the Shaughnessy Golf Club, wrote to Anfield setting out as follows the terms which he was prepared to place before the members of the club as the basis for a lease of land in the reserve:</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area to be leased comprises approximately 160 acres of the Indian Reserve and is in the location discussed at our meeting yesterday.</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are to have the right to construct on the leased area a golf course and country club and such other buildings and facilities at we consider appropriate for our membership...." [p. 667, i-j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April 7, 1957 there was a meeting of the Band Council at which Anfield for the first time informed members of the Band of the negotiations with the golf club. He did not circulate a copy of the club's proposal nor read it out in full. He referred to it in general terms stating that it was a proposal to lease land in the reserve for fifteen years with an option to renew for additional periods of fifteen years on terms to be agreed upon." Minutes of the meeting were written by Andrew Charles Jr., the Band secretary, and by Anfield. The Charles minutes contain the following statement with reference to the proposed lease to the golf club: [p. 668, f-j]</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Anfield also submitted to the council a formal Application to Lease 160 acres on the Musqueam I.R. No. 2 from the Shaughnessy Heights Golf Club. The initial term of the Lease will be for the period of fifteen years commencing May 1st, 1957, and the Club will have options to extend the term for four successive periods of fifteen years each, giving a maximum term of seventy-five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Anfield minutes contain the following reference to the proposed lease:</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Superintendent then placed before Council the application of Shaughnessy Golf Club of Vancouver for a long term lease of approximately 160 acres of land as outlined generally on the McGuigan survey plan at a rental for the first lease period of 15 years of $25,000.00 per year, with options for four additional 15 year periods on terms to be agreed upon." [p. 669,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Charles and Anfield minutes record that the following resolution was passed by the Band Council: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 we do approve the leasing of unrequired lands on our Musqueam I.R. 2 and that in connection with the application of the Shaughnessy Golf Club we do approve the submission to our Musqueam Band of surrender documents for leasing 160 acres approximately as generally outlined on the McGuigan survey in red pencil: and further that we approve the entry by the said applicant for survey purposes only pertinent to said surrender: said surveys to be at the applicants [sic] cost and risk entirely." [p. 669, g-h]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April 24, 1957 Bethune wrote to Ameil concerning the proposed lease to the golf club. He acknowledged receipt of a letter of August [sic] 11, 1957 with enclosures. The letter from Ameil could not be found, but it is clear from Bethune's letter that he had received a copy of the golf club's proposal. Bethune's letter, which expressed concern about the adequacy of the proposed rent of $25,000 per annum for the initial period of fifteen years, reads as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 The Shaughnessy Heights Golf Club</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application to lease- Musqueam I.R. #2</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wish to acknowledge receipt of your letter and enclosures of the 11th of April, 1957, relative to an application received from the above to lease approximately 160 acres of reserve land at a consideration of $25,000.00 per annum for the first fifteen years. The matter of survey has been discussed with the Surveyor General's office and instructions are going forward to the Surveyor Mr. D.J. McGuigan.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proposition put forward by the Golf Club has its relative merits but after reviewing the appraisal from the rental stand-point, we have some doubt as to whether the amount offered for the first term is adequate. The club, as you will note from their application, intend using 160 acres of the best residential land which consists of only 220 acres in all. The lease proposes to tie up this area for a period of 75 years.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appraisal, as you will note, indicates that the area to be leased has a net value of $5,500.00 per acre and considering that we should receive 5 to 6 per cent investment return on the land the rental value per acre should be somewhere between $250.00 to $300.00 per annum. The offer made by the club amount [sic] to $156.00 per acre per year which is considerably lower than what we should expect. ..." [p. 669, i-j; 670; a-e)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May 23, 1957, Howell wrote a letter to Anfield in which he expressed the opinion that a return of 3% on the value which he had placed on the upper land would in all the circumstances be a fair and equitable one, and he recommended the acceptance of the proposed lease to the golf club. Because of the influence which this opinion appears to have had on the decision to lease the land to the club it should be quoted in full. It reads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 first reading your letter it occurred to me that perhaps I had put too high a valuation on the high land of the reserve. A study of values obtaining throughout the City of Vancouver reassured me on this point, but nevertheless, the true test would be to offer the area on the market for development and see what offers result.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However, accepting the appraised value as being correct, it remains to consider whether the present offer, which gives a 3% return on the appraised value can be considered fair and equitable. ..." [p. 671, e-i]</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In addition to that, the property is ideally suited for the project, and while this may not be the highest and best use of the land, it is one which is in keeping with the whole area, some part of which must be dedicated for recreational purposes. The establishment then of the golf course will enhance the value of all the surrounding property, particularly the remaining high land on the reserve. Sewers and water mains to supply the club house will pass and be available to this land." (p. 672, c-d]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Nor, of course, was he aware of the condition that ultimately found its way into the lease that the land would be valued for purposes of rental increase as unimproved, cleared land which could be used only for a golf course. This was confirmed by Howell's testimony at the trial. He agreed that the 15% limitation on rental increase was a "shocking" provision. He adhered to his original opinion that the highest and best use of the land was for residential purposes, and that this should be the basis of valuation for calculation of rental after the initial term." [p. 673, a-c]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July 16, 1957 Anfield wrote to Chief Sparrow in response to a request by the Chief for certain figures concerning the valuation of the reserve. Anfield stated that the total appraised value of the land was $1,360,000. He then made the following statements with respect to the proposed lease: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golf club people are applying for 162 acres on the highland. This at $5500.00 an acre shows a valuation of $891,000.00 and the offer of $25,000.00 per year rental for the first ten year period in which the golf club will have to spend almost a million dollars of capital funds works out at an investment of 3 per cent, which is considered by the appraiser to be a very high return for such land use.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For your information the investment value of land on which large structures are placed goes between 5 and 6 per cent and it is our appraiser's frank opinion that an investment of 3 per cent for golf club purposes having in mind that the land in its improved state will eventually revert to the Band is considered a very satisfactory return." [p. 674, d-g]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Trial Judge made the following observations on these statements [at page 401]: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reference to the 10-year period was incorrect. At a Band Council meeting on July 26, Chief Sparrow pointed out the Shaughnessy proposal was for 15-year terms. Anfield wrote a letter correcting the error.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Anfield's advice as to Howell's opinion on rate of return is, in my view, an overstatement. The Band was never given a copy of Howell's letter of May 23, 1957. Nor was the Band told, at that time, the golf club proposed to have the right to remove any improvements made to the lands. [p. 674, g-i]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July 25, 1957 there was a Band Council meeting to discuss the proposed surrender and lease to the golf club. The minutes of the meeting, written by Anfield, contain the following statement: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Council got back to a discussion of terms for the proposed lease to Shaughnessy Golf Club. Both Councillors present were of the opinion that review period should be at ten year intervals including the initial period rather than fifteen year periods. They will convey this information to the Directors when they meet with the Council." [p. 674, j- p. 675,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September 9, 1957 the Band Council resolved that the proposed amount of rent for the initial term of the lease should be reviewed and renegotiated with the golf club." [p. 675, 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September 27, 1957 there was a Band Council meeting attended by representatives of the golf club. Chief Sparrow, Gertrude Guerin and William Guerin were the members of the Council present. Anfield and William Grant, officer in charge of the Vancouver agency, attended for the Department. The golf club was represented by Harrison, Jackson and the secretary, Reina." [p. 675, g-h]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October 6, 1957 there was a meeting of the Band to vote on the surrender of the land for the purpose of a lease to the golf club." [p. 676, 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surrender, which was approved by a vote of 41 to 2, reads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KNOW ALL MEN BY THESE PRESENTS THAT WE,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undersigned Chief and Councillors of Musqueam Band of Indians resident on our Reserve Musqueam Indian Reserve number two in the Province of British Columbia and of Canada, for and acting on behalf of the whole people of our said Band in Council assembled, Do hereby surrender unto Her Majesty the Queen in right of Canada, her Heirs and Successors forever, ALL AND SINGULAR, that certain parcel or tract of land and premises, situate, lying and being in Musqueam Indian Reserve number two in the Province of British Columbia containing by admeasurement 162 acres, be the same, more or less, and being composed of: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whole of Parcel "A" containing by admeasurement 162 acres more or less as shown on a plan of survey made by D.J. McGuigan, D.L.S. and B.C.L.S. dated the 18th day of May, 1957, or as said parcel may be shown on a final plan of survey for recording in the Indian Affairs survey records at Ottawa.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 HAVE AND TO HOLD the same unto Her said Majesty the Queen, her Heirs and Successors forever in trust to lease the same to such person or persons, and upon such terms as the Government of Canada may deem most conducive to our Welfare and that of our people.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upon the further condition that all moneys received from the leasing thereof, shall be credited to our revenue trust account at Ottawa.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WE, the said Chief and Councillors of the said Musqueam Band of Indians do on behalf of our people and for ourselves, hereby ratify and confirm, and promise to ratify and confirm, whatever the said Government may do, or cause to be lawfully done, in connection with the leasing thereof." [p. 679, a-g]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the surrender meeting a draft lease was prepared by the solicitors for the golf club. On October 24, 1957 Anfield wrote to the Department in Ottawa enclosing the draft lease. With reference to the proposed 15-year terms, he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has been discussion with the Indians that this term should be reduced, possibly to 10 year periods. In this regard it should be stated that it is going to take 3 years to get this site into operable condition, in addition to which the Club is going to have to make a million dollar investment in a Club House and the cost of constructing and perfecting the golf course. It would hardly seem fair to expect a review of rentals, presumably upward, in as short a space of time as 10 years and we are inclined to recommend that the 15 year period is fair and equitable." [p. 679, i-j - p. 680,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reference to the proposed 15 per cent limitation on rental increases, he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noted the draft lease includes an escalator clause limiting increase and decrease to 15 per cent of the rental in the previous rental period. The Department, in their letter dated July 3, 1957, are obviously not happy about the inclusion of such a clause and this matter was discussed at very considerable length last summer with the Directors of the Shaughnessy Golf Club. They point out that they are not a commercial firm but a Club, with a limited membership and it is of the utmost importance that the total financial encumbrance over the lease period be reasonably secured. They are very definitely against the suggestion contained in the Department's letter aforementioned; that review of rentals be subject to agreement and, if necessary, by arbitration. They feel that any such course could be fatal in their overall planning. Having this in mind they submitted to us an opinion by Mr. Douglas W. Reeve, obtained by the Club, and a copy of this document is attached herewith. This report purports to present the considered views both of Mr. Reeve and of the Club Directors; with particular reference to whether or not this escalator clause, with its limitation of 15 per cent, should be contained in the lease. The Directors point out to the Department in their request, that this 15 per cent limitation be retained; that they will be turning back to the Musqueam Indian Band property of terrific value and with vast improvements, and they also stressed the point that a vital factor in this entire project is the stability of the Club in its overall financial undertaking of the project." [p. 680, b-f]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December 6, 1957 the surrender was accepted by Order in Council P.C. 1957-1606, which reads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His Excellency the Governor General in Council, on the recommendation of the Acting Minister of Citizenship and Immigration, pursuant to section 40 of the Indian Act, is pleased hereby to accept the attached surrender dated the sixth day of October, 1957, of a certain portion of Musqueam Indian Reserve Number Two, in the Province of British Columbia, more particularly described in the surrender, it having been duly assented to by the electors of the Musqueam Band of Indians in the said Province, in accordance with the provisions of the Indian Act, in order that the lands covered thereby maybe leased." [p. 681, h-j]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lease with the golf club was made on January 22, 1958." [p. 682, 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copy of the lease was not given to the Band Council or the Band. Andrew Charles, on behalf of the Band, requested a copy of the lease on several occasions, but was refused. The Band, in spite of their request, were unable to obtain a copy of the lease until March 1970." [p. 683, b-e]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important to keep in mind that this is an action which is based on breach of trust and only on breach of trust. It is not an action to set aside a surrender, and a disposition of surrendered land pursuant thereto, on the ground of fraud or nonfulfillment of the conditions of the surrender. It is not an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exercise of statutory authority with respect to the disposition of land in a reserve. It is not an action for rectification of the terms of a surrender of land in a reserve." [p. 687, d-f]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response to an order by the Trial Division for particulars of the trust "upon which it is alleged that the Musqueam Band surrendered the land described in paragraph 5" of the amended statement of claim, the respondents furnished the following particulars: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trust was created on or about October 6th, 1957, by a surrender document which surrendered one hundred sixty-two acres of Musqueam Indian Band reserve lands to Her Majesty the Queen in the Right of Canada, in trust, for the Musqueam Indian Band. The terms of the Trust were oral and were to the effect that the lands were to be surrendered to Her Majesty The Queen so that these lands could be leased to the Shaughnessy Heights Golf Club for the purposes of a golf course on certain lease terms to be incorporated into a Lease between Her Majesty Queen Elizabeth The Second and the Shaughnessy Heights Golf Club." [p. 688, c-f]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Trial Judge found, as alleged by the respondents in their particulars, that a trust was created by the surrender of October 6, 1957 and that its terms were oral."[p. 696, 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doubt there was an understanding that the lease would be with the golf club." [p. 701,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Wilson J</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Dickson J</w:t>
      </w:r>
      <w:r>
        <w:rPr>
          <w:rFonts w:ascii="arial" w:eastAsia="arial" w:hAnsi="arial" w:cs="arial"/>
          <w:color w:val="000000"/>
          <w:sz w:val="20"/>
          <w:lang w:val="en-US" w:eastAsia="en-US" w:bidi="ar-SA"/>
        </w:rPr>
        <w:t xml:space="preserve">., and </w:t>
      </w:r>
      <w:r>
        <w:rPr>
          <w:rFonts w:ascii="arial" w:eastAsia="arial" w:hAnsi="arial" w:cs="arial"/>
          <w:color w:val="000000"/>
          <w:sz w:val="20"/>
          <w:u w:val="single"/>
          <w:lang w:val="en-US" w:eastAsia="en-US" w:bidi="ar-SA"/>
        </w:rPr>
        <w:t>Estey J</w:t>
      </w:r>
      <w:r>
        <w:rPr>
          <w:rFonts w:ascii="arial" w:eastAsia="arial" w:hAnsi="arial" w:cs="arial"/>
          <w:color w:val="000000"/>
          <w:sz w:val="20"/>
          <w:lang w:val="en-US" w:eastAsia="en-US" w:bidi="ar-SA"/>
        </w:rPr>
        <w:t xml:space="preserve">. of the Supreme Court of Canada made the following findings of fact (page numbers refer to the report of the decision at </w:t>
      </w:r>
      <w:hyperlink r:id="rId20" w:history="1">
        <w:r>
          <w:rPr>
            <w:rFonts w:ascii="arial" w:eastAsia="arial" w:hAnsi="arial" w:cs="arial"/>
            <w:i/>
            <w:color w:val="0077CC"/>
            <w:sz w:val="20"/>
            <w:u w:val="single"/>
            <w:shd w:val="clear" w:color="auto" w:fill="FFFFFF"/>
            <w:lang w:val="en-US" w:eastAsia="en-US" w:bidi="ar-SA"/>
          </w:rPr>
          <w:t>[1984] 2 S.C.R. 335</w:t>
        </w:r>
      </w:hyperlink>
      <w:r>
        <w:rPr>
          <w:rFonts w:ascii="arial" w:eastAsia="arial" w:hAnsi="arial" w:cs="arial"/>
          <w:color w:val="000000"/>
          <w:sz w:val="20"/>
          <w:lang w:val="en-US" w:eastAsia="en-US" w:bidi="ar-SA"/>
        </w:rPr>
        <w:t xml:space="preserve"> attached as Schedule C to the Notice of Stated Case):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"WILSON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appellant, Delbert Guerin, is the Chief of the Musqueam Indian Band, the members of which are descended from the original inhabitants of Greater Vancouver. The other appellants are Band Councillors. In 1955 there were 235 members in the Band and they lived on a reserve located within the charter area of the City of Vancouver which contained approximately 416.53 acres of very valuable land." [p. 339, j- p. 340,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subject of the litigation is a lease of 162 acres of the reserve land entered into on January 22, 1958 on behalf of the Band by the Indian Affairs Branch of the federal government with the Shaughnessy Heights Golf Club as lessee." [p. 340, a-b]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fortunate, however, in having very careful and extensive findings by the learned trial judge ..." [p. 341, b-e]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can be little doubt that by the mid '50s the Indian Affairs Branch was well aware that the appellants' reserve was a very valuable one because of its location. Indeed, offers to lease or buy large tracts of the reserve had already been received. We know this from a report dated October 11, 1955 made by Mr. Anfield who was in charge of the Vancouver agency at the time to Mr. Ameil the Indian Commissioner for British Columbia. Both these men are since deceased which is unfortunate since Mr. Anfield played a lead role in the impugned lease transaction. In a later report to Mr. Arneil, Mr. Anfield suggested that a detailed study should be made of the Band's requirement of its reserve lands so that the surplus, if any, could be identified and turned to good account for the Band's benefit. He suggested that not only should they obtain an appraisal of land values but that a land use planning survey should be prepared aimed at maximum development in order to provide long-term revenue for the Band. He continued: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seems to me that the real requirement here is the services of an expert estate planner with courage and vision and whose interest and concern would be as much the future of the Musqueam Indians as the revenue use of the lands unrequired by these Indians. It is essential that any new village be a model community. The present or any Agency staff set up could not possibly manage a project like this, and some very realistic and immediate plans must be formulated to bring about the stated wish of these Musqueam people, the fullest possible use and development for their benefit, of what is undoubtedly the most potentially valuable 400 acres in metropolitan Vancouver today.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Anfield went on to speak in terms of "another potential 'British Properties"' and suggested that all parties interested in the land should be advised that the land not required by the Band for its own use, when defined and surrendered, would be publicly advertised." [p. 341, e-j; p. 342, a-c]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"About this time the Shaughnessy Heights Golf Club was looking for a new site. Its lease from the Canadian Pacific Railway was due to expire in 1960 and the club had been told that it would not be renewed. The club turned its attention therefore to the Musqueam Reserve. At the same time an active interest in the reserve was being displayed by a representative of a prominent Vancouver real estate firm on behalf of a developer client interested in a long-term lease. Although his contact had been directly with the Indian Affairs Branch in Ottawa, Messrs. Arneil and Anfield were both aware of it. Indeed, when he suggested to them that he meet with the Chief and Councillors of the Band to try to work out some arrangement, he was told by Mr. Anfield not to do so but to deal only through Indian Affairs personnel. That he followed this advice is made clear from the evidence of the Band members who testified. They were told of no interest in their land other than that expressed by the golf club." [p. 342, d-h]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learned trial judge dealt specifically with the issue of the credibility of the members of the Band because he was very conscious of the fact that neither Mr. Arneil nor Mr. Anfield was alive to testify. He found the Band members to be "honest, truthful witnesses" and accepted their testimony. [p. 342, i-j]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Band agreed that its surplus land should be leased and authorized a land appraisal to be made and paid for out of Band funds. In fact the appraisal was done by Mr. Howell of the Veterans Land Act Administration. Although he was a qualified appraiser, he was not a land use expert. He divided the reserve for valuation purposes into four areas, the first of which included the 162 acres leased to the golf club. This area comprised 220 acres classified by Mr. Howell as "First Class Residential area" and valued at $5,500 per acre making a total of $1,209,120. The other three areas which were all low lying he valued at $625 per acre. The Band was not given a copy of his report and indeed Mr. Arneil and Mr. Anfield had difficulty getting copies." (p. 343, a-c]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April 7, 1957 the Band Council met, Mr. Anfield presiding. The trial judge found that the golf club proposal was put to the Chief and Councillors only in the most general terms. They were told the lease would be of approximately 160 acres, that it would be for an initial term of fifteen years with options to the club for additional fifteen year periods and that it would be "on terms to be agreed upon". In fact the rent that had been proposed by the club was $25,000 a year for the first fifteen years with the rent for each successive fifteen-year period being settled by mutual agreement or failing that by arbitration. However, under the proposal the rent for the renewal periods was subject to a ceiling increase of 15 per cent of the initial rent of $25,000.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learned trial judge found that when Mr. Bethune, the Superintendent of Reserves and Trusts in Ottawa, was advised of the $25,000 rental figure he questioned its adequacy and suggested to Mr. Ameil that he consult with Mr. Howell, the appraiser, as to what a proper return on the 160 acres would be. Unfortunately, Mr. Howell was not given all the facts. He was not told of the 15 per cent ceiling on rent increases. He was not told that the golf club would have the right to remove all improvements on termination of the lease although he was told that the club proposed to spend up to a million dollars in buildings and improvements on the leased land. Mr. Howell therefore recommended acceptance of the golf club's offer stating: "These improvements will revert to the Band at the end of the lease" and "the Department will be in a much sounder position to negotiate an increase in rental in fifteen years' time when the club will have invested a considerable amount of capital in the property, which they will have to protect." Mr. Howell testified at trial that he would not have recommended acceptance of the golf club's offer had he known that the improvements would not revert to the Band and that the rental on renewal periods was subject to a 15 per cent ceiling increase.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Howell's letter was forwarded to Ottawa with the request that surrender documents be prepared for submission to the Band and this was done. It is interesting to note, however, that in the letter forwarding the surrender documents Mr. Bethune indicated to Mr. Ameil that he would like to see the 15 per cent ceiling on rent removed and rent for subsequent periods established either by mutual agreement or by arbitration." [p. 343 g-j; p. 344 a-i]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Band Council meeting was held on July 25, 1957 again with Mr. Anfield in the chair. There was further discussion of the proposed lease to the golf club and two Councillors expressed the view that the renewal period should be at ten year intervals rather than fifteen. It was at this meeting that the resolution was passed to hold a general meeting of Band members to consider and vote on the surrender of the 162 acres to the Crown for purposes of the lease. The meeting of the Band was held on October 6, 1957 but prior to that there was another meeting of Councillors on September 27, 1957. Mr. Harrison and Mr. Jackson of the Shaughnessy Golf Club attended this meeting and Mr. Anfield, who had in the interval been promoted to Assistant Indian Commissioner for British Columbia, was there along with a Mr. Grant who was described as "Officer in charge-Vancouver Agency". In the presence of the golf club representatives Chief Sparrow took issue with the $25,000 per annum rental figure and stipulated for something in the neighbourhood of $44,000 to $44,500 per annum. The golf club representatives balked at this and they were asked to step outside while the Band Council and the Indian Affairs personnel had a private discussion." [p. 344, j-p. 345, a-e]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Anfield expressed the view that the $44,000 figure was unreasonable and suggested $29,000 to which the Councillors agreed on the understanding that the first lease period would be for ten years and subsequent rental negotiations would take place every five years. Mr. Grant testified that Mr. Anfield advised the Council to go ahead with the lease at the $29,000 figure and in ten years demand a healthy increase from the golf club. Mr. Grant also testified that the Council objected to any ceiling on future rental and Mr. Anfield said that he would convey their concern to the Department of Indian Affairs. On that basis the Council, according to Mr. Grant, reluctantly accepted the $29,000 figure.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meeting of the Band on October 6, 1957 ("the surrender meeting") Chief Sparrow was present along with the Councillors and members. Mr. Anfield presided as usual. The learned trial judge made specific findings as to what occurred at the meeting and I reproduce them from his reasons:</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Band members voted, those present assumed or understood the golf club lease would be, aside from the first term, for 10-year periods, not 15 years.</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Band members voted, those present assumed or understood there would be no 15% limitation on rental increases.</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meeting was not told the golf club proposed it should have the right, at any time during the lease and for a period of up to 6 months after termination, to remove any buildings or structures, and any course improvements and facilities.</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meeting was not told that future rent on renewal periods was to be determined as if the land were still in an uncleared and unimproved condition and used as a golf club.</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meeting was not told that the golf club would have the right at the end of each 15- year period to terminate the lease on six-month's prior notice.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Neither (d) nor (e) were in the original golf club proposal and first appeared in the draft lease following the surrender meeting. They were not brought before the Band Council or the Band at any time for comment or approval. The Band voted almost unanimously in favour of the surrender." (p. 345, e-j; p. 346, a-e]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the surrender there was considerable correspondence between Mr. Anfield and personnel in the Indian Affairs Branch in Ottawa particularly over the more controversial provisions of the lease but none of this correspondence was communicated to the Band Council nor were they given a copy of the draft lease which would have drawn these controversial provisions to their attention. The trial judge states at p. 409: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Put baldly, the band members, regardless of the whole history of dealings and the limited information imparted at the surrender meeting, were not consulted.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But it was their land. It was their potential investment and revenue. It was their future." [p. 347, 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learned trial judge accepted that the Chief, the Councillors and the Band members were wholly excluded from any further discussions or negotiations among the Indian Affairs personnel, the golf club officers and their respective solicitors with respect to the terms of the lease. The trial judge found an explanation, although not a justification, for this in the possibility that Indian Affairs personnel at the time took a rather paternalistic attitude towards the Indian people whom they regarded as wards of the Crown." [p. 347, d-f]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turn now to the essential terms of the lease as entered into in January 22, 1958 as described by the learned trial judge at p. 412:</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 is for 75 years, unless sooner terminated.</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rent for the first 15 years is $29,000 per annum.</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4 succeeding 15-year periods, annual rent is to be determined by mutual agreement, or failing such agreement, by arbitration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such rent to be equal to the fair rent for the demised premises as if the same were still in an uncleared and unimproved condition as at the date of each respective determination and considering the restricted use to which the Lessee may put the demised premises under the terms of this lease ...</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maximum increase in rent for the second 15-year period (January 1, 1973 to January 1, 1988) is limited to 15% of $29,000, that is $4,350 per annum.</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golf club can terminate the lease at the end of any 15-year period by giving 6 months' prior notice.</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golf club can, at any time during the lease and up to 6 months after termination, remove any buildings or other structures, and any course improvements and facilities." [p. 347, g-j- p. 348, a-b]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Grant stated in evidence that the terms of the lease ultimately entered into bore little resemblance to what was discussed and approved at the surrender meeting and the learned trial judge agreed. He found that had the Band been aware of the terms in fact contained in the lease they would never have surrendered their land." [p. 348, b-e]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appellants base their claim against the Crown in deceit as well as in trust. They were unsuccessful on this aspect of their claim at trial but have raised it again on appeal to this Court. While the learned trial judge found that the conduct of the Indian Affairs personnel amounted to equitable fraud, it was not such as to give rise to an action for deceit at common law. He found no dishonesty or moral turpitude on the part of Mr. Anfield, Mr. Arneil and the others. Their failure to go back to the Band and indicate that the terms it had approved were unobtainable, their entry into the lease on less favourable terms and their failure to report to the Band what those terms were all flowed, he found, from their paternalistic attitude to the Band rather than from any intent to deceive them or cause them harm." [p. 356, 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Measure of Damages</w:t>
      </w:r>
      <w:r>
        <w:rPr>
          <w:rFonts w:ascii="arial" w:eastAsia="arial" w:hAnsi="arial" w:cs="arial"/>
          <w:color w:val="000000"/>
          <w:sz w:val="20"/>
          <w:lang w:val="en-US" w:eastAsia="en-US" w:bidi="ar-SA"/>
        </w:rPr>
        <w:t xml:space="preserve"> [p. 356,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breach of trust undoubtedly cost the Band something because they are fixed with a lease which is worth substantially less than the one they surrendered their land to receive. But against what is their loss to be measured if not against the value of the lease they expected to get?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learned trial judge reviewed the evidence adduced by experts as to what would have been a fair return from a golf club lease over the period from 1958 to the date of trial based on the capital value attributed to the land over that period by these experts. This method of assessment made it clear that the golf club lease actually entered into did not yield a fair return. The learned trial judge, however, rejected the concept that the Band's loss was the difference in value between a "fair and reasonable" lease and the actual lease. He said, at p. 435: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problem, unfortunately, is not whether the present golf club lease is reasonable or not. </w:t>
      </w:r>
      <w:r>
        <w:rPr>
          <w:rFonts w:ascii="arial" w:eastAsia="arial" w:hAnsi="arial" w:cs="arial"/>
          <w:color w:val="000000"/>
          <w:sz w:val="20"/>
          <w:u w:val="single"/>
          <w:lang w:val="en-US" w:eastAsia="en-US" w:bidi="ar-SA"/>
        </w:rPr>
        <w:t>It is to determine the amount of loss suffered on the basis a golf course lease would probably not have been entered into.</w:t>
      </w:r>
      <w:r>
        <w:rPr>
          <w:rFonts w:ascii="arial" w:eastAsia="arial" w:hAnsi="arial" w:cs="arial"/>
          <w:color w:val="000000"/>
          <w:sz w:val="20"/>
          <w:lang w:val="en-US" w:eastAsia="en-US" w:bidi="ar-SA"/>
        </w:rPr>
        <w:t xml:space="preserve"> I have outlined the evidence, on this one aspect of value, merely to illustrate, among other things, the remarkable increase in value of this and other land since 1957 and 1958. [Emphasis added by Wilson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other words, just as he had found that the lease the Band wanted would not have been entered into and therefore the value of that lease could not be used in assessing the Band's damages, he likewise found that no golf club lease would have been entered into, presumably on the basis that a so-called "fair" lease could not have been obtained. The value of the land in 1957 and 1958 and its increase in value subsequently made use as a golf course uneconomic.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trial judge therefore moved to other potential uses and concluded on the evidence that the 162 acres would at some point of time have been successfully marketed as pre-paid ninety-nine year leasehold lots for residential development. He found, however, that such a development would not have got underway for some years following the date of the golf club lease. Time would have been required for planning, for tenders and for negotiation. Moreover, development might have [359] been slow at first. However, based on the evidence before him as to economic, business and population trends, real estate values, housing accommodation demand and raw land shortages over the period 1958 to 1973, he concluded that the area would probably have been well on the way to full development on a residential, leasehold basis by 1968 to 1971. He noted in passing that this type of development had taken place on other parts of the reserve and he made due allowance for the fact that those developments were probably assisted by the presence of the golf course." [p. 357, j; 358, a-j; 359, a-b)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then on the possibility that this type of development might have taken place on the 162 acres and applying the anticipated return from such development against the return from the golf club lease, the learned trial judge came up with a global assessment of $10 million. He acknowledged that this figure could not be mathematically documented but stated, at p. 441, that it was "a considered reaction based on the evidence, the opinions, the arguments and, in the end, my conclusions of fact". However, he did go on to set out the various factors and contingencies that he had taken into account in reaching his assessment. He did not allocate percentages to these contingencies." [359, c-f]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to me that what the trial judge was doing once he rejected the value of a golf club lease (either the one the Band authorized or one which could be described objectively as "fair") as the value against which the Band's loss was to be measured was to put a value as of the date of trial on the Band's lost opportunity to develop the land for residential purposes and assess the Band's damages in terms of the difference between that figure and the value of the golf club lease." [p. 359, g-i]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the Crown did, therefore, was to commit the Band to an unauthorized long-term lease which deprived it of the opportunity to use the land for any other purpose." [p. 360, b]</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"DICKSON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is whether the appellants, the Chief and Councillors of the Musqueam Indian Band, suing on their own behalf and on behalf of all other members of the Band, are entitled to recover damages from the federal Crown in respect of the leasing to a golf club of land on the Musqueam Indian Reserve." [p. 364, 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Crown does not attack the findings of fact made by the trial judge. The Crown simply says that on those facts no cause of action has been made out. The following summary of the facts derives directly from the judgment at trial. Musqueam Indian Reserve (No. 2) in 1955 contained 416.53 acres, situated within the charter area of the City of Vancouver. The Indian Affairs Branch recognized that the reserve was a valuable one, "the most potentially valuable 400 acres in metropolitan Vancouver today". In 1956 the Shaughnessy Heights Golf Club was interested in obtaining land on the Musqueam Reserve. There were others interested in developing the land, although the Band was never told of the proposals for development." [p. 365, g-j - p. 366,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April 4, 1957, the President of the golf club wrote to Mr. Anfield, District Superintendent of the Indian Affairs Branch, setting forth a proposal for the lease of 160 acres of the Indian Reserve, the relevant terms of which were as follows:</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club was to have the right to construct on the leased area a golf course and country club and such other buildings and facilities as it considered appropriate for its membership.</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initial term of the lease was to be for fifteen years commencing May I, 1957, with the club to have options to extend the term for four successive periods of fifteen years each, giving a maximum term of seventy-five years...." [p. 366, 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April 7, 1957 a Band Council meeting was held. Mr. Anfield presided." [p. 366, 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meeting the Band Council passed a resolution which the trial judge presumed to have been drawn up by Mr. Anfield. The relevant part of the resolution reads: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we do approve the leasing of unrequired lands on our Musqueam I.R. 2 and that in connection with the application of the Shaughnessy Golf Club, we do approve the submission to our Musqueam Band of surrender documents for leasing 160 acres approximately as generally outlined on the McGuigan survey in red pencil." [p. 366, j - p. 367, a-b]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trial Mr. Howell said that if he had known the improvements would not revert to the Band, he would have recommended a rate of return of 4 to 6 per cent. He expressed shock at the 15 per cent clause. He had assumed that at the end of the initial term the rental could be renegotiated on the basis of "highest and best use" without any limitation on rental increase." [p. 368, a-b)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On September 27, 1957 a Band Council meeting was held at the reserve, attended by members of the Band Council, Mr. Anfield, two other officials of the Department of Indian Affairs and representatives of the golf club." [p. 368, 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Grant, officer in charge of the Vancouver agency of the Department of Indian Affairs, testified that there was "absolutely no question that the vote was for a specific lease to a specific tenant on specific terms" and that the Band did not give Mr. Anfield "authority to change things around"." [p. 368, 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On October 6, 1957, a meeting of members of the Band was held at the reserve, the so called "surrender meeting". The trial judge made these findings: (i) those present assumed or understood the golf club lease would be, aside from the first term, for ten-year periods, not fifteen years; (ii) those present assumed or understood there would be no 15 per cent limitation on rental increases; (iii) the meeting was not told that the golf club had proposed that it should have the right to remove any buildings, structures, course improvements and facilities." [p. 368, i-j; p. 369,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trial judge found further that two matters which subsequently found their way into the lease were not even put before the surrender meeting. They were not in the original golf club proposal. They first appeared in draft leases, after the meeting. The first of these terms was the method of determining future rents; failing mutual agreement, the matter was to be submitted to arbitration; the new rent would be the fair rent as if the land were still in an uncleared and unimproved condition and used as a golf club. The second term gave the golf club, but not the Crown, the right at the end of each fifteen-year period to terminate the lease on six month's prior notice. These two terms were not subsequently brought before the Band Council or the Band for comment or approval." [p. 369, b-e]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surrender, which was approved by a vote of forty-one to two, gave the land in question to Her Majesty the Queen on the following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 HAVE AND TO HOLD the same unto Her said Majesty the Queen, her Heirs and Successors forever in trust to lease the same to such person or persons, and upon such terms as the Government of Canada may deem most conducive to our Welfare and that of our people.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upon the further condition that all moneys received from the leasing thereof, shall be credited to our revenue trust account at Ottawa.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WE, the said Chief and Councillors of the said Musqueam Band of Indians do on behalf of our people and for ourselves, hereby ratify and confirm, and promise to ratify and confirm, whatever the said Government may do, or cause to be lawfully done, in connection with the leasing thereof." [p. 369, f-i]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 On December 6, 1957 the surrender of the lands was accepted by the federal Crown by Order-in-Council P.C. 1957-1606, "in order that the lands covered thereby may be leased"." [p. 369, j - p. 370,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 On January 9, 1958, a Band Council meeting was held. A letter was read regarding the proposed golf club lease." [p. 370,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 The lease was signed January 22, 1958. It provided,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 is for 75 years, unless sooner terminated.</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rent for the first 15 years is $29,000 per annum.</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4 succeeding 15-year periods, annual rent is to be determined by mutual agreement, or failing such agreement, by arbitration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such rent to be equal to the fair rent for the demised premises as if the same were still in an uncleared and unimproved condition [and used as a golf course.]</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maximum increase in rent for the second 15-year period (January 1, 1973 to January 1, 1988) is limited to 15% of $29,000, that is $4,350 per annum.</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golf club can terminate the lease at the end of any 15-year period by giving 6 months' prior notice.</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golf club can at any time during the lease and up to 6 months after termination, remove any buildings or other structures, and any course improvements and facilities." [p. 370, d-h]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Band was not given a copy of the lease, and did not receive one until twelve years later, in March 1970.</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Grant testified that the terms of the lease ultimately entered into bore little resemblance to what was discussed at the surrender meeting. The judge agreed. He found that the majority of those who voted on October 6, 1957 would not have assented to a surrender of the 162 acres if they had known all the terms of the lease of January 22, 1958." [p. 370, i-j; p. 371,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the surrender the Band had also been given to understand that a lease was to be entered into with the Shaughnessy Heights Golf Club upon certain terms, but this understanding was not incorporated into the surrender document itself." [p. 387, i-j]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promised lease proved impossible to obtain, the Crown, instead of proceeding to lease the land on different, unfavourable terms, should have returned to the Band to explain what had occurred and seek the Band's counsel on how to proceed." [p. 388, i]</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"ESTEY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facts here, there is no issue but that the Indian Band had determined to exercise their interest in the land through the medium of a lease to the golf club." [p. 393, g]</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7" style="position:absolute;z-index:251738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7" w:history="1">
        <w:r>
          <w:rPr>
            <w:rFonts w:ascii="arial" w:eastAsia="arial" w:hAnsi="arial" w:cs="arial"/>
            <w:b/>
            <w:bCs/>
            <w:i/>
            <w:color w:val="0077CC"/>
            <w:kern w:val="32"/>
            <w:sz w:val="28"/>
            <w:szCs w:val="32"/>
            <w:u w:val="single"/>
            <w:shd w:val="clear" w:color="auto" w:fill="FFFFFF"/>
            <w:lang w:val="en-US" w:eastAsia="en-US" w:bidi="ar-SA"/>
          </w:rPr>
          <w:t>Myatt v. Holicza, [2000] I.L.R. para. G-1349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Insurance Law Reporter Cases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Parrett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July 26, 2000.</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[2000] I.L.R. para. G-1349</w:t>
      </w:r>
    </w:p>
    <w:p>
      <w:pPr>
        <w:spacing w:before="120" w:line="260" w:lineRule="atLeast"/>
        <w:rPr>
          <w:lang w:val="en-US" w:eastAsia="en-US" w:bidi="ar-SA"/>
        </w:rPr>
      </w:pPr>
      <w:r>
        <w:rPr>
          <w:rFonts w:ascii="arial" w:eastAsia="arial" w:hAnsi="arial" w:cs="arial"/>
          <w:color w:val="000000"/>
          <w:sz w:val="20"/>
          <w:lang w:val="en-US" w:eastAsia="en-US" w:bidi="ar-SA"/>
        </w:rPr>
        <w:t>Myatt v. Holicza</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28" style="position:absolute;z-index:25165926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 w:name="Keywords"/>
      <w:bookmarkEnd w:id="3"/>
      <w:r>
        <w:rPr>
          <w:rFonts w:ascii="arial" w:eastAsia="arial" w:hAnsi="arial" w:cs="arial"/>
          <w:b/>
          <w:color w:val="000000"/>
          <w:sz w:val="20"/>
          <w:lang w:val="en-US" w:eastAsia="en-US" w:bidi="ar-SA"/>
        </w:rPr>
        <w:t xml:space="preserve">Occupier's liability — Fall on stairway on deck — No handrail or guard — Homeowner liable — Personal injury damages — Foot fracture and shoulder injury — $20,000 non-pecuniary damages — Occupier's Liability Act, </w:t>
      </w:r>
      <w:r>
        <w:rPr>
          <w:rFonts w:ascii="arial" w:eastAsia="arial" w:hAnsi="arial" w:cs="arial"/>
          <w:b/>
          <w:i/>
          <w:color w:val="000000"/>
          <w:sz w:val="20"/>
          <w:lang w:val="en-US" w:eastAsia="en-US" w:bidi="ar-SA"/>
        </w:rPr>
        <w:t>R.S.B.C. 1996, c. 337</w:t>
      </w:r>
      <w:r>
        <w:rPr>
          <w:rFonts w:ascii="arial" w:eastAsia="arial" w:hAnsi="arial" w:cs="arial"/>
          <w:b/>
          <w:color w:val="000000"/>
          <w:sz w:val="20"/>
          <w:lang w:val="en-US" w:eastAsia="en-US" w:bidi="ar-SA"/>
        </w:rPr>
        <w: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4" w:name="Case Summary"/>
            <w:bookmarkEnd w:id="4"/>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an action for personal injury damages arising from a fall. The plaintiff was at a party at the defendant's home. She was on the deck when she turned to greet another guest, and fell through the opening to a stairway. She suffered fractures to several bones in her foot, and a shoulder injury. The deck was small, with the stairway opening in the centre. There was no handrail or other guard around the opening to the stairway. </w:t>
            </w:r>
            <w:r>
              <w:rPr>
                <w:lang w:val="en-US" w:eastAsia="en-US" w:bidi="ar-SA"/>
              </w:rPr>
              <w:cr/>
            </w:r>
          </w:p>
          <w:p>
            <w:pPr>
              <w:spacing w:before="120" w:line="260" w:lineRule="atLeast"/>
              <w:ind w:left="240"/>
              <w:jc w:val="both"/>
              <w:rPr>
                <w:lang w:val="en-US" w:eastAsia="en-US" w:bidi="ar-SA"/>
              </w:rPr>
            </w:pPr>
            <w:bookmarkStart w:id="5" w:name="Holdings of Court"/>
            <w:bookmarkEnd w:id="5"/>
            <w:r>
              <w:rPr>
                <w:rFonts w:ascii="arial" w:eastAsia="arial" w:hAnsi="arial" w:cs="arial"/>
                <w:color w:val="000000"/>
                <w:sz w:val="20"/>
                <w:lang w:val="en-US" w:eastAsia="en-US" w:bidi="ar-SA"/>
              </w:rPr>
              <w:t>HELD: The plaintiff was successful.</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It was conceded that the configuration of the deck was not safe in failing to protect the stairway opening in any way. The defendant was liable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medical evidence was not satisfactory, as there was only one assessment of the plaintiff carried out within two years of trial. The Court found this a dangerous approach when the plaintiff was claiming permanent disability. The plaintiff herself was not found to be a very credible witness. Although she had not complained of shoulder pain immediately after the fall, the Court found that this injury was caused by the fall. Within six months, the plaintiff had returned to the employment level she had maintained before the fall, working part time as a hairdresser. She had some residual pain in both shoulder and foot, but this did not significantly affect her activities. Non-pecuniary damages were assessed at $20,000, and $5,000 was awarded for loss of future earning capacity. It was held that the defendant had not met the burden of establishing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failure to mitigate damages by refusing treatment. </w:t>
            </w:r>
            <w:r>
              <w:rPr>
                <w:lang w:val="en-US" w:eastAsia="en-US" w:bidi="ar-SA"/>
              </w:rPr>
              <w:cr/>
            </w:r>
          </w:p>
          <w:p>
            <w:pPr>
              <w:rPr>
                <w:lang w:val="en-US" w:eastAsia="en-US" w:bidi="ar-SA"/>
              </w:rPr>
            </w:pPr>
          </w:p>
        </w:tc>
      </w:tr>
    </w:tbl>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6992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4" w:history="1">
        <w:r>
          <w:rPr>
            <w:rFonts w:ascii="arial" w:eastAsia="arial" w:hAnsi="arial" w:cs="arial"/>
            <w:b/>
            <w:bCs/>
            <w:i/>
            <w:color w:val="0077CC"/>
            <w:kern w:val="32"/>
            <w:sz w:val="28"/>
            <w:szCs w:val="32"/>
            <w:u w:val="single"/>
            <w:shd w:val="clear" w:color="auto" w:fill="FFFFFF"/>
            <w:lang w:val="en-US" w:eastAsia="en-US" w:bidi="ar-SA"/>
          </w:rPr>
          <w:t>Nederland Holdings Inc. v. British Columbia, [2017] B.C.J. No. 2353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A.F. Cullen A.C.J.S.C.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27 and 28,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October 16,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S157812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2353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2138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Nederland Holdings Inc., John Douglas English, Angleland Holdings Inc., Kimberly English, an infant, by her guardian ad litem, John English, and Dylan English, an infant, by his guardian ad litem, John English, Plaintiffs, and Her Majesty in Right of British Columbia, Her Majesty in Right of Canada, British Columbia Investment Management Corporation, Parkbridge Lifestyle Communities Inc., B.C. Hydro &amp; Power Authority, District of Tofino, Stephen Wilson, Manuel Azevedo, Michael Nissley, John Fraser, Braden Smith, John Bradshaw, Ernest Payne, Jeff Scouten, John Doe and Jane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(59 paras.)</w:t>
      </w:r>
    </w:p>
    <w:p>
      <w:pPr>
        <w:jc w:val="both"/>
        <w:rPr>
          <w:rFonts w:ascii="arial" w:eastAsia="arial" w:hAnsi="arial" w:cs="arial"/>
          <w:sz w:val="20"/>
          <w:lang w:val="en-US" w:eastAsia="en-US" w:bidi="ar-SA"/>
        </w:rPr>
      </w:pPr>
      <w:bookmarkStart w:id="6" w:name="Counsel_0"/>
      <w:bookmarkEnd w:id="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0"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M. Canofari: G. Douvelos.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Her Majesty in Right of British Columbia appearing by teleconference: P.D. Ameerali.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Her Majesty in Right of Canada: S. Arden.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British Columbia Investment Management Corporation and Parkbridge Lifestyle Communities Inc.: M. Vesely, T. Boyd.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B.C. Hydro &amp; Power Authority: No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District of Tofino: F.V. Marzari.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Wilson and Scouten: T.C. Hinkson, H. Chun,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other appearances.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 w:name="Judgment_0"/>
      <w:bookmarkEnd w:id="7"/>
      <w:r>
        <w:pict>
          <v:line id="_x0000_s1031" style="position:absolute;z-index:2517002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 w:name="A.F. CULLEN A.C.J.S.C. (orally)"/>
            <w:bookmarkEnd w:id="8"/>
            <w:r>
              <w:rPr>
                <w:rFonts w:ascii="arial" w:eastAsia="arial" w:hAnsi="arial" w:cs="arial"/>
                <w:b/>
                <w:color w:val="000000"/>
                <w:sz w:val="30"/>
                <w:lang w:val="en-US" w:eastAsia="en-US" w:bidi="ar-SA"/>
              </w:rPr>
              <w:t>A.F. CULLEN A.C.J.S.C.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are five related applications before me brought by various of the defendants in this action framed in conspiracy. The source of the complaints giving rise to the action is a foreclosure on a property owned by the plaintiffs, Angleland Holdings Inc. and Nederland Holdings Inc. The other plaintiffs named in the action, John English, Kimberly English, and Dylan English, the latter two being infant plaintiffs, are shareholders of the corporate plaintiffs. Counsel for the plaintiffs conceded that Mr. English and his two children are not proper plaintiffs in this action and, hence, when I refer to the plaintiffs in this action, it should be understood that I am referring to Angleland and Nederland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five applications are brought by the defendants, Parkbridge Lifestyle Communities Inc. ("Parkbridge") and British Columbia Investment Management Corporation ("BCIMC"); Her Majesty the Queen in Right of Canada ("HMC"); Her Majesty the Queen in Right of B.C. ("HMBC"); the District of Tofino ("Tofino"); and Stephen Wilson and Jeff Scouten. Each applicant seeks common relief based on the same legal basis:</w:t>
      </w:r>
      <w:r>
        <w:rPr>
          <w:rFonts w:ascii="arial" w:eastAsia="arial" w:hAnsi="arial" w:cs="arial"/>
          <w:sz w:val="20"/>
          <w:lang w:val="en-US" w:eastAsia="en-US" w:bidi="ar-SA"/>
        </w:rPr>
        <w:cr/>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striking the notice of civil claim ("NOCC") pursuant to Rule 9-5(1)(d) as being an abuse of process;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striking the NOCC pursuant to Rule 9-5(1)(b) as being frivolous and vexatious; and</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striking out NOCC pursuant to Rule 9-5(1)(a) as disclosing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addition, BCIMC, Parkbridge, and HMBC seek, in the alternative, a stay of the action pursuant to Rule 9-8(4), while Mr. Wilson and Mr. Scouten seek, in the alternative, a dismissal of the action as being barred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Relief was also sought in relation to the claims of the infant plaintiffs, but in light of the plaintiff counsel's concession, that aspect of the application is moot.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roots of this action are embedded in the soil of the plaintiffs' former property located in Cox Bay, near Tofino on Vancouver Island, comprised of six separate parcels totalling 116.4 acres. Five of the lots were registered to Angleland, the sixth to Nederland. Much of the property is waterfront and Mr. English, who was the sole shareholder and president of the plaintiff companies, lived on the property with his family since 1990 and operated a public campground on some of the property in 2004. The plaintiffs borrowed money from Tekamar Mortgage Fund Ltd., a lender, in 2004 which was secured by three mortgages and, in 2006, the plaintiffs were granted a single replacement mortgage for $8 million, with interest at 10.5 percent. Mr. English was a covenantor to the mortgage. The mortgage came due in 2008 and the plaintiffs were unable to find replacement financing. The plaintiffs have made no payment on the debt since April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On March 27, 2009, the mortgagee brought a foreclosure petition to which the plaintiffs (petition respondents) did not respond. On June 22, 2009, a master made an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of foreclosure by consent. The redemption date was set for November 28, 2009. On December 21, 2009, the master made a consent order extending the redemption to June 30, 2010. On March 1, 2010, Tekamar transferred its interest in the mortgage to Mission Creek Mortgage Ltd. and, on June 30, 2010, the plaintiffs obtained an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order restraining Mission Creek for one week from listing the property for sale. Eventually, on July 30, 2010, the right to redeem was extended to January 30, 2011. During that period, the plaintiffs were unable to obtain refinancing and Mission Creek had exclusive conduct of sale thereafter. The initial sale price was $29 million. Two months later it was reduced to $24.5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August 2011, several sealed purchase bids were received by the court. The bids included a $13.5 million bid from Parkbridge and a separate $9 million for two of the six lots from another concern. The application for approval of the sale on those bids was dismissed by Mr. Justice Betton on September 8, 2011. Just before that, Mr. English filed an application for a mediation process under the </w:t>
      </w:r>
      <w:r>
        <w:rPr>
          <w:rFonts w:ascii="arial" w:eastAsia="arial" w:hAnsi="arial" w:cs="arial"/>
          <w:i/>
          <w:color w:val="000000"/>
          <w:sz w:val="20"/>
          <w:lang w:val="en-US" w:eastAsia="en-US" w:bidi="ar-SA"/>
        </w:rPr>
        <w:t>Farm Debt Mediation Act</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S.C. 1997, c. 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FDMA</w:t>
      </w:r>
      <w:r>
        <w:rPr>
          <w:rFonts w:ascii="arial" w:eastAsia="arial" w:hAnsi="arial" w:cs="arial"/>
          <w:color w:val="000000"/>
          <w:sz w:val="20"/>
          <w:lang w:val="en-US" w:eastAsia="en-US" w:bidi="ar-SA"/>
        </w:rPr>
        <w:t xml:space="preserve">"). On the same day Betton J. dismissed the sealed bids, that is, September 8, 2011, the Farm Debt Mediation Service issued a 30-day stay of creditor proceedings on the basis that the respondents were farmers under that Act. The stay was later lifted. About a year later, Betton J., after hearing cross-applications, ruled that Mission Creek was not obliged to have provided the plaintiffs with notice under the </w:t>
      </w:r>
      <w:r>
        <w:rPr>
          <w:rFonts w:ascii="arial" w:eastAsia="arial" w:hAnsi="arial" w:cs="arial"/>
          <w:i/>
          <w:color w:val="000000"/>
          <w:sz w:val="20"/>
          <w:lang w:val="en-US" w:eastAsia="en-US" w:bidi="ar-SA"/>
        </w:rPr>
        <w:t>FDMA</w:t>
      </w:r>
      <w:r>
        <w:rPr>
          <w:rFonts w:ascii="arial" w:eastAsia="arial" w:hAnsi="arial" w:cs="arial"/>
          <w:color w:val="000000"/>
          <w:sz w:val="20"/>
          <w:lang w:val="en-US" w:eastAsia="en-US" w:bidi="ar-SA"/>
        </w:rPr>
        <w:t xml:space="preserve"> before filing the petition seeking foreclosure and that the foreclosure proceedings were not a nullity or void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 xml:space="preserve"> for a failure to give such notice. That order was appealed to the Court of Appeal which dismissed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On January 31, 2012, Mission Creek entered into an agreement for purchase and sale of the property to Parkbridge for $16 million. On February 1, 2013, Betton J. approved the sale to Parkbridge for $16 million. On March 4, 2013, Madam Justice Newbury granted leave to appeal the February 1, 2013, order and an earlier order made by Betton J. on January 31, 2013, denying leave to the plaintiffs to adduce new evidence. Newbury J. also issued a stay of execution. The appeals from the January 31 and February 1, 2013 orders were heard by the Court on May 22, 2013. Reasons for dismissing the appeals were issued on June 14, 2013. The appeal from Betton's J. ruling with respect to the </w:t>
      </w:r>
      <w:r>
        <w:rPr>
          <w:rFonts w:ascii="arial" w:eastAsia="arial" w:hAnsi="arial" w:cs="arial"/>
          <w:i/>
          <w:color w:val="000000"/>
          <w:sz w:val="20"/>
          <w:lang w:val="en-US" w:eastAsia="en-US" w:bidi="ar-SA"/>
        </w:rPr>
        <w:t>FDMA</w:t>
      </w:r>
      <w:r>
        <w:rPr>
          <w:rFonts w:ascii="arial" w:eastAsia="arial" w:hAnsi="arial" w:cs="arial"/>
          <w:color w:val="000000"/>
          <w:sz w:val="20"/>
          <w:lang w:val="en-US" w:eastAsia="en-US" w:bidi="ar-SA"/>
        </w:rPr>
        <w:t xml:space="preserve"> was heard the same day as the other two appeals, that is, May 22, 2013. It was dismissed that same day from the bench with reasons to follow. Those reasons were issued on July 23, 2013. The issue was whether the plaintiffs required leave to appeal from that decision. On an earlier leave application, Mr. Justice Frankel denied leave to appeal for reasons indexed at </w:t>
      </w:r>
      <w:hyperlink r:id="rId66" w:history="1">
        <w:r>
          <w:rPr>
            <w:rFonts w:ascii="arial" w:eastAsia="arial" w:hAnsi="arial" w:cs="arial"/>
            <w:i/>
            <w:color w:val="0077CC"/>
            <w:sz w:val="20"/>
            <w:u w:val="single"/>
            <w:shd w:val="clear" w:color="auto" w:fill="FFFFFF"/>
            <w:lang w:val="en-US" w:eastAsia="en-US" w:bidi="ar-SA"/>
          </w:rPr>
          <w:t>2013 BCCA 146</w:t>
        </w:r>
      </w:hyperlink>
      <w:r>
        <w:rPr>
          <w:rFonts w:ascii="arial" w:eastAsia="arial" w:hAnsi="arial" w:cs="arial"/>
          <w:color w:val="000000"/>
          <w:sz w:val="20"/>
          <w:lang w:val="en-US" w:eastAsia="en-US" w:bidi="ar-SA"/>
        </w:rPr>
        <w:t>. The panel which heard the plaintiffs' appeals on May 22, 2013, consisted of Justices Low, Bennett, and Harris.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Following the Court of Appeal's dismissal of the three appeals from Betton J.'s order approving the sale of the lands to Parkbridge, on July 18, 2013, the plaintiffs filed a NOCC in Action Number S135416 (the previous action) in Vancouver and filed a certificate of pending litigation against title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On August 7, 8, and 23, 2013, the plaintiffs filed three notices of application in the foreclosure proceedings in Kelowna. The applicant respondents were Parkbridge and BCIMC. Those applications were heard together and dismissed by Mr. Justice Barrow on October 18, 2013. In his reasons for judgment, indexed at </w:t>
      </w:r>
      <w:hyperlink r:id="rId67" w:history="1">
        <w:r>
          <w:rPr>
            <w:rFonts w:ascii="arial" w:eastAsia="arial" w:hAnsi="arial" w:cs="arial"/>
            <w:i/>
            <w:color w:val="0077CC"/>
            <w:sz w:val="20"/>
            <w:u w:val="single"/>
            <w:shd w:val="clear" w:color="auto" w:fill="FFFFFF"/>
            <w:lang w:val="en-US" w:eastAsia="en-US" w:bidi="ar-SA"/>
          </w:rPr>
          <w:t>2013 BCSC 2096</w:t>
        </w:r>
      </w:hyperlink>
      <w:r>
        <w:rPr>
          <w:rFonts w:ascii="arial" w:eastAsia="arial" w:hAnsi="arial" w:cs="arial"/>
          <w:color w:val="000000"/>
          <w:sz w:val="20"/>
          <w:lang w:val="en-US" w:eastAsia="en-US" w:bidi="ar-SA"/>
        </w:rPr>
        <w:t>, Barrow J. summarized the relief sought by the plaintiffs in their three applications before him at paras. 6 and 7 as follows: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 By their August 7, 2013 application, the applicants seek the following orders:</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[Parkbridge] be restrained from taking any action to enforce the order for sale obtained [February 1, 2013] . . .</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 . an order that Mission Creek Mortgage Ltd., [Parkbridge], British Columbia Investment Management Corporation, [and six individuals, including Mission Creek's counsel, Mr. Wilson, and Greg Harney, one of Mr. English's former lawyers], disclose . . . all documents, records, recordings, printed, electronic or otherwise, in their possession or control, that make mention of, directly or indirectly, any of the Respondents, Pacific Rim Resort, or the lands ...</w:t>
      </w:r>
    </w:p>
    <w:p>
      <w:pPr>
        <w:numPr>
          <w:numId w:val="6"/>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requested] documents . . . be produced within 30 days . . .</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 . that the court file be transferred to the Nanaimo court registry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their August 8, 2013 application, they seek an order staying the writ of possession pending a determination of what the applicants describe as their "application dated August 6, 2013". There is no August 6, 2013 application; I take the applicants to mean the application dated August 5th and filed on August 7th.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 Finally, by their August 23rd application, the applicants seek the following relief:</w:t>
      </w:r>
    </w:p>
    <w:p>
      <w:pPr>
        <w:numPr>
          <w:numId w:val="8"/>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order of the Mr. Justice Betton of February 1, 2013, approving the sale of the property be set aside;</w:t>
      </w:r>
    </w:p>
    <w:p>
      <w:pPr>
        <w:numPr>
          <w:numId w:val="9"/>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lands, which are the subject of this foreclosure proceeding, be vested in the name of Angleland Holdings Inc. and Nederland Holdings Inc.;</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petitioners and Parkbridge pay damages;</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Parkbridge be restrained from any action to enforce the order for sale and the writ of possession;</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Mission Creek, Parkbridge, Her Majesty the Queen in right of British Columbia, and all of the companies and individuals named in the August 7, 2013 application produce the document sought in that application;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those documents be produced within 30 days;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court file be transferred to the Nanaimo court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Before the hearing, the plaintiffs sought to adjourn the applications. When the respondents resisted that application, they filed a notice of withdrawal. Barrow J. decided that he had jurisdiction to hear and decide the application notwithstanding the withdrawal. He then turned to the question of whether he ought to exercise his discretion to decide the applications. Barrow J. carefully reviewed the history of the "lengthy and convoluted" foreclosure proceeding and referred to the previous NOCC, the nature and progress of which he described at paras. 21 and 22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plaintiffs were represented by Richard Hendry when they filed the notice of civil claim. Once Parkbridge became aware of the civil claim, it prepared and delivered an application to have it struck. In the meantime, the plaintiffs filed a certificate of pending litigation against the subject properties. On July 30, 2013, this court granted Parkbridge a writ of possession and made a vesting order. On August 13, 2013, Parkbridge delivered its application to strike the collateral civil proceeding, and on August 23rd, Mr. Hendry filed a notice of discontinuance against all the defendants except Parkbridge. Shortly after, the notice of civil claim was discontinued as against Parkbridge.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the meantime, the petition respondents filed the three applications that are now before the court. It has now been five and a half years since the last payment was made under the mortgage. It has been almost four and a half years since the order nisi was pronounced. It has been over three years since the redemption period expired. It is approaching two years since Parkbridge's offer to purchase the property was accepted. It has been four months since the last of the appeals brought by the petition respondents were dismissed by the Court of Appeal. Having regard simply to the procedural history of this matter, it would be, in my opinion, unjust to adjourn these applications further.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Mr. Justice Barrow noted that at the time of the application before him, it had been five-and-a-half years since the last payment under the mortgage, four years since the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was pronounced, and over three years since the redemption period expired. It was nearly two years since Parkbridge's offer was accepted and four months since the last of the appeals brought by the plaintiffs. Barrow J., of course, made that latter observation almost four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disposing of the plaintiffs' applications at para. 23, Justice Barrow concluded that "all of the relief sought in the petition has been conclusively and finally dealt with," and that, in the alternative, the applications, "amount to a collateral attack on the earlier orders of this court, which had been approved by the Court of Appeal." Barrow J. described the factual basis of the applications in para. 24 of his judgment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[24]</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factual basis upon which the applicants seek</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orders noted above is said to rest on evidence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that the order for sale granted by Mr. Justice Betton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was the result of a "criminal conspiracy carried out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by agents of Parkbridge" and others. The acts said to</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have been taken in furtherance of the conspiracy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duplicate, in large measure, the allegations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contained in the notice of civil claim that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applicants discontinued. The evidence of Mr. English</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found in his affidavit filed August 8, 2013, said to</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support his belief that the defendants named in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notice of civil claim had conspired against him</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arises from consultations he has had "over the past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three months" with "national and international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investigators, forensic experts and legal experts".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Those consultations have led him to conclude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"conclusively" that he and his companies were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target of a criminal conspiracy. Further evidence of</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this conspiracy is said to be found in an online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blog. It is entitled "Citizens United Against British</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Columbia Management Investment Corporation". This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blog consists of posts edited by "the Editor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 . who goes by the name Joe Adam". Further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evidence of the conspiracy is said to lie in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information received from a local "First Nations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Band" in Tofino to the effect that the government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wanted to acquire the applicants' property.</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Justice Barrow went on to dismiss the applications on alternative grounds in para. 25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I am wrong in my conclusion that these applications are properly dismissed on the basis that the petition is no longer extant or that they amount to an improper collateral attack, I would dismiss the application as an abuse of the process of this court. If I am wrong in that conclusion, I would dismiss them on their merits. I have expressly not done that, that is to say, not dismissed them on their merits, because in his most recent written submission, Mr. English, on his own behalf and on behalf of the corporate applicants, asked that I not do so. I have, however, considered the merits of the application to the extent it is appropriate in determining whether an adjournment should be considered and whether I should exercise the inherent jurisdiction I have to address these matters. There is nothing in the material before me that satisfies me it would be unjust to refuse the adjournment or unjust to exercise the court's inherent jurisdiction.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factual basis of the present NOCC has no substantive distinction from the previous discontinued NOCC or the applications disposed of by Barrow J. It alleges a broad conspiracy among all the various defendants stemming from a "secret meeting" and involving "undisclosed agents of HMC and HMBC" and agents of Mission Creek to, "wrongfully and with intent to injure the plaintiffs," persuade Mission Creek not to carry forward with the written and executed mortgage renewal agreement made in June 2008, and "[i]nstead put the lands into a foreclosure process filed under Docket S1156067 due to the devastating and highly prejudicial acts of the plaintiffs' lawyer, Jeff Scouten, carried out on behalf of the defendants." The NOCC proceeds from that premise to expansive allegations of conspiratorial misconduct including vandalism, theft, arson, defamation, threats, various forms of corruption, fraud, and trespass. The alleged conspirators include one of the plaintiffs' former lawyers, Mr. Scouten, and the former lawyer for the defendant Mission Creek, Mr. Wilson, now Master Wilson.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against Mr. Scouten, the plaintiffs' allegations are set out in para. 33(n)(1) to (7) and the allegations against Mr. Wilson are set out in para. 33(n)(8) and (9) as follows:</w:t>
      </w:r>
      <w:r>
        <w:rPr>
          <w:rFonts w:ascii="arial" w:eastAsia="arial" w:hAnsi="arial" w:cs="arial"/>
          <w:sz w:val="20"/>
          <w:lang w:val="en-US" w:eastAsia="en-US" w:bidi="ar-SA"/>
        </w:rPr>
        <w:cr/>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Scouten failed to follow his instructions, </w:t>
      </w:r>
      <w:r>
        <w:rPr>
          <w:rFonts w:ascii="arial" w:eastAsia="arial" w:hAnsi="arial" w:cs="arial"/>
          <w:color w:val="000000"/>
          <w:sz w:val="20"/>
          <w:u w:val="single"/>
          <w:lang w:val="en-US" w:eastAsia="en-US" w:bidi="ar-SA"/>
        </w:rPr>
        <w:t>and his promise made to John English</w:t>
      </w:r>
      <w:r>
        <w:rPr>
          <w:rFonts w:ascii="arial" w:eastAsia="arial" w:hAnsi="arial" w:cs="arial"/>
          <w:color w:val="000000"/>
          <w:sz w:val="20"/>
          <w:lang w:val="en-US" w:eastAsia="en-US" w:bidi="ar-SA"/>
        </w:rPr>
        <w:t xml:space="preserve">, to file Affidavit #1, sworn June 2009, in the Mission Creek foreclosure proceeding, that attested to both the camping and recreational vehicle businesses and farming activities on the lands </w:t>
      </w:r>
      <w:r>
        <w:rPr>
          <w:rFonts w:ascii="arial" w:eastAsia="arial" w:hAnsi="arial" w:cs="arial"/>
          <w:color w:val="000000"/>
          <w:sz w:val="20"/>
          <w:u w:val="single"/>
          <w:lang w:val="en-US" w:eastAsia="en-US" w:bidi="ar-SA"/>
        </w:rPr>
        <w:t>which had been carried on since 1988 under the name of Pacific Rim Farms</w:t>
      </w:r>
      <w:r>
        <w:rPr>
          <w:rFonts w:ascii="arial" w:eastAsia="arial" w:hAnsi="arial" w:cs="arial"/>
          <w:color w:val="000000"/>
          <w:sz w:val="20"/>
          <w:lang w:val="en-US" w:eastAsia="en-US" w:bidi="ar-SA"/>
        </w:rPr>
        <w:t>.</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Scouten, Miller and Azevedo failed to make proper argument to the court that the Mission Creek foreclosure proceedings were a nullity pursuant to the terms of the Farm Debt Mediation Act, </w:t>
      </w:r>
      <w:hyperlink r:id="rId65" w:history="1">
        <w:r>
          <w:rPr>
            <w:rFonts w:ascii="arial" w:eastAsia="arial" w:hAnsi="arial" w:cs="arial"/>
            <w:i/>
            <w:color w:val="0077CC"/>
            <w:sz w:val="20"/>
            <w:u w:val="single"/>
            <w:shd w:val="clear" w:color="auto" w:fill="FFFFFF"/>
            <w:lang w:val="en-US" w:eastAsia="en-US" w:bidi="ar-SA"/>
          </w:rPr>
          <w:t>S.C. 1997, c. 21</w:t>
        </w:r>
      </w:hyperlink>
      <w:r>
        <w:rPr>
          <w:rFonts w:ascii="arial" w:eastAsia="arial" w:hAnsi="arial" w:cs="arial"/>
          <w:color w:val="000000"/>
          <w:sz w:val="20"/>
          <w:lang w:val="en-US" w:eastAsia="en-US" w:bidi="ar-SA"/>
        </w:rPr>
        <w:t xml:space="preserve"> and Scouten, </w:t>
      </w:r>
      <w:r>
        <w:rPr>
          <w:rFonts w:ascii="arial" w:eastAsia="arial" w:hAnsi="arial" w:cs="arial"/>
          <w:color w:val="000000"/>
          <w:sz w:val="20"/>
          <w:u w:val="single"/>
          <w:lang w:val="en-US" w:eastAsia="en-US" w:bidi="ar-SA"/>
        </w:rPr>
        <w:t>Miller</w:t>
      </w:r>
      <w:r>
        <w:rPr>
          <w:rFonts w:ascii="arial" w:eastAsia="arial" w:hAnsi="arial" w:cs="arial"/>
          <w:color w:val="000000"/>
          <w:sz w:val="20"/>
          <w:lang w:val="en-US" w:eastAsia="en-US" w:bidi="ar-SA"/>
        </w:rPr>
        <w:t xml:space="preserve"> and Azevedo all conspired with Steven Wilson, counsel for Mission Creek, in a fraud upon the court designed to conceal the evidence of the plaintiff's long term farming activities documented in the plaintiff's Affidavit #1 in order to induce the court to make an improper ruling by denying the plaintiff's </w:t>
      </w:r>
      <w:r>
        <w:rPr>
          <w:rFonts w:ascii="arial" w:eastAsia="arial" w:hAnsi="arial" w:cs="arial"/>
          <w:color w:val="000000"/>
          <w:sz w:val="20"/>
          <w:u w:val="single"/>
          <w:lang w:val="en-US" w:eastAsia="en-US" w:bidi="ar-SA"/>
        </w:rPr>
        <w:t>their mandatory</w:t>
      </w:r>
      <w:r>
        <w:rPr>
          <w:rFonts w:ascii="arial" w:eastAsia="arial" w:hAnsi="arial" w:cs="arial"/>
          <w:color w:val="000000"/>
          <w:sz w:val="20"/>
          <w:lang w:val="en-US" w:eastAsia="en-US" w:bidi="ar-SA"/>
        </w:rPr>
        <w:t xml:space="preserve"> statutory rights to protection under the Farm Debt Mediation Act.</w:t>
      </w:r>
    </w:p>
    <w:p>
      <w:pPr>
        <w:numPr>
          <w:numId w:val="1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Scouten agreed </w:t>
      </w:r>
      <w:r>
        <w:rPr>
          <w:rFonts w:ascii="arial" w:eastAsia="arial" w:hAnsi="arial" w:cs="arial"/>
          <w:color w:val="000000"/>
          <w:sz w:val="20"/>
          <w:u w:val="single"/>
          <w:lang w:val="en-US" w:eastAsia="en-US" w:bidi="ar-SA"/>
        </w:rPr>
        <w:t>with Steve Wilson</w:t>
      </w:r>
      <w:r>
        <w:rPr>
          <w:rFonts w:ascii="arial" w:eastAsia="arial" w:hAnsi="arial" w:cs="arial"/>
          <w:color w:val="000000"/>
          <w:sz w:val="20"/>
          <w:lang w:val="en-US" w:eastAsia="en-US" w:bidi="ar-SA"/>
        </w:rPr>
        <w:t xml:space="preserve"> to move the venue of the foreclosure hearing from Nanaimo to Kelowna, between March and June of 2009, </w:t>
      </w:r>
      <w:r>
        <w:rPr>
          <w:rFonts w:ascii="arial" w:eastAsia="arial" w:hAnsi="arial" w:cs="arial"/>
          <w:color w:val="000000"/>
          <w:sz w:val="20"/>
          <w:u w:val="single"/>
          <w:lang w:val="en-US" w:eastAsia="en-US" w:bidi="ar-SA"/>
        </w:rPr>
        <w:t>which changed the court file number to Kelowna S-H-87977</w:t>
      </w:r>
      <w:r>
        <w:rPr>
          <w:rFonts w:ascii="arial" w:eastAsia="arial" w:hAnsi="arial" w:cs="arial"/>
          <w:color w:val="000000"/>
          <w:sz w:val="20"/>
          <w:lang w:val="en-US" w:eastAsia="en-US" w:bidi="ar-SA"/>
        </w:rPr>
        <w:t xml:space="preserve"> without the Plaintiff's knowledge or consent, thereby undermining the plaintiffs ability to advise and instruct legal counsel </w:t>
      </w:r>
      <w:r>
        <w:rPr>
          <w:rFonts w:ascii="arial" w:eastAsia="arial" w:hAnsi="arial" w:cs="arial"/>
          <w:color w:val="000000"/>
          <w:sz w:val="20"/>
          <w:u w:val="single"/>
          <w:lang w:val="en-US" w:eastAsia="en-US" w:bidi="ar-SA"/>
        </w:rPr>
        <w:t>and severely prejudicing the plaintiff's ability to afford to conduct their defence in terms of both their financial ability and their level of access to the local court house in Nanaimo</w:t>
      </w:r>
      <w:r>
        <w:rPr>
          <w:rFonts w:ascii="arial" w:eastAsia="arial" w:hAnsi="arial" w:cs="arial"/>
          <w:color w:val="000000"/>
          <w:sz w:val="20"/>
          <w:lang w:val="en-US" w:eastAsia="en-US" w:bidi="ar-SA"/>
        </w:rPr>
        <w:t>.</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Scouten agreed to reduce the period of the redemption period by one month without the plaintiffs knowledge or consent thereby imperilling the plaintiff's ability to find alternative financing. </w:t>
      </w:r>
      <w:r>
        <w:rPr>
          <w:rFonts w:ascii="arial" w:eastAsia="arial" w:hAnsi="arial" w:cs="arial"/>
          <w:color w:val="000000"/>
          <w:sz w:val="20"/>
          <w:u w:val="single"/>
          <w:lang w:val="en-US" w:eastAsia="en-US" w:bidi="ar-SA"/>
        </w:rPr>
        <w:t>In addition, as Mission Creek was seeking a one month redemption period in their petition, if the plaintiff John English, had not fired Scouten the day before the first foreclosure hearing in Kelowna the plaintiffs would have lost their property at the first foreclosure hearing in June 2009 which Scouten had suspiciously verbally advised the plaintiffs three days before the hearing that they need not attend</w:t>
      </w:r>
      <w:r>
        <w:rPr>
          <w:rFonts w:ascii="arial" w:eastAsia="arial" w:hAnsi="arial" w:cs="arial"/>
          <w:color w:val="000000"/>
          <w:sz w:val="20"/>
          <w:lang w:val="en-US" w:eastAsia="en-US" w:bidi="ar-SA"/>
        </w:rPr>
        <w:t>.</w:t>
      </w:r>
    </w:p>
    <w:p>
      <w:pPr>
        <w:numPr>
          <w:numId w:val="19"/>
        </w:numPr>
        <w:tabs>
          <w:tab w:val="num" w:pos="1480"/>
          <w:tab w:val="clear" w:pos="292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Scouten misled the plaintiffs by promising to e-file Affidavit #1 </w:t>
      </w:r>
      <w:r>
        <w:rPr>
          <w:rFonts w:ascii="arial" w:eastAsia="arial" w:hAnsi="arial" w:cs="arial"/>
          <w:color w:val="000000"/>
          <w:sz w:val="20"/>
          <w:u w:val="single"/>
          <w:lang w:val="en-US" w:eastAsia="en-US" w:bidi="ar-SA"/>
        </w:rPr>
        <w:t>the day it was sworn in June 2009, immediately prior to the first foreclosure hearing in Kelowna after the plaintiff, John English, had suggested that he file it himself in Nanaimo as he had sworn it at the law offices of Bert King in Nanaimo</w:t>
      </w:r>
      <w:r>
        <w:rPr>
          <w:rFonts w:ascii="arial" w:eastAsia="arial" w:hAnsi="arial" w:cs="arial"/>
          <w:color w:val="000000"/>
          <w:sz w:val="20"/>
          <w:lang w:val="en-US" w:eastAsia="en-US" w:bidi="ar-SA"/>
        </w:rPr>
        <w:t xml:space="preserve">, and then by failing to do so for 4 years, which </w:t>
      </w:r>
      <w:r>
        <w:rPr>
          <w:rFonts w:ascii="arial" w:eastAsia="arial" w:hAnsi="arial" w:cs="arial"/>
          <w:color w:val="000000"/>
          <w:sz w:val="20"/>
          <w:u w:val="single"/>
          <w:lang w:val="en-US" w:eastAsia="en-US" w:bidi="ar-SA"/>
        </w:rPr>
        <w:t>fatally</w:t>
      </w:r>
      <w:r>
        <w:rPr>
          <w:rFonts w:ascii="arial" w:eastAsia="arial" w:hAnsi="arial" w:cs="arial"/>
          <w:color w:val="000000"/>
          <w:sz w:val="20"/>
          <w:lang w:val="en-US" w:eastAsia="en-US" w:bidi="ar-SA"/>
        </w:rPr>
        <w:t xml:space="preserve"> undermined the plaintiffs later attempt to rely upon the provisions of the Farm Debt Mediation Act. </w:t>
      </w:r>
      <w:r>
        <w:rPr>
          <w:rFonts w:ascii="arial" w:eastAsia="arial" w:hAnsi="arial" w:cs="arial"/>
          <w:color w:val="000000"/>
          <w:sz w:val="20"/>
          <w:u w:val="single"/>
          <w:lang w:val="en-US" w:eastAsia="en-US" w:bidi="ar-SA"/>
        </w:rPr>
        <w:t>The plaintiffs finally filed their Affidavit #1 themselves in early 2013 in the Kelowna registry, but it was much too late to be of any assistance to them</w:t>
      </w:r>
      <w:r>
        <w:rPr>
          <w:rFonts w:ascii="arial" w:eastAsia="arial" w:hAnsi="arial" w:cs="arial"/>
          <w:color w:val="000000"/>
          <w:sz w:val="20"/>
          <w:lang w:val="en-US" w:eastAsia="en-US" w:bidi="ar-SA"/>
        </w:rPr>
        <w:t>.</w:t>
      </w:r>
    </w:p>
    <w:p>
      <w:pPr>
        <w:numPr>
          <w:numId w:val="20"/>
        </w:numPr>
        <w:tabs>
          <w:tab w:val="num" w:pos="1480"/>
          <w:tab w:val="clear" w:pos="292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Scouten misled the plaintiffs by attending at the Kelowna hearing in June 2009 and, in the presence of the plaintiffs, after he was dismissed from his role as legal counsel, handing unfiled copies of Affidavit #1 to the plaintiff's new legal counsel, Doug Flannigan, and to opposing legal counsel for Mission Creek, Steven Wilson. This act of Scouten was calculated to mislead the plaintiff to believe that Affidavit #1 had been filed with the court, </w:t>
      </w:r>
      <w:r>
        <w:rPr>
          <w:rFonts w:ascii="arial" w:eastAsia="arial" w:hAnsi="arial" w:cs="arial"/>
          <w:color w:val="000000"/>
          <w:sz w:val="20"/>
          <w:u w:val="single"/>
          <w:lang w:val="en-US" w:eastAsia="en-US" w:bidi="ar-SA"/>
        </w:rPr>
        <w:t>as he promised the plaintiffs that he'd do</w:t>
      </w:r>
      <w:r>
        <w:rPr>
          <w:rFonts w:ascii="arial" w:eastAsia="arial" w:hAnsi="arial" w:cs="arial"/>
          <w:color w:val="000000"/>
          <w:sz w:val="20"/>
          <w:lang w:val="en-US" w:eastAsia="en-US" w:bidi="ar-SA"/>
        </w:rPr>
        <w:t>, when it was not.</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Affidavit #1 included the evidence of the plaintiff's farming activities on and off the lands mortgaged to Mission Creek </w:t>
      </w:r>
      <w:r>
        <w:rPr>
          <w:rFonts w:ascii="arial" w:eastAsia="arial" w:hAnsi="arial" w:cs="arial"/>
          <w:color w:val="000000"/>
          <w:sz w:val="20"/>
          <w:u w:val="single"/>
          <w:lang w:val="en-US" w:eastAsia="en-US" w:bidi="ar-SA"/>
        </w:rPr>
        <w:t>since 1988, long prior</w:t>
      </w:r>
      <w:r>
        <w:rPr>
          <w:rFonts w:ascii="arial" w:eastAsia="arial" w:hAnsi="arial" w:cs="arial"/>
          <w:color w:val="000000"/>
          <w:sz w:val="20"/>
          <w:lang w:val="en-US" w:eastAsia="en-US" w:bidi="ar-SA"/>
        </w:rPr>
        <w:t xml:space="preserve"> to and </w:t>
      </w:r>
      <w:r>
        <w:rPr>
          <w:rFonts w:ascii="arial" w:eastAsia="arial" w:hAnsi="arial" w:cs="arial"/>
          <w:color w:val="000000"/>
          <w:sz w:val="20"/>
          <w:u w:val="single"/>
          <w:lang w:val="en-US" w:eastAsia="en-US" w:bidi="ar-SA"/>
        </w:rPr>
        <w:t>continuing</w:t>
      </w:r>
      <w:r>
        <w:rPr>
          <w:rFonts w:ascii="arial" w:eastAsia="arial" w:hAnsi="arial" w:cs="arial"/>
          <w:color w:val="000000"/>
          <w:sz w:val="20"/>
          <w:lang w:val="en-US" w:eastAsia="en-US" w:bidi="ar-SA"/>
        </w:rPr>
        <w:t xml:space="preserve"> after the commencement of the foreclosure proceedings by Mission Creek in March, 2009.</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May 2013, Steven Wilson, legal counsel for Mission Creek, </w:t>
      </w:r>
      <w:r>
        <w:rPr>
          <w:rFonts w:ascii="arial" w:eastAsia="arial" w:hAnsi="arial" w:cs="arial"/>
          <w:color w:val="000000"/>
          <w:sz w:val="20"/>
          <w:u w:val="single"/>
          <w:lang w:val="en-US" w:eastAsia="en-US" w:bidi="ar-SA"/>
        </w:rPr>
        <w:t>fraudulently with intent to mislead, falsely informed Madame Justice Newbury of</w:t>
      </w:r>
      <w:r>
        <w:rPr>
          <w:rFonts w:ascii="arial" w:eastAsia="arial" w:hAnsi="arial" w:cs="arial"/>
          <w:color w:val="000000"/>
          <w:sz w:val="20"/>
          <w:lang w:val="en-US" w:eastAsia="en-US" w:bidi="ar-SA"/>
        </w:rPr>
        <w:t xml:space="preserve"> the British Columbia Court of Appeal </w:t>
      </w:r>
      <w:r>
        <w:rPr>
          <w:rFonts w:ascii="arial" w:eastAsia="arial" w:hAnsi="arial" w:cs="arial"/>
          <w:color w:val="000000"/>
          <w:sz w:val="20"/>
          <w:u w:val="single"/>
          <w:lang w:val="en-US" w:eastAsia="en-US" w:bidi="ar-SA"/>
        </w:rPr>
        <w:t>that he and the defendants he was representing (Mission Creek) had no knowledge of any plaintiffs had no evidence farming activities by the plaintiffs on the mortgaged properties prior to March</w:t>
      </w:r>
      <w:r>
        <w:rPr>
          <w:rFonts w:ascii="arial" w:eastAsia="arial" w:hAnsi="arial" w:cs="arial"/>
          <w:color w:val="000000"/>
          <w:sz w:val="20"/>
          <w:lang w:val="en-US" w:eastAsia="en-US" w:bidi="ar-SA"/>
        </w:rPr>
        <w:t xml:space="preserve"> 2009 </w:t>
      </w:r>
      <w:r>
        <w:rPr>
          <w:rFonts w:ascii="arial" w:eastAsia="arial" w:hAnsi="arial" w:cs="arial"/>
          <w:color w:val="000000"/>
          <w:sz w:val="20"/>
          <w:u w:val="single"/>
          <w:lang w:val="en-US" w:eastAsia="en-US" w:bidi="ar-SA"/>
        </w:rPr>
        <w:t>when he actually had a copy of the unfiled affidavit #1 of the plaintiffs in his possession given to him in person in the presence of the plaintiffs in the court room in Kelowna in June 2009 which graphically attested to the plaintiff's farming activities on the mortgaged properties with some four pages of explanations and colour photographs taken by Scouten himself</w:t>
      </w:r>
      <w:r>
        <w:rPr>
          <w:rFonts w:ascii="arial" w:eastAsia="arial" w:hAnsi="arial" w:cs="arial"/>
          <w:color w:val="000000"/>
          <w:sz w:val="20"/>
          <w:lang w:val="en-US" w:eastAsia="en-US" w:bidi="ar-SA"/>
        </w:rPr>
        <w:t>.</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so doing </w:t>
      </w:r>
      <w:r>
        <w:rPr>
          <w:rFonts w:ascii="arial" w:eastAsia="arial" w:hAnsi="arial" w:cs="arial"/>
          <w:color w:val="000000"/>
          <w:sz w:val="20"/>
          <w:u w:val="single"/>
          <w:lang w:val="en-US" w:eastAsia="en-US" w:bidi="ar-SA"/>
        </w:rPr>
        <w:t>Steven</w:t>
      </w:r>
      <w:r>
        <w:rPr>
          <w:rFonts w:ascii="arial" w:eastAsia="arial" w:hAnsi="arial" w:cs="arial"/>
          <w:color w:val="000000"/>
          <w:sz w:val="20"/>
          <w:lang w:val="en-US" w:eastAsia="en-US" w:bidi="ar-SA"/>
        </w:rPr>
        <w:t xml:space="preserve"> Wilson was deliberately and knowingly misinforming and misleading the Court of Appeal because Wilson had in his possession sworn evidence of such farming activities on and off the mortgaged properties since June 2009 which was contained in Affidavit #1 of the plaintiff which was given to Wilson by Scouten in June of 2009.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NOCC also implicates "the court administration services" alleging that the conspirators successfully: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w:t>
      </w:r>
      <w:r>
        <w:rPr>
          <w:rFonts w:ascii="arial" w:eastAsia="arial" w:hAnsi="arial" w:cs="arial"/>
          <w:color w:val="000000"/>
          <w:sz w:val="20"/>
          <w:u w:val="single"/>
          <w:lang w:val="en-US" w:eastAsia="en-US" w:bidi="ar-SA"/>
        </w:rPr>
        <w:t>us[ed] the court process both as a tool to complete their fraud and to give their fraud the undeserved quality or characteristic of legitimacy, lawfulness, and due process that is customarily attributed to court proceedings contrary to section 380 of the Criminal Code of Canada</w:t>
      </w:r>
      <w:r>
        <w:rPr>
          <w:rFonts w:ascii="arial" w:eastAsia="arial" w:hAnsi="arial" w:cs="arial"/>
          <w:color w:val="000000"/>
          <w:sz w:val="20"/>
          <w:lang w:val="en-US" w:eastAsia="en-US" w:bidi="ar-SA"/>
        </w:rPr>
        <w:t>.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allegations also include allegations of wrongdoing against WorkSafeBC, the Law Society of British Columbia, the Victoria Police, and the administration of the courts. In the latter instant, the NOCC avers at para. 38(e) as follows:</w:t>
      </w:r>
      <w:r>
        <w:rPr>
          <w:rFonts w:ascii="arial" w:eastAsia="arial" w:hAnsi="arial" w:cs="arial"/>
          <w:sz w:val="20"/>
          <w:lang w:val="en-US" w:eastAsia="en-US" w:bidi="ar-SA"/>
        </w:rPr>
        <w:cr/>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Through the defendant's control of the administration of the courts cause the selection of the Court of Appeal hearing panel to be changed from Bauman, Goepel and Harris to Saunders, Garson and Bennett an hour before the appeal hearing in Vancouver that was to hear and decide the plaintiff's appeal of Harney's judgment for $252,000 granted by Master Keighley. This was done to so as to assign judges whom the HMC and HMBC knew would do as they were directed to do and find in favour of Harney, which they did by falsely stating the plaintiffs had been delivered and served with Harney's bill when the court knew there was no evidence on the record that supported this clearly false assertion</w:t>
      </w:r>
      <w:r>
        <w:rPr>
          <w:rFonts w:ascii="arial" w:eastAsia="arial" w:hAnsi="arial" w:cs="arial"/>
          <w:color w:val="000000"/>
          <w:sz w:val="20"/>
          <w:lang w:val="en-US" w:eastAsia="en-US" w:bidi="ar-SA"/>
        </w:rPr>
        <w:t>.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ultimate claim of the NOCC was summarized in para. 39:</w:t>
      </w:r>
      <w:r>
        <w:rPr>
          <w:rFonts w:ascii="arial" w:eastAsia="arial" w:hAnsi="arial" w:cs="arial"/>
          <w:sz w:val="20"/>
          <w:lang w:val="en-US" w:eastAsia="en-US" w:bidi="ar-SA"/>
        </w:rPr>
        <w:cr/>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foregoing </w:t>
      </w:r>
      <w:r>
        <w:rPr>
          <w:rFonts w:ascii="arial" w:eastAsia="arial" w:hAnsi="arial" w:cs="arial"/>
          <w:color w:val="000000"/>
          <w:sz w:val="20"/>
          <w:u w:val="single"/>
          <w:lang w:val="en-US" w:eastAsia="en-US" w:bidi="ar-SA"/>
        </w:rPr>
        <w:t>lists</w:t>
      </w:r>
      <w:r>
        <w:rPr>
          <w:rFonts w:ascii="arial" w:eastAsia="arial" w:hAnsi="arial" w:cs="arial"/>
          <w:color w:val="000000"/>
          <w:sz w:val="20"/>
          <w:lang w:val="en-US" w:eastAsia="en-US" w:bidi="ar-SA"/>
        </w:rPr>
        <w:t xml:space="preserve"> of particulars of the unlawful acts wilfully and maliciously carried out by the defendants with the intent of injuring the </w:t>
      </w:r>
      <w:r>
        <w:rPr>
          <w:rFonts w:ascii="arial" w:eastAsia="arial" w:hAnsi="arial" w:cs="arial"/>
          <w:color w:val="000000"/>
          <w:sz w:val="20"/>
          <w:u w:val="single"/>
          <w:lang w:val="en-US" w:eastAsia="en-US" w:bidi="ar-SA"/>
        </w:rPr>
        <w:t>plaintiff's person</w:t>
      </w:r>
      <w:r>
        <w:rPr>
          <w:rFonts w:ascii="arial" w:eastAsia="arial" w:hAnsi="arial" w:cs="arial"/>
          <w:color w:val="000000"/>
          <w:sz w:val="20"/>
          <w:lang w:val="en-US" w:eastAsia="en-US" w:bidi="ar-SA"/>
        </w:rPr>
        <w:t xml:space="preserve">, reputation, trade and business, </w:t>
      </w:r>
      <w:r>
        <w:rPr>
          <w:rFonts w:ascii="arial" w:eastAsia="arial" w:hAnsi="arial" w:cs="arial"/>
          <w:color w:val="000000"/>
          <w:sz w:val="20"/>
          <w:u w:val="single"/>
          <w:lang w:val="en-US" w:eastAsia="en-US" w:bidi="ar-SA"/>
        </w:rPr>
        <w:t>and for acquiring the Lands of the plaintiffs at far, far less than market value are</w:t>
      </w:r>
      <w:r>
        <w:rPr>
          <w:rFonts w:ascii="arial" w:eastAsia="arial" w:hAnsi="arial" w:cs="arial"/>
          <w:color w:val="000000"/>
          <w:sz w:val="20"/>
          <w:lang w:val="en-US" w:eastAsia="en-US" w:bidi="ar-SA"/>
        </w:rPr>
        <w:t xml:space="preserve"> necessarily incomplete because of the inherently secret and clandestine nature of a conspiracy and by the continued refusal of the defendant, HMBC, </w:t>
      </w:r>
      <w:r>
        <w:rPr>
          <w:rFonts w:ascii="arial" w:eastAsia="arial" w:hAnsi="arial" w:cs="arial"/>
          <w:color w:val="000000"/>
          <w:sz w:val="20"/>
          <w:u w:val="single"/>
          <w:lang w:val="en-US" w:eastAsia="en-US" w:bidi="ar-SA"/>
        </w:rPr>
        <w:t>and its agents, agencies and partners</w:t>
      </w:r>
      <w:r>
        <w:rPr>
          <w:rFonts w:ascii="arial" w:eastAsia="arial" w:hAnsi="arial" w:cs="arial"/>
          <w:color w:val="000000"/>
          <w:sz w:val="20"/>
          <w:lang w:val="en-US" w:eastAsia="en-US" w:bidi="ar-SA"/>
        </w:rPr>
        <w:t xml:space="preserve"> to provide disclosure of documents and records under the Freedom of Information and Protection of Privacy Act.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relief sought includes the following at Part 2, paras. 1 to 5:</w:t>
      </w:r>
      <w:r>
        <w:rPr>
          <w:rFonts w:ascii="arial" w:eastAsia="arial" w:hAnsi="arial" w:cs="arial"/>
          <w:sz w:val="20"/>
          <w:lang w:val="en-US" w:eastAsia="en-US" w:bidi="ar-SA"/>
        </w:rPr>
        <w:cr/>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restoring the Lands to the plaintiffs, Angleland and Nederland.</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interim injunction retraining [sic] the defendants from selling, mortgaging or otherwise disposing of their interest in the lands and a Certificate of Pending Litigation.</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 to be assessed.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Aggravated damages to be assessed.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and exemplary damages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I interpret the NOCC, it is the plaintiffs' contention that unknown people who were agents of some of the defendants had secret meetings at unidentified times and unidentified locations to develop an elaborate and broad-based plot to deprive the plaintiffs of the lands and at a price far less than its market value. The NOCC allegations are, to some extent, paralleled and promoted in a website which purports to report and offer editorial comment on the circumstances giving rise to the lawsuit. The flavour of the website can be discerned from the tagline on its home page, dated November 29, 2016: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British Columbia Public Servants Burn Family Out, Firebomb Business, Destroy Access Bridge, Threaten Alternate Lenders and Cut Off Water and Sewer So Their Pension Plan Can Buy Property At Extremely Low Price in Rigged Judicial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website makes very sweeping allegations of wrongdoing against a host of people in a way that confuses having the means to spread serious and dramatic assertions publicly with having a justification for doing so. Mr. English is listed as a contact for the website. The same or a very similar theme as that reflected in the current lawsuit and in the website emerged in an appeal from an order dismissing an appeal brought by the plaintiffs in the present case from a master's certificate issued after an assessment of the accounts of a lawyer retained by the plaintiffs in the original foreclosure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its decision dismissing the present plaintiffs' appeal, cited as </w:t>
      </w:r>
      <w:r>
        <w:rPr>
          <w:rFonts w:ascii="arial" w:eastAsia="arial" w:hAnsi="arial" w:cs="arial"/>
          <w:i/>
          <w:color w:val="000000"/>
          <w:sz w:val="20"/>
          <w:lang w:val="en-US" w:eastAsia="en-US" w:bidi="ar-SA"/>
        </w:rPr>
        <w:t>Gregory N. Harney Law Corporation v. Angleland Holdings Inc.</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2016 BCCA 262</w:t>
        </w:r>
      </w:hyperlink>
      <w:r>
        <w:rPr>
          <w:rFonts w:ascii="arial" w:eastAsia="arial" w:hAnsi="arial" w:cs="arial"/>
          <w:color w:val="000000"/>
          <w:sz w:val="20"/>
          <w:lang w:val="en-US" w:eastAsia="en-US" w:bidi="ar-SA"/>
        </w:rPr>
        <w:t>, the Court dealt with an application brought by the present plaintiffs to induce fresh evidence, an aspect of which concerned allegations of criminal conspiracy closely parallel to what is alleged in the present case. In dismissing the application for fresh evidence, the court held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Mr. English submits that new evidence should be admitted on appeal that he says establishes a criminal conspiracy by the government or its agents and agencies to acquire the lands subject to the foreclosure proceedings at a price below market value. He alleges that those lands were later the subject of discussion between the government and First Nations Bands in land settlement negotiations. He contends that had he known, at the time of the Master's hearing, of the potential use of the land in such negotiations he could have either: (i) explored the potential complicity of Mr. Harney or his law firm in the alleged criminal conspiracy; or (ii) made submissions that inadequate counsel work resulted in a failure to recognize the alleged criminal conspiracy. Either possibility, he says, would be relevant to assessing the legal fees on a </w:t>
            </w:r>
            <w:r>
              <w:rPr>
                <w:rFonts w:ascii="arial" w:eastAsia="arial" w:hAnsi="arial" w:cs="arial"/>
                <w:i/>
                <w:color w:val="000000"/>
                <w:sz w:val="18"/>
                <w:lang w:val="en-US" w:eastAsia="en-US" w:bidi="ar-SA"/>
              </w:rPr>
              <w:t>quantum meruit</w:t>
            </w:r>
            <w:r>
              <w:rPr>
                <w:rFonts w:ascii="arial" w:eastAsia="arial" w:hAnsi="arial" w:cs="arial"/>
                <w:color w:val="000000"/>
                <w:sz w:val="18"/>
                <w:lang w:val="en-US" w:eastAsia="en-US" w:bidi="ar-SA"/>
              </w:rPr>
              <w:t xml:space="preserve"> basis.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This evidence, in our view, does not meet the </w:t>
            </w:r>
            <w:r>
              <w:rPr>
                <w:rFonts w:ascii="arial" w:eastAsia="arial" w:hAnsi="arial" w:cs="arial"/>
                <w:i/>
                <w:color w:val="000000"/>
                <w:sz w:val="18"/>
                <w:lang w:val="en-US" w:eastAsia="en-US" w:bidi="ar-SA"/>
              </w:rPr>
              <w:t>Palmer</w:t>
            </w:r>
            <w:r>
              <w:rPr>
                <w:rFonts w:ascii="arial" w:eastAsia="arial" w:hAnsi="arial" w:cs="arial"/>
                <w:color w:val="000000"/>
                <w:sz w:val="18"/>
                <w:lang w:val="en-US" w:eastAsia="en-US" w:bidi="ar-SA"/>
              </w:rPr>
              <w:t xml:space="preserve"> criteria because it is not credible evidence conclusive of an issue. In the main, it is conjecture emanating from narrow points of information and is in large measure not admissible evidence no matter when it was presented...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five applications before me rely principally on Rule 9-5(1)(a), (b), and (d) which reads as follows:</w:t>
      </w:r>
      <w:r>
        <w:rPr>
          <w:rFonts w:ascii="arial" w:eastAsia="arial" w:hAnsi="arial" w:cs="arial"/>
          <w:sz w:val="20"/>
          <w:lang w:val="en-US" w:eastAsia="en-US" w:bidi="ar-SA"/>
        </w:rPr>
        <w:cr/>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So far as Parkbridge and BCIMC's application is concerned, it is contended that abuse of process is "a flexible doctrine that is unencumbered by specific requirements" which can be used to prevent the misuse of the court's procedure that would be manifestly unfair or bring the administration of justice into disrepute. The applicants submit that abuse of process may be found where the litigation before the court is found to be, in essence, an attempt to relitigate a claim which the court has already determined. The applicants say that the NOCC in the present case is just that, an attempt "to relitigate the court-approved sale of the property to Parkbridge which was the subject of numerous hearings in the foreclosure proceedings including an appeal of the vesting order." The applicants rely on </w:t>
      </w:r>
      <w:r>
        <w:rPr>
          <w:rFonts w:ascii="arial" w:eastAsia="arial" w:hAnsi="arial" w:cs="arial"/>
          <w:i/>
          <w:color w:val="000000"/>
          <w:sz w:val="20"/>
          <w:lang w:val="en-US" w:eastAsia="en-US" w:bidi="ar-SA"/>
        </w:rPr>
        <w:t>Budgell v. British Columbia</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2007 BCSC 991</w:t>
        </w:r>
      </w:hyperlink>
      <w:r>
        <w:rPr>
          <w:rFonts w:ascii="arial" w:eastAsia="arial" w:hAnsi="arial" w:cs="arial"/>
          <w:color w:val="000000"/>
          <w:sz w:val="20"/>
          <w:lang w:val="en-US" w:eastAsia="en-US" w:bidi="ar-SA"/>
        </w:rPr>
        <w:t>, at para. 28, to support their argument that it is an abuse of process to bring a series of multiple successive related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applicants also argue that the pleadings should be struck as being frivolous and vexatious, as being "without substance, groundless, fanciful (trifling) with the court." The applicants rely on the characterization of a vexatious proceeding set forth in </w:t>
      </w:r>
      <w:r>
        <w:rPr>
          <w:rFonts w:ascii="arial" w:eastAsia="arial" w:hAnsi="arial" w:cs="arial"/>
          <w:i/>
          <w:color w:val="000000"/>
          <w:sz w:val="20"/>
          <w:lang w:val="en-US" w:eastAsia="en-US" w:bidi="ar-SA"/>
        </w:rPr>
        <w:t>Simon v. Canada (Attorney General)</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2015 BCSC 924</w:t>
        </w:r>
      </w:hyperlink>
      <w:r>
        <w:rPr>
          <w:rFonts w:ascii="arial" w:eastAsia="arial" w:hAnsi="arial" w:cs="arial"/>
          <w:color w:val="000000"/>
          <w:sz w:val="20"/>
          <w:lang w:val="en-US" w:eastAsia="en-US" w:bidi="ar-SA"/>
        </w:rPr>
        <w:t>, at para. 95. The applicants say that this action exhibits those characteristics and the purpose of the NOCC is to "harass the defendants and cause them anxiety, trouble, and expense." The applicants point out that when they brought an application to strike the previous action, the plaintiffs filed notices of discontinuance and sought to withdraw applications arising from the foreclosure proceedings. The applicants say the plaintiffs are attempting to "obtain through improper means that which they could not achieve in the courts through the foreclosure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As far as the allegation that there is no reasonable claim, the applicants submit that the test under 9-5(1)(a) "is whether it is 'plain and obvious,' assuming the facts pleaded are true, that the claim discloses no reasonable cause of action and has no reasonable prospect of success." They rely on </w:t>
      </w:r>
      <w:r>
        <w:rPr>
          <w:rFonts w:ascii="arial" w:eastAsia="arial" w:hAnsi="arial" w:cs="arial"/>
          <w:i/>
          <w:color w:val="000000"/>
          <w:sz w:val="20"/>
          <w:lang w:val="en-US" w:eastAsia="en-US" w:bidi="ar-SA"/>
        </w:rPr>
        <w:t>R. v. Imperial Tobacco Ltd.</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at para. 17. The applicants rely on </w:t>
      </w:r>
      <w:r>
        <w:rPr>
          <w:rFonts w:ascii="arial" w:eastAsia="arial" w:hAnsi="arial" w:cs="arial"/>
          <w:i/>
          <w:color w:val="000000"/>
          <w:sz w:val="20"/>
          <w:lang w:val="en-US" w:eastAsia="en-US" w:bidi="ar-SA"/>
        </w:rPr>
        <w:t>Willow v. Chong</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2013 BCSC 1083</w:t>
        </w:r>
      </w:hyperlink>
      <w:r>
        <w:rPr>
          <w:rFonts w:ascii="arial" w:eastAsia="arial" w:hAnsi="arial" w:cs="arial"/>
          <w:color w:val="000000"/>
          <w:sz w:val="20"/>
          <w:lang w:val="en-US" w:eastAsia="en-US" w:bidi="ar-SA"/>
        </w:rPr>
        <w:t xml:space="preserve"> at para. 19, and </w:t>
      </w:r>
      <w:r>
        <w:rPr>
          <w:rFonts w:ascii="arial" w:eastAsia="arial" w:hAnsi="arial" w:cs="arial"/>
          <w:i/>
          <w:color w:val="000000"/>
          <w:sz w:val="20"/>
          <w:lang w:val="en-US" w:eastAsia="en-US" w:bidi="ar-SA"/>
        </w:rPr>
        <w:t>Young v. Borzoni</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 at paras. 25 to 32, in support of the contention that allegations based on assumption and speculation need not be taken as true, but must be subjected to a skeptical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defendants also submit that a claimant is not entitled to rely on the possibility that new facts may turn up as the case progresses if insufficient material facts have been pleaded to support every element of the tort. The defendants rely on </w:t>
      </w:r>
      <w:r>
        <w:rPr>
          <w:rFonts w:ascii="arial" w:eastAsia="arial" w:hAnsi="arial" w:cs="arial"/>
          <w:i/>
          <w:color w:val="000000"/>
          <w:sz w:val="20"/>
          <w:lang w:val="en-US" w:eastAsia="en-US" w:bidi="ar-SA"/>
        </w:rPr>
        <w:t>Willow</w:t>
      </w:r>
      <w:r>
        <w:rPr>
          <w:rFonts w:ascii="arial" w:eastAsia="arial" w:hAnsi="arial" w:cs="arial"/>
          <w:color w:val="000000"/>
          <w:sz w:val="20"/>
          <w:lang w:val="en-US" w:eastAsia="en-US" w:bidi="ar-SA"/>
        </w:rPr>
        <w:t xml:space="preserve"> as authority that the tort of civil conspiracy has three elements:</w:t>
      </w:r>
      <w:r>
        <w:rPr>
          <w:rFonts w:ascii="arial" w:eastAsia="arial" w:hAnsi="arial" w:cs="arial"/>
          <w:sz w:val="20"/>
          <w:lang w:val="en-US" w:eastAsia="en-US" w:bidi="ar-SA"/>
        </w:rPr>
        <w:cr/>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agreement including a joint plan or common intention by the defendants to do the act which is the object of the conspiracy;</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overt act consequent on the agreement; and</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resulting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defendants say that the pleadings fail to aver an agreement or common intention to do the acts alleged to the object of the conspiracy or to identify the individual participation of the defendants in that agreement. The NOCC relies on facts not yet known and, hence, there is an insufficient factual basis on which to ground a claim in conspiracy or fraud. The defendants also submit that, when subjected to a skeptical analysis, the alleged facts in context can only be viewed as "wild speculation" not capable of sustaining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to Rules 9-8(4) and 22-4, the applications argue that because the plaintiffs have failed to pay the costs of the previous action which was substantially the same claim, the claim should be stayed until those costs are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As far as Tofino is concerned, it adopts the submissions of Parkbridge and BCIMC and it identifies paras. 19, 23 to 25, 27 to 28, and 29(g) to (j) as "potentially relating to Tofino." Tofino contends that, although the NOCC claims that it acted by its employees and agents, no such persons are named as defendants and none of the pleadings plead the requisite intent of the District to found a conspiracy. Tofino submits that all of the allegations against it relate to administrative actions that are properly challenged through judicial review proceedings, but were not. They do not support a tort claim. Tofino cites </w:t>
      </w:r>
      <w:r>
        <w:rPr>
          <w:rFonts w:ascii="arial" w:eastAsia="arial" w:hAnsi="arial" w:cs="arial"/>
          <w:i/>
          <w:color w:val="000000"/>
          <w:sz w:val="20"/>
          <w:lang w:val="en-US" w:eastAsia="en-US" w:bidi="ar-SA"/>
        </w:rPr>
        <w:t>Acumar Consulting Engineers Ltd. v. Association of Professional Engineers and Geoscientists of British Columbia (APEGPC)</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2014 BCSC 814</w:t>
        </w:r>
      </w:hyperlink>
      <w:r>
        <w:rPr>
          <w:rFonts w:ascii="arial" w:eastAsia="arial" w:hAnsi="arial" w:cs="arial"/>
          <w:color w:val="000000"/>
          <w:sz w:val="20"/>
          <w:lang w:val="en-US" w:eastAsia="en-US" w:bidi="ar-SA"/>
        </w:rPr>
        <w:t>, at para. 32, which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is an abuse of the court process to use a civil action to collaterally attack decisions of an administrative tribunal that are otherwise subject to a statutory right of appeal or review .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Tofino also relies on </w:t>
      </w:r>
      <w:r>
        <w:rPr>
          <w:rFonts w:ascii="arial" w:eastAsia="arial" w:hAnsi="arial" w:cs="arial"/>
          <w:i/>
          <w:color w:val="000000"/>
          <w:sz w:val="20"/>
          <w:lang w:val="en-US" w:eastAsia="en-US" w:bidi="ar-SA"/>
        </w:rPr>
        <w:t>Simon</w:t>
      </w:r>
      <w:r>
        <w:rPr>
          <w:rFonts w:ascii="arial" w:eastAsia="arial" w:hAnsi="arial" w:cs="arial"/>
          <w:color w:val="000000"/>
          <w:sz w:val="20"/>
          <w:lang w:val="en-US" w:eastAsia="en-US" w:bidi="ar-SA"/>
        </w:rPr>
        <w:t xml:space="preserve"> at para. 102 for the same proposition. The Tofino defendant also submits that damages are an essential element of conspiracy and the finding of the B.C. Supreme Court, upheld by the Court of Appeal, that $60 million was a provident sale is conclusive that the plaintiffs did not suffer loss or damage as a result of the sale and, hence, there is no reasonable cause of action; the present NOCC is an abuse of process, and a collateral attack on concluded proceedings. Tofino points out that Angleland has commenced a separate action against Tofino alleging a similar conspiracy to assist Parkbridge and BCIMC to acquire its properties at substantially below market value. That action was filed February 25,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support of its contention that even if the claim could be said to disclose a cause of action, it is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 abuse of process, and a collateral attack, Tofino relies on </w:t>
      </w:r>
      <w:r>
        <w:rPr>
          <w:rFonts w:ascii="arial" w:eastAsia="arial" w:hAnsi="arial" w:cs="arial"/>
          <w:i/>
          <w:color w:val="000000"/>
          <w:sz w:val="20"/>
          <w:lang w:val="en-US" w:eastAsia="en-US" w:bidi="ar-SA"/>
        </w:rPr>
        <w:t>Willow</w:t>
      </w:r>
      <w:r>
        <w:rPr>
          <w:rFonts w:ascii="arial" w:eastAsia="arial" w:hAnsi="arial" w:cs="arial"/>
          <w:color w:val="000000"/>
          <w:sz w:val="20"/>
          <w:lang w:val="en-US" w:eastAsia="en-US" w:bidi="ar-SA"/>
        </w:rPr>
        <w:t xml:space="preserve"> at para. 21 and Simon at para. 101. Tofino points out that the NOCC clearly is seeking to overturn the court-ordered and approved sale of land and is a clear attack on the finding that the sale was a provident one. Tofino also submits that the allegations at bar are duplicative of the previous action, which was discontinued, and of the Angleland claim. Tofino submits, in all the circumstances, the claim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Counsel for Canada adopted the submissions of the other applicants as to the abuse of process argument, the argument that the claim is frivolous and vexatious, and that it discloses no reasonable action. HMC also noted that in respect of conspiracy claims, pleadings must be as specific as possible. HMC submits the NOCC should describe who the parties to the conspiracy are, their relationship with each other, and what its objects are, "giving the best particulars it can of the dates when or the dates between which the conspiracy was entered or continued." HMC submits the "sweeping superficial allegations of conspiracy fail comprehensively to meet those requirements." The pleadings do not meet the level of specificity required by the Rules and are bald and conclusory statements. HMC repeats the Parkbridge submission that the allegations are wildly speculative and must be subjected to a skeptical analysis. To the extent a claim of negligent investigation against the RCMP can be discerned from the pleadings, it must fail as there is no private duty of care owed by the police to victims of crime with regard to their investigations.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HMBC similarly adopts the submissions of the other applicants. B.C. also makes submissions relating to its liability for its agents as asserted in the NOCC. The B.C. defendant references the allegations in paras. 25 and 26 of the NOCC that BCIMC and BC Hydro were agents of HMBC. HMBC argues that "[i]nsufficient facts are pleaded to establish a separate agency relationship with respect to the underlying conspiracy that is the focus of this action," and submits, citing the </w:t>
      </w:r>
      <w:r>
        <w:rPr>
          <w:rFonts w:ascii="arial" w:eastAsia="arial" w:hAnsi="arial" w:cs="arial"/>
          <w:i/>
          <w:color w:val="000000"/>
          <w:sz w:val="20"/>
          <w:lang w:val="en-US" w:eastAsia="en-US" w:bidi="ar-SA"/>
        </w:rPr>
        <w:t>Crown Proceedings Act</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R.S.B.C. 1996, c. 89, s. 3</w:t>
        </w:r>
      </w:hyperlink>
      <w:r>
        <w:rPr>
          <w:rFonts w:ascii="arial" w:eastAsia="arial" w:hAnsi="arial" w:cs="arial"/>
          <w:color w:val="000000"/>
          <w:sz w:val="20"/>
          <w:lang w:val="en-US" w:eastAsia="en-US" w:bidi="ar-SA"/>
        </w:rPr>
        <w:t xml:space="preserve">(2)(d), that there can be no cause of action against the Province for the actions of Crown corporations or its agents. B.C. also argued that, to the extent the plaintiffs assert its liability for acts or admissions of adjudicators under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Freedom of Information and Protection of 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165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FOIPPA</w:t>
      </w:r>
      <w:r>
        <w:rPr>
          <w:rFonts w:ascii="arial" w:eastAsia="arial" w:hAnsi="arial" w:cs="arial"/>
          <w:color w:val="000000"/>
          <w:sz w:val="20"/>
          <w:lang w:val="en-US" w:eastAsia="en-US" w:bidi="ar-SA"/>
        </w:rPr>
        <w:t xml:space="preserve">"), they are not agents of HMBC and no facts are pleaded in the NOCC to set out the basis for such a claim. They submit neither the Province nor the decision-makers can or should be held liable for the exercise of their quasi-judicial functions, citing </w:t>
      </w:r>
      <w:r>
        <w:rPr>
          <w:rFonts w:ascii="arial" w:eastAsia="arial" w:hAnsi="arial" w:cs="arial"/>
          <w:i/>
          <w:color w:val="000000"/>
          <w:sz w:val="20"/>
          <w:lang w:val="en-US" w:eastAsia="en-US" w:bidi="ar-SA"/>
        </w:rPr>
        <w:t>Speckling v. Kearney et al</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2006 BCSC 506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Dechant v. Stevens</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2001 ABCA 39</w:t>
        </w:r>
      </w:hyperlink>
      <w:r>
        <w:rPr>
          <w:rFonts w:ascii="arial" w:eastAsia="arial" w:hAnsi="arial" w:cs="arial"/>
          <w:color w:val="000000"/>
          <w:sz w:val="20"/>
          <w:lang w:val="en-US" w:eastAsia="en-US" w:bidi="ar-SA"/>
        </w:rPr>
        <w:t xml:space="preserve">. HMBC submits there is no pleading that Mr. English has accessed or exhausted his rights for review under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As to the </w:t>
      </w:r>
      <w:r>
        <w:rPr>
          <w:rFonts w:ascii="arial" w:eastAsia="arial" w:hAnsi="arial" w:cs="arial"/>
          <w:i/>
          <w:color w:val="000000"/>
          <w:sz w:val="20"/>
          <w:lang w:val="en-US" w:eastAsia="en-US" w:bidi="ar-SA"/>
        </w:rPr>
        <w:t>FOIPPA</w:t>
      </w:r>
      <w:r>
        <w:rPr>
          <w:rFonts w:ascii="arial" w:eastAsia="arial" w:hAnsi="arial" w:cs="arial"/>
          <w:color w:val="000000"/>
          <w:sz w:val="20"/>
          <w:lang w:val="en-US" w:eastAsia="en-US" w:bidi="ar-SA"/>
        </w:rPr>
        <w:t xml:space="preserve"> process, the material facts include assertions that that review process is ongoing by a judicial review and the defendant HMBC submits it is an abuse of process to simultaneously pursue that issue in a civil proceeding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HMBC also submits some of the claims are barred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as they identified a conspiracy as occurring over "several years." HMBC says that many of the claims, if true, were extant and discoverable some years ago and were included in the previous 2013 discontinued proceeding and referenced in the original foreclosure proceedings and in the </w:t>
      </w:r>
      <w:r>
        <w:rPr>
          <w:rFonts w:ascii="arial" w:eastAsia="arial" w:hAnsi="arial" w:cs="arial"/>
          <w:i/>
          <w:color w:val="000000"/>
          <w:sz w:val="20"/>
          <w:lang w:val="en-US" w:eastAsia="en-US" w:bidi="ar-SA"/>
        </w:rPr>
        <w:t>Angleland Holdings v. District of Tofino</w:t>
      </w:r>
      <w:r>
        <w:rPr>
          <w:rFonts w:ascii="arial" w:eastAsia="arial" w:hAnsi="arial" w:cs="arial"/>
          <w:color w:val="000000"/>
          <w:sz w:val="20"/>
          <w:lang w:val="en-US" w:eastAsia="en-US" w:bidi="ar-SA"/>
        </w:rPr>
        <w:t xml:space="preserve"> action. HMBC submits to the extent the pleadings allege defamation or seek damages in respect of injury to persons or property including consequent economic loss, the claims are subject to a two-year limitation and are barred by the operation of s. 3(2)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HMBC seeks that the action "be dismissed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So far as Mr. Scouten and Mr. Wilson are concerned, they adopted the submissions of the other applicants. In addition to asserting that Mr. Scouten and Mr. Wilson were privy to the conspiracy, which has as its objects forcing the plaintiffs into foreclosure proceedings and selling the lands at an improvident price to Parkbridge, the plaintiffs made specific allegations against these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Against Mr. Scouten, the plaintiffs allege at para. 20 of the NOCC, that while acting for the plaintiffs, he committed "devastating, unethical, and highly prejudicial acts on behalf of the defendants." They further allege that he was induced by the defendants "to fail to follow the plaintiffs' instruction, mislead the plaintiffs, and fail to follow his ethical and lawful duties" by failing to file an affidavit of Mr. English sworn in June 2009 in the Mission Creek foreclosure proceeding that attested to both the company and RV business and the farming activities on the lands; that he failed to make proper argument that the foreclosure proceedings were a nullity pursuant to the</w:t>
      </w:r>
      <w:r>
        <w:rPr>
          <w:rFonts w:ascii="arial" w:eastAsia="arial" w:hAnsi="arial" w:cs="arial"/>
          <w:i/>
          <w:color w:val="000000"/>
          <w:sz w:val="20"/>
          <w:lang w:val="en-US" w:eastAsia="en-US" w:bidi="ar-SA"/>
        </w:rPr>
        <w:t>FDMA</w:t>
      </w:r>
      <w:r>
        <w:rPr>
          <w:rFonts w:ascii="arial" w:eastAsia="arial" w:hAnsi="arial" w:cs="arial"/>
          <w:color w:val="000000"/>
          <w:sz w:val="20"/>
          <w:lang w:val="en-US" w:eastAsia="en-US" w:bidi="ar-SA"/>
        </w:rPr>
        <w:t>; and that he conspired with other lawyers for the plaintiffs, Mr. Miller and Azevedo, and Mr. Wilson for Mission Creek, "in a fraud on the court designed to conceal the evidence of the plaintiffs' long-term farming activities documented in the June 2009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According to the NOCC, Mr. Scouten agreed with Mr. Wilson to move the venue of the foreclosure hearing to Kelowna without the plaintiffs' knowledge or consent, prejudicing the plaintiffs' ability to advise and instruct counsel and conduct their defence. The NOCC alleges that Mr. Scouten agreed to reduce the redemption period by one month imperiling the plaintiffs' ability to find alternate financing. According to the NOCC, Mr. Scouten was fired the day before the first foreclosure hearing in June 2009. The plaintiffs say Mr. Scouten failed to file the June 2009 affidavit when it was sworn in June 2009 and failed to do so for four years until early 2013 when the plaintiffs did so themselves "too late to be of any assistance to them." The plaintiffs assert that Mr. Scouten "misled the plaintiffs by attending the Kelowna hearing in June 2009 in the presence of the plaintiff after he had been dismissed from his role as legal counsel handing unfiled copies of the June 2009 affidavit to the plaintiffs' new legal counsel and to Mr. Wilson. The NOCC asserts that this was calculated to mislead the plaintiff to believe the affidavit had been filed with the court when it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As to Mr. Wilson, the plaintiffs allege as follows in paras. 8 and 9:</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May 2013, Steven Wilson, legal counsel for Mission Creek, </w:t>
      </w:r>
      <w:r>
        <w:rPr>
          <w:rFonts w:ascii="arial" w:eastAsia="arial" w:hAnsi="arial" w:cs="arial"/>
          <w:color w:val="000000"/>
          <w:sz w:val="20"/>
          <w:u w:val="single"/>
          <w:lang w:val="en-US" w:eastAsia="en-US" w:bidi="ar-SA"/>
        </w:rPr>
        <w:t>fraudulently with intent to mislead, falsely informed Madame Justice Newbury of</w:t>
      </w:r>
      <w:r>
        <w:rPr>
          <w:rFonts w:ascii="arial" w:eastAsia="arial" w:hAnsi="arial" w:cs="arial"/>
          <w:color w:val="000000"/>
          <w:sz w:val="20"/>
          <w:lang w:val="en-US" w:eastAsia="en-US" w:bidi="ar-SA"/>
        </w:rPr>
        <w:t xml:space="preserve"> the British Columbia Court of Appeal </w:t>
      </w:r>
      <w:r>
        <w:rPr>
          <w:rFonts w:ascii="arial" w:eastAsia="arial" w:hAnsi="arial" w:cs="arial"/>
          <w:color w:val="000000"/>
          <w:sz w:val="20"/>
          <w:u w:val="single"/>
          <w:lang w:val="en-US" w:eastAsia="en-US" w:bidi="ar-SA"/>
        </w:rPr>
        <w:t>that he and the defendants he was representing (Mission Creek) had no knowledge of any plaintiffs had no evidence farming activities by the plaintiffs on the mortgaged properties prior to March</w:t>
      </w:r>
      <w:r>
        <w:rPr>
          <w:rFonts w:ascii="arial" w:eastAsia="arial" w:hAnsi="arial" w:cs="arial"/>
          <w:color w:val="000000"/>
          <w:sz w:val="20"/>
          <w:lang w:val="en-US" w:eastAsia="en-US" w:bidi="ar-SA"/>
        </w:rPr>
        <w:t xml:space="preserve"> 2009 </w:t>
      </w:r>
      <w:r>
        <w:rPr>
          <w:rFonts w:ascii="arial" w:eastAsia="arial" w:hAnsi="arial" w:cs="arial"/>
          <w:color w:val="000000"/>
          <w:sz w:val="20"/>
          <w:u w:val="single"/>
          <w:lang w:val="en-US" w:eastAsia="en-US" w:bidi="ar-SA"/>
        </w:rPr>
        <w:t>when he actually had a copy of the unfiled affidavit #1 of the plaintiffs in his possession given to him in person in the presence of the plaintiffs in the court room in Kelowna in June 2009 which graphically attested to the plaintiff's farming activities on the mortgaged properties with some four pages of explanations and colour photographs taken by Scouten himself</w:t>
      </w:r>
      <w:r>
        <w:rPr>
          <w:rFonts w:ascii="arial" w:eastAsia="arial" w:hAnsi="arial" w:cs="arial"/>
          <w:color w:val="000000"/>
          <w:sz w:val="20"/>
          <w:lang w:val="en-US" w:eastAsia="en-US" w:bidi="ar-SA"/>
        </w:rPr>
        <w:t>.</w:t>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so doing </w:t>
      </w:r>
      <w:r>
        <w:rPr>
          <w:rFonts w:ascii="arial" w:eastAsia="arial" w:hAnsi="arial" w:cs="arial"/>
          <w:color w:val="000000"/>
          <w:sz w:val="20"/>
          <w:u w:val="single"/>
          <w:lang w:val="en-US" w:eastAsia="en-US" w:bidi="ar-SA"/>
        </w:rPr>
        <w:t>Steven</w:t>
      </w:r>
      <w:r>
        <w:rPr>
          <w:rFonts w:ascii="arial" w:eastAsia="arial" w:hAnsi="arial" w:cs="arial"/>
          <w:color w:val="000000"/>
          <w:sz w:val="20"/>
          <w:lang w:val="en-US" w:eastAsia="en-US" w:bidi="ar-SA"/>
        </w:rPr>
        <w:t xml:space="preserve"> Wilson was deliberately and knowingly misinforming and misleading the Court of Appeal because Wilson had in his possession sworn evidence of such farming activities on and off the mortgaged properties since June 2009 which was contained in Affidavit #1 of the plaintiff which was given to Wilson by Scouten in June of 2009.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They also assert that Mr. Wilson failed to provide an accounting for the sale of the land. The defendant, Mr. Wilson, argues that even if true, which he denies, the claim against him must fail because he owed no duty of care to the plaintiffs as they were not in a contractual or fiduciary relationship with him. The defendant, Mr. Wilson, relies on </w:t>
      </w:r>
      <w:r>
        <w:rPr>
          <w:rFonts w:ascii="arial" w:eastAsia="arial" w:hAnsi="arial" w:cs="arial"/>
          <w:i/>
          <w:color w:val="000000"/>
          <w:sz w:val="20"/>
          <w:lang w:val="en-US" w:eastAsia="en-US" w:bidi="ar-SA"/>
        </w:rPr>
        <w:t>Singh v. Nielsen</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2016 BCSC 2420</w:t>
        </w:r>
      </w:hyperlink>
      <w:r>
        <w:rPr>
          <w:rFonts w:ascii="arial" w:eastAsia="arial" w:hAnsi="arial" w:cs="arial"/>
          <w:color w:val="000000"/>
          <w:sz w:val="20"/>
          <w:lang w:val="en-US" w:eastAsia="en-US" w:bidi="ar-SA"/>
        </w:rPr>
        <w:t xml:space="preserve">, at paras. 17 to 20, and </w:t>
      </w:r>
      <w:r>
        <w:rPr>
          <w:rFonts w:ascii="arial" w:eastAsia="arial" w:hAnsi="arial" w:cs="arial"/>
          <w:i/>
          <w:color w:val="000000"/>
          <w:sz w:val="20"/>
          <w:lang w:val="en-US" w:eastAsia="en-US" w:bidi="ar-SA"/>
        </w:rPr>
        <w:t>Awad v. Salna</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2017 BCSC 429</w:t>
        </w:r>
      </w:hyperlink>
      <w:r>
        <w:rPr>
          <w:rFonts w:ascii="arial" w:eastAsia="arial" w:hAnsi="arial" w:cs="arial"/>
          <w:color w:val="000000"/>
          <w:sz w:val="20"/>
          <w:lang w:val="en-US" w:eastAsia="en-US" w:bidi="ar-SA"/>
        </w:rPr>
        <w:t>, at paras. 21 to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As far as Mr. Scouten is concerned, he argues that none of the claims against him are reasonable. Although "strenuously denying" the allegations of a breach of duty he says that even if the allegations are taken as true, there is no allegation that the conduct alleged has contributed to any claimed losses. With respect to the allegation that he failed to file an affidavit evidencing the plaintiffs' farming activities, he submits the NOCC fails to show a connection to the claimed losses. The issue with respect to the </w:t>
      </w:r>
      <w:r>
        <w:rPr>
          <w:rFonts w:ascii="arial" w:eastAsia="arial" w:hAnsi="arial" w:cs="arial"/>
          <w:i/>
          <w:color w:val="000000"/>
          <w:sz w:val="20"/>
          <w:lang w:val="en-US" w:eastAsia="en-US" w:bidi="ar-SA"/>
        </w:rPr>
        <w:t>FDMA</w:t>
      </w:r>
      <w:r>
        <w:rPr>
          <w:rFonts w:ascii="arial" w:eastAsia="arial" w:hAnsi="arial" w:cs="arial"/>
          <w:color w:val="000000"/>
          <w:sz w:val="20"/>
          <w:lang w:val="en-US" w:eastAsia="en-US" w:bidi="ar-SA"/>
        </w:rPr>
        <w:t xml:space="preserve"> was determined in the foreclosure proceedings when Mr. Scouten was no longer involved or acting for the plaintiffs. Mr. Scouten submits that the allegation that he agreed to change the venue from Nanaimo to Kelowna without the knowledge or consent of the plaintiffs did not result in any specific pleaded consequence to the plaintiffs. He says the allegation that he agreed to reduce the redemption period by one month similarly had no consequence as there were various extensions of the redemption period following the initial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As to the conspiracy allegations against Mr. Wilson and Mr. Scouten, they adopt the submissions of the other parties as to the application of Rule 9-5(1)(b) and (d) as being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or as being unnecessary, scandalous, frivolous, vexatious, or a collateral attack on the foreclosure proceedings. The lawyer defendants submit, relying on </w:t>
      </w:r>
      <w:r>
        <w:rPr>
          <w:rFonts w:ascii="arial" w:eastAsia="arial" w:hAnsi="arial" w:cs="arial"/>
          <w:i/>
          <w:color w:val="000000"/>
          <w:sz w:val="20"/>
          <w:lang w:val="en-US" w:eastAsia="en-US" w:bidi="ar-SA"/>
        </w:rPr>
        <w:t>Awad</w:t>
      </w:r>
      <w:r>
        <w:rPr>
          <w:rFonts w:ascii="arial" w:eastAsia="arial" w:hAnsi="arial" w:cs="arial"/>
          <w:color w:val="000000"/>
          <w:sz w:val="20"/>
          <w:lang w:val="en-US" w:eastAsia="en-US" w:bidi="ar-SA"/>
        </w:rPr>
        <w:t>, at para. 47,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It is a longstanding legal requirement that where a given matter becomes the subject of litigation, the parties are required to bring their whole case forward; they are prohibited from litigating a subject in "slices" or on a piecemeal basis .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Finally, the lawyer defendants rely on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Mr. Scouten ceased acting for the plaintiffs in June 2009 and Mr. Wilson's alleged wrongdoing occurred more than two years before the action was commenced. The plaintiffs advanced the same claims against Mr. Wilson and Mr. Scouten in the previous action filed July 18, 2013, which was discontinued. So, clearly, they had "discovered the claims" before then and cannot claim a later discovery for purposes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plaintiffs initially sought an adjournment of these applications which I denied. The essence of the plaintiffs' oral response to the applications was to acknowledge that the applicants are correct in their submissions including the submissions that neither the infant plaintiffs nor Mr. English are proper parties to this action. Counsel for the plaintiffs, in a forthright submission, described the pleadings as "horrible," but not hopeless. He submits that the proper claimants, Angleland and Nederland, have a grievance which has not been properly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Counsel noted that, although served, BC Hydro, which it is alleged caused damage and loss to the plaintiffs, has not brought an application to strike the pleadings against it. The allegations against BC Hydro concern trespass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destruction of a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Counsel for the plaintiffs assert that other transactions said to form the substance of the conspiracy also happened and, while he would expect that there would be a new theory that did not involve conspiracy, if the plaintiffs were permitted to overhaul their NOCC and properly plead and particularize their claims, the NOCC could withstand an application to strike. The plaintiffs submit that they have now retained senior counsel to amend the pleadings so as to establish a sustainable claim. Counsel for the plaintiffs submitted that this case has not been in the system for an inordinately long time. The plaintiffs submit there is no prejudice to the defendants if they are permitted to amend particulars of the claim if the court grants leave to amend on a short timeline. The plaintiffs submit all the pieces are in place, that the pleadings can be overhauled by senior counsel who has already been retained for that purpose. Counsel for the plaintiffs conceded that he did not see how it could be established that the sale to Parkbridge was improvident given the conclusive findings of this Court and the Court of Appeal in the foreclosure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have reviewed the history of the various proceedings stemming from the foreclosure on the lands in some detail to demonstrate how thoroughly, comprehensively, and relentlessly the plaintiffs have sought a remedy for their perceived grievances over the past eight or nine years. The purpose of that demonstration is not primarily to address the applicants' applications, although I accept the arguments that the pleadings cannot stand in the face of Rule 9-5(1)(a), (b), and (d) in respect of each applicant. The plaintiffs' candid and reasonable concession that the NOCC is deficient for the reasons advanced by the applicants makes it unnecessary to parse through the pleadings and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What is important to understand, however, is the essential nature of the deficiency, as that runs to the heart of the issue whether the plaintiffs should be permitted to amend or whether the pleadings should simply be struck. At its core, the plaintiffs' grievance, not only in the present NOCC, but in the previous one, in the applications before Barrow J., in the foreclosure proceedings before Betton J., and in the Court of Appeal and in the </w:t>
      </w:r>
      <w:r>
        <w:rPr>
          <w:rFonts w:ascii="arial" w:eastAsia="arial" w:hAnsi="arial" w:cs="arial"/>
          <w:i/>
          <w:color w:val="000000"/>
          <w:sz w:val="20"/>
          <w:lang w:val="en-US" w:eastAsia="en-US" w:bidi="ar-SA"/>
        </w:rPr>
        <w:t>Harney</w:t>
      </w:r>
      <w:r>
        <w:rPr>
          <w:rFonts w:ascii="arial" w:eastAsia="arial" w:hAnsi="arial" w:cs="arial"/>
          <w:color w:val="000000"/>
          <w:sz w:val="20"/>
          <w:lang w:val="en-US" w:eastAsia="en-US" w:bidi="ar-SA"/>
        </w:rPr>
        <w:t xml:space="preserve"> proceedings before the Court of Appeal, is that the lands were sold at an improvident price as a result of a far-flung conspiracy which had that improvident sale as its object. The plaintiffs have persisted in that essential allegation in the face of clear adverse rulings in the Supreme Court and in the Court of Appeal that have finally and conclusively dealt with what the plaintiffs are seeking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upholding Betton J.'s approval of the sale in </w:t>
      </w:r>
      <w:r>
        <w:rPr>
          <w:rFonts w:ascii="arial" w:eastAsia="arial" w:hAnsi="arial" w:cs="arial"/>
          <w:i/>
          <w:color w:val="000000"/>
          <w:sz w:val="20"/>
          <w:lang w:val="en-US" w:eastAsia="en-US" w:bidi="ar-SA"/>
        </w:rPr>
        <w:t>Mission Creek Mortgage Ltd. v. Angleland Holdings Inc.</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2013 BCCA 281</w:t>
        </w:r>
      </w:hyperlink>
      <w:r>
        <w:rPr>
          <w:rFonts w:ascii="arial" w:eastAsia="arial" w:hAnsi="arial" w:cs="arial"/>
          <w:color w:val="000000"/>
          <w:sz w:val="20"/>
          <w:lang w:val="en-US" w:eastAsia="en-US" w:bidi="ar-SA"/>
        </w:rPr>
        <w:t>, the court held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The reasons were more than adequate for appellate review. They [make] it clear why the judge came to the conclusion that the sale to Parkbridge is a provident sale on the whole of the evidence.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[63]</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position of the appellants continues to be that they wish time to attempt to obtain sufficient financing to pay out Mission [Creek] and to commercially develop the property. It appears that they have been attempting to do this for about nine years, with no success. The Oxbridge letter notwithstanding, they have not presented evidence that they have any realistic chance to bring their efforts to fruition in the long term, much less the relatively short term which must govern here. Mission [Creek] has been patient and presented an offer that in all the circumstances was worthy of the court approval that was given.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It is clear, given that conclusive finding by the Court of Appeal, that the NOCC is both a collateral attack on an order of the court and is, for that reason, an abuse of process. Moreover, this action has all the salient characteristics of a vexatious proceeding as described in </w:t>
      </w:r>
      <w:r>
        <w:rPr>
          <w:rFonts w:ascii="arial" w:eastAsia="arial" w:hAnsi="arial" w:cs="arial"/>
          <w:i/>
          <w:color w:val="000000"/>
          <w:sz w:val="20"/>
          <w:lang w:val="en-US" w:eastAsia="en-US" w:bidi="ar-SA"/>
        </w:rPr>
        <w:t>Simon</w:t>
      </w:r>
      <w:r>
        <w:rPr>
          <w:rFonts w:ascii="arial" w:eastAsia="arial" w:hAnsi="arial" w:cs="arial"/>
          <w:color w:val="000000"/>
          <w:sz w:val="20"/>
          <w:lang w:val="en-US" w:eastAsia="en-US" w:bidi="ar-SA"/>
        </w:rPr>
        <w:t xml:space="preserve"> at para.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[97]</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nature of a vexatious action was described by Henry J. in </w:t>
            </w:r>
            <w:r>
              <w:rPr>
                <w:rFonts w:ascii="arial" w:eastAsia="arial" w:hAnsi="arial" w:cs="arial"/>
                <w:i/>
                <w:color w:val="000000"/>
                <w:sz w:val="18"/>
                <w:lang w:val="en-US" w:eastAsia="en-US" w:bidi="ar-SA"/>
              </w:rPr>
              <w:t>Re Lang Michener</w:t>
            </w:r>
            <w:r>
              <w:rPr>
                <w:rFonts w:ascii="arial" w:eastAsia="arial" w:hAnsi="arial" w:cs="arial"/>
                <w:color w:val="000000"/>
                <w:sz w:val="18"/>
                <w:lang w:val="en-US" w:eastAsia="en-US" w:bidi="ar-SA"/>
              </w:rPr>
              <w:t xml:space="preserve"> </w:t>
            </w:r>
            <w:hyperlink r:id="rId81" w:history="1">
              <w:r>
                <w:rPr>
                  <w:rFonts w:ascii="arial" w:eastAsia="arial" w:hAnsi="arial" w:cs="arial"/>
                  <w:i/>
                  <w:color w:val="0077CC"/>
                  <w:sz w:val="18"/>
                  <w:u w:val="single"/>
                  <w:shd w:val="clear" w:color="auto" w:fill="FFFFFF"/>
                  <w:lang w:val="en-US" w:eastAsia="en-US" w:bidi="ar-SA"/>
                </w:rPr>
                <w:t>(1987), 37 D.L.R. (4th) 685</w:t>
              </w:r>
            </w:hyperlink>
            <w:r>
              <w:rPr>
                <w:rFonts w:ascii="arial" w:eastAsia="arial" w:hAnsi="arial" w:cs="arial"/>
                <w:color w:val="000000"/>
                <w:sz w:val="18"/>
                <w:lang w:val="en-US" w:eastAsia="en-US" w:bidi="ar-SA"/>
              </w:rPr>
              <w:t xml:space="preserve"> . . . at 691: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these decisions the following principles may be extracted:</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bringing of one or more actions to determine an issue which has already been determined by a court of competent jurisdiction constitutes a vexatious proceeding;</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it is obvious that an action cannot succeed, or if the action would lead to no possible good, or if no reasonable person can reasonably [be] expect[ed] to obtain relief, the action is vexatious;</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vexatious actions include those brought for an improper purpose, including the harassment and oppression of other parties by multifarious proceedings brought for purposes other than the assertion of legitimate rights;</w:t>
      </w:r>
    </w:p>
    <w:p>
      <w:pPr>
        <w:numPr>
          <w:numId w:val="4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general characteristic of vexatious proceedings that grounds and issues raised tend to be rolled forward into subsequent actions and repeated and supplemented, often with actions brought against the lawyers who have acted for or against the litigant in earlier proceedings;</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proceedings are vexatious, the court must look at the whole history of the matter and not just whether there was originally a good cause of action;</w:t>
      </w:r>
    </w:p>
    <w:p>
      <w:pPr>
        <w:numPr>
          <w:numId w:val="4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of the person instituting the proceedings to pay the costs of unsuccessful proceedings is one factor to be considered in determining whether proceedings are vexatious;</w:t>
      </w:r>
    </w:p>
    <w:p>
      <w:pPr>
        <w:numPr>
          <w:numId w:val="4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respondent's conduct in persistently taking unsuccessful appeals from judicial decisions can be considered vexatious conduct of legal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As far as the individual lawyer applicants are concerned, in addition to the broader issues of abuse of process and vexatiousness raised by all the applicants, there are specific additional reasons why the pleadings against them cannot stand. In the case of Mr. Wilson, who at all material times acted for Mission Creek, the reasoning of Mr. Justice Greyell in </w:t>
      </w:r>
      <w:r>
        <w:rPr>
          <w:rFonts w:ascii="arial" w:eastAsia="arial" w:hAnsi="arial" w:cs="arial"/>
          <w:i/>
          <w:color w:val="000000"/>
          <w:sz w:val="20"/>
          <w:lang w:val="en-US" w:eastAsia="en-US" w:bidi="ar-SA"/>
        </w:rPr>
        <w:t>Awad</w:t>
      </w:r>
      <w:r>
        <w:rPr>
          <w:rFonts w:ascii="arial" w:eastAsia="arial" w:hAnsi="arial" w:cs="arial"/>
          <w:color w:val="000000"/>
          <w:sz w:val="20"/>
          <w:lang w:val="en-US" w:eastAsia="en-US" w:bidi="ar-SA"/>
        </w:rPr>
        <w:t xml:space="preserve"> at paras. 22 to 24 is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There is an absolute privilege extended to counsel for all communications made in the course of or incidental to their representation of clients in the judicial or quasi-judicial proceedings. In </w:t>
            </w:r>
            <w:r>
              <w:rPr>
                <w:rFonts w:ascii="arial" w:eastAsia="arial" w:hAnsi="arial" w:cs="arial"/>
                <w:i/>
                <w:color w:val="000000"/>
                <w:sz w:val="18"/>
                <w:lang w:val="en-US" w:eastAsia="en-US" w:bidi="ar-SA"/>
              </w:rPr>
              <w:t>Lawrence et al v. Sandilands</w:t>
            </w:r>
            <w:r>
              <w:rPr>
                <w:rFonts w:ascii="arial" w:eastAsia="arial" w:hAnsi="arial" w:cs="arial"/>
                <w:color w:val="000000"/>
                <w:sz w:val="18"/>
                <w:lang w:val="en-US" w:eastAsia="en-US" w:bidi="ar-SA"/>
              </w:rPr>
              <w:t xml:space="preserve"> . . . Justice Wedge stated at paras. 77-80: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[77]</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is well established that in the course of counsel's representation of his or her clients interests, it is to be expected that ". . . much may be done that is intentionally and necessarily directed toward injuring the opposing party's interests." .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[78]</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In </w:t>
            </w:r>
            <w:r>
              <w:rPr>
                <w:rFonts w:ascii="arial" w:eastAsia="arial" w:hAnsi="arial" w:cs="arial"/>
                <w:i/>
                <w:color w:val="000000"/>
                <w:sz w:val="18"/>
                <w:lang w:val="en-US" w:eastAsia="en-US" w:bidi="ar-SA"/>
              </w:rPr>
              <w:t>Kamahap Enterprises Ltd. V. Chu's Central Market</w:t>
            </w:r>
            <w:r>
              <w:rPr>
                <w:rFonts w:ascii="arial" w:eastAsia="arial" w:hAnsi="arial" w:cs="arial"/>
                <w:color w:val="000000"/>
                <w:sz w:val="18"/>
                <w:lang w:val="en-US" w:eastAsia="en-US" w:bidi="ar-SA"/>
              </w:rPr>
              <w:t xml:space="preserve"> ... the Court of Appeal said at . . . 291 and 292: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asserted, were it to be upheld, would be one imposing on the solicitors for one party an obligation of care to all others involved in the transaction to see the transaction properly carried into effect, even though the solicitors were retained and paid only by one of them.</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 . where the only damage foreseeable is damage to another's pocket or estate - where there is no foreseeable risk of personal injury or physical property damage-foreseability of such economic loss, while essential to the existence of a duty of care, cannot, it snow seems clear, generally be regarded as sufficient to create proximity and thus impose such a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[79]</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While a solicitor may owe an ethical duty to the court to be candid and fair, the only party to whom a solicitor owes an actionable duty is his or her client .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court in </w:t>
            </w:r>
            <w:r>
              <w:rPr>
                <w:rFonts w:ascii="arial" w:eastAsia="arial" w:hAnsi="arial" w:cs="arial"/>
                <w:i/>
                <w:color w:val="000000"/>
                <w:sz w:val="18"/>
                <w:lang w:val="en-US" w:eastAsia="en-US" w:bidi="ar-SA"/>
              </w:rPr>
              <w:t>Jensen</w:t>
            </w:r>
            <w:r>
              <w:rPr>
                <w:rFonts w:ascii="arial" w:eastAsia="arial" w:hAnsi="arial" w:cs="arial"/>
                <w:color w:val="000000"/>
                <w:sz w:val="18"/>
                <w:lang w:val="en-US" w:eastAsia="en-US" w:bidi="ar-SA"/>
              </w:rPr>
              <w:t xml:space="preserve"> found that in the absence of a contractual obligation and any duty of care owed between counsel for one party and the party adverse in interest, there was no recognizable cause of action, no plausible argument and no triable issue raised on the pleadings.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In </w:t>
      </w:r>
      <w:r>
        <w:rPr>
          <w:rFonts w:ascii="arial" w:eastAsia="arial" w:hAnsi="arial" w:cs="arial"/>
          <w:i/>
          <w:color w:val="000000"/>
          <w:sz w:val="20"/>
          <w:lang w:val="en-US" w:eastAsia="en-US" w:bidi="ar-SA"/>
        </w:rPr>
        <w:t>Pearlman v. Critchley</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2012 BCSC 1830</w:t>
        </w:r>
      </w:hyperlink>
      <w:r>
        <w:rPr>
          <w:rFonts w:ascii="arial" w:eastAsia="arial" w:hAnsi="arial" w:cs="arial"/>
          <w:color w:val="000000"/>
          <w:sz w:val="20"/>
          <w:lang w:val="en-US" w:eastAsia="en-US" w:bidi="ar-SA"/>
        </w:rPr>
        <w:t>, Mr. Justice Crawford stated at paras. 44 and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start with the settled law that Mr. Critchley, acting for an opposing party, owed no duty to Mr. Pearlman. No tort action could lie against him. As well, all communications made by a lawyer in the course of, or incidental to, judicial proceedings are protected by actual privilege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[48]</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find Mr. Pearlman's claims in this regard are bound to fail in law, and furthermore are frivolous and vexatious.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So far as Mr. Scouten is concerned, the plaintiffs have not pleaded any material facts to demonstrate there is any connection between what he is alleged to have done or omitted to do and any claim of loss by the plaintiffs. In the result, as against the lawyer defendants, the pleadings disclose no reasonable claim and are, as well, an abuse of process and vexatious.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pleadings against all the defendants also suffer from a lack of any reasonable claim. The thrust of the pleadings is that there was a large secret conspiracy involving unknown agents collaborating to force an improvident sale of the lands to Parkbridge. Quite apart from the lack of any specifics of the conspiracy, the bald, conclusory, and speculative allegations that it rests on and its repudiation as a viable foundation in earlier proceedings, as well as the fact that there is a conclusive determination that the sale was not improvident, means that the object of the conspiracy did not cause the damage pleaded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that context, the question whether the pleadings should be struck without leave to the plaintiffs to amend should, I conclude, be answered in the affirmative.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plaintiffs have had ample opportunity to draft pleadings that do not offend Rule 9-5(1)(a), (b), and (d). Although neither the original pleadings nor the amended pleadings in this action were drafted by a lawyer, the previous NOCC was. Counsel for the plaintiffs, although asserting that a sustainable pleading could be drafted, did not provide the court with any indication of how the pleadings could be amended to avoid a successful application under Rule 9-5(1). Although counsel for the plaintiffs pointed out that there were "real" occurrences which caused damage to the plaintiffs' property founding potential causes of action, the alleged involvement of the applicants in those occurrences have been based on bald, conclusory, speculative, and fanciful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Although some of the conspiracy allegations involved specific actions by BC Hydro, there is a separate action outstanding against BC Hydro for the damages assessed against it which will not be affected by these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is also a separate action against Tofino which would not be affected by these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the final analysis, I am left with no more than vague assertions that sustainable pleadings could be drafted. Those assertions are made against a backdrop of serial, speculative, fanciful claims that have been discredited in previous proceedings and which bear all the hallmarks of vexatious litigation and an abuse of process. I have no doubt that the plaintiffs' counsel have a genuine intention to attempt to draft sustainable and reasonable pleadings, but given the history of the plaintiffs' perseverate pursuit of their remedies, I conclude that it would be inappropriate to grant the plaintiffs leave to amend their pleadings. I am not persuaded that a viable action exists against the applicants given that none has been formulated since this matter arose nine years ago even with the assistance of a lawyer. I will thus grant the application to strike the pleadings without leave to amend.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Costs will be ordered against the respondents.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 CULLEN A.C.J.S.C.</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2" style="position:absolute;z-index:251739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9" w:history="1">
        <w:r>
          <w:rPr>
            <w:rFonts w:ascii="arial" w:eastAsia="arial" w:hAnsi="arial" w:cs="arial"/>
            <w:b/>
            <w:bCs/>
            <w:i/>
            <w:color w:val="0077CC"/>
            <w:kern w:val="32"/>
            <w:sz w:val="28"/>
            <w:szCs w:val="32"/>
            <w:u w:val="single"/>
            <w:shd w:val="clear" w:color="auto" w:fill="FFFFFF"/>
            <w:lang w:val="en-US" w:eastAsia="en-US" w:bidi="ar-SA"/>
          </w:rPr>
          <w:t>Neilson v. Lam, [2011] B.C.J. No. 1798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 Brown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9, 2011.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September 28, 2011.</w:t>
      </w:r>
    </w:p>
    <w:p>
      <w:pPr>
        <w:spacing w:before="120" w:line="260" w:lineRule="atLeast"/>
        <w:jc w:val="center"/>
        <w:rPr>
          <w:lang w:val="en-US" w:eastAsia="en-US" w:bidi="ar-SA"/>
        </w:rPr>
      </w:pPr>
      <w:r>
        <w:rPr>
          <w:rFonts w:ascii="arial" w:eastAsia="arial" w:hAnsi="arial" w:cs="arial"/>
          <w:color w:val="000000"/>
          <w:sz w:val="20"/>
          <w:lang w:val="en-US" w:eastAsia="en-US" w:bidi="ar-SA"/>
        </w:rPr>
        <w:t>Docket: S095551</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[2011] B.C.J. No. 1798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2011 BCSC 1282</w:t>
      </w:r>
    </w:p>
    <w:p>
      <w:pPr>
        <w:spacing w:before="120" w:line="260" w:lineRule="atLeast"/>
        <w:rPr>
          <w:lang w:val="en-US" w:eastAsia="en-US" w:bidi="ar-SA"/>
        </w:rPr>
      </w:pPr>
      <w:r>
        <w:rPr>
          <w:rFonts w:ascii="arial" w:eastAsia="arial" w:hAnsi="arial" w:cs="arial"/>
          <w:color w:val="000000"/>
          <w:sz w:val="20"/>
          <w:lang w:val="en-US" w:eastAsia="en-US" w:bidi="ar-SA"/>
        </w:rPr>
        <w:t>Between Maggie Neilson, Plaintiff, and Eric King Wong Lam and Deon Chui Ping Lam,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(15 paras.)</w:t>
      </w:r>
    </w:p>
    <w:p>
      <w:pPr>
        <w:jc w:val="both"/>
        <w:rPr>
          <w:lang w:val="en-US" w:eastAsia="en-US" w:bidi="ar-SA"/>
        </w:rPr>
      </w:pPr>
      <w:bookmarkStart w:id="9" w:name="Counsel_1"/>
      <w:bookmarkEnd w:id="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33" style="position:absolute;z-index:25166131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The plaintiff, Maggie Neilson: Jo Goodwill appearing, for Maggie Neilson.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S.K. Sheena-Nakai.</w:t>
      </w:r>
      <w:r>
        <w:rPr>
          <w:lang w:val="en-US" w:eastAsia="en-US" w:bidi="ar-SA"/>
        </w:rPr>
        <w:cr/>
      </w:r>
    </w:p>
    <w:p>
      <w:pPr>
        <w:spacing w:after="240"/>
        <w:rPr>
          <w:lang w:val="en-US" w:eastAsia="en-US" w:bidi="ar-SA"/>
        </w:rPr>
      </w:pPr>
      <w:bookmarkStart w:id="10" w:name="Judgment_1"/>
      <w:bookmarkEnd w:id="10"/>
      <w:r>
        <w:pict>
          <v:line id="_x0000_s1034" style="position:absolute;z-index:251701248"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1" w:name="B. BROWN J."/>
            <w:bookmarkEnd w:id="11"/>
            <w:r>
              <w:rPr>
                <w:rFonts w:ascii="arial" w:eastAsia="arial" w:hAnsi="arial" w:cs="arial"/>
                <w:b/>
                <w:color w:val="000000"/>
                <w:sz w:val="30"/>
                <w:lang w:val="en-US" w:eastAsia="en-US" w:bidi="ar-SA"/>
              </w:rPr>
              <w:t>B. BROWN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December 2010 I issued reasons dismissing the plaintiff's claim against the defendants. The defendants now seek special costs against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background to the action is set out in my earlier reasons. Briefly, Ms. Neilson bought a house from the Lams. She found certain defects in the residence and brought an action in which she claimed for fraudulent and negligent misrepresentation.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was not satisfied that the defendants had made fraudulent or negligent misrepresentations with respect to the condition of the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this application, the defendants argue that the plaintiff pursued her claim in fraud without reasonable basis and after she should have become aware that there was no reasonable basis.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fairly summarizes the law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Generally when an allegation of fraud is advanced but not proven, a Court may award special costs. In determining an application for special costs, a Court will assess if the conduct of the party advancing the allegation of fraud can be categorized as reprehensible by examining the substantive conduct of that party and the conduct of the litigation. The party that advanced the allegation of fraud may avoid an award of special costs by demonstrating there was a reasonable basis to make the allegation of fraud.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this case, I am not satisfied that Ms. Neilson's conduct in advancing and pursuing the claim of fraud constitutes reprehensible conduct. In my view, there was a reasonable basis for her concluding that the Lams had been fraudulent and for pursuing that claim to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Ms. Neilson testified at trial, when they started renovating the basement of the residence, they found that the crack in the basement wall was significantly wider then it had appeared from the outside and that there appeared to have been some efforts to cover the crack. There was water leaking into the basement through the crack, which became apparent when the sub-flooring was removed. This, despite the Property Disclosure Statement in which the Lams said that they were aware of no problems with water ingress.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Neilson also found that the floors upstairs had been shimmed to give the appearance that they were level. She found that the wood used to level the upstairs floors was dated April 2007 and that a ditra membrane installed in the kitchen was dated June 2007.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She was advised by her contractors and experts that she retained that the house was sloping between two and five inches.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her closing argument indicates: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Upon further investigation, the plaintiff discovered that in October 2007, the defendants had done significant renovation work to the upper floor of the home, the effect of which was to give the appearance that the home was level. It was discovered that the defendants had added significant sub-flooring to the bedrooms on the upper floor, had added various layers of different materials to the kitchen floor including a significant amount of concrete, had added shimming work underneath the kitchen cupboards and had attached wood shims to the main floor framing joists underneath the upper floor hallway, all of which had the effect of concealing evidence of a structural problem.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Neilson concluded, reasonably, in my view, that the Lams had taken steps to conceal the extent to which the property had settled and had duped her in the Property Disclosure Statement by minimizing the work that they must have known had been done on the house.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Lams denied fraudulent or negligent misrepresentation. They did so initially in a letter to Ms. Neilson. Mr. Lam was discovered and also denied making misrepresentations at discovery. Mr. Lam said at discovery that he had hired various trades to perform some $30,000 worth of improvements to the property, but could not provide any invoices and did not know the details of the work performed. He did not recall the name or location of the individuals who did the work for him. He paid in cash for the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my view, it was reasonable for Ms. Neilson to conclude that she had been deceived and to pursue the claim in fraud as well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even after discovery of Mr. Lam.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Essentially, the claim in fraud turned on findings of credibility. Ms. Neilson did not believe that Mr. Lam could have so little idea of what work had been done on his residence and would not have noticed what she understood to be the continuing settlement of the house. Based on the information she had received from her experts, the house must have continued to sink after Mr. Lam's engineering report of 2002.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Ms. Neilson's conclusions and approach were reasonable. She had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that the Lams had made fraudulent misrepresentations and had actively concealed the condition of the residence. In my view, it was reasonable for her to pursue the claim in fraud after discovery. Although she did not succeed at trial, mere failure to prove fraud is not in itself a basis for special costs. As I have indicated, in my view, there was nothing reprehensible in Ms. Neilson's conduct. Accordingly, the defendants will have costs at Scale B.</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 BROWN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740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6" w:history="1">
        <w:r>
          <w:rPr>
            <w:rFonts w:ascii="arial" w:eastAsia="arial" w:hAnsi="arial" w:cs="arial"/>
            <w:b/>
            <w:bCs/>
            <w:i/>
            <w:color w:val="0077CC"/>
            <w:kern w:val="32"/>
            <w:sz w:val="28"/>
            <w:szCs w:val="32"/>
            <w:u w:val="single"/>
            <w:shd w:val="clear" w:color="auto" w:fill="FFFFFF"/>
            <w:lang w:val="en-US" w:eastAsia="en-US" w:bidi="ar-SA"/>
          </w:rPr>
          <w:t>Nelson v. British Columbia, [2019] B.C.J. No. 1942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B. Elwood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22,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16,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S194617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1942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1774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Lucinda Nelson, Plaintiff, and Her Majesty the Queen in Right of the Province of British Columbia (Ministry of Children and Family Development and Director of Child Welfare), Robert Riley Saunders, John Doe, Jane Doe, Interior Savings Credit Union, Julian Doe and Julia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(45 paras.)</w:t>
      </w:r>
    </w:p>
    <w:p>
      <w:pPr>
        <w:jc w:val="both"/>
        <w:rPr>
          <w:rFonts w:ascii="arial" w:eastAsia="arial" w:hAnsi="arial" w:cs="arial"/>
          <w:sz w:val="20"/>
          <w:lang w:val="en-US" w:eastAsia="en-US" w:bidi="ar-SA"/>
        </w:rPr>
      </w:pPr>
      <w:bookmarkStart w:id="12" w:name="Counsel_2"/>
      <w:bookmarkEnd w:id="1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6"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 Rauch-Davis.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Interior Savings Credit Union: J. Morris, M. Clark.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 w:name="Judgment_2"/>
      <w:bookmarkEnd w:id="13"/>
      <w:r>
        <w:pict>
          <v:line id="_x0000_s1037" style="position:absolute;z-index:2517022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 w:name="MASTER B. ELWOOD"/>
            <w:bookmarkEnd w:id="14"/>
            <w:r>
              <w:rPr>
                <w:rFonts w:ascii="arial" w:eastAsia="arial" w:hAnsi="arial" w:cs="arial"/>
                <w:b/>
                <w:color w:val="000000"/>
                <w:sz w:val="30"/>
                <w:lang w:val="en-US" w:eastAsia="en-US" w:bidi="ar-SA"/>
              </w:rPr>
              <w:t>MASTER B. ELWOOD</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applies for production of documents from the defendant Interior Savings Credit Union. Interior Savings has already produced a number of documents falling within the categories sought by the plaintiff. The primary issue on this application is whether the plaintiff has established that the additional documents she seeks are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a child in the care of the Ministry of Children and Family Development. She alleges that she was physically and psychologically abused in a foster home, and that the Ministry knew about this abuse and allowed it to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Robert Riley Saunders was a social worker employed by the Ministry. The plaintiff alleges that Mr. Saunders was responsible for her care and best interests. She alleges that he failed to provide for her well-being. Amongst other wrong-doing, the plaintiff alleges that Mr. Saunders misappropriated funds to which she was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alleges that Mr. Saunders opened a joint bank account at Interior Savings in her name, and used that account to misappropriate her financial entitlements. She alleges that Mr. Saunders transferred funds to which she was entitled from a joint account into other accounts in his name at Interior Savings. Alternatively, she alleges, Mr. Saunders used an account in his name or other accounts at Interior Savings to misappropriate funds or negotiate cheques to which she was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As against Interior Savings, the plaintiff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and a conspiracy between Mr. Saunders and unknown employees of Interior Savings. The notice of civil claim includes the following allegations:</w:t>
      </w:r>
      <w:r>
        <w:rPr>
          <w:rFonts w:ascii="arial" w:eastAsia="arial" w:hAnsi="arial" w:cs="arial"/>
          <w:sz w:val="20"/>
          <w:lang w:val="en-US" w:eastAsia="en-US" w:bidi="ar-SA"/>
        </w:rPr>
        <w:cr/>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Interior Savings allowed Saunders to open a joint account with the Plaintiff without having the Plaintiff sign for the account. Interior Savings knew or ought to have known that this would allow Saunders to transfer funds in the Plaintiff's name without her consent. Interior Savings noted on the account opening statement that the Plaintiff was "not a signer", the Ministry's address listed for the Plaintiff's address and Saunders' email address is listed for the Plaintiff's email.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Saunders opened numerous joint accounts with children known by Interior Savings to be subject to a continuing custody order. In some cases, Interior Savings assisted Saunders by having the children sign forms opening the joint accounts but failed to advise the children that the accounts were joint accounts with Saunders. In other cases, as with the Plaintiff, Interior Savings opened the accounts without having the children sign any forms. Interior Savings repeatedly circumvented and/or breached its own internal policies for joint accounts and accounts with children.</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Employees of Interior Savings knew Saunders personally because they had repeated interactions with him. In part because of his repeated transactions with Interior Savings' employees, Interior Savings and its employees knew that Saunders was a government employee with a fixed salary and that the funds entering into his personal account were irregular and that his transaction patterns were irregular.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Interior Savings knew or ought to have known that the children did not personally attend Interior Savings to access any of their funds and that the children did not have electronic access to the funds or have debit or ATM cards. Interior Savings set up these joint accounts knowing that Saunders was the only one of the two 'joint' account holders that would be able to access the funds. Interior Savings knew or ought to have known that Saunders accessed the funds electronically and moved them to his own account with Interior Savings and used the funds to pay his own expenses.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Interior Savings allowed Saunders to empty out and close numerous joint accounts in February 2018 in a highly unorthodox series of transactions that were manifestly nefarious.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makes the following allegations of fraud against unknown employees of Interior Savings:</w:t>
      </w:r>
      <w:r>
        <w:rPr>
          <w:rFonts w:ascii="arial" w:eastAsia="arial" w:hAnsi="arial" w:cs="arial"/>
          <w:sz w:val="20"/>
          <w:lang w:val="en-US" w:eastAsia="en-US" w:bidi="ar-SA"/>
        </w:rPr>
        <w:cr/>
      </w:r>
    </w:p>
    <w:p>
      <w:pPr>
        <w:numPr>
          <w:numId w:val="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Julian Doe and Julia Doe were employees of Interior Savings who were aware that Saunders was defrauding children who were joint account holders, or otherwise stealing, defalcating or converting funds to which children were entitled by means of the joint accounts at Interior Savings.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makes the following allegations of conspiracy against unknown employees of Interior Savings:</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Julian Doe and Julia Doe conspired with Saunders and received financial and/or personal benefit from allowing Saunders to set up joint accounts and to make transfers and negotiate instruments by means of the joint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This proceeding is one of 10 actions naming Interior Savings as a defendant with respect to Mr. Saunders' alleged misappropriation or mishandling of funds. Three of those action - this action, action no. S-194523 (</w:t>
      </w:r>
      <w:r>
        <w:rPr>
          <w:rFonts w:ascii="arial" w:eastAsia="arial" w:hAnsi="arial" w:cs="arial"/>
          <w:i/>
          <w:color w:val="000000"/>
          <w:sz w:val="20"/>
          <w:lang w:val="en-US" w:eastAsia="en-US" w:bidi="ar-SA"/>
        </w:rPr>
        <w:t>Meise v. H.M.T.Q</w:t>
      </w:r>
      <w:r>
        <w:rPr>
          <w:rFonts w:ascii="arial" w:eastAsia="arial" w:hAnsi="arial" w:cs="arial"/>
          <w:color w:val="000000"/>
          <w:sz w:val="20"/>
          <w:lang w:val="en-US" w:eastAsia="en-US" w:bidi="ar-SA"/>
        </w:rPr>
        <w:t>) and action no. S-194525 (</w:t>
      </w:r>
      <w:r>
        <w:rPr>
          <w:rFonts w:ascii="arial" w:eastAsia="arial" w:hAnsi="arial" w:cs="arial"/>
          <w:i/>
          <w:color w:val="000000"/>
          <w:sz w:val="20"/>
          <w:lang w:val="en-US" w:eastAsia="en-US" w:bidi="ar-SA"/>
        </w:rPr>
        <w:t>Wapen v. H.M.T.Q</w:t>
      </w:r>
      <w:r>
        <w:rPr>
          <w:rFonts w:ascii="arial" w:eastAsia="arial" w:hAnsi="arial" w:cs="arial"/>
          <w:color w:val="000000"/>
          <w:sz w:val="20"/>
          <w:lang w:val="en-US" w:eastAsia="en-US" w:bidi="ar-SA"/>
        </w:rPr>
        <w:t>.) - allege fraud and conspiracy. The other seven actions do not allege fraud or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May 2, 2019, Interior Savings applied for particulars of the fraud and conspiracy alleged in paragraph 36 of the notice of civil claim in this action. Master Taylor ordered that Interior Savings file its response to civil claim and provide document production, following which, he ordered the plaintiff to provide the particulars demanded and gave Interior Savings leave to renew its application after the plaintiff had provided those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Interior Savings filed its response to civil claim and delivered its list of documents. By e-mail dated June 11, 2019, plaintiff's counsel took the position that the list of documents omitted relevant categories of documents and demanded that Interior Savings deliver an amended list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now applies for production of documents in the following categories:</w:t>
      </w:r>
      <w:r>
        <w:rPr>
          <w:rFonts w:ascii="arial" w:eastAsia="arial" w:hAnsi="arial" w:cs="arial"/>
          <w:sz w:val="20"/>
          <w:lang w:val="en-US" w:eastAsia="en-US" w:bidi="ar-SA"/>
        </w:rPr>
        <w:cr/>
      </w:r>
    </w:p>
    <w:p>
      <w:pPr>
        <w:numPr>
          <w:numId w:val="8"/>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of Mr. Saunders' accounts held by Interior Savings, including his joint accounts with 18 "victims" identified by their initials (including the plaintiff L.N.):</w:t>
      </w:r>
    </w:p>
    <w:p>
      <w:pPr>
        <w:numPr>
          <w:numId w:val="9"/>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this category, Interior Savings has produced:</w:t>
      </w:r>
    </w:p>
    <w:p>
      <w:pPr>
        <w:numPr>
          <w:numId w:val="10"/>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account opening statements for accounts in the plaintiff's name and statements for those accounts;</w:t>
      </w:r>
    </w:p>
    <w:p>
      <w:pPr>
        <w:numPr>
          <w:numId w:val="11"/>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cheques deposited by Mr. Saunders to the plaintiff's accounts and cheques deposited at the same time to other accounts;</w:t>
      </w:r>
    </w:p>
    <w:p>
      <w:pPr>
        <w:numPr>
          <w:numId w:val="1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statements for Mr. Saunders' personal account for the period September 30, 2011 to June 30, 2018;</w:t>
      </w:r>
    </w:p>
    <w:p>
      <w:pPr>
        <w:numPr>
          <w:numId w:val="13"/>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account statements for Mr. Saunder's joint accounts with his spouse and son for this period of time.</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Interior Savings has not produced account documents for the other alleged victims of Mr. Saunders. Interior Savings takes the position those documents are irrelevant and contain personal information of third parties who have not been given notice of the application;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documents dealing with the identity of the Interior Savings employee or employees who opened each of the accounts for Mr. Saunders and the 18 alleged victims;</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this category, Interior Savings has produced calendar appointments and correspondence with Mr. Saunders that identify employees of Interior Savings.</w:t>
      </w:r>
    </w:p>
    <w:p>
      <w:pPr>
        <w:numPr>
          <w:numId w:val="1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with category (1), Interior Savings has not produced documents under this category relating to the other alleged victims.</w:t>
      </w:r>
    </w:p>
    <w:p>
      <w:pPr>
        <w:numPr>
          <w:numId w:val="1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documents relating to Mr. Saunders' mortgage or mortgages with Interior Savings, including any documents generated during the pre-approval process;</w:t>
      </w:r>
    </w:p>
    <w:p>
      <w:pPr>
        <w:numPr>
          <w:numId w:val="19"/>
        </w:numPr>
        <w:tabs>
          <w:tab w:val="num" w:pos="1480"/>
          <w:tab w:val="clear" w:pos="292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Interior Savings objects to producing documents under this category, on the basis they are irrelevant.</w:t>
      </w:r>
    </w:p>
    <w:p>
      <w:pPr>
        <w:numPr>
          <w:numId w:val="20"/>
        </w:numPr>
        <w:tabs>
          <w:tab w:val="num" w:pos="1120"/>
          <w:tab w:val="clear" w:pos="29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documents dealing with any loans or lines of credit extended by Interior Savings to Mr. Saunders;</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Interior Savings objects to producing documents under this category, as well, on the basis they are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At the conclusion of the hearing of the plaintiff's application in this action, I made an order in the </w:t>
      </w:r>
      <w:r>
        <w:rPr>
          <w:rFonts w:ascii="arial" w:eastAsia="arial" w:hAnsi="arial" w:cs="arial"/>
          <w:i/>
          <w:color w:val="000000"/>
          <w:sz w:val="20"/>
          <w:lang w:val="en-US" w:eastAsia="en-US" w:bidi="ar-SA"/>
        </w:rPr>
        <w:t>Meise</w:t>
      </w:r>
      <w:r>
        <w:rPr>
          <w:rFonts w:ascii="arial" w:eastAsia="arial" w:hAnsi="arial" w:cs="arial"/>
          <w:color w:val="000000"/>
          <w:sz w:val="20"/>
          <w:lang w:val="en-US" w:eastAsia="en-US" w:bidi="ar-SA"/>
        </w:rPr>
        <w:t xml:space="preserve"> action requiring the plaintiff to provide particulars of the alleged fraud and conspiracy in that action within 21 days of receiving any further documents produced pursuant an order of the court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Document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Master Bouck helpfully summarized the principles governing document production under Rule 7-1 in </w:t>
      </w:r>
      <w:r>
        <w:rPr>
          <w:rFonts w:ascii="arial" w:eastAsia="arial" w:hAnsi="arial" w:cs="arial"/>
          <w:i/>
          <w:color w:val="000000"/>
          <w:sz w:val="20"/>
          <w:lang w:val="en-US" w:eastAsia="en-US" w:bidi="ar-SA"/>
        </w:rPr>
        <w:t>Edwards v. Ganzer</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2012 BCSC 138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 understand the principles outlined in these various decisions, together with the applicable Rules, to be as follows:</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initial production obligation under Rule 7-1 (1) (a) (i) is limited to what is required to prove or disprove a material fact: </w:t>
      </w:r>
      <w:r>
        <w:rPr>
          <w:rFonts w:ascii="arial" w:eastAsia="arial" w:hAnsi="arial" w:cs="arial"/>
          <w:i/>
          <w:color w:val="000000"/>
          <w:sz w:val="20"/>
          <w:lang w:val="en-US" w:eastAsia="en-US" w:bidi="ar-SA"/>
        </w:rPr>
        <w:t>Biehl v. Strang</w:t>
      </w:r>
      <w:r>
        <w:rPr>
          <w:rFonts w:ascii="arial" w:eastAsia="arial" w:hAnsi="arial" w:cs="arial"/>
          <w:color w:val="000000"/>
          <w:sz w:val="20"/>
          <w:lang w:val="en-US" w:eastAsia="en-US" w:bidi="ar-SA"/>
        </w:rPr>
        <w:t xml:space="preserve"> at para. 14;</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Rule 7-1(10) allows the opposing party to issue a written demand requiring the listing party to amend the original list and produce documents that should have been disclosed under Rule 7-1(1)(a)(i);</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Rule 7-1(11) allows the opposing party to issue a written demand requiring the listing party to amend the list and produce documents which ought to be disclosed under a test "close to" that set out in </w:t>
      </w:r>
      <w:r>
        <w:rPr>
          <w:rFonts w:ascii="arial" w:eastAsia="arial" w:hAnsi="arial" w:cs="arial"/>
          <w:i/>
          <w:color w:val="000000"/>
          <w:sz w:val="20"/>
          <w:lang w:val="en-US" w:eastAsia="en-US" w:bidi="ar-SA"/>
        </w:rPr>
        <w:t>Compagnie Financiere et Commerciale du Pacifique v. Peruvian Guano Company</w:t>
      </w:r>
      <w:r>
        <w:rPr>
          <w:rFonts w:ascii="arial" w:eastAsia="arial" w:hAnsi="arial" w:cs="arial"/>
          <w:color w:val="000000"/>
          <w:sz w:val="20"/>
          <w:lang w:val="en-US" w:eastAsia="en-US" w:bidi="ar-SA"/>
        </w:rPr>
        <w:t xml:space="preserve"> (1882), 11 Q.B.D. 55 at 63, (the "Guano test"): </w:t>
      </w:r>
      <w:r>
        <w:rPr>
          <w:rFonts w:ascii="arial" w:eastAsia="arial" w:hAnsi="arial" w:cs="arial"/>
          <w:i/>
          <w:color w:val="000000"/>
          <w:sz w:val="20"/>
          <w:lang w:val="en-US" w:eastAsia="en-US" w:bidi="ar-SA"/>
        </w:rPr>
        <w:t>Global Pacific</w:t>
      </w:r>
      <w:r>
        <w:rPr>
          <w:rFonts w:ascii="arial" w:eastAsia="arial" w:hAnsi="arial" w:cs="arial"/>
          <w:color w:val="000000"/>
          <w:sz w:val="20"/>
          <w:lang w:val="en-US" w:eastAsia="en-US" w:bidi="ar-SA"/>
        </w:rPr>
        <w:t xml:space="preserve"> at para. 9;</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distinction between the two types of disclosure provided for under Rule 7-1 is stated in </w:t>
      </w:r>
      <w:r>
        <w:rPr>
          <w:rFonts w:ascii="arial" w:eastAsia="arial" w:hAnsi="arial" w:cs="arial"/>
          <w:i/>
          <w:color w:val="000000"/>
          <w:sz w:val="20"/>
          <w:lang w:val="en-US" w:eastAsia="en-US" w:bidi="ar-SA"/>
        </w:rPr>
        <w:t>Global Pacific</w:t>
      </w:r>
      <w:r>
        <w:rPr>
          <w:rFonts w:ascii="arial" w:eastAsia="arial" w:hAnsi="arial" w:cs="arial"/>
          <w:color w:val="000000"/>
          <w:sz w:val="20"/>
          <w:lang w:val="en-US" w:eastAsia="en-US" w:bidi="ar-SA"/>
        </w:rPr>
        <w:t xml:space="preserve"> as follows: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question is whether a document can properly be said to contain information which may enable the party requiring the document either to advance his own case or damage the case of his adversary, if it is a document which may fairly lead him to a train of inquiry, or if it may have either of those two consequences. Therefore, it is acknowledged that the initial disclosure under Rule 7-1(1) relates to a materiality requirement, but that a party can apply to the court, as the defendant did here, for broader disclosure pursuant to Rule 7-1(14). para. 9</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the demand by the requesting party and the response of the opposing party should be set out in writing addressing the terms and criteria used in Rule 7-1. Whether the demand and response provide sufficient particularity is a matter of the court's discretion;</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application is brought under Rule 7-1(13) for the listing or production of documents, the court may either order compliance with the demand, excuse full compliance, or order partial compliance: Rule 7-1(14);</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objectives of the SCCR, including proportionality, may be taken into account by the court when exercising its discretion under Rule 7-1(14). The proportionality rule can be applied to either expand or restrict the required production of documents: </w:t>
      </w:r>
      <w:r>
        <w:rPr>
          <w:rFonts w:ascii="arial" w:eastAsia="arial" w:hAnsi="arial" w:cs="arial"/>
          <w:i/>
          <w:color w:val="000000"/>
          <w:sz w:val="20"/>
          <w:lang w:val="en-US" w:eastAsia="en-US" w:bidi="ar-SA"/>
        </w:rPr>
        <w:t>Global Pacific</w:t>
      </w:r>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Whitcombe v. Avec Insurance Managers Inc.</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2011 BCSC 204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plaintiff frames her application for further production of documents under Rule 7-1(10) and, in the alternative, Rule 7-1(11). There is an important difference between the two grounds, as explained by Mr. Justice Kent in </w:t>
      </w:r>
      <w:r>
        <w:rPr>
          <w:rFonts w:ascii="arial" w:eastAsia="arial" w:hAnsi="arial" w:cs="arial"/>
          <w:i/>
          <w:color w:val="000000"/>
          <w:sz w:val="20"/>
          <w:lang w:val="en-US" w:eastAsia="en-US" w:bidi="ar-SA"/>
        </w:rPr>
        <w:t>Imperial Parking Canada Corporation v. Anderson</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2014 BCSC 989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Subsections 7-1(10) and (11) provide for the second tier of the new document discovery process. They allow a party to demand the listing/production of additional documents or classes of documents beyond what has already been disclosed. But there is a major difference between the two subsections, namely,</w:t>
      </w:r>
    </w:p>
    <w:p>
      <w:pPr>
        <w:numPr>
          <w:numId w:val="2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demand under Rule 7-1(10) is for additional documents that should have been disclosed under subrule (1) i.e. documents that are probative of a material fact or any other document to which the party intends to refer at trial, whereas</w:t>
      </w:r>
    </w:p>
    <w:p>
      <w:pPr>
        <w:numPr>
          <w:numId w:val="3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additional documents that may be demanded under Rule 7-1(11) are for such additional documents within the listing party's "possession, power or control" and which "relate to any or all matters in question in the action" i.e. the Peruvian Guano discovery under the former rules with the addition of the word "power".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A demand for broader discovery of documents under Rule 7-1(11) must be accompanied by:</w:t>
      </w:r>
    </w:p>
    <w:p>
      <w:pPr>
        <w:numPr>
          <w:numId w:val="3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written demand identifying additional documents or classes of documents with reasonable specificity, and</w:t>
      </w:r>
    </w:p>
    <w:p>
      <w:pPr>
        <w:numPr>
          <w:numId w:val="3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indication of the reason why such additional documents or classes of documents should be disclosed 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Rule 7-1(11) requires that a written demand for additional documents or classes of documents under the broader definition of relevancy identify them "with reasonable specificity". Where the demand is overly broad and vague, the "lack of specificity which characterizes [the] application is fatal to its success": </w:t>
      </w:r>
      <w:r>
        <w:rPr>
          <w:rFonts w:ascii="arial" w:eastAsia="arial" w:hAnsi="arial" w:cs="arial"/>
          <w:i/>
          <w:color w:val="000000"/>
          <w:sz w:val="20"/>
          <w:lang w:val="en-US" w:eastAsia="en-US" w:bidi="ar-SA"/>
        </w:rPr>
        <w:t>Lit v. Hare</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2012 BCSC 1918</w:t>
        </w:r>
      </w:hyperlink>
      <w:r>
        <w:rPr>
          <w:rFonts w:ascii="arial" w:eastAsia="arial" w:hAnsi="arial" w:cs="arial"/>
          <w:color w:val="000000"/>
          <w:sz w:val="20"/>
          <w:lang w:val="en-US" w:eastAsia="en-US" w:bidi="ar-SA"/>
        </w:rPr>
        <w:t xml:space="preserve"> at para. 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 ... It is difficult for the court to adjudicate on a document production application where what is sought are 'all documents not yet produced' in broadly defined categories.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An order made pursuant to Rule 7-1(13) to comply with a demand made under Rule 7-1(10) requires the responding party to amend the list of documents to include documents or categories of documents that ought to have disclosed under 7-1(1), which is to say documents that could be used by a party "to prove or disprove a material fact". An order made pursuant to Rules 7-1(13) to comply with a demand made under Rule 7-1(11) or an order made pursuant to Rule 7-1(14) requires the responding party to produce documents or categories of documents that "relate to any or all matters in question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An application that relies on the initial definition of relevance in Rules 7-1(1) and (10) is governed by the pleadings. An application that relies on the broader definition of relevance in Rules 7-1(11) and (14) requires "some evidence of the existence and potential relevance of those additional documents": </w:t>
      </w:r>
      <w:r>
        <w:rPr>
          <w:rFonts w:ascii="arial" w:eastAsia="arial" w:hAnsi="arial" w:cs="arial"/>
          <w:i/>
          <w:color w:val="000000"/>
          <w:sz w:val="20"/>
          <w:lang w:val="en-US" w:eastAsia="en-US" w:bidi="ar-SA"/>
        </w:rPr>
        <w:t>More Marine Ltd. v. Shearwater</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2011 BCSC 166</w:t>
        </w:r>
      </w:hyperlink>
      <w:r>
        <w:rPr>
          <w:rFonts w:ascii="arial" w:eastAsia="arial" w:hAnsi="arial" w:cs="arial"/>
          <w:color w:val="000000"/>
          <w:sz w:val="20"/>
          <w:lang w:val="en-US" w:eastAsia="en-US" w:bidi="ar-SA"/>
        </w:rPr>
        <w:t xml:space="preserve"> at para. 8. An application under either definition is subject to the governing concept of proportionality: </w:t>
      </w:r>
      <w:r>
        <w:rPr>
          <w:rFonts w:ascii="arial" w:eastAsia="arial" w:hAnsi="arial" w:cs="arial"/>
          <w:i/>
          <w:color w:val="000000"/>
          <w:sz w:val="20"/>
          <w:lang w:val="en-US" w:eastAsia="en-US" w:bidi="ar-SA"/>
        </w:rPr>
        <w:t>More Marine Ltd</w:t>
      </w:r>
      <w:r>
        <w:rPr>
          <w:rFonts w:ascii="arial" w:eastAsia="arial" w:hAnsi="arial" w:cs="arial"/>
          <w:color w:val="000000"/>
          <w:sz w:val="20"/>
          <w:lang w:val="en-US" w:eastAsia="en-US" w:bidi="ar-SA"/>
        </w:rPr>
        <w:t>.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Mr. Justice Kent emphasized the importance of professional conduct and the ethical obligations of counsel in both stages of the document production process, in </w:t>
      </w:r>
      <w:r>
        <w:rPr>
          <w:rFonts w:ascii="arial" w:eastAsia="arial" w:hAnsi="arial" w:cs="arial"/>
          <w:i/>
          <w:color w:val="000000"/>
          <w:sz w:val="20"/>
          <w:lang w:val="en-US" w:eastAsia="en-US" w:bidi="ar-SA"/>
        </w:rPr>
        <w:t>Imperial Parking Canada Corporation</w:t>
      </w:r>
      <w:r>
        <w:rPr>
          <w:rFonts w:ascii="arial" w:eastAsia="arial" w:hAnsi="arial" w:cs="arial"/>
          <w:color w:val="000000"/>
          <w:sz w:val="20"/>
          <w:lang w:val="en-US" w:eastAsia="en-US" w:bidi="ar-SA"/>
        </w:rPr>
        <w:t>,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This "two-tiered" process of initial narrow discovery of documents followed by broader discovery of documents upon justifiable demand requires a rigorous assessment of the adequacy of any party's discovery of documents. Casual, pro-forma approaches should be avoided. Counsel have an ethical and professional duty to be diligent and to act with scrupulous integrity with respect to the pursuit and assessment of what documents must be produced and what documents need not be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this case, I accept the statement of counsel for Interior Savings that his client has listed all of the documents that could be used to prove or disprove a material fact, based on his understanding of the pleadings. What remains to be determined is whether Interior Savings must produce additional documents relating to the accounts of the 17 other individuals identified by initials in the notice of application and documents relating to Mr. Saunders' mortgage and line of credit.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Notice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Rule 8-1(7) requires that an application be served on every person, other than a party, who may be affected by the order sought. Interior Savings submits that the plaintiff cannot apply for an order requiring production of account information relating to other alleged victims without notice to those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As a general rule, if the privacy interests of a person who is a stranger to the litigation might be affected by an order for the production of documents, that person should be given notice of the application so that he or she has the opportunity to inform the court of his or her position: </w:t>
      </w:r>
      <w:r>
        <w:rPr>
          <w:rFonts w:ascii="arial" w:eastAsia="arial" w:hAnsi="arial" w:cs="arial"/>
          <w:i/>
          <w:color w:val="000000"/>
          <w:sz w:val="20"/>
          <w:lang w:val="en-US" w:eastAsia="en-US" w:bidi="ar-SA"/>
        </w:rPr>
        <w:t>McKenna v. BMO Nesbitt Burns Inc.</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2015 BCSC 287</w:t>
        </w:r>
      </w:hyperlink>
      <w:r>
        <w:rPr>
          <w:rFonts w:ascii="arial" w:eastAsia="arial" w:hAnsi="arial" w:cs="arial"/>
          <w:color w:val="000000"/>
          <w:sz w:val="20"/>
          <w:lang w:val="en-US" w:eastAsia="en-US" w:bidi="ar-SA"/>
        </w:rPr>
        <w:t>,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this case, however, I do not think it is necessary for the plaintiff to incur the cost and delay of giving notice to the 17 individuals identified by initials in the notice of application. Interior Savings has, quite properly, declined to produce documents containing their personal information without a court order. The court is able to appreciate the nature of the privacy interests of these individuals without the need for them to be heard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Province, which is also a defendant in the action, did not file a response to the application on the condition that the plaintiff ask the court to include in any order made terms protecting the identities of the individual account holders other than the plaintiff. The plaintiff has agreed to a term of the order requiring that the names of other account holders be redacted.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my view, provided that the names and any other information that could identify the third party account holders are redacted, the order sought by the plaintiff does not affect the interests of those account holders, and notice of this application need not be given to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Relevance - Other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argues that the account opening procedures and activities in accounts of other children under Mr. Saunders' care are relevant to a pattern of conduct by Mr. Saunders and the knowledge of the Interior Savings employees who failed to follow proper procedures or facilitated his misappropriation of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further submits that these documents are essential in order to permit her to respond to the demand for particulars of the alleged fraud and conspiracy, and to give effect to the order of Master Taylor, which required document production first and then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agree with Interior Savings that the account documents of other alleged victims of Mr. Saunders are not documents that could be used to prove or disprove a material fact under the first tier of document production pursuant to Rule 7-1(1).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 material fact is one that is essential in order to formulate a complete cause of action and that, when resolved, will have legal consequences between the parties to the dispute: </w:t>
      </w:r>
      <w:r>
        <w:rPr>
          <w:rFonts w:ascii="arial" w:eastAsia="arial" w:hAnsi="arial" w:cs="arial"/>
          <w:i/>
          <w:color w:val="000000"/>
          <w:sz w:val="20"/>
          <w:lang w:val="en-US" w:eastAsia="en-US" w:bidi="ar-SA"/>
        </w:rPr>
        <w:t>Sahyoun v. Ho</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2013 BCSC 1143</w:t>
        </w:r>
      </w:hyperlink>
      <w:r>
        <w:rPr>
          <w:rFonts w:ascii="arial" w:eastAsia="arial" w:hAnsi="arial" w:cs="arial"/>
          <w:color w:val="000000"/>
          <w:sz w:val="20"/>
          <w:lang w:val="en-US" w:eastAsia="en-US" w:bidi="ar-SA"/>
        </w:rPr>
        <w:t xml:space="preserve"> at paras. 25 and 26. The material facts in this action concern a joint account that Mr. Saunders opened with the plaintiff and transactions in and out of that account. Documents from other accounts will not prove or disprove the alleged misappropriation of funds in the plaintiff's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Documents that are sought by the plaintiff to demonstrate a pattern of conduct by Mr. Saunders or to investigate the knowledge of Interior Savings employees are more properly the subject of a second tier application pursuant to Rule 7-1(11) and (14): documents that relate to a matter in question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question is whether the plaintiff has identified the additional documents she seeks with sufficient specificity and provided adequate evidentiary support to gain access to this broader scope of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support of the application, the plaintiff tendered a copy of a "Personal Member Application". The document is signed by Mr. Saunders as the applicant and an Interior Savings employee as a witness. Beside the plaintiff's name, over the words "Applicant Signature", someone has written "NOT A SIGNER".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argues that this document is evidence that Interior Savings allowed Mr. Saunders to open an account in her name without her signature. She argues that this was contrary to Interior Savings' policy, which required that a beneficiary sign a Personal Member Application and consent to an account being opened.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Interior Savings notes that the account opening document before the court is not for a joint account, which is the allegation in the notice of civil claim, but rather for a trust account. Interior Savings policy requires a beneficiary's signature and agreement if a trustee asks that a personal account be opened for the beneficiary; however, the beneficiary's signature is not required, Interior Savings says, for a trust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distinction between a joint account and a trust account may be an issue at trial. For the present purposes, however, the account opening document on which the plaintiff relies provides at least some evidence that Interior Savings allowed Mr. Saunders to open an account for the plaintiff without her signature or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Interior Savings should be required, in my view, to produce any further account opening documents on which one of the alleged victims of Mr. Saunders is "NOT A SIGNER" or the alleged victim's signature is left blank. Interior Savings should also be required to produce account statements for those accounts that Mr. Saunders opened without a signature of the alleged victim. These documents may help the plaintiff to establish a pattern of conduct or knowledge relating to the matters at issue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Beyond these specific documents, however, the plaintiff's demand for all of the account documents for all of Mr. Saunders' alleged victims is overbroad and unsupported by the pleadings or evidence. The notice of application identifies 17 additional victims, but does not set out how Mr. Saunders is alleged to have victimized those individuals or how his conduct in relation to those individuals is relevant to his conduct or the knowledge of the defendants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Moreover, the allegations of fraud and conspiracy which form the backbone of this application are limited to the three actions before me and the alleged victims identified as L.N., D.M. and D.W. It is unclear how the allegations of the 15 other alleged victims relate to the matters at issue in these actions. I am informed by counsel for Interior Savings that the allegations in the other actions are different in kind from the allegations in these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will need to be more specific in her demand and, on an application to the court, provide at least some evidence of the existence and potential relevance of the additional documents she seeks. The likely source of any further specifics or supporting evidence is an examination for discovery.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Relevance - Mortgage and Line of Credit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argues that Mr. Saunders' mortgage and line of credit documents are relevant to his interactions with Interior Savings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There is no allegation in the notice of civil claim that Mr. Saunders used the funds that he misappropriated from the plaintiff to pay down his mortgage or a line of credit. The allegation is that Mr. Saunders used a joint account to misappropriate the plaintiff's entitlements and transferred those funds into an account in his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Interior Savings has produced statements for Mr. Saunders' account with the plaintiff, his personal accounts and his joint accounts with his spouse and his son. If Mr. Saunders transferred money from one of his accounts to a mortgage or a line of credit, the transfer would show up in these account statements. The plaintiff has not adduced any statements on this application to establish that Mr. Saunders transferred funds from the account with the plaintiff to his mortgage or a line of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plaintiff's objective of investigating all of Mr. Saunders' interactions with Interior Savings employees, including his credit applications, is too broad in my view. The plaintiff will need to be more specific and provide at least some evidence of the existence and potential relevance of the credit documents, before an order will be made for their production. Again, the likely source of further specifics or supporting evidence is an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will be an order that, within 21 days, Interior Savings must produce:</w:t>
      </w:r>
      <w:r>
        <w:rPr>
          <w:rFonts w:ascii="arial" w:eastAsia="arial" w:hAnsi="arial" w:cs="arial"/>
          <w:sz w:val="20"/>
          <w:lang w:val="en-US" w:eastAsia="en-US" w:bidi="ar-SA"/>
        </w:rPr>
        <w:cr/>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account opening documents in which one of the alleged victims listed in the notice of application is noted as "NOT A SIGNER" or the alleged victim's signature is left blank;</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account statements for the accounts that Mr. Saunders opened without the signature of the alleged victim.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documents that it produces pursuant to this order, Interior Savings must redact the name of any account holder other than the plaintiff or Mr. Saunders, and any other information that could be used to identify those account 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Costs of this application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B. ELWOOD</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8" style="position:absolute;z-index:251741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0" w:history="1">
        <w:r>
          <w:rPr>
            <w:rFonts w:ascii="arial" w:eastAsia="arial" w:hAnsi="arial" w:cs="arial"/>
            <w:b/>
            <w:bCs/>
            <w:i/>
            <w:color w:val="0077CC"/>
            <w:kern w:val="32"/>
            <w:sz w:val="28"/>
            <w:szCs w:val="32"/>
            <w:u w:val="single"/>
            <w:shd w:val="clear" w:color="auto" w:fill="FFFFFF"/>
            <w:lang w:val="en-US" w:eastAsia="en-US" w:bidi="ar-SA"/>
          </w:rPr>
          <w:t>Olds College v. Huxley, [2019] B.C.J. No. 2356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D.A. Betton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4-8, July 22-25,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6,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S120359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2356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2111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Olds College and Michael Benjamin Tarney, Plaintiffs, and Megan Huxley,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(93 paras.)</w:t>
      </w:r>
    </w:p>
    <w:p>
      <w:pPr>
        <w:jc w:val="both"/>
        <w:rPr>
          <w:rFonts w:ascii="arial" w:eastAsia="arial" w:hAnsi="arial" w:cs="arial"/>
          <w:sz w:val="20"/>
          <w:lang w:val="en-US" w:eastAsia="en-US" w:bidi="ar-SA"/>
        </w:rPr>
      </w:pPr>
      <w:bookmarkStart w:id="15" w:name="Counsel_3"/>
      <w:bookmarkEnd w:id="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9"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G.M. Dougans., D. Horvath.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on behalf of the Defendant: H. Huxley (as Agent).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 w:name="Judgment_3"/>
      <w:bookmarkEnd w:id="16"/>
      <w:r>
        <w:pict>
          <v:line id="_x0000_s1040" style="position:absolute;z-index:2517032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 w:name="D.A. BETTON J."/>
            <w:bookmarkEnd w:id="17"/>
            <w:r>
              <w:rPr>
                <w:rFonts w:ascii="arial" w:eastAsia="arial" w:hAnsi="arial" w:cs="arial"/>
                <w:b/>
                <w:color w:val="000000"/>
                <w:sz w:val="30"/>
                <w:lang w:val="en-US" w:eastAsia="en-US" w:bidi="ar-SA"/>
              </w:rPr>
              <w:t>D.A. BETTON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seek remedies in defamation for statements and comments made by the defendant in emails and posts on social media between December 14, 2016 and September 21,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Benjamin Tarney ("Tarney") is employed as a custodial supervisor by the plaintiff Olds College ("College"). The defendant Megan Huxley ("Huxley") is the former wife of Tarney. They have three children. Her statements and comments are in relation to Tarney's interactions with Huxley prior to their marriage and with Huxley and their children during and after the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Tarney and Huxley were married on October 24, 1987. They have three children: Kortney, age 31; Carly, age 27; and Charles, age 25. Tarney and Huxley divorced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date of trial, Kortney and Carly lived independently. The youngest child, Charles, resided with Tarney. For some considerable period of time the children have had a limited and estranged relationship with Huxley.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Tarney has been employed in the custodial department of Olds College for 35 years. For the last approximately 15 years he has been a supervisor in that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Huxley is qualified as a teacher and was employed as such between 2000 and 2012. She is currently unemployed.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Huxley's actions began in or about December 2016. Initially it was in the form of emails to staff and faculty of Olds College. She sent a number of mass emails to various College staff. She then began to post statements about Tarney and the College on social media. Huxley acknowledges that there were many similar posts to social media, numbering in the hundreds. These included posts on Facebook (including sharing postings to a public group on Facebook identified as "Help Canadians First"), and at least one video to YouTube. She also contacted various news outlets, focusing on outlets serving the Olds, Alberta area. Emails to College staff and/or faculty included the following dated November 6,2017: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Subject: CAMPUS SECURITY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visit Meganhuxleyis@outlook.com FaceBook Page and begin reading posts as of March 20th.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WHY DOES OLDS COLLEGE EMPLOY A VIOLENT PEDOPHILE, PREDATOR???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SCAR ETCHED IN BONE!!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ARE YOUR KIDS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Examples of comments posted on Facebook include, but are not limited to,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MIKE BENJAMIN TARNEY, of Olds, AB, Canada. Violent pedophile, Predator, Parental Alienator Born in Rimbey, Alberta to Eileen Ruby Tarney YOU COVERED UP FOR YOUR SICK SON! You BOTH belong IN JAIL!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TURN YOURSELF IN!! YOU ARE SICK!! EMPLOYEE of Olds College in Olds, AB, Canada 403-556-8281. TAKE A POLYGRAPH! Being reading posts as of March 20, 2017.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Olds College in Olds, AB, Canada Employs PEDOPHILES!! Apparently, this College is OKAY with a PEDOPHILE on Campus! Would YOU send YOUR children here? MIKE BENJAMIN TAARNEY, Supervisor, Pedophile, Predator Baby-Raper!! TAKE A POLYGRAPH "Scar Etched in PELVIS BONE!" What THE HELL WERE YOU DOING??? SICKO! ...another VP "Thompson?" How many is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and then you MARRY A FREAKING PREDATOR who turns out to be a VIOLENT PPEDOPHILE!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Facebook posts included a variety of photos with captioning, with one including the words "What is that SON OF A BITCH Doing working for A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is no evidence of exactly what she told the news media outlets or the form or format of that communication. There is also no evidence any of them published or broadcast any of the information she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For simplicity I will refer to all of the posts to social media, the emails and the contacts with the media as the "impugned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genesis of Huxley's actions are events that occurred over 30 years ago, when the eldest child Kortney was an infant. Huxley indicated that she observed blood in Kortney's diaper after she had been left in the care of Tarney. The couple took Kortney to the local hospital for a medical examination. No specific health issues were identified and no further actions were undertaken by the medical personnel or others until events leading to the commencement of these proceedings. There was discussion at the time between Tarney and Huxley as to what may have occurred, and Tarney suggested that Kortney may have been injured by a child seat harness or buckle.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indicated, the parties divorced in 2007. Since that time, Huxley has had a diminishing relationship with her children. In about 2016, she happened upon an email from Kortney from 2009 which contained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also found out about my back. The lesion is about 2.5 cm long on my pelvic bone and is seen with people that have had bone grafts or surgical procedures in that area or, or severe trauma. It is not the first two, but I cannot remember any severe trauma (like a car accident) of any kind except for the typical scrapes and whatnot with being a kid. I remember falling on the seesaw and swings and having wind knocked out of me, but that's as far as it goes. So, they want to have another CT done one year from now to ensure that there are no new developments, but bottom line is, not connected to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Huxley says her review of the email prompted her to reflect upon her relationship with Tarney and his interactions with the children. She stated that she only then was able to appreciate that Tarney had been guilty of misconduct toward her even before they married. This included stalking and harassment as he pursued a relationship with her. In addition, she described stumbling across a drawing which she concluded was drawn by one of the children. She was unable to produce the drawing but described it as the "sausage drawing". My best understanding is that it was two stick people with balloon captions saying "Horny Bud" and "I hate you Mike". This led to her stated beliefs reflected in the impugned statements; that is to say that there had been patterns of criminal conduct by Tarney toward herself and the children. She concluded that the lesion referenced in Kortney's email was the product of sexual abuse by Tarney. Specifically, she connects it to the events described above when Kortney was taken to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Her actions began with an email to Tarney on December 14, 2016, inviting him to turn himself in and admit his wrongdoing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my last act of kindness to you, YOU SON OF A BITCH!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found something I didn't know I was in possession of and I am taking it with the incident of Kortneys bloody diaper.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have EXACTLY from the time You read this until I drive to the police station, to turn yourself in before they turn up at your work to arrest you, you asshole!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did neither and she filed a complaint of sexual assault regarding the event with the RCMP. The ensuing investigation resulted in a letter dated March 16, 2017, from the Didsbury RCMP Detachment Commander to Huxley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be advised that the Didsbury RCMP conducted a full investigation into the allegation of sexual assault you made on December 14, 2016. At that time, you informed Cp. Evans that you believed that Michael Tarney had sexually assaulted your daughter, Kortney Tarney. You articulated the reasons for your belief and provided Cpl. Evans a number of documents which you felt supported your belief.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reviewed all of the information you provided Cpl. Evans. I also spoke with both Michael Tarney and Kortney Tarney and accessed and reviewed hospital records from when Kortney Tarney was young [blacked out text].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full review identifies that your suspicions are not supported by the evidence we gathered. There are no further avenues of investigation to pursue in this matter and as such, I am concluding this file as unfounded.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Both Kortney Tarney and Michael Tarney have expressed that they do not wish you to communicate with them regarding this matter anymore. I am requesting that you respect their wishes.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She expressed her dissatisfaction with that result to the RCMP, which resulted in a further letter from the Detachment Commander of the Didsbury RCMP to Huxley dated March 5, 2018,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be advised that I received the recent information you provided via Corporal Brian Evans - Keremeos Detachment. I have read the thorough investigation conducted by then Sergeant Kim Pasloske - Didsbury Detachment. The results of that investigation was relayed to you in a letter prepared by Sergeant Pasloske dated March 16, 2017.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recent information you provided did not contain any evidence to support the allegations. There are no further avenues of investigation to pursue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Huxley remained dissatisfied with the RCMP investigation and testified in this trial that she believes there had been sexual misconduct by Tarney towards not only Kortney but all of the children. She did not specify the nature of that misconduct beyond what is set out in the posts referenced in para. 7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Following receipt of the 2017 letter from the RCMP, Huxley began making the impugned statements. She testified that her objective was to use various formats to make as many people as possible aware of her conclusions regarding Tarney. She wanted to have her information repeated as broadly as possible but with a specific desire to reach those who might be on the Olds College properties to which Tarney had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After she began making the impugned statements, counsel for Olds (not trial counsel) sent a "with prejudice" letter dated November 8, 2017, demanding she ". . . immediately delete these web postings by no later than 4:30 p.m. MST on Thursday, November 9, 2017. . .". Her reply of November 9, 2017,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aforementioned is, in fact, the case, you have negated to mention </w:t>
      </w:r>
      <w:r>
        <w:rPr>
          <w:rFonts w:ascii="arial" w:eastAsia="arial" w:hAnsi="arial" w:cs="arial"/>
          <w:i/>
          <w:color w:val="000000"/>
          <w:sz w:val="20"/>
          <w:lang w:val="en-US" w:eastAsia="en-US" w:bidi="ar-SA"/>
        </w:rPr>
        <w:t>Parental Alienation, Child Abuse and Domestic Violence</w:t>
      </w:r>
      <w:r>
        <w:rPr>
          <w:rFonts w:ascii="arial" w:eastAsia="arial" w:hAnsi="arial" w:cs="arial"/>
          <w:color w:val="000000"/>
          <w:sz w:val="20"/>
          <w:lang w:val="en-US" w:eastAsia="en-US" w:bidi="ar-SA"/>
        </w:rPr>
        <w:t>. Am I, therefore, to understand that there has been an admission of guilt pertaining to these matters on behalf of your client?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Additionally, there is nothing on my Facebook that may be construed as untrue or malicious, and I would certainly hope that exposure of this free, </w:t>
      </w:r>
      <w:r>
        <w:rPr>
          <w:rFonts w:ascii="arial" w:eastAsia="arial" w:hAnsi="arial" w:cs="arial"/>
          <w:i/>
          <w:color w:val="000000"/>
          <w:sz w:val="20"/>
          <w:lang w:val="en-US" w:eastAsia="en-US" w:bidi="ar-SA"/>
        </w:rPr>
        <w:t>Violent Pedophile and Predator</w:t>
      </w:r>
      <w:r>
        <w:rPr>
          <w:rFonts w:ascii="arial" w:eastAsia="arial" w:hAnsi="arial" w:cs="arial"/>
          <w:color w:val="000000"/>
          <w:sz w:val="20"/>
          <w:lang w:val="en-US" w:eastAsia="en-US" w:bidi="ar-SA"/>
        </w:rPr>
        <w:t xml:space="preserve"> offends that decency of (ANY) court! Mike Tarney should be imprisoned for life, unable to harm other children.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Olds College could (have) mitigate(d) its losses by discharging this thieving, baby-raping predator, but they choose to continue to employ and apparently, also defend him. And to be clear, I have no doubt Mike Tarney is embarrassed about the exposure of several truths regarding his character as well as his vile actions.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 wait for court and while I wait for you to prove me to be the "mentally incompetent, spiteful liar" Mike Tarney claims me to be, I will continue to warn the public: the Town of Olds, the province of Alberta, Canada, North America, and so on. Take a stand for the innocent victims who are unable to stand for themselves. What do you stand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trial, Bruce Kent, the Director of Human Resources at Olds College, and Tarney testified for the plaintiffs. Huxley and her current spouse, Harland Huxley, testified for the defence. None of the children gave evidence, no police officer connected to the investigation of Huxley's complaint was called to testify, and no medical evidence was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trial began February 4, 2019, and soon after I raised concerns about the relevance of testimony that was being elicited, particularly in the cross-examination of Tarney. The notice of civil claim ("NOCC") contained only examples of the impugned statements and they were specific to sexual offences toward children. Both plaintiffs were seeking remedies related to broader allegations of criminal conduct by Tarney. For her part, Huxley indicated a desire to cross-examine Tarney on a broad range of behaviours that had no apparent connection to the statements in the NOCC. These included allegations of stalking, emotional abuse, and other forms of family violence.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dialogue that followed, all parties indicated that they wished to have the pleadings amended so that all issues between them could be addressed in this trial. The plaintiffs wanted to ensure that any orders that may result from the trial would be broad enough to capture all of the defamatory assertions Huxley had made and may make in the future. Huxley wanted to ensure that this trial provides clarity on what, if any, of her concerns about Tarney she could continue to post or otherwise express publicly. The collective goal was to ensure the full scope of the issues between the parties could be resolved in this action and avoid the prospect of further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Amendments were permitted with the parties' consent. The amendments to the NOCC and response were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Amended</w:t>
      </w:r>
      <w:r>
        <w:rPr>
          <w:rFonts w:ascii="arial" w:eastAsia="arial" w:hAnsi="arial" w:cs="arial"/>
          <w:b/>
          <w:color w:val="000000"/>
          <w:sz w:val="20"/>
          <w:lang w:val="en-US" w:eastAsia="en-US" w:bidi="ar-SA"/>
        </w:rPr>
        <w:t xml:space="preserve"> Notice of Civil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 1: Statement of Facts</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false statements include </w:t>
      </w:r>
      <w:r>
        <w:rPr>
          <w:rFonts w:ascii="arial" w:eastAsia="arial" w:hAnsi="arial" w:cs="arial"/>
          <w:color w:val="000000"/>
          <w:sz w:val="20"/>
          <w:u w:val="single"/>
          <w:lang w:val="en-US" w:eastAsia="en-US" w:bidi="ar-SA"/>
        </w:rPr>
        <w:t>allegations of child abuse, domestic violence, stalking and the following:</w:t>
      </w:r>
      <w:r>
        <w:rPr>
          <w:rFonts w:ascii="arial" w:eastAsia="arial" w:hAnsi="arial" w:cs="arial"/>
          <w:color w:val="000000"/>
          <w:sz w:val="20"/>
          <w:lang w:val="en-US" w:eastAsia="en-US" w:bidi="ar-SA"/>
        </w:rPr>
        <w:t xml:space="preserve">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 2: Relief Sought</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injunction restraining the Defendant, by themselves, their agents, servants or otherwise, from writing, printing, or broadcasting or causing to be written, printed or broadcasted or otherwise publishing of the Plaintiffs, or any of its current employees, the defamatory statements </w:t>
      </w:r>
      <w:r>
        <w:rPr>
          <w:rFonts w:ascii="arial" w:eastAsia="arial" w:hAnsi="arial" w:cs="arial"/>
          <w:color w:val="000000"/>
          <w:sz w:val="20"/>
          <w:u w:val="single"/>
          <w:lang w:val="en-US" w:eastAsia="en-US" w:bidi="ar-SA"/>
        </w:rPr>
        <w:t>including any false criminal allegations</w:t>
      </w:r>
      <w:r>
        <w:rPr>
          <w:rFonts w:ascii="arial" w:eastAsia="arial" w:hAnsi="arial" w:cs="arial"/>
          <w:color w:val="000000"/>
          <w:sz w:val="20"/>
          <w:lang w:val="en-US" w:eastAsia="en-US" w:bidi="ar-SA"/>
        </w:rPr>
        <w:t>, or similar statements as described above; . .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Amended</w:t>
      </w:r>
      <w:r>
        <w:rPr>
          <w:rFonts w:ascii="arial" w:eastAsia="arial" w:hAnsi="arial" w:cs="arial"/>
          <w:b/>
          <w:color w:val="000000"/>
          <w:sz w:val="20"/>
          <w:lang w:val="en-US" w:eastAsia="en-US" w:bidi="ar-SA"/>
        </w:rPr>
        <w:t xml:space="preserve"> Response to Civil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 2: Response to Relief Sought: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 requests an order lifting the injunction as set out by Her Lady, Madam Justice Winteringham, restraining the Defendant from communicating/warning the public about Mike Tarney, regardless of court convictions</w:t>
      </w:r>
      <w:r>
        <w:rPr>
          <w:rFonts w:ascii="arial" w:eastAsia="arial" w:hAnsi="arial" w:cs="arial"/>
          <w:color w:val="000000"/>
          <w:sz w:val="20"/>
          <w:lang w:val="en-US" w:eastAsia="en-US" w:bidi="ar-SA"/>
        </w:rPr>
        <w: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 requests Costs;</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 requests a complete transcript of the trial and any and all such proceedings within this court pertaining to this civil trial matter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 3: Legal Basis:</w:t>
      </w:r>
    </w:p>
    <w:p>
      <w:pPr>
        <w:numPr>
          <w:numId w:val="6"/>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Truth is an Absolute Defence in the common-law of British Columbia.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 has not committed the tort of defamation because every statement about the Plaintiffs the Defendant has communicated is true</w:t>
      </w:r>
      <w:r>
        <w:rPr>
          <w:rFonts w:ascii="arial" w:eastAsia="arial" w:hAnsi="arial" w:cs="arial"/>
          <w:color w:val="000000"/>
          <w:sz w:val="20"/>
          <w:lang w:val="en-US" w:eastAsia="en-US" w:bidi="ar-SA"/>
        </w:rPr>
        <w:t>.</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Qualified Privilege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defence of qualified privilege permits the Defendant, a licensed teacher, who is in positions of authority or trust, to make statements or relay or report statements in this matter of safety</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Because the statements were made truthfully and out of concern and safety for the well-being of children and women, and the Defendant acted responsibly, without malice, hatred, spite, ill will or resentment, there is no defamation</w:t>
      </w:r>
      <w:r>
        <w:rPr>
          <w:rFonts w:ascii="arial" w:eastAsia="arial" w:hAnsi="arial" w:cs="arial"/>
          <w:color w:val="000000"/>
          <w:sz w:val="20"/>
          <w:lang w:val="en-US" w:eastAsia="en-US" w:bidi="ar-SA"/>
        </w:rPr>
        <w:t>.</w:t>
      </w:r>
    </w:p>
    <w:p>
      <w:pPr>
        <w:numPr>
          <w:numId w:val="8"/>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The Defendant relies on Grant v. Torstar Corp., </w:t>
      </w:r>
      <w:hyperlink r:id="rId111" w:history="1">
        <w:r>
          <w:rPr>
            <w:rFonts w:ascii="arial" w:eastAsia="arial" w:hAnsi="arial" w:cs="arial"/>
            <w:i/>
            <w:color w:val="0077CC"/>
            <w:sz w:val="20"/>
            <w:u w:val="single"/>
            <w:shd w:val="clear" w:color="auto" w:fill="FFFFFF"/>
            <w:lang w:val="en-US" w:eastAsia="en-US" w:bidi="ar-SA"/>
          </w:rPr>
          <w:t>2009 SCC 61</w:t>
        </w:r>
      </w:hyperlink>
      <w:r>
        <w:rPr>
          <w:rFonts w:ascii="arial" w:eastAsia="arial" w:hAnsi="arial" w:cs="arial"/>
          <w:color w:val="000000"/>
          <w:sz w:val="20"/>
          <w:u w:val="single"/>
          <w:lang w:val="en-US" w:eastAsia="en-US" w:bidi="ar-SA"/>
        </w:rPr>
        <w:t>, for the proposition that, 'provided the subject matter of the publication meets a test of being of "public interest" and the defendant exercises due diligence prior to publication to ensure that the facts are accurate, . . . this new defence . . . known as "responsible communication on matters of public interest"' applies. Because the Defendant acted responsibly in attempting to verify the information, the degree of care required to meet the test has been met and the defence of fair comment applies</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u w:val="single"/>
          <w:lang w:val="en-US" w:eastAsia="en-US" w:bidi="ar-SA"/>
        </w:rPr>
        <w:t>Issues and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argue that the statements at issue are clearly defamatory in that they would tend to lower the plaintiffs' reputations in the eyes of a reasonable person. Huxley advanced no argument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say the examples set out in the NOCC and the evidence tendered as to the content of the statements made by Huxley are "representative" of a broader collection of similar statements. Huxley acknowledges that as accurate. This raises the question of how statements that are not specifically in evidence can be found to be defamatory. Specifically, I must determine whether the plaintiffs can prove defamation by relying on a general description of statements, even where that description is not 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Huxley readily acknowledges that she sent the emails and posted the comments to Facebook and YouTube between December 14, 2016 and September 21, 2018. I must assess whether this constitutes publication. There is no direct evidence from any third party readers or recipients on the impugned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remaining issues relate to the assessment of the potential defences to the publication of the defamatory statements. Huxley relies on the defences of justification or truth, responsible communication, and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Elements of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As noted by the Supreme Court of Canada in </w:t>
      </w:r>
      <w:r>
        <w:rPr>
          <w:rFonts w:ascii="arial" w:eastAsia="arial" w:hAnsi="arial" w:cs="arial"/>
          <w:i/>
          <w:color w:val="000000"/>
          <w:sz w:val="20"/>
          <w:lang w:val="en-US" w:eastAsia="en-US" w:bidi="ar-SA"/>
        </w:rPr>
        <w:t>Grant v. Torstar Corp.</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2009 SCC 61</w:t>
        </w:r>
      </w:hyperlink>
      <w:r>
        <w:rPr>
          <w:rFonts w:ascii="arial" w:eastAsia="arial" w:hAnsi="arial" w:cs="arial"/>
          <w:color w:val="000000"/>
          <w:sz w:val="20"/>
          <w:lang w:val="en-US" w:eastAsia="en-US" w:bidi="ar-SA"/>
        </w:rPr>
        <w:t xml:space="preserve"> at para. 28, the plaintiff in a defamation action must establish that the impugned words were defamatory in the sense that they would tend to lower the plaintiff's reputation in the eyes of a reasonable person; that they refer to the plaintiff; and that they were published, meaning that they were communicated to at least one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Defamation is a tort of strict liability and thus the plaintiffs need not prove that Huxley was careless or intended to cause harm. If the plaintiffs prove the required elements, the onus shifts to Huxley to advance a defence in order to escape liability: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order to ground an action in British Columbia for the tort of defamation, a plaintiff must establish that the defamatory material posted to the internet was accessed and read by someone in British Columbia. Per </w:t>
      </w:r>
      <w:r>
        <w:rPr>
          <w:rFonts w:ascii="arial" w:eastAsia="arial" w:hAnsi="arial" w:cs="arial"/>
          <w:i/>
          <w:color w:val="000000"/>
          <w:sz w:val="20"/>
          <w:lang w:val="en-US" w:eastAsia="en-US" w:bidi="ar-SA"/>
        </w:rPr>
        <w:t>Crookes v. Holloway</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2007 BCSC 1325</w:t>
        </w:r>
      </w:hyperlink>
      <w:r>
        <w:rPr>
          <w:rFonts w:ascii="arial" w:eastAsia="arial" w:hAnsi="arial" w:cs="arial"/>
          <w:color w:val="000000"/>
          <w:sz w:val="20"/>
          <w:lang w:val="en-US" w:eastAsia="en-US" w:bidi="ar-SA"/>
        </w:rPr>
        <w:t xml:space="preserve"> at paras. 26-27, aff'd </w:t>
      </w:r>
      <w:hyperlink r:id="rId113" w:history="1">
        <w:r>
          <w:rPr>
            <w:rFonts w:ascii="arial" w:eastAsia="arial" w:hAnsi="arial" w:cs="arial"/>
            <w:i/>
            <w:color w:val="0077CC"/>
            <w:sz w:val="20"/>
            <w:u w:val="single"/>
            <w:shd w:val="clear" w:color="auto" w:fill="FFFFFF"/>
            <w:lang w:val="en-US" w:eastAsia="en-US" w:bidi="ar-SA"/>
          </w:rPr>
          <w:t>2008 BCCA 165</w:t>
        </w:r>
      </w:hyperlink>
      <w:r>
        <w:rPr>
          <w:rFonts w:ascii="arial" w:eastAsia="arial" w:hAnsi="arial" w:cs="arial"/>
          <w:color w:val="000000"/>
          <w:sz w:val="20"/>
          <w:lang w:val="en-US" w:eastAsia="en-US" w:bidi="ar-SA"/>
        </w:rPr>
        <w:t>, the site of the defamation is the site where damage to reputation occurred. With respect to internet communications, defamation occurs at the time and place where a person downloads the impugned material from the internet.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British Columbia, publication is deemed to have occurred when defamatory words are contained in a broadcast: </w:t>
      </w:r>
      <w:r>
        <w:rPr>
          <w:rFonts w:ascii="arial" w:eastAsia="arial" w:hAnsi="arial" w:cs="arial"/>
          <w:i/>
          <w:color w:val="000000"/>
          <w:sz w:val="20"/>
          <w:lang w:val="en-US" w:eastAsia="en-US" w:bidi="ar-SA"/>
        </w:rPr>
        <w:t>Libel and Slander Act</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R.S.B.C. 1996, c. 263, s. 2</w:t>
        </w:r>
      </w:hyperlink>
      <w:r>
        <w:rPr>
          <w:rFonts w:ascii="arial" w:eastAsia="arial" w:hAnsi="arial" w:cs="arial"/>
          <w:color w:val="000000"/>
          <w:sz w:val="20"/>
          <w:lang w:val="en-US" w:eastAsia="en-US" w:bidi="ar-SA"/>
        </w:rPr>
        <w:t xml:space="preserve">. No such presumption exists for material posted on the internet: </w:t>
      </w:r>
      <w:r>
        <w:rPr>
          <w:rFonts w:ascii="arial" w:eastAsia="arial" w:hAnsi="arial" w:cs="arial"/>
          <w:i/>
          <w:color w:val="000000"/>
          <w:sz w:val="20"/>
          <w:lang w:val="en-US" w:eastAsia="en-US" w:bidi="ar-SA"/>
        </w:rPr>
        <w:t>Crookes v. Newton</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2011 SCC 47</w:t>
        </w:r>
      </w:hyperlink>
      <w:r>
        <w:rPr>
          <w:rFonts w:ascii="arial" w:eastAsia="arial" w:hAnsi="arial" w:cs="arial"/>
          <w:color w:val="000000"/>
          <w:sz w:val="20"/>
          <w:lang w:val="en-US" w:eastAsia="en-US" w:bidi="ar-SA"/>
        </w:rPr>
        <w:t xml:space="preserve"> at para. 14. Absent direct evidence of publication, the plaintiff must prove publication by establishing facts from which it can reasonably be inferred that the defamatory words came to the knowledge of some third person in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realities of communication and dissemination of information on the internet cannot be ignored: </w:t>
      </w:r>
      <w:r>
        <w:rPr>
          <w:rFonts w:ascii="arial" w:eastAsia="arial" w:hAnsi="arial" w:cs="arial"/>
          <w:i/>
          <w:color w:val="000000"/>
          <w:sz w:val="20"/>
          <w:lang w:val="en-US" w:eastAsia="en-US" w:bidi="ar-SA"/>
        </w:rPr>
        <w:t>Bernstein v. Poon</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2015 ONSC 155</w:t>
        </w:r>
      </w:hyperlink>
      <w:r>
        <w:rPr>
          <w:rFonts w:ascii="arial" w:eastAsia="arial" w:hAnsi="arial" w:cs="arial"/>
          <w:color w:val="000000"/>
          <w:sz w:val="20"/>
          <w:lang w:val="en-US" w:eastAsia="en-US" w:bidi="ar-SA"/>
        </w:rPr>
        <w:t xml:space="preserve"> at para. 94. The lack of direct evidence of the number of individuals who have viewed a post on a social media platform is not necessarily a bar to drawing an inference that the postings were in fact viewed. In </w:t>
      </w:r>
      <w:r>
        <w:rPr>
          <w:rFonts w:ascii="arial" w:eastAsia="arial" w:hAnsi="arial" w:cs="arial"/>
          <w:i/>
          <w:color w:val="000000"/>
          <w:sz w:val="20"/>
          <w:lang w:val="en-US" w:eastAsia="en-US" w:bidi="ar-SA"/>
        </w:rPr>
        <w:t>Hee Creations Group Ltd. v. Chow</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2018 BCSC 260</w:t>
        </w:r>
      </w:hyperlink>
      <w:r>
        <w:rPr>
          <w:rFonts w:ascii="arial" w:eastAsia="arial" w:hAnsi="arial" w:cs="arial"/>
          <w:color w:val="000000"/>
          <w:sz w:val="20"/>
          <w:lang w:val="en-US" w:eastAsia="en-US" w:bidi="ar-SA"/>
        </w:rPr>
        <w:t>, the defendant made numerous posts expressing her dissatisfaction with the plaintiff's wedding services on the English-language internet platforms Facebook, Twitter, and Blogger, as well as Chinese-language internet platforms Weibo, Sina, VanPeople, and WeChat. Although there was no direct evidence of publication, there was evidence from some of the platforms of the number of times the postings had been accessed. The defendant's evidence was that one of the sites she posted to was targeted at Chinese people living in Vancouver. From that, the trial judge felt he could reasonably draw the inference that the postings, at least to the extent that they were posted on that website, were read by at least one person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Justice Mew adopted a similar approach in </w:t>
      </w:r>
      <w:r>
        <w:rPr>
          <w:rFonts w:ascii="arial" w:eastAsia="arial" w:hAnsi="arial" w:cs="arial"/>
          <w:i/>
          <w:color w:val="000000"/>
          <w:sz w:val="20"/>
          <w:lang w:val="en-US" w:eastAsia="en-US" w:bidi="ar-SA"/>
        </w:rPr>
        <w:t>Zoutman v. Graham</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2019 ONSC 2834</w:t>
        </w:r>
      </w:hyperlink>
      <w:r>
        <w:rPr>
          <w:rFonts w:ascii="arial" w:eastAsia="arial" w:hAnsi="arial" w:cs="arial"/>
          <w:color w:val="000000"/>
          <w:sz w:val="20"/>
          <w:lang w:val="en-US" w:eastAsia="en-US" w:bidi="ar-SA"/>
        </w:rPr>
        <w:t xml:space="preserve">. In that case, the plaintiff, an infectious diseases specialist, provided expert evidence in a clinical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lawsuit on behalf of the physician who had treated the defendant's brother, who died of a post-operative infection. The case was ultimately dismissed, and the defendant proceeded to make made a series of defamatory posts on internet platforms which enabled users to review doctors. There was no direct evidence presented at trial of any individual, other than the plaintiff and his lawyers, having read the posts. Unlike in </w:t>
      </w:r>
      <w:r>
        <w:rPr>
          <w:rFonts w:ascii="arial" w:eastAsia="arial" w:hAnsi="arial" w:cs="arial"/>
          <w:i/>
          <w:color w:val="000000"/>
          <w:sz w:val="20"/>
          <w:lang w:val="en-US" w:eastAsia="en-US" w:bidi="ar-SA"/>
        </w:rPr>
        <w:t>Hee Creations</w:t>
      </w:r>
      <w:r>
        <w:rPr>
          <w:rFonts w:ascii="arial" w:eastAsia="arial" w:hAnsi="arial" w:cs="arial"/>
          <w:color w:val="000000"/>
          <w:sz w:val="20"/>
          <w:lang w:val="en-US" w:eastAsia="en-US" w:bidi="ar-SA"/>
        </w:rPr>
        <w:t>, there was no information as to the number of times the posts were accessed.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defendant in </w:t>
      </w:r>
      <w:r>
        <w:rPr>
          <w:rFonts w:ascii="arial" w:eastAsia="arial" w:hAnsi="arial" w:cs="arial"/>
          <w:i/>
          <w:color w:val="000000"/>
          <w:sz w:val="20"/>
          <w:lang w:val="en-US" w:eastAsia="en-US" w:bidi="ar-SA"/>
        </w:rPr>
        <w:t>Zoutman</w:t>
      </w:r>
      <w:r>
        <w:rPr>
          <w:rFonts w:ascii="arial" w:eastAsia="arial" w:hAnsi="arial" w:cs="arial"/>
          <w:color w:val="000000"/>
          <w:sz w:val="20"/>
          <w:lang w:val="en-US" w:eastAsia="en-US" w:bidi="ar-SA"/>
        </w:rPr>
        <w:t xml:space="preserve"> admitted to authoring some of the posts, and testified that he wanted the public to know the things he wrote about the plaintiff. He said that he anticipated people who wanted to use the plaintiff's services might look at the site. He stated that he created an additional post after an initial post was deleted, indicating that he was concerned his message would not be received by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Taking into account the totality of the circumstances, Mew J. concluded that the plaintiff in </w:t>
      </w:r>
      <w:r>
        <w:rPr>
          <w:rFonts w:ascii="arial" w:eastAsia="arial" w:hAnsi="arial" w:cs="arial"/>
          <w:i/>
          <w:color w:val="000000"/>
          <w:sz w:val="20"/>
          <w:lang w:val="en-US" w:eastAsia="en-US" w:bidi="ar-SA"/>
        </w:rPr>
        <w:t>Zoutman</w:t>
      </w:r>
      <w:r>
        <w:rPr>
          <w:rFonts w:ascii="arial" w:eastAsia="arial" w:hAnsi="arial" w:cs="arial"/>
          <w:color w:val="000000"/>
          <w:sz w:val="20"/>
          <w:lang w:val="en-US" w:eastAsia="en-US" w:bidi="ar-SA"/>
        </w:rPr>
        <w:t xml:space="preserve"> had established publication. In addition to the defendant's testimony, the circumstances considered by the court were:</w:t>
      </w:r>
      <w:r>
        <w:rPr>
          <w:rFonts w:ascii="arial" w:eastAsia="arial" w:hAnsi="arial" w:cs="arial"/>
          <w:sz w:val="20"/>
          <w:lang w:val="en-US" w:eastAsia="en-US" w:bidi="ar-SA"/>
        </w:rPr>
        <w:cr/>
      </w:r>
    </w:p>
    <w:p>
      <w:pPr>
        <w:numPr>
          <w:numId w:val="9"/>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comment by an apparent third party on the defendant's posting;</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websites where the defendant posted the defamatory statements are frequently used by the public; and</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prominence of the doctor rating websites in Google searches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There was no jurisdictional issue in </w:t>
      </w:r>
      <w:r>
        <w:rPr>
          <w:rFonts w:ascii="arial" w:eastAsia="arial" w:hAnsi="arial" w:cs="arial"/>
          <w:i/>
          <w:color w:val="000000"/>
          <w:sz w:val="20"/>
          <w:lang w:val="en-US" w:eastAsia="en-US" w:bidi="ar-SA"/>
        </w:rPr>
        <w:t>Zoutman</w:t>
      </w:r>
      <w:r>
        <w:rPr>
          <w:rFonts w:ascii="arial" w:eastAsia="arial" w:hAnsi="arial" w:cs="arial"/>
          <w:color w:val="000000"/>
          <w:sz w:val="20"/>
          <w:lang w:val="en-US" w:eastAsia="en-US" w:bidi="ar-SA"/>
        </w:rPr>
        <w:t xml:space="preserve"> as the posts were made on an Ontario-specific platform.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Holden v. Hanlon</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2019 BCSC 622</w:t>
        </w:r>
      </w:hyperlink>
      <w:r>
        <w:rPr>
          <w:rFonts w:ascii="arial" w:eastAsia="arial" w:hAnsi="arial" w:cs="arial"/>
          <w:color w:val="000000"/>
          <w:sz w:val="20"/>
          <w:lang w:val="en-US" w:eastAsia="en-US" w:bidi="ar-SA"/>
        </w:rPr>
        <w:t>, Justice Dardi inferred publication of allegedly defamatory Facebook posts. The posts were made on a group that was once public, meaning anyone with a Facebook profile could view it, but was later changed to a "closed" group which could only be access by members of the group. Many of the impugned posts listed the number of views, and at least three had comments. Based on this evidence, Justice Dardi was satisfied that the posts were published and read by at least one individual in British Columbia (at paras. 84-86).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Courts have also seen fit to infer publication of social media posts despite a lack of evidence (such as comments, "likes", or number of views) indicating that they have been read. In </w:t>
      </w:r>
      <w:r>
        <w:rPr>
          <w:rFonts w:ascii="arial" w:eastAsia="arial" w:hAnsi="arial" w:cs="arial"/>
          <w:i/>
          <w:color w:val="000000"/>
          <w:sz w:val="20"/>
          <w:lang w:val="en-US" w:eastAsia="en-US" w:bidi="ar-SA"/>
        </w:rPr>
        <w:t>Court v. Debaie</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2012 ABQB 640</w:t>
        </w:r>
      </w:hyperlink>
      <w:r>
        <w:rPr>
          <w:rFonts w:ascii="arial" w:eastAsia="arial" w:hAnsi="arial" w:cs="arial"/>
          <w:color w:val="000000"/>
          <w:sz w:val="20"/>
          <w:lang w:val="en-US" w:eastAsia="en-US" w:bidi="ar-SA"/>
        </w:rPr>
        <w:t xml:space="preserve">, Justice Ross inferred publication on substantially less evidence than was adduced by the plaintiffs in </w:t>
      </w:r>
      <w:r>
        <w:rPr>
          <w:rFonts w:ascii="arial" w:eastAsia="arial" w:hAnsi="arial" w:cs="arial"/>
          <w:i/>
          <w:color w:val="000000"/>
          <w:sz w:val="20"/>
          <w:lang w:val="en-US" w:eastAsia="en-US" w:bidi="ar-SA"/>
        </w:rPr>
        <w:t>Hee Creations</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Zoutman</w:t>
      </w:r>
      <w:r>
        <w:rPr>
          <w:rFonts w:ascii="arial" w:eastAsia="arial" w:hAnsi="arial" w:cs="arial"/>
          <w:color w:val="000000"/>
          <w:sz w:val="20"/>
          <w:lang w:val="en-US" w:eastAsia="en-US" w:bidi="ar-SA"/>
        </w:rPr>
        <w:t xml:space="preserve">. The plaintiff in </w:t>
      </w:r>
      <w:r>
        <w:rPr>
          <w:rFonts w:ascii="arial" w:eastAsia="arial" w:hAnsi="arial" w:cs="arial"/>
          <w:i/>
          <w:color w:val="000000"/>
          <w:sz w:val="20"/>
          <w:lang w:val="en-US" w:eastAsia="en-US" w:bidi="ar-SA"/>
        </w:rPr>
        <w:t>Court</w:t>
      </w:r>
      <w:r>
        <w:rPr>
          <w:rFonts w:ascii="arial" w:eastAsia="arial" w:hAnsi="arial" w:cs="arial"/>
          <w:color w:val="000000"/>
          <w:sz w:val="20"/>
          <w:lang w:val="en-US" w:eastAsia="en-US" w:bidi="ar-SA"/>
        </w:rPr>
        <w:t>, who resided in Alberta, asserted that the defendants, who resided in Nova Scotia and Ontario, defamed her in Facebook posts. The impugned posts were set to open access, and could be viewed by anyone with an internet connection. Further, the statements would appear on the "timelines" of the defendants' Facebook friends. Between them, the defendants had a total of 340 Facebook friends, eight of whom resided in Alberta. At para. 43, Justice Ross concluded that there was enough evidence to infer the material was read, and thus published, in Alberta because the defendants had at least one Facebook friend in Alberta and the posts would appear on their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Publication was likewise inferred in </w:t>
      </w:r>
      <w:r>
        <w:rPr>
          <w:rFonts w:ascii="arial" w:eastAsia="arial" w:hAnsi="arial" w:cs="arial"/>
          <w:i/>
          <w:color w:val="000000"/>
          <w:sz w:val="20"/>
          <w:lang w:val="en-US" w:eastAsia="en-US" w:bidi="ar-SA"/>
        </w:rPr>
        <w:t>Bernstein</w:t>
      </w:r>
      <w:r>
        <w:rPr>
          <w:rFonts w:ascii="arial" w:eastAsia="arial" w:hAnsi="arial" w:cs="arial"/>
          <w:color w:val="000000"/>
          <w:sz w:val="20"/>
          <w:lang w:val="en-US" w:eastAsia="en-US" w:bidi="ar-SA"/>
        </w:rPr>
        <w:t xml:space="preserve"> in the absence of any indication from the posts themselves that the defamatory material had been viewed by a third party. In that case, the court was satisfied that a defamatory video published on the defendant doctor's website had been published on the basis that that the doctor's patients were freely able to view the video on the website, and the video communicated information in the patients' native language (Cantonese) (at paras. 90-95).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Defenses to defamation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defence of justification or truth is a complete defence to defamation. In order to establish justification, the defendant is required to prove that the statements at issue were true or substantially true on a balance of probabilities: </w:t>
      </w:r>
      <w:r>
        <w:rPr>
          <w:rFonts w:ascii="arial" w:eastAsia="arial" w:hAnsi="arial" w:cs="arial"/>
          <w:i/>
          <w:color w:val="000000"/>
          <w:sz w:val="20"/>
          <w:lang w:val="en-US" w:eastAsia="en-US" w:bidi="ar-SA"/>
        </w:rPr>
        <w:t>Level One Construction Ltd. v. Burnham</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2018 BCSC 1354</w:t>
        </w:r>
      </w:hyperlink>
      <w:r>
        <w:rPr>
          <w:rFonts w:ascii="arial" w:eastAsia="arial" w:hAnsi="arial" w:cs="arial"/>
          <w:color w:val="000000"/>
          <w:sz w:val="20"/>
          <w:lang w:val="en-US" w:eastAsia="en-US" w:bidi="ar-SA"/>
        </w:rPr>
        <w:t xml:space="preserve"> at paras. 97-98 (rev'd on appeal on a different point </w:t>
      </w:r>
      <w:hyperlink r:id="rId122" w:history="1">
        <w:r>
          <w:rPr>
            <w:rFonts w:ascii="arial" w:eastAsia="arial" w:hAnsi="arial" w:cs="arial"/>
            <w:i/>
            <w:color w:val="0077CC"/>
            <w:sz w:val="20"/>
            <w:u w:val="single"/>
            <w:shd w:val="clear" w:color="auto" w:fill="FFFFFF"/>
            <w:lang w:val="en-US" w:eastAsia="en-US" w:bidi="ar-SA"/>
          </w:rPr>
          <w:t>2019 BCCA 407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Once words have been found to be defamatory, there is a rebuttable presumption that the words are false: </w:t>
      </w:r>
      <w:r>
        <w:rPr>
          <w:rFonts w:ascii="arial" w:eastAsia="arial" w:hAnsi="arial" w:cs="arial"/>
          <w:i/>
          <w:color w:val="000000"/>
          <w:sz w:val="20"/>
          <w:lang w:val="en-US" w:eastAsia="en-US" w:bidi="ar-SA"/>
        </w:rPr>
        <w:t>Nazerali v. Mitchell</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2018 BCCA 104</w:t>
        </w:r>
      </w:hyperlink>
      <w:r>
        <w:rPr>
          <w:rFonts w:ascii="arial" w:eastAsia="arial" w:hAnsi="arial" w:cs="arial"/>
          <w:color w:val="000000"/>
          <w:sz w:val="20"/>
          <w:lang w:val="en-US" w:eastAsia="en-US" w:bidi="ar-SA"/>
        </w:rPr>
        <w:t xml:space="preserve"> at para. 33. In order to succeed in a plea of justification, the defendant must prove the substantial truth of all material statements contained in the impugned statements, including any inferences of fact flowing from those statements: </w:t>
      </w:r>
      <w:r>
        <w:rPr>
          <w:rFonts w:ascii="arial" w:eastAsia="arial" w:hAnsi="arial" w:cs="arial"/>
          <w:i/>
          <w:color w:val="000000"/>
          <w:sz w:val="20"/>
          <w:lang w:val="en-US" w:eastAsia="en-US" w:bidi="ar-SA"/>
        </w:rPr>
        <w:t>Taylor-Wright v. CHBC-TV</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[1999] B.C.J. No. 334</w:t>
        </w:r>
      </w:hyperlink>
      <w:r>
        <w:rPr>
          <w:rFonts w:ascii="arial" w:eastAsia="arial" w:hAnsi="arial" w:cs="arial"/>
          <w:color w:val="000000"/>
          <w:sz w:val="20"/>
          <w:lang w:val="en-US" w:eastAsia="en-US" w:bidi="ar-SA"/>
        </w:rPr>
        <w:t xml:space="preserve"> (S.C.) at para. 33, aff'd </w:t>
      </w:r>
      <w:hyperlink r:id="rId125" w:history="1">
        <w:r>
          <w:rPr>
            <w:rFonts w:ascii="arial" w:eastAsia="arial" w:hAnsi="arial" w:cs="arial"/>
            <w:i/>
            <w:color w:val="0077CC"/>
            <w:sz w:val="20"/>
            <w:u w:val="single"/>
            <w:shd w:val="clear" w:color="auto" w:fill="FFFFFF"/>
            <w:lang w:val="en-US" w:eastAsia="en-US" w:bidi="ar-SA"/>
          </w:rPr>
          <w:t>2000 BCCA 629</w:t>
        </w:r>
      </w:hyperlink>
      <w:r>
        <w:rPr>
          <w:rFonts w:ascii="arial" w:eastAsia="arial" w:hAnsi="arial" w:cs="arial"/>
          <w:color w:val="000000"/>
          <w:sz w:val="20"/>
          <w:lang w:val="en-US" w:eastAsia="en-US" w:bidi="ar-SA"/>
        </w:rPr>
        <w:t xml:space="preserve"> at para. 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Qualified privilege is a defence where the author of the publication of the defamatory statements has an interest or duty to publish the defamatory statements, and the recipient had a corresponding duty or interest in receiving the information. This was made clear in </w:t>
      </w:r>
      <w:r>
        <w:rPr>
          <w:rFonts w:ascii="arial" w:eastAsia="arial" w:hAnsi="arial" w:cs="arial"/>
          <w:i/>
          <w:color w:val="000000"/>
          <w:sz w:val="20"/>
          <w:lang w:val="en-US" w:eastAsia="en-US" w:bidi="ar-SA"/>
        </w:rPr>
        <w:t>Adam v. Ward</w:t>
      </w:r>
      <w:r>
        <w:rPr>
          <w:rFonts w:ascii="arial" w:eastAsia="arial" w:hAnsi="arial" w:cs="arial"/>
          <w:color w:val="000000"/>
          <w:sz w:val="20"/>
          <w:lang w:val="en-US" w:eastAsia="en-US" w:bidi="ar-SA"/>
        </w:rPr>
        <w:t>, [1917] A.C. 309 at 334 (H.L.), where Lord Atkinson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privileged occasion is, in reference to qualified privilege, an occasion where the person who makes a communication has an interest or a duty, legal, social, or moral, to make it to the person to whom it is made, and the person to whom it is so made has a corresponding interest or duty to receive it. This reciprocity is essential.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determining whether a statement was made on an occasion of qualified privilege, the court must consider the entire context in which the communication was made. Our Court of Appeal has set out factors to be considered in determining whether a statement was made on an occasion of qualified privilege: see </w:t>
      </w:r>
      <w:r>
        <w:rPr>
          <w:rFonts w:ascii="arial" w:eastAsia="arial" w:hAnsi="arial" w:cs="arial"/>
          <w:i/>
          <w:color w:val="000000"/>
          <w:sz w:val="20"/>
          <w:lang w:val="en-US" w:eastAsia="en-US" w:bidi="ar-SA"/>
        </w:rPr>
        <w:t>Moises v. Canadian Newspaper Co. (c.o.b. Times-Colonist)</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(1996), 24 BCLR (3d) 211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Martin v. Lavigne</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2011 BCCA 104</w:t>
        </w:r>
      </w:hyperlink>
      <w:r>
        <w:rPr>
          <w:rFonts w:ascii="arial" w:eastAsia="arial" w:hAnsi="arial" w:cs="arial"/>
          <w:color w:val="000000"/>
          <w:sz w:val="20"/>
          <w:lang w:val="en-US" w:eastAsia="en-US" w:bidi="ar-SA"/>
        </w:rPr>
        <w:t xml:space="preserve"> at para. 36; </w:t>
      </w:r>
      <w:r>
        <w:rPr>
          <w:rFonts w:ascii="arial" w:eastAsia="arial" w:hAnsi="arial" w:cs="arial"/>
          <w:i/>
          <w:color w:val="000000"/>
          <w:sz w:val="20"/>
          <w:lang w:val="en-US" w:eastAsia="en-US" w:bidi="ar-SA"/>
        </w:rPr>
        <w:t>Wang v. British Columbia Medical Assn.</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2014 BCCA 162</w:t>
        </w:r>
      </w:hyperlink>
      <w:r>
        <w:rPr>
          <w:rFonts w:ascii="arial" w:eastAsia="arial" w:hAnsi="arial" w:cs="arial"/>
          <w:color w:val="000000"/>
          <w:sz w:val="20"/>
          <w:lang w:val="en-US" w:eastAsia="en-US" w:bidi="ar-SA"/>
        </w:rPr>
        <w:t xml:space="preserve"> at para. 98. The factors include:</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impugned words;</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 published the words;</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reasons the words were published;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audience of the publication;</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circumstances under which it was published;</w:t>
      </w:r>
    </w:p>
    <w:p>
      <w:pPr>
        <w:numPr>
          <w:numId w:val="1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or interest the defendant claims to safeguard;</w:t>
      </w:r>
    </w:p>
    <w:p>
      <w:pPr>
        <w:numPr>
          <w:numId w:val="1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urgency of the occasion;</w:t>
      </w:r>
    </w:p>
    <w:p>
      <w:pPr>
        <w:numPr>
          <w:numId w:val="19"/>
        </w:numPr>
        <w:tabs>
          <w:tab w:val="num" w:pos="1480"/>
          <w:tab w:val="clear" w:pos="292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information was offered officiously; and</w:t>
      </w:r>
    </w:p>
    <w:p>
      <w:pPr>
        <w:numPr>
          <w:numId w:val="20"/>
        </w:numPr>
        <w:tabs>
          <w:tab w:val="num" w:pos="1480"/>
          <w:tab w:val="clear" w:pos="292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words published were germane and reasonably appropriate to the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identified the circumstances in which the defence of qualified privilege might be defeated: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[144] ...</w:t>
      </w:r>
      <w:r>
        <w:rPr>
          <w:rFonts w:ascii="arial" w:eastAsia="arial" w:hAnsi="arial" w:cs="arial"/>
          <w:color w:val="000000"/>
          <w:sz w:val="20"/>
          <w:u w:val="single"/>
          <w:lang w:val="en-US" w:eastAsia="en-US" w:bidi="ar-SA"/>
        </w:rPr>
        <w:t>However, the privilege is not absolute and can be defeated if the dominant motive for publishing the statement is actual or express malice</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Horrocks v. Lowe</w:t>
      </w:r>
      <w:r>
        <w:rPr>
          <w:rFonts w:ascii="arial" w:eastAsia="arial" w:hAnsi="arial" w:cs="arial"/>
          <w:color w:val="000000"/>
          <w:sz w:val="20"/>
          <w:lang w:val="en-US" w:eastAsia="en-US" w:bidi="ar-SA"/>
        </w:rPr>
        <w:t>, [1975] A.C. 135 (H.L.) at p. 149.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[145] Malice is commonly understood, in the popular sense, as spite or ill-will. However, it also includes, as Dickson J. (as he then was) pointed out in dissent in </w:t>
      </w:r>
      <w:r>
        <w:rPr>
          <w:rFonts w:ascii="arial" w:eastAsia="arial" w:hAnsi="arial" w:cs="arial"/>
          <w:i/>
          <w:color w:val="000000"/>
          <w:sz w:val="20"/>
          <w:lang w:val="en-US" w:eastAsia="en-US" w:bidi="ar-SA"/>
        </w:rPr>
        <w:t>Cherneskey, supra</w:t>
      </w:r>
      <w:r>
        <w:rPr>
          <w:rFonts w:ascii="arial" w:eastAsia="arial" w:hAnsi="arial" w:cs="arial"/>
          <w:color w:val="000000"/>
          <w:sz w:val="20"/>
          <w:lang w:val="en-US" w:eastAsia="en-US" w:bidi="ar-SA"/>
        </w:rPr>
        <w:t xml:space="preserve">, at p. 1099, "any indirect motive or ulterior purpose" that conflicts with the sense of duty or the mutual interest which the occasion created. See, also, </w:t>
      </w:r>
      <w:r>
        <w:rPr>
          <w:rFonts w:ascii="arial" w:eastAsia="arial" w:hAnsi="arial" w:cs="arial"/>
          <w:i/>
          <w:color w:val="000000"/>
          <w:sz w:val="20"/>
          <w:lang w:val="en-US" w:eastAsia="en-US" w:bidi="ar-SA"/>
        </w:rPr>
        <w:t>Taylor v. Despard</w:t>
      </w:r>
      <w:r>
        <w:rPr>
          <w:rFonts w:ascii="arial" w:eastAsia="arial" w:hAnsi="arial" w:cs="arial"/>
          <w:color w:val="000000"/>
          <w:sz w:val="20"/>
          <w:lang w:val="en-US" w:eastAsia="en-US" w:bidi="ar-SA"/>
        </w:rPr>
        <w:t xml:space="preserve">, [1956] O.R. 963 (C.A.). Malice may also be established by showing that the defendant spoke dishonestly, or in knowing or reckless disregard for the truth. See </w:t>
      </w:r>
      <w:r>
        <w:rPr>
          <w:rFonts w:ascii="arial" w:eastAsia="arial" w:hAnsi="arial" w:cs="arial"/>
          <w:i/>
          <w:color w:val="000000"/>
          <w:sz w:val="20"/>
          <w:lang w:val="en-US" w:eastAsia="en-US" w:bidi="ar-SA"/>
        </w:rPr>
        <w:t>McLoughlin, supra</w:t>
      </w:r>
      <w:r>
        <w:rPr>
          <w:rFonts w:ascii="arial" w:eastAsia="arial" w:hAnsi="arial" w:cs="arial"/>
          <w:color w:val="000000"/>
          <w:sz w:val="20"/>
          <w:lang w:val="en-US" w:eastAsia="en-US" w:bidi="ar-SA"/>
        </w:rPr>
        <w:t xml:space="preserve">, at pp. 323-24, and </w:t>
      </w:r>
      <w:r>
        <w:rPr>
          <w:rFonts w:ascii="arial" w:eastAsia="arial" w:hAnsi="arial" w:cs="arial"/>
          <w:i/>
          <w:color w:val="000000"/>
          <w:sz w:val="20"/>
          <w:lang w:val="en-US" w:eastAsia="en-US" w:bidi="ar-SA"/>
        </w:rPr>
        <w:t>Netupsky v. Craig</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[1973] S.C.R. 55</w:t>
        </w:r>
      </w:hyperlink>
      <w:r>
        <w:rPr>
          <w:rFonts w:ascii="arial" w:eastAsia="arial" w:hAnsi="arial" w:cs="arial"/>
          <w:color w:val="000000"/>
          <w:sz w:val="20"/>
          <w:lang w:val="en-US" w:eastAsia="en-US" w:bidi="ar-SA"/>
        </w:rPr>
        <w:t>, at pp. 61-62.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[146] </w:t>
      </w:r>
      <w:r>
        <w:rPr>
          <w:rFonts w:ascii="arial" w:eastAsia="arial" w:hAnsi="arial" w:cs="arial"/>
          <w:color w:val="000000"/>
          <w:sz w:val="20"/>
          <w:u w:val="single"/>
          <w:lang w:val="en-US" w:eastAsia="en-US" w:bidi="ar-SA"/>
        </w:rPr>
        <w:t>Qualified privilege may also be defeated when the limits of the duty or interest have been exceeded</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The Law of Defamation in Canada, supra</w:t>
      </w:r>
      <w:r>
        <w:rPr>
          <w:rFonts w:ascii="arial" w:eastAsia="arial" w:hAnsi="arial" w:cs="arial"/>
          <w:color w:val="000000"/>
          <w:sz w:val="20"/>
          <w:lang w:val="en-US" w:eastAsia="en-US" w:bidi="ar-SA"/>
        </w:rPr>
        <w:t xml:space="preserve">, at pp. 13-193 and 13-194; </w:t>
      </w:r>
      <w:r>
        <w:rPr>
          <w:rFonts w:ascii="arial" w:eastAsia="arial" w:hAnsi="arial" w:cs="arial"/>
          <w:i/>
          <w:color w:val="000000"/>
          <w:sz w:val="20"/>
          <w:lang w:val="en-US" w:eastAsia="en-US" w:bidi="ar-SA"/>
        </w:rPr>
        <w:t>Salmond and Heuston on the Law of Torts</w:t>
      </w:r>
      <w:r>
        <w:rPr>
          <w:rFonts w:ascii="arial" w:eastAsia="arial" w:hAnsi="arial" w:cs="arial"/>
          <w:color w:val="000000"/>
          <w:sz w:val="20"/>
          <w:lang w:val="en-US" w:eastAsia="en-US" w:bidi="ar-SA"/>
        </w:rPr>
        <w:t xml:space="preserve"> (20th ed. 1992), at pp. 166-67. As Loreburn E. stated at p. 320-21 in </w:t>
      </w:r>
      <w:r>
        <w:rPr>
          <w:rFonts w:ascii="arial" w:eastAsia="arial" w:hAnsi="arial" w:cs="arial"/>
          <w:i/>
          <w:color w:val="000000"/>
          <w:sz w:val="20"/>
          <w:lang w:val="en-US" w:eastAsia="en-US" w:bidi="ar-SA"/>
        </w:rPr>
        <w:t>Adam v. Ward, supra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fact that an occasion is privileged does not necessarily protect all that is said or written on that occasion. Anything that is not relevant and pertinent to the discharge of the duty or the exercise of the right or the safeguarding of the interest which creates the privilege will not be protected.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Responsible communication on a matter of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the Supreme Court of Canada established the defence of responsible communication on matters of public interest. That defence has two elements. First, the publication in question must be on a matter of public interest; and second, the defendant must show that the publication was responsible in that he or she was diligent in trying to verify the allegations having regard to all of the relevant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My analysis will follow the Supreme Court of Canada summary in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of the elements of an action in defamation and the relevant defences raised.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Are the impugned words defamatory, in the sense that they would tend to lower the plaintiffs' reputation in the eyes of a reasonable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Where the content is specifically in evidence before me, there can be no question that the messages or statements were indeed defamatory. Huxley made no argument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Obviously this conclusion is based on the actual words in the statements or messages. To extend the conclusion to other statements or messages published in a similar manner without them actually being in evidence creates challenges. As a general rule, the precise words complained of must be set out verbatim in the statement of claim: </w:t>
      </w:r>
      <w:r>
        <w:rPr>
          <w:rFonts w:ascii="arial" w:eastAsia="arial" w:hAnsi="arial" w:cs="arial"/>
          <w:i/>
          <w:color w:val="000000"/>
          <w:sz w:val="20"/>
          <w:lang w:val="en-US" w:eastAsia="en-US" w:bidi="ar-SA"/>
        </w:rPr>
        <w:t>Shannon v. King</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[1931] B.C.J. No. 74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Canmar Grain Inc. v. Ferguson</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(1986), 55 Sask. R. 52</w:t>
        </w:r>
      </w:hyperlink>
      <w:r>
        <w:rPr>
          <w:rFonts w:ascii="arial" w:eastAsia="arial" w:hAnsi="arial" w:cs="arial"/>
          <w:color w:val="000000"/>
          <w:sz w:val="20"/>
          <w:lang w:val="en-US" w:eastAsia="en-US" w:bidi="ar-SA"/>
        </w:rPr>
        <w:t xml:space="preserve"> (Q.B.), Barclay J. of the Saskatchewan Court of Queen's Bench struck out a statement of claim in a defamation action for failure to disclose the impugned defamatory writing: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In an action for defamation the actual words complained of, and not merely their substance, must be set out verbatim in the statement of claim: </w:t>
      </w:r>
      <w:r>
        <w:rPr>
          <w:rFonts w:ascii="arial" w:eastAsia="arial" w:hAnsi="arial" w:cs="arial"/>
          <w:i/>
          <w:color w:val="000000"/>
          <w:sz w:val="20"/>
          <w:lang w:val="en-US" w:eastAsia="en-US" w:bidi="ar-SA"/>
        </w:rPr>
        <w:t>Capital &amp; Countries Bank Limited v. George Henty &amp; Sons (1882)</w:t>
      </w:r>
      <w:r>
        <w:rPr>
          <w:rFonts w:ascii="arial" w:eastAsia="arial" w:hAnsi="arial" w:cs="arial"/>
          <w:color w:val="000000"/>
          <w:sz w:val="20"/>
          <w:lang w:val="en-US" w:eastAsia="en-US" w:bidi="ar-SA"/>
        </w:rPr>
        <w:t xml:space="preserve">, 7 App. Cases 741, at p. 771 (H.L.); </w:t>
      </w:r>
      <w:r>
        <w:rPr>
          <w:rFonts w:ascii="arial" w:eastAsia="arial" w:hAnsi="arial" w:cs="arial"/>
          <w:i/>
          <w:color w:val="000000"/>
          <w:sz w:val="20"/>
          <w:lang w:val="en-US" w:eastAsia="en-US" w:bidi="ar-SA"/>
        </w:rPr>
        <w:t>Shannon v. King</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[1931] 2 W.W.R. 913</w:t>
        </w:r>
      </w:hyperlink>
      <w:r>
        <w:rPr>
          <w:rFonts w:ascii="arial" w:eastAsia="arial" w:hAnsi="arial" w:cs="arial"/>
          <w:color w:val="000000"/>
          <w:sz w:val="20"/>
          <w:lang w:val="en-US" w:eastAsia="en-US" w:bidi="ar-SA"/>
        </w:rPr>
        <w:t xml:space="preserve"> (B.C.C.A.) and </w:t>
      </w:r>
      <w:r>
        <w:rPr>
          <w:rFonts w:ascii="arial" w:eastAsia="arial" w:hAnsi="arial" w:cs="arial"/>
          <w:i/>
          <w:color w:val="000000"/>
          <w:sz w:val="20"/>
          <w:lang w:val="en-US" w:eastAsia="en-US" w:bidi="ar-SA"/>
        </w:rPr>
        <w:t>Berry v. Retail Merchants Association of Saskatchewan et al.</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[1924] 1 W.W.R. 1279</w:t>
        </w:r>
      </w:hyperlink>
      <w:r>
        <w:rPr>
          <w:rFonts w:ascii="arial" w:eastAsia="arial" w:hAnsi="arial" w:cs="arial"/>
          <w:color w:val="000000"/>
          <w:sz w:val="20"/>
          <w:lang w:val="en-US" w:eastAsia="en-US" w:bidi="ar-SA"/>
        </w:rPr>
        <w:t xml:space="preserve"> (Sask.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At p. 571 [of </w:t>
      </w:r>
      <w:r>
        <w:rPr>
          <w:rFonts w:ascii="arial" w:eastAsia="arial" w:hAnsi="arial" w:cs="arial"/>
          <w:i/>
          <w:color w:val="000000"/>
          <w:sz w:val="20"/>
          <w:lang w:val="en-US" w:eastAsia="en-US" w:bidi="ar-SA"/>
        </w:rPr>
        <w:t>Collins v. Jones</w:t>
      </w:r>
      <w:r>
        <w:rPr>
          <w:rFonts w:ascii="arial" w:eastAsia="arial" w:hAnsi="arial" w:cs="arial"/>
          <w:color w:val="000000"/>
          <w:sz w:val="20"/>
          <w:lang w:val="en-US" w:eastAsia="en-US" w:bidi="ar-SA"/>
        </w:rPr>
        <w:t>, [1955] 1 Q.B. 564] Denning L.J.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 libel action it is essential to know the very words on which the plaintiff founds his claim. As Lord Coleridge C.J. said in </w:t>
      </w:r>
      <w:r>
        <w:rPr>
          <w:rFonts w:ascii="arial" w:eastAsia="arial" w:hAnsi="arial" w:cs="arial"/>
          <w:i/>
          <w:color w:val="000000"/>
          <w:sz w:val="20"/>
          <w:lang w:val="en-US" w:eastAsia="en-US" w:bidi="ar-SA"/>
        </w:rPr>
        <w:t>Harris v. Warre</w:t>
      </w:r>
      <w:r>
        <w:rPr>
          <w:rFonts w:ascii="arial" w:eastAsia="arial" w:hAnsi="arial" w:cs="arial"/>
          <w:color w:val="000000"/>
          <w:sz w:val="20"/>
          <w:lang w:val="en-US" w:eastAsia="en-US" w:bidi="ar-SA"/>
        </w:rPr>
        <w:t xml:space="preserve"> (1879), 4 C.P.D. 12 Sat 128: "In libel and slander everything may turn on the form of words, and in olden days plaintiffs constantly failed from small and even unimportant variance between the words of the libel or slander set out in the declaration and the proof of them ... In libel and slander the very words complained of are the facts on which the action is grounded. It is not the fact of the defendant having using defamatory expressions, but the fact of his having used </w:t>
      </w:r>
      <w:r>
        <w:rPr>
          <w:rFonts w:ascii="arial" w:eastAsia="arial" w:hAnsi="arial" w:cs="arial"/>
          <w:i/>
          <w:color w:val="000000"/>
          <w:sz w:val="20"/>
          <w:lang w:val="en-US" w:eastAsia="en-US" w:bidi="ar-SA"/>
        </w:rPr>
        <w:t>those</w:t>
      </w:r>
      <w:r>
        <w:rPr>
          <w:rFonts w:ascii="arial" w:eastAsia="arial" w:hAnsi="arial" w:cs="arial"/>
          <w:color w:val="000000"/>
          <w:sz w:val="20"/>
          <w:lang w:val="en-US" w:eastAsia="en-US" w:bidi="ar-SA"/>
        </w:rPr>
        <w:t xml:space="preserve"> defamatory expressions alleged, which is the fact on which the case depends."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Assuming that these letters did contain some statements defamatory of the plaintiff, that is not sufficient to ground a libel action. She must show what the actual words were. A plaintiff is not entitled to bring a libel action on a letter which he has never seen and the contents of which he is unaware. He must in his pleading set out in the words with reasonable certainty: and to do this he must have the letter before him, or at least have sufficient material from which to state the actual words in it. A suspicion that it is defamatory is not sufficient. He cannot overcome this objection by guessing at the words and putting them in his pleading.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Justice Drossos adopted a similar approach in </w:t>
      </w:r>
      <w:r>
        <w:rPr>
          <w:rFonts w:ascii="arial" w:eastAsia="arial" w:hAnsi="arial" w:cs="arial"/>
          <w:i/>
          <w:color w:val="000000"/>
          <w:sz w:val="20"/>
          <w:lang w:val="en-US" w:eastAsia="en-US" w:bidi="ar-SA"/>
        </w:rPr>
        <w:t>Central Minera Corp. v. Lavarack</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2001 BCSC 349</w:t>
        </w:r>
      </w:hyperlink>
      <w:r>
        <w:rPr>
          <w:rFonts w:ascii="arial" w:eastAsia="arial" w:hAnsi="arial" w:cs="arial"/>
          <w:color w:val="000000"/>
          <w:sz w:val="20"/>
          <w:lang w:val="en-US" w:eastAsia="en-US" w:bidi="ar-SA"/>
        </w:rPr>
        <w:t xml:space="preserve">, quoting with approval from Brown, </w:t>
      </w:r>
      <w:r>
        <w:rPr>
          <w:rFonts w:ascii="arial" w:eastAsia="arial" w:hAnsi="arial" w:cs="arial"/>
          <w:i/>
          <w:color w:val="000000"/>
          <w:sz w:val="20"/>
          <w:lang w:val="en-US" w:eastAsia="en-US" w:bidi="ar-SA"/>
        </w:rPr>
        <w:t xml:space="preserve">The Law of Defamation in Canada </w:t>
      </w:r>
      <w:r>
        <w:rPr>
          <w:rFonts w:ascii="arial" w:eastAsia="arial" w:hAnsi="arial" w:cs="arial"/>
          <w:color w:val="000000"/>
          <w:sz w:val="20"/>
          <w:lang w:val="en-US" w:eastAsia="en-US" w:bidi="ar-SA"/>
        </w:rPr>
        <w:t>(2nd Edition, Vol. 2) at para.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general rule is that the defamatory words about which the plaintiff complains must be set out fully and precisely in the statement of claim. The particular words that are claimed to be defamatory must be included in the claim. They should be set forth verbatim. It is preferable that the defamatory language as alleged in the form of a quotation or attached as an exhibit to the statement of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 action for defamation, "it is essential to know the very words on which the plaintiff founds his claim" this is particularly true in an action for slander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Ordinarily, it is not sufficient to give the tenor, substance or purport of the liable or slander, or an approximation of the words to a certain "effect", or any other words of a similar import. Nor can the plaintiff rely on some vague general statements of the defamatory words, or his or her interpretation of what they mean. Otherwise the defendant would be deprived of the right to have the court, rather than the plaintiff, determine whether they are capable of a defamatory imputation. The exact words must be set out with reasonable certainty, clarity, particularity and precision. Without the words, there is nothing to construe as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Absent the actual words complained of, I am unable to assess whether the words are capable of bearing a defamatory meaning and whether they are in fact defamatory: see </w:t>
      </w:r>
      <w:r>
        <w:rPr>
          <w:rFonts w:ascii="arial" w:eastAsia="arial" w:hAnsi="arial" w:cs="arial"/>
          <w:i/>
          <w:color w:val="000000"/>
          <w:sz w:val="20"/>
          <w:lang w:val="en-US" w:eastAsia="en-US" w:bidi="ar-SA"/>
        </w:rPr>
        <w:t>Lawson v. Baines</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2012 BCCA 117</w:t>
        </w:r>
      </w:hyperlink>
      <w:r>
        <w:rPr>
          <w:rFonts w:ascii="arial" w:eastAsia="arial" w:hAnsi="arial" w:cs="arial"/>
          <w:color w:val="000000"/>
          <w:sz w:val="20"/>
          <w:lang w:val="en-US" w:eastAsia="en-US" w:bidi="ar-SA"/>
        </w:rPr>
        <w:t xml:space="preserve"> at paras. 11-12. It would therefore be improper for me to draw the necessary conclusion about statements not specifically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balance of my reasons will be in reference to those statements in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Did the words in fact refer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Again there is no question here. Huxley confirms that she was very careful to ensure that her posts and comments specifically identified the plaintiffs so that there could be no misunderstanding as to whom she was referring. I conclude that she succeeded.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Were the words published, meaning that they were communicated to at least one person other than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Here there is no direct evidence that the impugned statements were read by any third parties. All of the evidence of publication comes from Huxley or must be inferred from the forums and medium used to post the comments and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plaintiffs tendered evidence of 19 allegedly defamatory Facebook posts by Huxley. I find that only 17 were defamatory in the sense that they refer to the plaintiffs and would tend to lower the plaintiffs' reputations in the eyes of a reasonable person. The plaintiffs failed to include the attachment containing the allegedly defamatory material in a post made to the group "Help Canadians First". Further, the quality of the printout of one of the posts is too poor to read, and I am unable to determine whether the words are capable of having a defamatory meaning.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order to find that publication has occurred, I must be satisfied that at least one person in British Columbia other than the plaintiffs read Huxley's posts: </w:t>
      </w:r>
      <w:r>
        <w:rPr>
          <w:rFonts w:ascii="arial" w:eastAsia="arial" w:hAnsi="arial" w:cs="arial"/>
          <w:i/>
          <w:color w:val="000000"/>
          <w:sz w:val="20"/>
          <w:lang w:val="en-US" w:eastAsia="en-US" w:bidi="ar-SA"/>
        </w:rPr>
        <w:t>Holloway</w:t>
      </w:r>
      <w:r>
        <w:rPr>
          <w:rFonts w:ascii="arial" w:eastAsia="arial" w:hAnsi="arial" w:cs="arial"/>
          <w:color w:val="000000"/>
          <w:sz w:val="20"/>
          <w:lang w:val="en-US" w:eastAsia="en-US" w:bidi="ar-SA"/>
        </w:rPr>
        <w:t xml:space="preserve"> at paras. 26-27.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plaintiffs in this case adduced little evidence of the circumstances in which Huxley's social media posts were published, relying instead on her evidence that she intended to reach as wide of an audience as possible. No evidence was presented as to the number of "friends" Huxley has on Facebook or whether her posts were private or could be viewed by anyone with a Facebook profile.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nonetheless find that the plaintiffs have established publication. In total, the 17 defamatory posts were "shared" 37 times, "liked" twice, and commented on once. Combined with Huxley's evidence, I am satisfied that I can reasonably infer the postings were read by at least one person in British Columbia. To find otherwise would be to ignore the realities of modern forms of communication.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summary, the plaintiff has proved the required elements to succeed in its action as it relates to the Facebook posts subject to the assessment of the defences raised by Huxley. That conclusion is not possible in relation to the emails sent or her communications with news outlets.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Has Huxley advanced a defence in order to escape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Before dealing with the specific defences raised, I will make some general observations regarding the evidence and particularly that of Huxley. This is instructive in assessing various elements of those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foundation of her impugned statements was, as she described it, a realization or conclusion reached by her in 2016 about events that had occurred prior to and during her relationship and marriage to Tarney.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2016, the parties had been divorced for approximately nine years and Huxley's relationship with her children was, as she put it, almost nonexistent. She says that for years prior to 2016 her thought processes were clouded by a long history of depression and the effects of medications. In 2016, however, her thinking was clearer and she happened upon the 2009 email from Kortney. She also discovered the sausage drawing described above. Reflecting upon the email and drawing, as well as her relationship history with Tarney, drew her to the suspicion and, ultimately, the conclusion that the plaintiff Tarney had sexually assaulted the children. That prompted her complaint to the RCMP. When she attended the RCMP, she states that the drawing had been lost so she could only describe it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She rejected RCMP conclusions that ended their investigation at the time they were communicated to her and continues to say they are simply wrong. It was her conclusion that the investigation conducted by the RCMP was wholly inadequate. In part that was based on her assertion the police never took a statement from her. This is despite her own evidence at examination for discovery (which was read in as part of the plaintiffs' case) indicating that she provided a 14-page report to the police which provided all of her information on the complaint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She also testified that she began to reflect on various behaviours, circumstances, and events from the course of her relationship with Tarney and the children which, in her mind, provided additional support for the concerns about sexual misconduct toward Kortney but also broader conclusions about Tarney's criminal conduct toward her and the other children. Those conclusions and the lack of action by the police prompted her to make the impugned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will add that the sexual misconduct in relation to the children is not specifically set out by Huxley. Somewhat obliquely she implies that Tarney "raped" Kortney. As to any other misconduct there are no specifics whatsoever beyond that it was sexual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Her paths of reasoning are an important feature of this case and particularly in the assessment of Huxley's defences. This is revealed through her testimony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Huxley says that the inadequate RCMP investigation and Tarney's failure to admit to the misconduct are positive evidence of that misconduct. In a similar vein, she relies on his unwillingness to take a polygraph or expressly respond to her with a denial of her allegations as a basis for her conclusion that there was misconduct. This is fundamentally flawed. Any conclusion as to the adequacy of the police investigation has no evidentiary value regarding the merits of the allegations. The absence of evidence cannot itself be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She says that her reflection on a host of behaviours and events involving Tarney and/or the children supported the conclusion that Tarney had sexually abused the children. She prepared a list which was entered as an exhibit at trial which contains the following:</w:t>
      </w:r>
      <w:r>
        <w:rPr>
          <w:rFonts w:ascii="arial" w:eastAsia="arial" w:hAnsi="arial" w:cs="arial"/>
          <w:sz w:val="20"/>
          <w:lang w:val="en-US" w:eastAsia="en-US" w:bidi="ar-SA"/>
        </w:rPr>
        <w:cr/>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Car seat incident - swollen, red, blood - claimed car seat did this - made me feel guilty for even suggesting such a thing - child was not afraid of car seat afterwards, nor was this heard of before</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Suspicious when he laid down with kids for naps - noises</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Middle child refused to nap when I was not home</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Youngest child had bathroom/bum issue - as recalled by eldest child</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Youngest child had frantic/anxious nightmares - work up in a state of total fright nightly for about a year at that same time</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Eldest daughter wanted to move to basement bedroom where there was a lock on the door (at 7 or 8 years of age)</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Same child has no recollection or memories prior to this (around age 7 or 8) other than of youngest child and bathroom incident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Same child became a cutter/burned self/bruised self</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Father made sexual comments to same child throughout teenage years and even joined in at workplace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Talked to eldest daughter about porn movies</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Asks daughters (13 and 17) when are you going to have babies - we need some babies, as noted by eldest child</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three kids who at one time said they wanted babies now say opposite</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Middle child has said she does not want to be at dad's house if eldest child is not there</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Middle child has dealt with anxiety issues and will openly said, I do not want to hear it or, I don't want to talk about it in relation to so many topics</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Middle child tells eldest child, I think dad loves us too much</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Middle child always wanted me to sleep with her or she wanted to sleep with sister - otherwise, she did not want to sleep</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Eldest daughter spoke of how her two siblings and her would talk between themselves regarding how father would rather spend time with his (only) friend with two very young children rather than with them - father would even buy bubble gum when going to see them which he never did with his children (who were by this time bigger</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only friend of father's committed suicide when charged with pedophilia</w:t>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father had several weeks of holidays yearly, only spent that time with family when children were very young - once children were older, he would take time off when children were in school - wife at work, etc.</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Youngest child seems to have some kind of guilt - as soon as he is having fun, etc., he says, I have to call dad.</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Still wants daughters (not son) to call him daddy esp. when they ask for something which might include a mere ride somewhere he says only if you ask me and say "please daddy" - he laughs</w:t>
      </w:r>
    </w:p>
    <w:p>
      <w:pPr>
        <w:numPr>
          <w:numId w:val="4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Bruises on girls arms when small children</w:t>
      </w:r>
    </w:p>
    <w:p>
      <w:pPr>
        <w:numPr>
          <w:numId w:val="4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Mother of man would walk out to answer door naked - extremely obese woman</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slap mother on butt at various time (more than I ever received as his wife)</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Spoke about older sister in a sexual manner</w:t>
      </w:r>
    </w:p>
    <w:p>
      <w:pPr>
        <w:numPr>
          <w:numId w:val="4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Total lack of sex throughout entire marriage - did not want to ever touch, snuggle, kiss, hold, hug, etc. - rarely engaged in intercourse and if we did, there was little or no touching - no affection, etc. - very formal - no serious discussions regarding lack of intimacy - he would yell/swear, etc., to shut it down</w:t>
      </w:r>
    </w:p>
    <w:p>
      <w:pPr>
        <w:numPr>
          <w:numId w:val="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pass off to friends like we had a normal sexual relationship and would make physical gestures only in public - reach to touch me while talking</w:t>
      </w:r>
    </w:p>
    <w:p>
      <w:pPr>
        <w:numPr>
          <w:numId w:val="4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Always felt marriage was a sham from beginning since no or little marriage kind of contact - always thought marriage was a cover up for some reason like being gay</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Needing everything clean</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like kids going out with friends/having friends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Only some of these were put to Tarney for comment in cross-examination. Huxley only referenced some in her evidence and there was little or no explanation of the context provided. Ignoring those concerns, there is not enough evidence to allow conclusions to be drawn about the accuracy of the listed events or actions. Further, without more, there are many possible explanations for these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She also drew support for her conclusions from the fact that the children have not professed Tarney's innocence. She did testify that at least one of the children has questioned why Huxley was saying the things she has about Tarney. Again this is flawed reasoning. The absence of evidence is not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She testified that she had spoken to many people about the conduct and observations as discussed above that, if I understood her testimony correctly, somehow affirmed her concerns and conclusions. These include other parents, social services staff and hospital or medical personnel. The opinions of unidentified third parties not expressed directly to the court have no evidentiary value. Even as evidence of Huxley taking reasonable steps to investigate the evidence has no probative value. While they may have influenced Huxley's conclusions, it is impossible to assess the objective reasonableness of Huxley's conclusions without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Huxley testified that she believes Tarney adopted strategies early in their relationship that would keep her emotionally drained and exhausted such that she would not recognize his misconduct toward the children. This included making her responsible for management of their finances and household. In my view, her current reflection on the division of matrimonial responsibilities is of little value in the context of the issues here. Even if I were to conclude that the division of responsibilities in this household overburdened Huxley, the proposition that it was by the design of Tarney to repress her capacity to recognize his abuse of the children is not one in which I find any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She went on and described other more sinister covert efforts that she says had the same objective. This included that Tarney would sabotage her vehicle or at least not make repairs causing stress and anxiety to her. She also theorized that he poisoned her coffee. There is no evidence to support these propositions or the motive she attaches to Tarney.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She says that Tarney set about alienating her children with the specific motivation that they would then not tell her of his sexual misconduct toward them. As I understand her position, these were covert efforts by Tarney to prevent the children from disclosing his sexual assaults. She offers no affirmative evidence to support these propositions. There is no basis for me to find that Tarney played any affirmative role in the degradation of Huxley's relationship with her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Perhaps the most dramatic example of a gap between the evidence referenced by Huxley as providing a reasonable foundation for her conclusions is in reference to the death of her stepsister's husband, Roger Villemaire, who was also a friend of Tarney's. Mr. Villemaire had apparently been accused of sexual offenses in relation to children and was soon to be arrested and charged for those offenses. I note that both Tarney and Huxley agree with this proposition although I have no evidence of how that was known or whether it was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2010, Huxley was at Tarney's residence for their grandchild's graduation ceremony. Huxley says she answered a call from Mr. Villemaire but before any substantive conversation occurred, the plaintiff took the phone from her. Later that day, Mr. Villemaire died of a gunshot wound to his head. It was, according to both the plaintiff and Huxley, treated as a suicide. Huxley believes, however, that Tarney and her stepsister were involved in the death and that it was not suicide. Further, she says that Tarney's motivation for taking the phone from her and for his unspecified role in Roger's death was to prevent Roger from disclosing to Huxley something about Tarney, something she believes relates to sexual misconduct towards the children. She offers nothing substantive to support her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turn then to the specific defences raised by Huxley.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Truth /Justification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There is no evidentiary basis for an assertion of justification or truth. I am unable to identify any reasonable logic for the conduct of Huxley in publishing the statements that she has. She is unable to provide any sound articulation of a foundation for her conclusions. Her efforts to use the absence of evidence as proof of fact is fundamentally wrong. The inferences she draws from conduct of the children or Tarney are not supported by evidence and are not reasonable inferences. In the most generous of interpretations, her conclusions are nothing more than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Her recasting of historical conduct as criminal in the form of stalking or harassment does not meet or approach proof of the impugned statements. This defence fails.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Huxley says that as a teacher she has a duty to raise her concerns. While qualified to teach, she is not actively engaged as a teacher and has not been since approximately 2012. It is not at all clear that she has established any duty other than perhaps as a citizen. Even if such a duty existed, the nature of the postings exceeds what might have been reasonable or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As noted above, malice is presumed but that presumption can be displaced. The plaintiffs do not assert malice. In any event, the Supreme Court of Canada stated in </w:t>
      </w:r>
      <w:r>
        <w:rPr>
          <w:rFonts w:ascii="arial" w:eastAsia="arial" w:hAnsi="arial" w:cs="arial"/>
          <w:i/>
          <w:color w:val="000000"/>
          <w:sz w:val="20"/>
          <w:lang w:val="en-US" w:eastAsia="en-US" w:bidi="ar-SA"/>
        </w:rPr>
        <w:t>Hill v. Church of Scientology of Toronto "...</w:t>
      </w:r>
      <w:r>
        <w:rPr>
          <w:rFonts w:ascii="arial" w:eastAsia="arial" w:hAnsi="arial" w:cs="arial"/>
          <w:color w:val="000000"/>
          <w:sz w:val="20"/>
          <w:lang w:val="en-US" w:eastAsia="en-US" w:bidi="ar-SA"/>
        </w:rPr>
        <w:t>the information communicated must be reasonably appropriate in the context of the circumstances existing on the occasion when that information was given". In my view, the specific content of the messages in evidence before me is compelling evidence that the presumption of malice has not been displaced.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Responsible Communication on matters of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plaintiffs take no issue with the proposition that the publication of information regarding a sexual predator is a matter of public interest. The issue here is whether the defendant has shown that the publication was responsible in that he or she was diligent in trying to verify the allegations having regard to all of the relevant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do not intend to repeat what I have said in my discussion of Huxley's paths of reasoning. Those observations lead unequivocally to the conclusion that Huxley has not been diligent.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Her report to the police was a reasonable and appropriate step based on the concerns she had. Her rejection of the results of that investigation and the use of the absence of evidence as a basis to prove diligence are not reasonable. Relying on unidentified third parties whose qualifications and knowledge of facts are unknown does nothing to bolster Huxley's reliance on this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There is no basis in the evidence for any of the defences asserted.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Having reached these conclusions, I must next address the remedies sought by the plaintiffs. They are clear in saying that the primary concern is restraining Huxley from continuing to make similar publications. There is in place an interim order made September 19, 2018, by Winteringham J., and extended by me, pending release of my decision. That order is as follows:</w:t>
      </w:r>
      <w:r>
        <w:rPr>
          <w:rFonts w:ascii="arial" w:eastAsia="arial" w:hAnsi="arial" w:cs="arial"/>
          <w:sz w:val="20"/>
          <w:lang w:val="en-US" w:eastAsia="en-US" w:bidi="ar-SA"/>
        </w:rPr>
        <w:cr/>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Megan Huxley, also known as Sherri Tarney, also known as Sherri Doiron, by herself, or by her agents, servants, or otherwise, is restrained from writing, printing, or broadcasting or causing to be written, printed or broadcasted or otherwise publishing of the Plaintiffs, or any of the current employees of Olds College, any defamatory statements or similar statements on any and all social media in her control until the trial or other disposition of this action.</w:t>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Megan Huxley, also known as Sherri Tarney, also known as Sherri Doiron, must remove any and all defamatory statements published on her social media including, but not limited to, Facebook and YouTube, until the trial or other disposition of this action.</w:t>
      </w:r>
    </w:p>
    <w:p>
      <w:pPr>
        <w:numPr>
          <w:numId w:val="53"/>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Olds College and Michael Benjamin Tarney, file an undertaking pursuant to Rule 10-4(5)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by 4 p.m. on September 21, 2018.</w:t>
      </w:r>
    </w:p>
    <w:p>
      <w:pPr>
        <w:numPr>
          <w:numId w:val="54"/>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may dispense with the signature of the Defendant on this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Huxley has been very clear that absent an order she has every intention of making further statements. I will therefore make an order:</w:t>
      </w:r>
      <w:r>
        <w:rPr>
          <w:rFonts w:ascii="arial" w:eastAsia="arial" w:hAnsi="arial" w:cs="arial"/>
          <w:sz w:val="20"/>
          <w:lang w:val="en-US" w:eastAsia="en-US" w:bidi="ar-SA"/>
        </w:rPr>
        <w:cr/>
      </w:r>
    </w:p>
    <w:p>
      <w:pPr>
        <w:numPr>
          <w:numId w:val="5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 injunction restraining the defendant, by themselves, their agents, servants or otherwise, from writing, printing, or broadcasting or causing to be written, printed or broadcasted or otherwise publishing of the plaintiffs, or any of its current employees, the defamatory statements including any false criminal allegations, or similar statements as described above; and</w:t>
      </w:r>
    </w:p>
    <w:p>
      <w:pPr>
        <w:numPr>
          <w:numId w:val="5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Requiring the defendant to delete any and all social media publications that are defamatory to the plaintiffs or any of its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plaintiffs also seek general punitive and aggravated damages. Reference was made to </w:t>
      </w:r>
      <w:r>
        <w:rPr>
          <w:rFonts w:ascii="arial" w:eastAsia="arial" w:hAnsi="arial" w:cs="arial"/>
          <w:i/>
          <w:color w:val="000000"/>
          <w:sz w:val="20"/>
          <w:lang w:val="en-US" w:eastAsia="en-US" w:bidi="ar-SA"/>
        </w:rPr>
        <w:t>Nazerali v. Mitchell</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2018 BCCA 104</w:t>
        </w:r>
      </w:hyperlink>
      <w:r>
        <w:rPr>
          <w:rFonts w:ascii="arial" w:eastAsia="arial" w:hAnsi="arial" w:cs="arial"/>
          <w:color w:val="000000"/>
          <w:sz w:val="20"/>
          <w:lang w:val="en-US" w:eastAsia="en-US" w:bidi="ar-SA"/>
        </w:rPr>
        <w:t>, where the court discussed punitive and aggravated damages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[73] Justice Cory stated that "[a]ggravated damages may be awarded in circumstances where the defendants' conduct has been particularly high-handed or oppressive, thereby increasing the plaintiff's humiliation and anxiety arising from the libellous statement" (para. 188). They "take into account the additional harm caused to the plaintiff's feelings by the defendant's outrageous and malicious conduct" and "they are compensatory in nature" (para. 189). There must be "a finding that the defendant was motivated by actual malice, which increased the injury to the plaintiff" (para. 190). Some of the factors to be considered in assessing aggravated damages are "whether there was a repetition of the libel", "a prolonged and hostile cross-examination of the plaintiff or a plea of justification which the defendant knew was bound to fail" and conduct of the defendant in publishing the libel that was "aimed at obtaining the widest possible publicity in circumstances that were the most adverse possible to the plaintiff" (para. 191).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[74] Justice Cory explained at para. 196 that punitive damages may be awarded "where the defendant's misconduct is so malicious, oppressive and high-handed that it offends the court's sense of decency". Their aim is "to punish the defendant" and they are "in the nature of a fine which is meant to act as a deterrent to the defendant and to others from acting in this manner". They should only be awarded "where the combined award of general and aggravated damages would be insufficient to achieve the goal of punishment and deterrence".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Kent was unable to point to any evidence of measurable or tangible consequence to the College. Tarney was troubled by Huxley's conduct and concerned in public about who may have been aware of Huxley's statements. He has however retained his job and his relationship with the children. To his credit he has been able to carry on with limited effect and consequence.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Huxley has made some of the most devastating types of comments with the specific intention of reaching every possible person. Aggravating it is the graphic, angry delivery, contradicting any suggestion of simply wanting to convey information. Fortunately the evidence suggests very limited success in reaching a large audience.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the circumstances, I award non-pecuniary damages of $2,500 to Mr. Tarney. I also award aggravated damages of $2,500 to Mr. Tarney. I also order punitive damages of $5,000 to each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Absent any information relevant to an order for costs the plaintiffs having succeeded are entitled to their costs. The parties are at liberty to bring the matter of costs before me if either are of the view that there are considerations of which I am unaware that should result in a different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 BETTON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1" style="position:absolute;z-index:251742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42" w:history="1">
        <w:r>
          <w:rPr>
            <w:rFonts w:ascii="arial" w:eastAsia="arial" w:hAnsi="arial" w:cs="arial"/>
            <w:b/>
            <w:bCs/>
            <w:i/>
            <w:color w:val="0077CC"/>
            <w:kern w:val="32"/>
            <w:sz w:val="28"/>
            <w:szCs w:val="32"/>
            <w:u w:val="single"/>
            <w:shd w:val="clear" w:color="auto" w:fill="FFFFFF"/>
            <w:lang w:val="en-US" w:eastAsia="en-US" w:bidi="ar-SA"/>
          </w:rPr>
          <w:t>Osler Developments Ltd. (c.o.b. the Coast Westerly Hotel) v. British Columbia, [2001] I.L.R. para. G-1414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Insurance Law Reporter Cases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Taylor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January 19, 2001.</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2001</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[2001] I.L.R. para. G-1414</w:t>
      </w:r>
    </w:p>
    <w:p>
      <w:pPr>
        <w:spacing w:before="120" w:line="260" w:lineRule="atLeast"/>
        <w:rPr>
          <w:lang w:val="en-US" w:eastAsia="en-US" w:bidi="ar-SA"/>
        </w:rPr>
      </w:pPr>
      <w:r>
        <w:rPr>
          <w:rFonts w:ascii="arial" w:eastAsia="arial" w:hAnsi="arial" w:cs="arial"/>
          <w:color w:val="000000"/>
          <w:sz w:val="20"/>
          <w:lang w:val="en-US" w:eastAsia="en-US" w:bidi="ar-SA"/>
        </w:rPr>
        <w:t>Osler Developments Ltd. (c.o.b. the Coast Westerly Hotel) v. British Columbia</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42" style="position:absolute;z-index:25166438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8" w:name="Keywords_0"/>
      <w:bookmarkEnd w:id="18"/>
      <w:r>
        <w:rPr>
          <w:rFonts w:ascii="arial" w:eastAsia="arial" w:hAnsi="arial" w:cs="arial"/>
          <w:b/>
          <w:color w:val="000000"/>
          <w:sz w:val="20"/>
          <w:lang w:val="en-US" w:eastAsia="en-US" w:bidi="ar-SA"/>
        </w:rPr>
        <w:t>Nuisance — Noise from traffic on bridge — Adjacent hotel claimed loss of income because guests were disturbed — No nuisance established.</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9" w:name="Case Summary_0"/>
            <w:bookmarkEnd w:id="19"/>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an action in nuisance. The plaintiff hotel owner claimed that noise from vehicles passing over the defendant's nearby bridge disturbed hotel guests and caused economic loss. The bridge was constructed over the Courtenay River and allowed traffic to bypass the city. A cantilevered span was constructed; it could be raised to allow boats to pass. A metal grid deck was used on the span to make the structure light enough to move. This metal grid was the source of loud traffic noise. The hotel had been built near the bridge to benefit from the re-routed highway, and the plaintiff purchased the hotel four years after the bridge had been completed. While the defendant agreed that the bridge decking created noise, it stated that there was no viable way to correct the problem. </w:t>
            </w:r>
            <w:r>
              <w:rPr>
                <w:lang w:val="en-US" w:eastAsia="en-US" w:bidi="ar-SA"/>
              </w:rPr>
              <w:cr/>
            </w:r>
          </w:p>
          <w:p>
            <w:pPr>
              <w:spacing w:before="120" w:line="260" w:lineRule="atLeast"/>
              <w:ind w:left="240"/>
              <w:jc w:val="both"/>
              <w:rPr>
                <w:lang w:val="en-US" w:eastAsia="en-US" w:bidi="ar-SA"/>
              </w:rPr>
            </w:pPr>
            <w:bookmarkStart w:id="20" w:name="Holdings of Court_0"/>
            <w:bookmarkEnd w:id="20"/>
            <w:r>
              <w:rPr>
                <w:rFonts w:ascii="arial" w:eastAsia="arial" w:hAnsi="arial" w:cs="arial"/>
                <w:color w:val="000000"/>
                <w:sz w:val="20"/>
                <w:lang w:val="en-US" w:eastAsia="en-US" w:bidi="ar-SA"/>
              </w:rPr>
              <w:t>HELD: The plaintiff's action was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Customer complaint cards indicated many other problems with the hotel; only about 10 per cent of complaints involved bridge noise. The plaintiff was unable to produce any evidence that any loss of income was attributable to the noise. The construction of the bridge in the manner chosen was a policy decision the defendant was entitled to make.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involved in the decision or in the construction, and the defendant owed no duty of care to the plaintiff, who did not purchase the hotel until four years after completion of the bridge. A claim of nuisance required more than mere annoyance, and the plaintiff had not established this. Although there was a nuisance, it was not an actionable nuisance. There was no physical damage to the property. The nature of the surrounding area was primarily commercial beside a major highway, where noise was to be expected. The bridge noise was well-known when the plaintiff bought the hotel, and he had made no effort to discover any problems at the time of his purchase. The bridge was socially useful, and its design was reasonable. </w:t>
            </w:r>
            <w:r>
              <w:rPr>
                <w:lang w:val="en-US" w:eastAsia="en-US" w:bidi="ar-SA"/>
              </w:rPr>
              <w:cr/>
            </w:r>
          </w:p>
          <w:p>
            <w:pPr>
              <w:rPr>
                <w:lang w:val="en-US" w:eastAsia="en-US" w:bidi="ar-SA"/>
              </w:rPr>
            </w:pPr>
          </w:p>
        </w:tc>
      </w:tr>
    </w:tbl>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704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49" w:history="1">
        <w:r>
          <w:rPr>
            <w:rFonts w:ascii="arial" w:eastAsia="arial" w:hAnsi="arial" w:cs="arial"/>
            <w:b/>
            <w:bCs/>
            <w:i/>
            <w:color w:val="0077CC"/>
            <w:kern w:val="32"/>
            <w:sz w:val="28"/>
            <w:szCs w:val="32"/>
            <w:u w:val="single"/>
            <w:shd w:val="clear" w:color="auto" w:fill="FFFFFF"/>
            <w:lang w:val="en-US" w:eastAsia="en-US" w:bidi="ar-SA"/>
          </w:rPr>
          <w:t>Owimar v. Insurance Corp. of British Columbia, [2019] B.C.J. No. 1353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E. McDonald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June 28, 2019.</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July 22, 2019.</w:t>
      </w:r>
    </w:p>
    <w:p>
      <w:pPr>
        <w:spacing w:before="120" w:line="260" w:lineRule="atLeast"/>
        <w:jc w:val="center"/>
        <w:rPr>
          <w:lang w:val="en-US" w:eastAsia="en-US" w:bidi="ar-SA"/>
        </w:rPr>
      </w:pPr>
      <w:r>
        <w:rPr>
          <w:rFonts w:ascii="arial" w:eastAsia="arial" w:hAnsi="arial" w:cs="arial"/>
          <w:color w:val="000000"/>
          <w:sz w:val="20"/>
          <w:lang w:val="en-US" w:eastAsia="en-US" w:bidi="ar-SA"/>
        </w:rPr>
        <w:t>Docket: S170152</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[2019] B.C.J. No. 1353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2019 BCSC 1199</w:t>
      </w:r>
    </w:p>
    <w:p>
      <w:pPr>
        <w:spacing w:before="120" w:line="260" w:lineRule="atLeast"/>
        <w:rPr>
          <w:lang w:val="en-US" w:eastAsia="en-US" w:bidi="ar-SA"/>
        </w:rPr>
      </w:pPr>
      <w:r>
        <w:rPr>
          <w:rFonts w:ascii="arial" w:eastAsia="arial" w:hAnsi="arial" w:cs="arial"/>
          <w:color w:val="000000"/>
          <w:sz w:val="20"/>
          <w:lang w:val="en-US" w:eastAsia="en-US" w:bidi="ar-SA"/>
        </w:rPr>
        <w:t>Between Bassam Owimar, Plaintiff, and Insurance Corporation of British Columbia, Amirali H. Mohamedali,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(12 paras.)</w:t>
      </w:r>
    </w:p>
    <w:p>
      <w:pPr>
        <w:jc w:val="both"/>
        <w:rPr>
          <w:lang w:val="en-US" w:eastAsia="en-US" w:bidi="ar-SA"/>
        </w:rPr>
      </w:pPr>
      <w:bookmarkStart w:id="21" w:name="Counsel_4"/>
      <w:bookmarkEnd w:id="2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44" style="position:absolute;z-index:25166540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Insurance Corporation of British Columbia: F. Troen.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Amirali H. Mohamedali: T.C. Hinkson, E. Magnussen, A/S.</w:t>
      </w:r>
      <w:r>
        <w:rPr>
          <w:lang w:val="en-US" w:eastAsia="en-US" w:bidi="ar-SA"/>
        </w:rPr>
        <w:cr/>
      </w:r>
    </w:p>
    <w:p>
      <w:pPr>
        <w:spacing w:after="240"/>
        <w:rPr>
          <w:lang w:val="en-US" w:eastAsia="en-US" w:bidi="ar-SA"/>
        </w:rPr>
      </w:pPr>
      <w:bookmarkStart w:id="22" w:name="Judgment_4"/>
      <w:bookmarkEnd w:id="22"/>
      <w:r>
        <w:pict>
          <v:line id="_x0000_s1045" style="position:absolute;z-index:251705344"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3" w:name="E. McDONALD J."/>
            <w:bookmarkEnd w:id="23"/>
            <w:r>
              <w:rPr>
                <w:rFonts w:ascii="arial" w:eastAsia="arial" w:hAnsi="arial" w:cs="arial"/>
                <w:b/>
                <w:color w:val="000000"/>
                <w:sz w:val="30"/>
                <w:lang w:val="en-US" w:eastAsia="en-US" w:bidi="ar-SA"/>
              </w:rPr>
              <w:t>E. McDONALD J.</w:t>
            </w:r>
          </w:p>
        </w:tc>
      </w:tr>
    </w:tbl>
    <w:p>
      <w:pPr>
        <w:spacing w:line="260" w:lineRule="atLeast"/>
        <w:jc w:val="both"/>
        <w:rPr>
          <w:lang w:val="en-US" w:eastAsia="en-US" w:bidi="ar-SA"/>
        </w:rPr>
      </w:pPr>
      <w:r>
        <w:rPr>
          <w:lang w:val="en-US" w:eastAsia="en-US" w:bidi="ar-SA"/>
        </w:rPr>
        <w:br/>
      </w:r>
      <w:r>
        <w:rPr>
          <w:lang w:val="en-US" w:eastAsia="en-US" w:bidi="ar-SA"/>
        </w:rPr>
        <w:br/>
      </w:r>
      <w:r>
        <w:rPr>
          <w:rFonts w:ascii="arial" w:eastAsia="arial" w:hAnsi="arial" w:cs="arial"/>
          <w:b/>
          <w:color w:val="000000"/>
          <w:sz w:val="20"/>
          <w:lang w:val="en-US" w:eastAsia="en-US" w:bidi="ar-SA"/>
        </w:rPr>
        <w:t>I. 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apply for an order striking out the notice of civil claim, without leave to amend, pursuant to Rule 9-5(1)(a) to (d)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Alternatively, the defendants apply pursuant to Rule 9-6 for summary judgment dismissing the claim on the basis that it is barred by operation of the current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xml:space="preserve"> (the "current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(the "1996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 virtually identical application in </w:t>
      </w:r>
      <w:r>
        <w:rPr>
          <w:rFonts w:ascii="arial" w:eastAsia="arial" w:hAnsi="arial" w:cs="arial"/>
          <w:i/>
          <w:color w:val="000000"/>
          <w:sz w:val="20"/>
          <w:lang w:val="en-US" w:eastAsia="en-US" w:bidi="ar-SA"/>
        </w:rPr>
        <w:t>Owimar v. Stewart and ICBC</w:t>
      </w:r>
      <w:r>
        <w:rPr>
          <w:rFonts w:ascii="arial" w:eastAsia="arial" w:hAnsi="arial" w:cs="arial"/>
          <w:color w:val="000000"/>
          <w:sz w:val="20"/>
          <w:lang w:val="en-US" w:eastAsia="en-US" w:bidi="ar-SA"/>
        </w:rPr>
        <w:t xml:space="preserve">, Supreme Court of British Columbia, Vancouver Registry File No. S182359, </w:t>
      </w:r>
      <w:hyperlink r:id="rId151" w:history="1">
        <w:r>
          <w:rPr>
            <w:rFonts w:ascii="arial" w:eastAsia="arial" w:hAnsi="arial" w:cs="arial"/>
            <w:i/>
            <w:color w:val="0077CC"/>
            <w:sz w:val="20"/>
            <w:u w:val="single"/>
            <w:shd w:val="clear" w:color="auto" w:fill="FFFFFF"/>
            <w:lang w:val="en-US" w:eastAsia="en-US" w:bidi="ar-SA"/>
          </w:rPr>
          <w:t>[2019] B.C.J. No. 1358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Owimar v. Stewart</w:t>
      </w:r>
      <w:r>
        <w:rPr>
          <w:rFonts w:ascii="arial" w:eastAsia="arial" w:hAnsi="arial" w:cs="arial"/>
          <w:color w:val="000000"/>
          <w:sz w:val="20"/>
          <w:lang w:val="en-US" w:eastAsia="en-US" w:bidi="ar-SA"/>
        </w:rPr>
        <w:t>"), was heard at the same time as the present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also rely on an affidavit #1 of J. Kocurek, sworn June 5, 2019, and submit that this evidence is admissible only in respect of the application of Rule 9-5(1)(b) to (d), and not for the purposes of Rule 9-5(1)(a).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June 11, 2019, the defendants served the application material on the plaintiff. The plaintiff acknowledged receipt of the application material. On June 28, 2019, the plaintiff apparently advised counsel that he would not be attending the hearing of the application and he did not file an application response. Therefore, the hearing of this application proceeded without the plaintiff in attendance.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II. 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January 8, 2017, the plaintiff filed the notice of civil claim herein (the "Claim"). The Claim is extremely lengthy. The facts section alone includes more than 300 paragraphs. There are copious references to evidence and long quotations from documents and judgments throughout.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According to the Claim, the plaintiff was involved in eight motor vehicle accidents between 1996 and 2011 and he commenced eight actions related to those accidents. Most of the paragraphs in the facts section relate to the plaintiff's post-accident medical and legal affairs from 1996 to 2013.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settled his first action against ICBC in April of 1999. The remaining seven actions were settled in 2013. The plaintiff alleges that on August 30, 2013, ICBC and a variety of individuals, including doctors and lawyers retained by ICBC, obtained a fraudulent settlement of the plaintiff's seven motor vehicle actions. Mr. Mohamedali acted as the plaintiff's counsel, including at the time when the 2013 settlement agreement was reached.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III. ANALYSIS</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Rule 9-5(1)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Claim, the plaintiff alleges that Mr. Mohamedali acted negligently, including with respect to negotiating the settlement with ICBC. The complaints about Mr. Mohamedali's representation of the plaintiff appear to focus on events in 2013. However, from my reading of the Claim, the main allegations of wrongdoing appear to involve the following: fraudulent removal or replacement of the plaintiff's x-rays; failure to retain a radiologist; failure to carry out discoveries; failure to detect/prevent a conspiracy against the plaintiff; and, breaches of the standard of care in representing the plaintiff. While I have attempted to extract the main allegations, the pleading is unintelligible. The Claim lacks material facts capable of supporting the causes of action. It is also prolix and utterly confusing.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 have concluded that the Claim should be struck out pursuant to Rule 9-5(1)(a) as it is plain and obvious that it discloses no reasonable claim and it is bound to fail. I have also concluded the Claim is liable to be struck pursuant to paragraphs (b), (c) and (d) of Rule 9-5(1) for the same reasons as those set out in </w:t>
      </w:r>
      <w:r>
        <w:rPr>
          <w:rFonts w:ascii="arial" w:eastAsia="arial" w:hAnsi="arial" w:cs="arial"/>
          <w:i/>
          <w:color w:val="000000"/>
          <w:sz w:val="20"/>
          <w:lang w:val="en-US" w:eastAsia="en-US" w:bidi="ar-SA"/>
        </w:rPr>
        <w:t>Owimar v. Stewart</w:t>
      </w:r>
      <w:r>
        <w:rPr>
          <w:rFonts w:ascii="arial" w:eastAsia="arial" w:hAnsi="arial" w:cs="arial"/>
          <w:color w:val="000000"/>
          <w:sz w:val="20"/>
          <w:lang w:val="en-US" w:eastAsia="en-US" w:bidi="ar-SA"/>
        </w:rPr>
        <w:t>, which was heard at the same time as the present application.</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Rule 9-6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the alternative, I have concluded that the Claim should be dismissed pursuant to Rule 9-6 on the basis that it is statute barred. I have reached that conclusion for the same reasons as those set out in </w:t>
      </w:r>
      <w:r>
        <w:rPr>
          <w:rFonts w:ascii="arial" w:eastAsia="arial" w:hAnsi="arial" w:cs="arial"/>
          <w:i/>
          <w:color w:val="000000"/>
          <w:sz w:val="20"/>
          <w:lang w:val="en-US" w:eastAsia="en-US" w:bidi="ar-SA"/>
        </w:rPr>
        <w:t>Owimar v. Stewart</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With specific respect to the claim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levelled against Mr. Mohamedali, I have concluded that aspect of the Claim is also statute barred. The Claim alleges that the plaintiff lost confidence in Mr. Mohamedali on the eve of trial and that is why the plaintiff settled with ICBC in 2013. The Claim further states that after the settlement, Mr. Mohamedali continued to represent the plaintiff. In paragraphs 237 and 239, the Claim states that on March 10, 2014 and March 24, 2014, the plaintiff was finally able to locate and consult with another lawyer and another law firm. Finally, the Claim states in paragraph 244 that in March, 2015, the plaintiff met with Mr. Mohamedali to advise that the plaintiff intended to sue him. There is no explanation for the delay in bringing such a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 have concluded that by no later than March 24, 2014, which is the date when the Claim says the plaintiff consulted another law firm, the plaintiff would have been aware of the potential claim against Mr. Mohamedali. The Claim is therefore statute barred, whether under s. 6(1)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SCBC 2012, c. 13 or s. 3(5)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S.B.C. 1993, c. 13. As the Claim is statute barred, there is no genuine issue to be tried. The Claim is therefore dismissed pursuant to Rule 9-6.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IV.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have requested costs in a fixed amount. The defendants are entitled to costs of $1,400.00 payable to each of them forthwith.</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E. McDONALD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743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58" w:history="1">
        <w:r>
          <w:rPr>
            <w:rFonts w:ascii="arial" w:eastAsia="arial" w:hAnsi="arial" w:cs="arial"/>
            <w:b/>
            <w:bCs/>
            <w:i/>
            <w:color w:val="0077CC"/>
            <w:kern w:val="32"/>
            <w:sz w:val="28"/>
            <w:szCs w:val="32"/>
            <w:u w:val="single"/>
            <w:shd w:val="clear" w:color="auto" w:fill="FFFFFF"/>
            <w:lang w:val="en-US" w:eastAsia="en-US" w:bidi="ar-SA"/>
          </w:rPr>
          <w:t>Parranto v. Brummel, [2014] B.C.J. No. 892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L. Fenlon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February 21, 2014.</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February 21, 2014.</w:t>
      </w:r>
    </w:p>
    <w:p>
      <w:pPr>
        <w:spacing w:before="120" w:line="260" w:lineRule="atLeast"/>
        <w:jc w:val="center"/>
        <w:rPr>
          <w:lang w:val="en-US" w:eastAsia="en-US" w:bidi="ar-SA"/>
        </w:rPr>
      </w:pPr>
      <w:r>
        <w:rPr>
          <w:rFonts w:ascii="arial" w:eastAsia="arial" w:hAnsi="arial" w:cs="arial"/>
          <w:color w:val="000000"/>
          <w:sz w:val="20"/>
          <w:lang w:val="en-US" w:eastAsia="en-US" w:bidi="ar-SA"/>
        </w:rPr>
        <w:t>Dockets: S137038, S132877</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[2014] B.C.J. No. 892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2014 BCSC 815</w:t>
      </w:r>
    </w:p>
    <w:p>
      <w:pPr>
        <w:spacing w:before="120" w:line="260" w:lineRule="atLeast"/>
        <w:rPr>
          <w:lang w:val="en-US" w:eastAsia="en-US" w:bidi="ar-SA"/>
        </w:rPr>
      </w:pPr>
      <w:r>
        <w:rPr>
          <w:rFonts w:ascii="arial" w:eastAsia="arial" w:hAnsi="arial" w:cs="arial"/>
          <w:color w:val="000000"/>
          <w:sz w:val="20"/>
          <w:lang w:val="en-US" w:eastAsia="en-US" w:bidi="ar-SA"/>
        </w:rPr>
        <w:t>Between Joseph F. Parranto, Plaintiff, and Eileen Brummel, Defendant, and Between Joseph F. Parranto, Plaintiff, and Human Rights Tribunal Member, Mr. Norman Trerise,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(47 paras.)</w:t>
      </w:r>
    </w:p>
    <w:p>
      <w:pPr>
        <w:jc w:val="both"/>
        <w:rPr>
          <w:lang w:val="en-US" w:eastAsia="en-US" w:bidi="ar-SA"/>
        </w:rPr>
      </w:pPr>
      <w:bookmarkStart w:id="24" w:name="Counsel_5"/>
      <w:bookmarkEnd w:id="2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47" style="position:absolute;z-index:25166643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Appearing on his own behalf: J.F. Parranto.</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E. Brummel: D. Ellis.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Post 83 Housing Co-operative Association: N. Rozenberg.</w:t>
      </w:r>
      <w:r>
        <w:rPr>
          <w:lang w:val="en-US" w:eastAsia="en-US" w:bidi="ar-SA"/>
        </w:rPr>
        <w:cr/>
      </w:r>
    </w:p>
    <w:p>
      <w:pPr>
        <w:spacing w:after="240"/>
        <w:rPr>
          <w:lang w:val="en-US" w:eastAsia="en-US" w:bidi="ar-SA"/>
        </w:rPr>
      </w:pPr>
      <w:bookmarkStart w:id="25" w:name="Judgment_5"/>
      <w:bookmarkEnd w:id="25"/>
      <w:r>
        <w:pict>
          <v:line id="_x0000_s1048" style="position:absolute;z-index:251706368"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(Special Costs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L. FENLON J.: (orally)-- This application is brought today by Ms. Brummell and by the Co-op. The application is for costs arising out of the hearing of two matters on December 10, 2013, before 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first, registry number 137038, was an action in which Mr. Parranto was suing Ms. Brummell, who is a director of the Co-op, for defamation. The second action, Vancouver S132877, was a petition brought by Mr. Parranto for judicial review of a decision of the Human Rights Tribunal.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dismissed Mr. Parranto's applications on that day and granted judgment to Ms. Brummell in the defamation proceeding. I gave the parties leave to speak to the issue of costs. That is the matter that is before me today.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Both Ms. Brummell and the Co-op apply not only for costs as successful parties, but for special costs. The Human Rights Tribunal takes no position and does not seek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usual rule is that costs follow the event, which means that the successful party is entitled to its costs. The real issue here today is whether I should award special costs against Mr. Parranto. The applicants today say that there are two grounds for awarding special costs. The first is that Mr. Parranto made the resolution of both matters more difficult because of the prolixity of his materials, the lack of organization of those materials and his failure to comply with court rules.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would not order special costs against a self-represented litigant, as Mr. Parranto is, on that basis. It is clear from his responses that he has struggled to comply with the rules and the form of pleadings and notices of application and responses. I cannot determine, on the record before me, whether that was wilful or the result of not knowing. I would not, therefore, on that basis, order special costs against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is true, as the applicants say today, that Mr. Parranto's approach to litigation has made things more difficult and has made their work more time-consuming. It is true, as well, that he continues to try to re-litigate the issues that were decided on December 10 in the response that he has filed to this application for costs. But that alone would not justify an order for special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second ground relied on by the applicants for an order for special costs is the stronger one. Mr. Parranto has made a great number of very personal attacks on the reputation of both counsel and Ms. Brummell.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attacks on counsel are concerning because they go directly to counsel's professional reputation and integrity. As many judges have noted before me, a lawyer's reputation is very important. It is very important in terms of a successful career, in terms of their ability to represent clients, and so 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JOSEPH PARRANTO: May I comment on that, Your Honour?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COURT: No, because I have heard you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JOSEPH PARRANTO: Okay.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COURT: -- and I am giving my decision now. So, thank you, Mr. Parranto, for your cooperation.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By way of example, in a letter to the Tribunal, Mr. Parranto accused counsel for the Co-op of forgery, fraud, and deliberate deception. He accused counsel of authoring documents that were not accurate, defaming members of the Court, being involved in a conspiracy, promoting untruths, making statements she knows clearly to be untrue, incompetence and so 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Those examples I have just read out are from correspondence and documents filed with the Human Rights Tribunal. Some of those letters were copied to the Attorney General. There was also correspondence with the Privacy Commissioner and members of the Co-op itself.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the introduction to his application record filed in December, Mr. Parranto accused counsel for the Co-op of contempt of court, lack of employability, improper practice, suggested that she would be caught in criminal activity, and that her career is over.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accept the submissions of counsel for the Co-op that, in summary, Mr. Parranto's comments are intended to discredit and attack her reputation as counsel.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Similar allegations or statements were made about counsel for Ms. Brummell. It does not add a great deal to these reasons to go through the many examples, but as one example, Mr. Parranto alleged in the application record that Ms. Brummell had lied under oath, had been criminally charged, had forged documents, attempted extortion, embezzled money from the Co-op where she sits on the Board of Directors. He also said that Ms. Ellis, Ms. Brummel's lawyer, had taken part in this embezzlement which could lead to the end of Ms. Ellis' career.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Parranto, in response, says yes, he made very strong statements and he did so because he was trying to get the attention of the opposing parties and their counsel, in particular, to make them take heed and realize that they were heading down a road that was very wrong and that they were going to run into some significant difficulties and trouble. He wanted them to avoid that and to stop pursuing the steps they were taking on behalf of their clients.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Parranto fundamentally believes that the entire proceeding before the Human Rights Tribunal was based on what he describes as "gossip" -- an alleged relationship or living arrangement where he was said to be living with a tenant who has brought a complaint against the Human Rights Tribunal. Mr. Parranto says he did not live with the tenant and we addressed that last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Parranto says that the two counsel against whom he has made these disparaging remarks are "poster children for the second Holocaust." He has given a number of reasons for that. He said that he is trying to prevent these young counsel from living a life without freedom, and helping them to avoid a fatwa, as Salman Rushdie has had to deal with.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is no doubt that the kind of comments that Mr. Parranto has made in a number of documents filed with the court and a number of other letters and other types of correspondence with government officials is of a kind that has in the past justified special costs being awarded against a litigant.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very much the case that even self-represented litigants are not given licence to make comments about other parties or their counsel which damage their reputations by alleging that they have committed criminal acts or that they are incompetent or that they have lied and so 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Even a desire to make the other side sit up and take notice does not justify that, and Mr. Parranto should appreciate that because he has started a defamation action over much milder comments. I think Mr. Parranto appreciates, on some level, that a person's reputation is a very precious thing and should not lightly be damaged.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Special costs are reserved for situations in which reprehensible conduct has been engaged in. There is, in a special costs award, an element of punishment that reflects the Court's sense that it should distance itself from behaviour which is reprehensible. That is well-settled law and described in a number of cases that I have been taken to today.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Leger v. Metro Vancouver YMCA, </w:t>
      </w:r>
      <w:hyperlink r:id="rId159" w:history="1">
        <w:r>
          <w:rPr>
            <w:rFonts w:ascii="arial" w:eastAsia="arial" w:hAnsi="arial" w:cs="arial"/>
            <w:i/>
            <w:color w:val="0077CC"/>
            <w:sz w:val="20"/>
            <w:u w:val="single"/>
            <w:shd w:val="clear" w:color="auto" w:fill="FFFFFF"/>
            <w:lang w:val="en-US" w:eastAsia="en-US" w:bidi="ar-SA"/>
          </w:rPr>
          <w:t>2013 BCSC 2021</w:t>
        </w:r>
      </w:hyperlink>
      <w:r>
        <w:rPr>
          <w:rFonts w:ascii="arial" w:eastAsia="arial" w:hAnsi="arial" w:cs="arial"/>
          <w:color w:val="000000"/>
          <w:sz w:val="20"/>
          <w:lang w:val="en-US" w:eastAsia="en-US" w:bidi="ar-SA"/>
        </w:rPr>
        <w:t xml:space="preserve">, Mr. Justice Pearlman dealt with a self-represented litigant who had made similar comments. He concluded that the fact that a party is not represented does not give that party licence to conduct himself as he sees fit without regard to the Supreme Court Civil Rules,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or to make unfounded allegations of misconduct against opposing counsel. He also concluded that the impecuniosity of the litigant is not a basis for refusing to make such an award. In that case, as in the case before me, the litigant in question had been granted indigent status.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Ultimately, the decision as to whether to award special costs is a discretionary one. It takes into account a number of factors. I have carefully considered the very able submissions of counsel for the applicants today. I have considerable sympathy with the difficulty of their position and what they have been put through by Mr. Parranto making such comments, both to the Court, to the Human Rights Tribunal, to members of the public and to the Office of the Privacy Commissioner. But at the end of the day, the considerable difference between special costs and party and party costs is intended to reflect the Court's sense that the person who has been conducting himself in this way is culpable, is responsible for his behaviour, and has chosen to intentionally conduct himself in a way that is causing unnecessary harm and damage to the reputation of others.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have listened to Mr. Parranto's submissions over the course of a long day on December 10 and again today. It is apparent to me that, in some sense, he is not culpable in the sense that some people would be. Some of Mr. Parranto's comments are not coherent. In my view, anyone reading his correspondence or pleadings would recognize that, and therefore objectively would not think less of counsel or Ms. Brummell or the Co-op.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 do want to say on the record that I have read a great deal of material about the other proceedings in relation to which these comments were made by Mr. Parranto. I do not find any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misconduct on the part of counsel who represented their clients to the best of their ability. I note that counsel have conducted themselves in this Court at the highest professional standard and have given the Court no reason to doubt their ability to ably, professionally and properly represent any client in this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am, therefore, of the view that the proper disposition of this application for costs is to award costs at Scale B. I am going to fix those costs under Rule 14-1(15) at $9,900 for the full day, plus $120 for disbursements, plus applicable taxes. Counsel can do the math and come up with the correct number. Plus another half-day at $550, plus $120 for disbursements, plus appropriate taxes. That is in accordance with Rule 14-1(15).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That amount will be awarded against Mr. Parranto and it is payable to each of the two party applicants today, Ms. Brummell and the Co-op.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am also going to direct that Mr. Parranto is not to commence any further actions in this Court or the Provincial Court in relation to Ms. Brummell or the Co-op or their counsel until those costs are paid without first obtaining leave from 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So the orders that I make today, to summarize, are: First, the applicants' application for special costs is denied, but the applicants are granted their fixed costs as set out in Rule 14-1(15). Those costs approximate Scale B. I see no point in having an assessment.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Second, Mr. Parranto is not to bring any further actions against Ms. Brummell, the Co-op, or counsel for Ms. Brummell or the Co-op, until those costs are paid in full without first obtaining leave from 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COURT: Now, do you have any questions, Mr. Parranto?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JOSEPH PARRANTO: Yes, does that mean I cannot appeal?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COURT: No, it does not mean you cannot appeal my decision. You have the right to do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JOSEPH PARRANTO: Thank you.</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COURT: Anything further, counsel?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ROZENBERG: My Lady, can we dispense with Mr. Parranto's signature on the 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COURT: Yes, I make an order that Mr. Parranto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JOSEPH PARRANTO: I object to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COURT: Yes, Mr. Parranto, I hear your objection, but in my view it is an appropriate request. I dispense with your signature on the order for costs, but I will ask counsel to provide you with a copy of the 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JOSEPH PARRANTO: May I ask if it -- if it doesn't represent what I understand it to be, do I get a chance to have that modified? Because the decision that was rendered from December 10th doesn't match what I remember hearing in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COURT: Well, I have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JOSEPH PARRANTO: It says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COURT: I have looked at that order and I have signed it because, in my view, it does reflect the orders that were made. If you have a dispute with the form of the order for costs, then you can let counsel know. But it is a very straightforward order. I am going to see the order before it is entered. I have to sign it. I have made very simple orders today, and I will make sure that the order that is presented accords with what I have said.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 FENLON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744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Pausch v. Vancouver Coastal Health Authority (c.o.b. UBC Hospital), [2015] B.C.J. No. 278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Sharma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14-17, 20 and 22,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S099345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231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Arnold Brent Pausch, Plaintiff, and Vancouver Coastal Health Authority operating as UBC Hospital, Jane Doe and John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 paras.)</w:t>
      </w:r>
    </w:p>
    <w:p>
      <w:pPr>
        <w:jc w:val="both"/>
        <w:rPr>
          <w:rFonts w:ascii="arial" w:eastAsia="arial" w:hAnsi="arial" w:cs="arial"/>
          <w:sz w:val="20"/>
          <w:lang w:val="en-US" w:eastAsia="en-US" w:bidi="ar-SA"/>
        </w:rPr>
      </w:pPr>
      <w:bookmarkStart w:id="26" w:name="Counsel_6"/>
      <w:bookmarkEnd w:id="2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0"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 Koller.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E. Stanger, M. Peirce.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 w:name="Judgment_6"/>
      <w:bookmarkEnd w:id="27"/>
      <w:r>
        <w:pict>
          <v:line id="_x0000_s1051" style="position:absolute;z-index:2517073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Re: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 w:name="N. SHARMA J."/>
            <w:bookmarkEnd w:id="28"/>
            <w:r>
              <w:rPr>
                <w:rFonts w:ascii="arial" w:eastAsia="arial" w:hAnsi="arial" w:cs="arial"/>
                <w:b/>
                <w:color w:val="000000"/>
                <w:sz w:val="30"/>
                <w:lang w:val="en-US" w:eastAsia="en-US" w:bidi="ar-SA"/>
              </w:rPr>
              <w:t>N. SHARMA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reasons indexed at </w:t>
      </w:r>
      <w:hyperlink r:id="rId167" w:history="1">
        <w:r>
          <w:rPr>
            <w:rFonts w:ascii="arial" w:eastAsia="arial" w:hAnsi="arial" w:cs="arial"/>
            <w:i/>
            <w:color w:val="0077CC"/>
            <w:sz w:val="20"/>
            <w:u w:val="single"/>
            <w:shd w:val="clear" w:color="auto" w:fill="FFFFFF"/>
            <w:lang w:val="en-US" w:eastAsia="en-US" w:bidi="ar-SA"/>
          </w:rPr>
          <w:t>2014 BCSC 2552</w:t>
        </w:r>
      </w:hyperlink>
      <w:r>
        <w:rPr>
          <w:rFonts w:ascii="arial" w:eastAsia="arial" w:hAnsi="arial" w:cs="arial"/>
          <w:color w:val="000000"/>
          <w:sz w:val="20"/>
          <w:lang w:val="en-US" w:eastAsia="en-US" w:bidi="ar-SA"/>
        </w:rPr>
        <w:t>, I dismissed the plaintiff's claim for damages. The plaintiff claimed that he suffered increased hearing loss and developed tinnitus because of some deficiency in an MRI scan he received at the defendant's facilities in January 2008. He claimed the technologist conducting the scan failed to check that hearing protection was properly placed, and the improper placement exposed the plaintiff to noise levels that damaged his hearing. I concluded that the plaintiff had failed to prove a breach of the requisite standard of care and, independent of that conclusion, had failed to prove causation. This judgment addresses costs arising from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accepts that there are no circumstances in this case to justify a departure from the usual order that costs follow the event; he also accepts that Scale B is appropriate. The defendant is seeking the usual order for steps taken up to September 10, 2014 but double costs for any tariff items incurred after. The defendant relies on its settlement offer made to the plaintiff on September 11,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Rule 9-1 governs costs and at issue are the following subsections: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options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proceeding in which an offer to settle has been made, the court may do one or more of the following:</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deprive a party of any or all of the costs, including any or all of the disbursements, to which the party would otherwise be entitled in respect of all or some of the steps taken in the proceeding after the date of delivery or service of the offer to settle;</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double costs of all or some of the steps taken in the proceeding after the date of delivery or service of the offer to settle;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to a party, in respect of all or some of the steps taken in the proceeding after the date of delivery or service of the offer to settle, costs to which the party would have been entitled had the offer not been made;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offer was made by a defendant and the judgment awarded to the plaintiff was no greater than the amount of the offer to settle, award to the defendant the defendant's costs in respect of all or some of the steps taken in the proceeding after the date of delivery or service of the offer to settle.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Considerations of court</w:t>
      </w:r>
    </w:p>
    <w:p>
      <w:pPr>
        <w:numPr>
          <w:numId w:val="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an order under subrule (5), the court may consider the following:</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served or on any later date;</w:t>
      </w:r>
    </w:p>
    <w:p>
      <w:pPr>
        <w:numPr>
          <w:numId w:val="8"/>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numPr>
          <w:numId w:val="9"/>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There is no dispute about the legal test. Both parties refer to </w:t>
      </w:r>
      <w:r>
        <w:rPr>
          <w:rFonts w:ascii="arial" w:eastAsia="arial" w:hAnsi="arial" w:cs="arial"/>
          <w:i/>
          <w:color w:val="000000"/>
          <w:sz w:val="20"/>
          <w:lang w:val="en-US" w:eastAsia="en-US" w:bidi="ar-SA"/>
        </w:rPr>
        <w:t>Hartshorne v. Hartshorne,</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2011 BCCA 29</w:t>
        </w:r>
      </w:hyperlink>
      <w:r>
        <w:rPr>
          <w:rFonts w:ascii="arial" w:eastAsia="arial" w:hAnsi="arial" w:cs="arial"/>
          <w:color w:val="000000"/>
          <w:sz w:val="20"/>
          <w:lang w:val="en-US" w:eastAsia="en-US" w:bidi="ar-SA"/>
        </w:rPr>
        <w:t>, which includes at paragraph 27 the factors to consider when determining the reasonability of a litigant's decision to reject a settlement offer before trial. Those factors are the timing of the offer, whether it had some relationship to the claim as opposed to being merely a "nuisance offer", whether it could be easily evaluated and whether some rationale for the offer was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Other cases cited by the parties were relied on for specific factual circumstances they say best parallel the facts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facts pertinent to the issue before me include the following:</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11, 2014, the defendant offered $5,000 in settlement of the claim inclusive of costs and disbursements;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offer was open for acceptance until October 2, 2014 (which was 12 days before trial);</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claims their position at trial did not differ from the defences revealed in an its application for summary trial seeking to dismiss the claim, which was filed in May 2014 (I understand that application was not heard because of the lack of court time);</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offer was made one day after the plaintiff offered to settle the case for $73,000;</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of September 2011, the plaintiff had incurred disbursements of over $17,000;</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served an expert report on September 2, 2014 (which was not ultimately introduced at trial) that contained an opinion that the plaintiff claims did not differ in a significant way from the his theory of the case on the issue of the duty of an MRI technician;</w:t>
      </w:r>
    </w:p>
    <w:p>
      <w:pPr>
        <w:numPr>
          <w:numId w:val="1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trial, without prior notice to the plaintiff, the defendant successfully challenged the ability of an expert proferred by the plaintiff to provide opinion evidence on the standard of care expected of any MRI technologist with regard to hearing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Both parties also refer to </w:t>
      </w:r>
      <w:r>
        <w:rPr>
          <w:rFonts w:ascii="arial" w:eastAsia="arial" w:hAnsi="arial" w:cs="arial"/>
          <w:i/>
          <w:color w:val="000000"/>
          <w:sz w:val="20"/>
          <w:lang w:val="en-US" w:eastAsia="en-US" w:bidi="ar-SA"/>
        </w:rPr>
        <w:t>Fan v. Chana</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2009 BCSC 1497</w:t>
        </w:r>
      </w:hyperlink>
      <w:r>
        <w:rPr>
          <w:rFonts w:ascii="arial" w:eastAsia="arial" w:hAnsi="arial" w:cs="arial"/>
          <w:color w:val="000000"/>
          <w:sz w:val="20"/>
          <w:lang w:val="en-US" w:eastAsia="en-US" w:bidi="ar-SA"/>
        </w:rPr>
        <w:t xml:space="preserve"> ("Chana") in which the trial judge stated the following about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 reintroduction of judicial discretion in costs certainly serves the ends of justice. Costs should be a penalty for unreasonable conduct in the litigation, not a penalty for failing to guess the outcome. In this regard, Courts must, I think, extend some leeway to litigants holding honest but, ultimately, mistaken views of their claims. It is generally better that such expectations be disposed of at law, rather than discouraged. The public should not be given the impression that there is no reasonable access to a legal resolution. It must be recognized that some people will only be comfortable if they "hear it from the judge." This should be a valid option for those who seek it, not a form of deemed unreasonableness. As such, inducements to settle, and to avail oneself of alternate dispute resolution, ought to complement rather than obstruct judicial determinations.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Court of Appeal specifically approved of those comments (</w:t>
      </w:r>
      <w:hyperlink r:id="rId170" w:history="1">
        <w:r>
          <w:rPr>
            <w:rFonts w:ascii="arial" w:eastAsia="arial" w:hAnsi="arial" w:cs="arial"/>
            <w:i/>
            <w:color w:val="0077CC"/>
            <w:sz w:val="20"/>
            <w:u w:val="single"/>
            <w:shd w:val="clear" w:color="auto" w:fill="FFFFFF"/>
            <w:lang w:val="en-US" w:eastAsia="en-US" w:bidi="ar-SA"/>
          </w:rPr>
          <w:t>2011 BCCA 516</w:t>
        </w:r>
      </w:hyperlink>
      <w:r>
        <w:rPr>
          <w:rFonts w:ascii="arial" w:eastAsia="arial" w:hAnsi="arial" w:cs="arial"/>
          <w:color w:val="000000"/>
          <w:sz w:val="20"/>
          <w:lang w:val="en-US" w:eastAsia="en-US" w:bidi="ar-SA"/>
        </w:rPr>
        <w:t xml:space="preserve"> at paras. 52). The Court of Appeal was considering whether the trial judge erred by refusing to award the plaintiff costs of an expert report when he had already concluded that it was reasonable for the plaintiff to have rejected a settlement offer before trial. That offer was higher than the damages awarded at trial. The trial judge's decision to exclude the cost of the preparation of an expert report was based on his conclusion that the report relied on facts which contracted those found at trial. This was the wrong approach because it amounts to "hindsight" analysis rejected in, among others, </w:t>
      </w:r>
      <w:r>
        <w:rPr>
          <w:rFonts w:ascii="arial" w:eastAsia="arial" w:hAnsi="arial" w:cs="arial"/>
          <w:i/>
          <w:color w:val="000000"/>
          <w:sz w:val="20"/>
          <w:lang w:val="en-US" w:eastAsia="en-US" w:bidi="ar-SA"/>
        </w:rPr>
        <w:t>Giles v. Westminster Mills Credit Union</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2010 BCCA 282</w:t>
        </w:r>
      </w:hyperlink>
      <w:r>
        <w:rPr>
          <w:rFonts w:ascii="arial" w:eastAsia="arial" w:hAnsi="arial" w:cs="arial"/>
          <w:color w:val="000000"/>
          <w:sz w:val="20"/>
          <w:lang w:val="en-US" w:eastAsia="en-US" w:bidi="ar-SA"/>
        </w:rPr>
        <w:t xml:space="preserve"> at para 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am also of the view that when an offer made by a defendant for the purpose of achieving a pre-trial settlement is reasonably refused, the mere fact that the action is ultimately dismissed in its entirety is not a consideration with respect to double costs. To take the disposition of the action into account would result in the "hindsight analysis" that Mr. Justice Hinkson, as he then was, cautioned against in </w:t>
      </w:r>
      <w:r>
        <w:rPr>
          <w:rFonts w:ascii="arial" w:eastAsia="arial" w:hAnsi="arial" w:cs="arial"/>
          <w:i/>
          <w:color w:val="000000"/>
          <w:sz w:val="20"/>
          <w:lang w:val="en-US" w:eastAsia="en-US" w:bidi="ar-SA"/>
        </w:rPr>
        <w:t>Bailey v. Jang</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2008 BCSC 1372</w:t>
        </w:r>
      </w:hyperlink>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90 B.C.L.R. (4th) 125</w:t>
        </w:r>
      </w:hyperlink>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Chana</w:t>
      </w:r>
      <w:r>
        <w:rPr>
          <w:rFonts w:ascii="arial" w:eastAsia="arial" w:hAnsi="arial" w:cs="arial"/>
          <w:color w:val="000000"/>
          <w:sz w:val="20"/>
          <w:lang w:val="en-US" w:eastAsia="en-US" w:bidi="ar-SA"/>
        </w:rPr>
        <w:t xml:space="preserve"> held that the trial judge's refusal was tantamount to imposing "a penalty for failing to guess the outcome" when the plaintiff held an "honest, but, ultimately, mistaken view"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my view this is not a case in which double costs are warranted. I find it was reasonable for the plaintiff to reject the defendant's settlement offer of $5,000. It is my view the defendant's offer was purely tactical and akin to a "nuisance"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With regard to the timing, the offer was made one day after the plaintiff's offer of $73,000 implying the defendant had not given serious consideration to the plaintiff's offer. The plaintiff submits no explanation justifying the defendant's offer was given. The lack of an explanation is an independent factor under the </w:t>
      </w:r>
      <w:r>
        <w:rPr>
          <w:rFonts w:ascii="arial" w:eastAsia="arial" w:hAnsi="arial" w:cs="arial"/>
          <w:i/>
          <w:color w:val="000000"/>
          <w:sz w:val="20"/>
          <w:lang w:val="en-US" w:eastAsia="en-US" w:bidi="ar-SA"/>
        </w:rPr>
        <w:t>Hartshorne</w:t>
      </w:r>
      <w:r>
        <w:rPr>
          <w:rFonts w:ascii="arial" w:eastAsia="arial" w:hAnsi="arial" w:cs="arial"/>
          <w:color w:val="000000"/>
          <w:sz w:val="20"/>
          <w:lang w:val="en-US" w:eastAsia="en-US" w:bidi="ar-SA"/>
        </w:rPr>
        <w:t xml:space="preserve"> analysis but it also implicates two other factors. With no rationale, the plaintiff could properly surmise that the defendant did not consider the offer was related to the claim, and did not intend that the plaintiff needed to conduct any evaluation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claims the offer was "not a nominal sum" and provided a "genuine incentive to settle". The defendant argues that the plaintiff had several facts known to him when the offer was made that should have made it clear that he would have an uphill battle on liability. This included the plaintiff's evidence at the examination for discovery confirming the headphones were comfortable, fit over his ears and were "as far as he knew" placed correctly. The defendant's claim these facts were "fatal" to the plaintiff's claim. I do 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was not a necessary conclusion from the facts admitted by the plaintiff at his examination for discovery, that the duty of care had been met. At trial, the plaintiff argued that what mattered in assessing the duty of care was not what the plaintiff perceived but what the defendant did or did not do. With regard to standard of care, the defendant's expert evidence was not materially different from the plaintiff's in terms of how the duty was framed with respect to the placement of hearing protection. The plaintiff asserts that the defendant's main witness gave evidence at his examination for discovery that could have been found to fall below the duty as that duty was described by the experts at that point before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 also note that the defendant, for the first time at trial, challenged the qualifications of the plaintiff's expert to provide opinion evidence on the standard of care expected of an MRI technologist, and the "usual practice" of MRI technologist in 2008. I made a ruling, indexed at </w:t>
      </w:r>
      <w:hyperlink r:id="rId173" w:history="1">
        <w:r>
          <w:rPr>
            <w:rFonts w:ascii="arial" w:eastAsia="arial" w:hAnsi="arial" w:cs="arial"/>
            <w:i/>
            <w:color w:val="0077CC"/>
            <w:sz w:val="20"/>
            <w:u w:val="single"/>
            <w:shd w:val="clear" w:color="auto" w:fill="FFFFFF"/>
            <w:lang w:val="en-US" w:eastAsia="en-US" w:bidi="ar-SA"/>
          </w:rPr>
          <w:t>2014 BCSC 2036</w:t>
        </w:r>
      </w:hyperlink>
      <w:r>
        <w:rPr>
          <w:rFonts w:ascii="arial" w:eastAsia="arial" w:hAnsi="arial" w:cs="arial"/>
          <w:color w:val="000000"/>
          <w:sz w:val="20"/>
          <w:lang w:val="en-US" w:eastAsia="en-US" w:bidi="ar-SA"/>
        </w:rPr>
        <w:t>, acceding to some of defendant's objections. Thus portions of the report were inadmissible at trial. But that challenge and my ruling were not circumstances the plaintiff could reasonably have anticipated, and it certainly had an impact on the ultimate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also refers to significant inconsistencies between the plaintiff's evidence at trial and solemn declarations made to WorkSafeBC and his description of his hearing in a letter to the defendant sent before trial. The defendant states in its submissions on costs: "[t]hese falsehoods, which were known the plaintiff at the time of the Offer, should have caused him to question whether his evidence would be accepted" at trial. However, as the plaintiff points out, the finding after trial was not that the plaintiff gave false testimony, but those inconsistencies resulted in a conclusion that the plaintiff's credibility has been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also point out the plaintiff's expert (Dr. David, an otolaryngologist) gave evidence that the plaintiff could reasonably have relied on in anticipation of proving causation. Dr. David testified that his conclusion that the MRI scan caused the plaintiff's tinnitus was based, in part, on timing; the fact that symptoms appeared immediately after the scan was some indication that the scan caused the tinnitus. For a number of reasons, I determined reduced weight should be placed on Dr. David's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issue on double costs is not whether plaintiff's facts and theory of the case were accepted at trial or not; the question is whether it was reasonable for the plaintiff to have continued to rely on its theory of the case before trial when rejecting the defendant's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my view the cases cited above support the plaintiff's position. Those cases emphasize that the reasonability of a settlement offer cannot be viewed through the lens of the trial judgment but must be assessed from the perspective of a reasonable litigant. The defendant claims both </w:t>
      </w:r>
      <w:r>
        <w:rPr>
          <w:rFonts w:ascii="arial" w:eastAsia="arial" w:hAnsi="arial" w:cs="arial"/>
          <w:i/>
          <w:color w:val="000000"/>
          <w:sz w:val="20"/>
          <w:lang w:val="en-US" w:eastAsia="en-US" w:bidi="ar-SA"/>
        </w:rPr>
        <w:t>Fan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Giles</w:t>
      </w:r>
      <w:r>
        <w:rPr>
          <w:rFonts w:ascii="arial" w:eastAsia="arial" w:hAnsi="arial" w:cs="arial"/>
          <w:color w:val="000000"/>
          <w:sz w:val="20"/>
          <w:lang w:val="en-US" w:eastAsia="en-US" w:bidi="ar-SA"/>
        </w:rPr>
        <w:t xml:space="preserve"> can be distinguished because the main issue at trial in both cases was the quantum of damages; liability was admitted. I do not think that is a distinguishing feature. I have to decide the reasonableness of the plaintiff's rejection of the settlement offer. The nature of the issues at trial is immaterial to the measure of reasonability of a settlement offer. Each case will turn on the specific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plaintiff was not proposing any unusual or unorthodox interpretation or application of the accepted legal principles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personal injury but the specific facts underlying the claim were novel. Neither party found a case that discussed either the duty of MRI technologists with regard to hearing protection, or the alleged link between any deficiency in that protection and injuries to hearing. In my mind, that is a significant factor in the plaintiff's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defendant also relies on </w:t>
      </w:r>
      <w:r>
        <w:rPr>
          <w:rFonts w:ascii="arial" w:eastAsia="arial" w:hAnsi="arial" w:cs="arial"/>
          <w:i/>
          <w:color w:val="000000"/>
          <w:sz w:val="20"/>
          <w:lang w:val="en-US" w:eastAsia="en-US" w:bidi="ar-SA"/>
        </w:rPr>
        <w:t>Tapestry Realty Ltd. v. Mangat</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2011 BCSC 1415</w:t>
        </w:r>
      </w:hyperlink>
      <w:r>
        <w:rPr>
          <w:rFonts w:ascii="arial" w:eastAsia="arial" w:hAnsi="arial" w:cs="arial"/>
          <w:color w:val="000000"/>
          <w:sz w:val="20"/>
          <w:lang w:val="en-US" w:eastAsia="en-US" w:bidi="ar-SA"/>
        </w:rPr>
        <w:t xml:space="preserve"> in which the trial judge held that </w:t>
      </w:r>
      <w:r>
        <w:rPr>
          <w:rFonts w:ascii="arial" w:eastAsia="arial" w:hAnsi="arial" w:cs="arial"/>
          <w:i/>
          <w:color w:val="000000"/>
          <w:sz w:val="20"/>
          <w:lang w:val="en-US" w:eastAsia="en-US" w:bidi="ar-SA"/>
        </w:rPr>
        <w:t>Giles</w:t>
      </w:r>
      <w:r>
        <w:rPr>
          <w:rFonts w:ascii="arial" w:eastAsia="arial" w:hAnsi="arial" w:cs="arial"/>
          <w:color w:val="000000"/>
          <w:sz w:val="20"/>
          <w:lang w:val="en-US" w:eastAsia="en-US" w:bidi="ar-SA"/>
        </w:rPr>
        <w:t xml:space="preserve"> does "stand for the proposition that the degree of risk inherent in an action is one factor which determines whether a settlement offer may be viewed as providing a genuine incentive to settlement". The stronger a plaintiff's case is, the less likely that the failure to accept settlement is unreasonable. The trial judge in </w:t>
      </w:r>
      <w:r>
        <w:rPr>
          <w:rFonts w:ascii="arial" w:eastAsia="arial" w:hAnsi="arial" w:cs="arial"/>
          <w:i/>
          <w:color w:val="000000"/>
          <w:sz w:val="20"/>
          <w:lang w:val="en-US" w:eastAsia="en-US" w:bidi="ar-SA"/>
        </w:rPr>
        <w:t>Tapestry</w:t>
      </w:r>
      <w:r>
        <w:rPr>
          <w:rFonts w:ascii="arial" w:eastAsia="arial" w:hAnsi="arial" w:cs="arial"/>
          <w:color w:val="000000"/>
          <w:sz w:val="20"/>
          <w:lang w:val="en-US" w:eastAsia="en-US" w:bidi="ar-SA"/>
        </w:rPr>
        <w:t xml:space="preserve"> continued: "[t]he degree of incentive, in turn, may be weighed in determining whether the settlement offer ought reasonably to have been accepted,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understand the defendant to rely on this passage in support of its position that it was unreasonable for the plaintiff to refuse the settlement offer when liability was "extremely difficult" to prove. In my view, in this case, the defendant's assertion that the plaintiff's claim was "difficult to prove" engages the hindsight analysis specifically rejected by our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case was that: (i) Mr. Curry did not do a check of any kind to ensure the proper placement of the headphone (a controverted fact at trial); (ii) that failure breached the standard of care; and (iii) the plaintiff's developed tinnitus and increased hearing loss immediately after the scan which must have been caused, in part at least, by exposure to noise of the MRI machine. The plaintiff's position was mistaken but not unreasonable. None of the preceding positions were "obviously" wrong or without a factual underpinning.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For all those reasons, I conclude that costs follow the event at Scale B and no award for double costs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SHARMA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2" style="position:absolute;z-index:251745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Popat v. MacLennan, [2014] B.C.J. No. 2171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T.J. Melnick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24,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S139103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2171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1601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Zahir Popat, Plaintiff, and Alistair MacLennan, Jasbinder Sanghera, Roger Kuypers and SignalChem LifeSciences Corporation,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jc w:val="both"/>
        <w:rPr>
          <w:rFonts w:ascii="arial" w:eastAsia="arial" w:hAnsi="arial" w:cs="arial"/>
          <w:sz w:val="20"/>
          <w:lang w:val="en-US" w:eastAsia="en-US" w:bidi="ar-SA"/>
        </w:rPr>
      </w:pPr>
      <w:bookmarkStart w:id="29" w:name="Counsel_7"/>
      <w:bookmarkEnd w:id="2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3"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K.A. McLean, N. Ayling.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R.W. Cooper, A. Crabtree.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 w:name="Judgment_7"/>
      <w:bookmarkEnd w:id="30"/>
      <w:r>
        <w:pict>
          <v:line id="_x0000_s1054" style="position:absolute;z-index:2517084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 w:name="T.J. MELNICK J."/>
            <w:bookmarkEnd w:id="31"/>
            <w:r>
              <w:rPr>
                <w:rFonts w:ascii="arial" w:eastAsia="arial" w:hAnsi="arial" w:cs="arial"/>
                <w:b/>
                <w:color w:val="000000"/>
                <w:sz w:val="30"/>
                <w:lang w:val="en-US" w:eastAsia="en-US" w:bidi="ar-SA"/>
              </w:rPr>
              <w:t>T.J. MELNICK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summary trial in which the defendants seek to have the plaintiff's claim in defamation against them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1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Zahir Popat ("Mr. Popat"), is a shareholder in, and former director of, the defendant SignalChem LifeSciences Corporation ("SignalChem"). He was the founder of one of three corporations which merged to form SignalChem. The individual defendants are directors of SignalChem. The defendant, Jasbinder Sanghera ("Dr. Sanghera"), is chair of SignalChem's board of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June 2013, certain employees of SignalChem, who had apparently previously been with one of the constituent companies that merged to form SignalChem, wrote to SignalChem's board of directors to express their dissatisfaction with the number of shares that had been allotted to represent the percentage value of that company in relation to the other two constituent entities. They took the position that the company with which they had been initially associated had been undervalued.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August 9, 2013, the defendant, Alistair MacLennan ("Mr. MacLennan"), and Mr. Popat met at a restaurant in Vancouver to discuss the situation arising from this letter. Mr. MacLennan alleges that at that meeting Mr. Popat threatened to have his knees broken. Mr. MacLennan says that he forthwith terminated the meeting and left the restaurant, followed by Mr. Popat repeatedly saying he had just been kidding.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MacLennan reported the alleged incident to both the Vancouver Police Department ("VPD") and to Dr. Sanghera.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August 10, 2013, Mr. MacLennan spoke with Constable Leslie Weeks ("Cst. Weeks") of the VPD who was following up on Mr. MacLennan's report of the previous day. It was Cst. Weeks' recollection that Mr. MacLennan was not looking to have Mr. Popat charged, only verbally warned. Cst. Weeks says he then spoke with Mr. Popat who admitted to him that he had made the alleged remark to Mr. MacLennan, but in jest. Cst. Weeks said that Mr. Popat agreed to refrain from using such terms again. Cst. Weeks subsequently closed the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Popat denies having made the alleged remark and suggests that Cst. Weeks must have misunderstood him when they spoke on the telephone. He suggests that Mr. MacLennan had had a lot of beer to drink at their meeting and was drunk. Mr. MacLennan admits to having two bottles of beer to drink but denies being drunk, a statement confirmed by Brian James Walker, another shareholder of SignalChem, who met Mr. MacLennan on the street and spoke to him just after Mr. MacLennan left the restaurant. Mr. MacLennan's evidence is also confirmed by his credit card receipt.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MacLennan and Dr. Sanghera met with another director, the defendant Roger Kuypers ("Mr. Kuypers"), who is also outside counsel to SignalChem, on August 10, 2013. As a consequence of that meeting, on August 14, 2013, Dr. Sanghera sent the following email to Mr. Popat with copies to Mr. MacLennan and Mr. Kuypers: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Zahir,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Alistair MacLennan, Roger Kuypers and I discussed the events that occurred at your meeting with Alistair last Friday. In particular, we discussed your threat of physical violence to Alistair, which has been reported to the Vancouver Police Department. Given the seriousness of this allegation, we request that you resign as a Director of SignalChem Lifesciences Corporation (SLC). It does not serve the best interests of SLC to have one of its Directors under criminal investigation, especially at this important phase of its development. Please sign the attached form of resignation and return it to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 you refuse to sign and return the attached form of resignation to me by end of day Wednesday, August 21, 2013, we will call a special meeting of the shareholders of SLC for the purpose of removing you as Director in accordance with the Articles of SLC.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delivering a copy of this correspondence and form of resignation by courier to your home contemporaneous with this email.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Jasbinder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email contains privileged or confidential information and is intended only for the named recipients. If you have received this email in error or are not a named recipient, please notify the sender and destroy the email. A detailed statement of the terms of use can be found at the following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fact, Mr. Popat did resign as a director of SignalChem on August 19, 2013. However, through his counsel he made it clear upon doing so that he was not resigning "due to what occurred between him and Mr. MacLennan" because he denied making any threats to Mr. MacLennan. Rather, he did so, it was stated, because the other directors of SignalChem had been meeting, discussing and making decisions about SignalChem without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 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is Mr. Popat's position that he was never under "criminal investigation" and that for Dr. Sanghera to have said so in his email was defamatory. He takes the same position with respect to the threat he was alleged to have made to Mr. MacLennan but which he denies having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take the position that the email was an internal communication between directors of a company and was not published to anyone other than Mr. Popat. Further, they say that the alleged defamation was both true (in the case of the threat) and made on an occasion of privilege without malice.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Suitability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Mr. Popat argues that this matter is not suitable for summary trial. It is his position that there have as yet been no examinations for discovery, he has denied making the alleged threat, and the evidence and credibility of the witnesses should be tested with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say that, in these circumstances, the conflicts in the affidavits should not be a bar to the matter being determined summarily. In the view of the defendants, I can find the facts necessary to come to a decision and it would not be unjust to do so, particularly as, whatever was said, the circumstances respecting the lack of publication are heavily in favour of the defendants and to continue with a full trial would involve expense out of all proportion to any possible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the Court of Appeal stated the law regarding suitability for summary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A summary trial is governed by R.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(previously R. 18A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Subrule (2) permits a party to an action, to which a Response to Civil Claim has been filed, to apply to the court for judgment under the rule, either on an issue or generally. In support or response to the application for a hearing by summary trial, subrule (5) provides that a party may tender evidence in a variety of forms: (i) affidavit; (ii) answers to interrogatories; (iii) examination for discovery transcripts; (iv) admissions; and (v) expert reports.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The scope of a summary trial application is set out in R. 9-7(15)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 summary trial application, the court may</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3"/>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terms respecting enforcement of the judgment, including a stay of execution, and</w:t>
      </w:r>
    </w:p>
    <w:p>
      <w:pPr>
        <w:numPr>
          <w:numId w:val="6"/>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In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the court confirmed that the court under this rule "tries the issues raised by the pleadings on affidavits", that "a triable issue or arguable defence will not always defeat a summary trial application", and that "cases will be decided summarily if the court is able to find the facts necessary for that purpose, </w:t>
      </w:r>
      <w:r>
        <w:rPr>
          <w:rFonts w:ascii="arial" w:eastAsia="arial" w:hAnsi="arial" w:cs="arial"/>
          <w:b/>
          <w:color w:val="000000"/>
          <w:sz w:val="20"/>
          <w:lang w:val="en-US" w:eastAsia="en-US" w:bidi="ar-SA"/>
        </w:rPr>
        <w:t>even though there may be disputed issues of fact and law" provided that the judge does not find "it is unjust to do so"</w:t>
      </w:r>
      <w:r>
        <w:rPr>
          <w:rFonts w:ascii="arial" w:eastAsia="arial" w:hAnsi="arial" w:cs="arial"/>
          <w:color w:val="000000"/>
          <w:sz w:val="20"/>
          <w:lang w:val="en-US" w:eastAsia="en-US" w:bidi="ar-SA"/>
        </w:rPr>
        <w:t xml:space="preserve"> (p. 211). In determining the latter issue (whether it would be unjust to proceed summarily), the Chief Justice identified a number of relevant factors to consider (at p. 215):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deciding whether it will be unjust to give judgment the chambers judge is entitled to consider, inter alia, the amount involved, the complexity of the matter, its urgency, any prejudice likely to arise by reason of delay, the cost of taking the case forward to a conventional trial in relation to the amount involved, the course of the proceedings and any other matters which arise for consideration on this important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To this list has been added other factors including the cost of the litigation and the time of the summary trial, whether credibility is a critical factor in the determination of the dispute, whether the summary trial may create an unnecessary complexity in the resolution of the dispute, and whether the application would result in litigating in slices: </w:t>
      </w:r>
      <w:r>
        <w:rPr>
          <w:rFonts w:ascii="arial" w:eastAsia="arial" w:hAnsi="arial" w:cs="arial"/>
          <w:i/>
          <w:color w:val="000000"/>
          <w:sz w:val="20"/>
          <w:lang w:val="en-US" w:eastAsia="en-US" w:bidi="ar-SA"/>
        </w:rPr>
        <w:t>Dahl v. Royal Bank of Canada et al</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2005 BCSC 1263</w:t>
        </w:r>
      </w:hyperlink>
      <w:r>
        <w:rPr>
          <w:rFonts w:ascii="arial" w:eastAsia="arial" w:hAnsi="arial" w:cs="arial"/>
          <w:color w:val="000000"/>
          <w:sz w:val="20"/>
          <w:lang w:val="en-US" w:eastAsia="en-US" w:bidi="ar-SA"/>
        </w:rPr>
        <w:t xml:space="preserve"> at para. 12, upheld on appeal at </w:t>
      </w:r>
      <w:hyperlink r:id="rId185" w:history="1">
        <w:r>
          <w:rPr>
            <w:rFonts w:ascii="arial" w:eastAsia="arial" w:hAnsi="arial" w:cs="arial"/>
            <w:i/>
            <w:color w:val="0077CC"/>
            <w:sz w:val="20"/>
            <w:u w:val="single"/>
            <w:shd w:val="clear" w:color="auto" w:fill="FFFFFF"/>
            <w:lang w:val="en-US" w:eastAsia="en-US" w:bidi="ar-SA"/>
          </w:rPr>
          <w:t>2006 BCCA 369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All parties to an action must come to a summary trial hearing prepared to prove their claim, or defence, as judgment may be granted in favour of any party, regardless of which party has brought the application, unless the judge concludes that he or she is unable to find the facts necessary to decide the issues or is of the view that it would be unjust to decide the issues in this manner. This requirement was underscored by Madam Justice Newbury in </w:t>
      </w:r>
      <w:r>
        <w:rPr>
          <w:rFonts w:ascii="arial" w:eastAsia="arial" w:hAnsi="arial" w:cs="arial"/>
          <w:i/>
          <w:color w:val="000000"/>
          <w:sz w:val="20"/>
          <w:lang w:val="en-US" w:eastAsia="en-US" w:bidi="ar-SA"/>
        </w:rPr>
        <w:t>Everest Canadian Properties Ltd. v. Mallmann</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2008 BCCA 275</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It is trite law that where an application for summary determination under Rule 18A is set down, the parties are obliged to take every reasonable step to put themselves in the best position possible. As this court noted in </w:t>
      </w:r>
      <w:r>
        <w:rPr>
          <w:rFonts w:ascii="arial" w:eastAsia="arial" w:hAnsi="arial" w:cs="arial"/>
          <w:i/>
          <w:color w:val="000000"/>
          <w:sz w:val="20"/>
          <w:lang w:val="en-US" w:eastAsia="en-US" w:bidi="ar-SA"/>
        </w:rPr>
        <w:t>Anglo Canadian Shipping Co. v. Pulp, Paper &amp; Woodworkers of Canada, Local 8</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(1988) 27 B.C.L.R. (2d) 378</w:t>
        </w:r>
      </w:hyperlink>
      <w:r>
        <w:rPr>
          <w:rFonts w:ascii="arial" w:eastAsia="arial" w:hAnsi="arial" w:cs="arial"/>
          <w:color w:val="000000"/>
          <w:sz w:val="20"/>
          <w:lang w:val="en-US" w:eastAsia="en-US" w:bidi="ar-SA"/>
        </w:rPr>
        <w:t xml:space="preserve"> (B.C.C.A.) at 382,</w:t>
      </w:r>
      <w:r>
        <w:rPr>
          <w:rFonts w:ascii="arial" w:eastAsia="arial" w:hAnsi="arial" w:cs="arial"/>
          <w:color w:val="000000"/>
          <w:sz w:val="20"/>
          <w:u w:val="single"/>
          <w:lang w:val="en-US" w:eastAsia="en-US" w:bidi="ar-SA"/>
        </w:rPr>
        <w:t xml:space="preserve">a party cannot, by failing to take such steps, frustrate the benefits of the summary trial process. Where the application is brought by a plaintiff, the defendant may not simply insist on a full trial in hopes that with the benefit of </w:t>
      </w:r>
      <w:r>
        <w:rPr>
          <w:rFonts w:ascii="arial" w:eastAsia="arial" w:hAnsi="arial" w:cs="arial"/>
          <w:i/>
          <w:color w:val="000000"/>
          <w:sz w:val="20"/>
          <w:u w:val="single"/>
          <w:lang w:val="en-US" w:eastAsia="en-US" w:bidi="ar-SA"/>
        </w:rPr>
        <w:t>viva voce</w:t>
      </w:r>
      <w:r>
        <w:rPr>
          <w:rFonts w:ascii="arial" w:eastAsia="arial" w:hAnsi="arial" w:cs="arial"/>
          <w:color w:val="000000"/>
          <w:sz w:val="20"/>
          <w:u w:val="single"/>
          <w:lang w:val="en-US" w:eastAsia="en-US" w:bidi="ar-SA"/>
        </w:rPr>
        <w:t xml:space="preserve"> evidence, 'something might turn up'</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Hamilton v. Sutherland</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(1992), 68 B.C.L.R. (2d) 115</w:t>
        </w:r>
      </w:hyperlink>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[1992] 5 W.W.R. 151</w:t>
        </w:r>
      </w:hyperlink>
      <w:r>
        <w:rPr>
          <w:rFonts w:ascii="arial" w:eastAsia="arial" w:hAnsi="arial" w:cs="arial"/>
          <w:color w:val="000000"/>
          <w:sz w:val="20"/>
          <w:lang w:val="en-US" w:eastAsia="en-US" w:bidi="ar-SA"/>
        </w:rPr>
        <w:t xml:space="preserve"> (B.C.C.A.) at paras. 66-7. </w:t>
      </w:r>
      <w:r>
        <w:rPr>
          <w:rFonts w:ascii="arial" w:eastAsia="arial" w:hAnsi="arial" w:cs="arial"/>
          <w:color w:val="000000"/>
          <w:sz w:val="20"/>
          <w:u w:val="single"/>
          <w:lang w:val="en-US" w:eastAsia="en-US" w:bidi="ar-SA"/>
        </w:rPr>
        <w:t>The same is true of a plaintiff where the defence has brought the R. 18A motion.</w:t>
      </w:r>
      <w:r>
        <w:rPr>
          <w:rFonts w:ascii="arial" w:eastAsia="arial" w:hAnsi="arial" w:cs="arial"/>
          <w:color w:val="000000"/>
          <w:sz w:val="20"/>
          <w:lang w:val="en-US" w:eastAsia="en-US" w:bidi="ar-SA"/>
        </w:rPr>
        <w:t xml:space="preserve">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[Bold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was a defamation case in which the Court of Appeal upheld the trial judge's decision to dismiss the action by way of summary trial. Even in defamation cases where there is conflicting affidavit evidence it is possible to proceed by way of summary trial: </w:t>
      </w:r>
      <w:r>
        <w:rPr>
          <w:rFonts w:ascii="arial" w:eastAsia="arial" w:hAnsi="arial" w:cs="arial"/>
          <w:i/>
          <w:color w:val="000000"/>
          <w:sz w:val="20"/>
          <w:lang w:val="en-US" w:eastAsia="en-US" w:bidi="ar-SA"/>
        </w:rPr>
        <w:t>McVeigh v. Boeriu</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2011 BCSC 400</w:t>
        </w:r>
      </w:hyperlink>
      <w:r>
        <w:rPr>
          <w:rFonts w:ascii="arial" w:eastAsia="arial" w:hAnsi="arial" w:cs="arial"/>
          <w:color w:val="000000"/>
          <w:sz w:val="20"/>
          <w:lang w:val="en-US" w:eastAsia="en-US" w:bidi="ar-SA"/>
        </w:rPr>
        <w:t xml:space="preserve"> at para. 54. Furthermore, though it may be tendered as evidence, completion of the discovery process is not always necessary before a summary trial may be granted: </w:t>
      </w:r>
      <w:r>
        <w:rPr>
          <w:rFonts w:ascii="arial" w:eastAsia="arial" w:hAnsi="arial" w:cs="arial"/>
          <w:i/>
          <w:color w:val="000000"/>
          <w:sz w:val="20"/>
          <w:lang w:val="en-US" w:eastAsia="en-US" w:bidi="ar-SA"/>
        </w:rPr>
        <w:t>Tassone v. Cardinal</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2014 BCCA 149</w:t>
        </w:r>
      </w:hyperlink>
      <w:r>
        <w:rPr>
          <w:rFonts w:ascii="arial" w:eastAsia="arial" w:hAnsi="arial" w:cs="arial"/>
          <w:color w:val="000000"/>
          <w:sz w:val="20"/>
          <w:lang w:val="en-US" w:eastAsia="en-US" w:bidi="ar-SA"/>
        </w:rPr>
        <w:t xml:space="preserve"> at para. 38-39.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This case turns not so much on what was alleged to have been said (the threat) as on the circumstances of its being published (on the one hand to Cst. Weeks in the report to the VPD, and on the other in the resignation request copied to two other directors of SignalChem which referred both to the threat and the understanding of Dr. Sanghera that Mr. Popat was then under criminal investigation). On the central issue of whether there was a defamatory communication in law I am satisfied that I can justly determine the facts necessary to decide this issue on the evidence before the Court on this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Defamation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Grant v. Torstar Corp.</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2009 SCC 61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the Supreme Court of Canada set out the framework for an action in defamation: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A plaintiff in a defamation action is required to prove three things to obtain judgment and an award of damages: (1) that the impugned words were defamatory, in the sense that they would tend to lower the plaintiff's reputation in the eyes of a reasonable person; (2) that the words in fact referred to the plaintiff; and (3) that the words were published, meaning that they were communicated to at least one person other than the plaintiff. If these elements are established on a balance of probabilities, falsity and damage are presumed, though this rule has been subject to strong criticism: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When such statements are written the action is for libel. Once the above elements are shown, the onus shifts to the defendant to provide a defence to escape liability. In this case the defendants deny that the statements were published.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Defamatory statements must be published to at least a single third party, who has received it, other than the plaintiff: </w:t>
      </w:r>
      <w:r>
        <w:rPr>
          <w:rFonts w:ascii="arial" w:eastAsia="arial" w:hAnsi="arial" w:cs="arial"/>
          <w:i/>
          <w:color w:val="000000"/>
          <w:sz w:val="20"/>
          <w:lang w:val="en-US" w:eastAsia="en-US" w:bidi="ar-SA"/>
        </w:rPr>
        <w:t>Crookes v. Newton</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2011 SCC 47</w:t>
        </w:r>
      </w:hyperlink>
      <w:r>
        <w:rPr>
          <w:rFonts w:ascii="arial" w:eastAsia="arial" w:hAnsi="arial" w:cs="arial"/>
          <w:color w:val="000000"/>
          <w:sz w:val="20"/>
          <w:lang w:val="en-US" w:eastAsia="en-US" w:bidi="ar-SA"/>
        </w:rPr>
        <w:t xml:space="preserve"> at para. 16. There is also authority for the proposition that the third party must be someone other than a defendant or plaintiff: see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2012 BCSC 693</w:t>
        </w:r>
      </w:hyperlink>
      <w:r>
        <w:rPr>
          <w:rFonts w:ascii="arial" w:eastAsia="arial" w:hAnsi="arial" w:cs="arial"/>
          <w:color w:val="000000"/>
          <w:sz w:val="20"/>
          <w:lang w:val="en-US" w:eastAsia="en-US" w:bidi="ar-SA"/>
        </w:rPr>
        <w:t xml:space="preserve"> at paras. 35 and 40 (aff'd at </w:t>
      </w:r>
      <w:hyperlink r:id="rId182"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where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Thus in this summary trial, the onus was on Mr. Gichuru to establish publication. There are two aspects to publication: an act on the part of the defendant; which communicates the defamatory expression to a third party, see R.D. McConchie &amp; D.A. Potts, </w:t>
      </w:r>
      <w:r>
        <w:rPr>
          <w:rFonts w:ascii="arial" w:eastAsia="arial" w:hAnsi="arial" w:cs="arial"/>
          <w:i/>
          <w:color w:val="000000"/>
          <w:sz w:val="20"/>
          <w:lang w:val="en-US" w:eastAsia="en-US" w:bidi="ar-SA"/>
        </w:rPr>
        <w:t>Canadian Libel and Slander Actions</w:t>
      </w:r>
      <w:r>
        <w:rPr>
          <w:rFonts w:ascii="arial" w:eastAsia="arial" w:hAnsi="arial" w:cs="arial"/>
          <w:color w:val="000000"/>
          <w:sz w:val="20"/>
          <w:lang w:val="en-US" w:eastAsia="en-US" w:bidi="ar-SA"/>
        </w:rPr>
        <w:t>, (Toronto: Irwin Law, 2004) at pg. 257-258.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w:t>
      </w:r>
      <w:r>
        <w:rPr>
          <w:rFonts w:ascii="arial" w:eastAsia="arial" w:hAnsi="arial" w:cs="arial"/>
          <w:color w:val="000000"/>
          <w:sz w:val="20"/>
          <w:u w:val="single"/>
          <w:lang w:val="en-US" w:eastAsia="en-US" w:bidi="ar-SA"/>
        </w:rPr>
        <w:t>The defendants adduced evidence given by Mr. Gichuru at his examination for discovery that he did not know of anyone other than the parties and their counsel who had read the allegedly defamatory post. Mr. Gichuru adduced no evidence to the contrary at the summary trial in relation to this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w:t>
      </w:r>
      <w:r>
        <w:rPr>
          <w:rFonts w:ascii="arial" w:eastAsia="arial" w:hAnsi="arial" w:cs="arial"/>
          <w:color w:val="000000"/>
          <w:sz w:val="20"/>
          <w:u w:val="single"/>
          <w:lang w:val="en-US" w:eastAsia="en-US" w:bidi="ar-SA"/>
        </w:rPr>
        <w:t>In the result, I conclude that Mr. Gichuru has not met his onus of proof to establish that the defendants, or any of them, published the Defamatory Statement. On that basis the action is dismissed.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does not claim that there was any defamation in the initial report by Mr. MacLellan to the other defendants, prior to them sending the email. There is no third party, aside from the named defendants, which is mentioned in either the notice of claim, submission, or sole affidavit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only exception to the lack of third party is, perhaps, Cst. Weeks. However, not only must the plaintiff claiming defamation provide the exact words complained of for the action to proceed (</w:t>
      </w:r>
      <w:r>
        <w:rPr>
          <w:rFonts w:ascii="arial" w:eastAsia="arial" w:hAnsi="arial" w:cs="arial"/>
          <w:i/>
          <w:color w:val="000000"/>
          <w:sz w:val="20"/>
          <w:lang w:val="en-US" w:eastAsia="en-US" w:bidi="ar-SA"/>
        </w:rPr>
        <w:t>Sime v. Jupp</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2009 BCSC 1154</w:t>
        </w:r>
      </w:hyperlink>
      <w:r>
        <w:rPr>
          <w:rFonts w:ascii="arial" w:eastAsia="arial" w:hAnsi="arial" w:cs="arial"/>
          <w:color w:val="000000"/>
          <w:sz w:val="20"/>
          <w:lang w:val="en-US" w:eastAsia="en-US" w:bidi="ar-SA"/>
        </w:rPr>
        <w:t xml:space="preserve"> at paras. 13 &amp; 24), which was not done in this case, but the statement to Cst. Weeks was only with regards to the threat, not the statement regarding criminal investigation. As will be seen below the statement regarding the threat falls under the defence of justification, and an honest statement to a police officer is also protected by qualified privilege (</w:t>
      </w:r>
      <w:r>
        <w:rPr>
          <w:rFonts w:ascii="arial" w:eastAsia="arial" w:hAnsi="arial" w:cs="arial"/>
          <w:i/>
          <w:color w:val="000000"/>
          <w:sz w:val="20"/>
          <w:lang w:val="en-US" w:eastAsia="en-US" w:bidi="ar-SA"/>
        </w:rPr>
        <w:t>Mullins v. Beneteau</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[1996] O.J. No. 2784</w:t>
        </w:r>
      </w:hyperlink>
      <w:r>
        <w:rPr>
          <w:rFonts w:ascii="arial" w:eastAsia="arial" w:hAnsi="arial" w:cs="arial"/>
          <w:color w:val="000000"/>
          <w:sz w:val="20"/>
          <w:lang w:val="en-US" w:eastAsia="en-US" w:bidi="ar-SA"/>
        </w:rPr>
        <w:t xml:space="preserve"> (Sup. Ct.) [</w:t>
      </w:r>
      <w:r>
        <w:rPr>
          <w:rFonts w:ascii="arial" w:eastAsia="arial" w:hAnsi="arial" w:cs="arial"/>
          <w:i/>
          <w:color w:val="000000"/>
          <w:sz w:val="20"/>
          <w:lang w:val="en-US" w:eastAsia="en-US" w:bidi="ar-SA"/>
        </w:rPr>
        <w:t>Mullins</w:t>
      </w:r>
      <w:r>
        <w:rPr>
          <w:rFonts w:ascii="arial" w:eastAsia="arial" w:hAnsi="arial" w:cs="arial"/>
          <w:color w:val="000000"/>
          <w:sz w:val="20"/>
          <w:lang w:val="en-US" w:eastAsia="en-US" w:bidi="ar-SA"/>
        </w:rPr>
        <w:t>]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well, the email at issue in this case actually speaks as a 'we', and thus arguably the party making the alleged statements is the directors of SignalChem. This too supports a finding that the statements in the email were not published to a third party. In fact, the plaintiff says in the notice of claim that the defendants were engaged in a "joint enterprise" in the defamation and hence they are all liable. In submissions, the plaintiff made no argument about this, but just said that defamation is admitted and moved on with defences. However, defamation is not admitted by the defendants. It is important to repeat here that the onus is on the plaintiff to establish the required elements of the tort of defamation.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issue in this case is whether certain facts alleged by one or all of the defendants are defamatory: whether the threat was made, and whether the plaintiff was under criminal investigation. In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the Supreme Court of Canada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Where statements of fact are at issue, usually only two defences are available: the defence that the statement was substantially true (justification); and the defence that the statement was made in a protected context (privilege). ...</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Justification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Directly following the above quote, at para. 33, the Court in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stated the test for the defence of justification: "To succeed on the defence of justification, a defendant must adduce evidence showing that the statement was substantially true." In </w:t>
      </w:r>
      <w:r>
        <w:rPr>
          <w:rFonts w:ascii="arial" w:eastAsia="arial" w:hAnsi="arial" w:cs="arial"/>
          <w:i/>
          <w:color w:val="000000"/>
          <w:sz w:val="20"/>
          <w:lang w:val="en-US" w:eastAsia="en-US" w:bidi="ar-SA"/>
        </w:rPr>
        <w:t>Cimolai v. Hall et al.</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2005 BCSC 31</w:t>
        </w:r>
      </w:hyperlink>
      <w:r>
        <w:rPr>
          <w:rFonts w:ascii="arial" w:eastAsia="arial" w:hAnsi="arial" w:cs="arial"/>
          <w:color w:val="000000"/>
          <w:sz w:val="20"/>
          <w:lang w:val="en-US" w:eastAsia="en-US" w:bidi="ar-SA"/>
        </w:rPr>
        <w:t xml:space="preserve">, aff'd at </w:t>
      </w:r>
      <w:hyperlink r:id="rId195" w:history="1">
        <w:r>
          <w:rPr>
            <w:rFonts w:ascii="arial" w:eastAsia="arial" w:hAnsi="arial" w:cs="arial"/>
            <w:i/>
            <w:color w:val="0077CC"/>
            <w:sz w:val="20"/>
            <w:u w:val="single"/>
            <w:shd w:val="clear" w:color="auto" w:fill="FFFFFF"/>
            <w:lang w:val="en-US" w:eastAsia="en-US" w:bidi="ar-SA"/>
          </w:rPr>
          <w:t>2007 BCCA 225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Cimolai</w:t>
      </w:r>
      <w:r>
        <w:rPr>
          <w:rFonts w:ascii="arial" w:eastAsia="arial" w:hAnsi="arial" w:cs="arial"/>
          <w:color w:val="000000"/>
          <w:sz w:val="20"/>
          <w:lang w:val="en-US" w:eastAsia="en-US" w:bidi="ar-SA"/>
        </w:rPr>
        <w:t>], the trial judge discussed this defence in the context of comments made by some employees about another employee to their superior: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172 What is required to be proven is not the truth of each and every word or the literal truth of the statement, but rather the truth of the substance of the allegation or the sting of the charge: </w:t>
      </w:r>
      <w:r>
        <w:rPr>
          <w:rFonts w:ascii="arial" w:eastAsia="arial" w:hAnsi="arial" w:cs="arial"/>
          <w:i/>
          <w:color w:val="000000"/>
          <w:sz w:val="20"/>
          <w:lang w:val="en-US" w:eastAsia="en-US" w:bidi="ar-SA"/>
        </w:rPr>
        <w:t>Bank of British Columbia v. Canadian Broadcasting Corp.</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(1995), 126 D.L.R. (4th) 644</w:t>
        </w:r>
      </w:hyperlink>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10 B.C.L.R. (3d) 201</w:t>
        </w:r>
      </w:hyperlink>
      <w:r>
        <w:rPr>
          <w:rFonts w:ascii="arial" w:eastAsia="arial" w:hAnsi="arial" w:cs="arial"/>
          <w:color w:val="000000"/>
          <w:sz w:val="20"/>
          <w:lang w:val="en-US" w:eastAsia="en-US" w:bidi="ar-SA"/>
        </w:rPr>
        <w:t xml:space="preserve"> at [paragraph] 57 (C.A.); </w:t>
      </w:r>
      <w:r>
        <w:rPr>
          <w:rFonts w:ascii="arial" w:eastAsia="arial" w:hAnsi="arial" w:cs="arial"/>
          <w:i/>
          <w:color w:val="000000"/>
          <w:sz w:val="20"/>
          <w:lang w:val="en-US" w:eastAsia="en-US" w:bidi="ar-SA"/>
        </w:rPr>
        <w:t>P.G. Restaurant Ltd. v. Northern Interior Regional Health Board</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(2004), 25 B.C.L.R. (4th) 242</w:t>
        </w:r>
      </w:hyperlink>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2004 BCSC 294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173 Where the gist or sting of the charge is proven to be true, minor inaccuracies do not defeat the defence of justification</w:t>
      </w:r>
      <w:r>
        <w:rPr>
          <w:rFonts w:ascii="arial" w:eastAsia="arial" w:hAnsi="arial" w:cs="arial"/>
          <w:i/>
          <w:color w:val="000000"/>
          <w:sz w:val="20"/>
          <w:lang w:val="en-US" w:eastAsia="en-US" w:bidi="ar-SA"/>
        </w:rPr>
        <w:t>: Hodgson v. Canadian Newspapers Co. Ltd.</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(1998), 39 O.R. (3d) 235</w:t>
        </w:r>
      </w:hyperlink>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[1998] O.J. No. 2682</w:t>
        </w:r>
      </w:hyperlink>
      <w:r>
        <w:rPr>
          <w:rFonts w:ascii="arial" w:eastAsia="arial" w:hAnsi="arial" w:cs="arial"/>
          <w:color w:val="000000"/>
          <w:sz w:val="20"/>
          <w:lang w:val="en-US" w:eastAsia="en-US" w:bidi="ar-SA"/>
        </w:rPr>
        <w:t xml:space="preserve"> (Gen. Div.). Conversely, if the overall impression of the publication is false, the defence fails even if some or even all of the literal words are proven to be true. Half-truths can be just as damaging as outright falsehoods, and their effect may be even more severe because they can be more difficult to explain: </w:t>
      </w:r>
      <w:r>
        <w:rPr>
          <w:rFonts w:ascii="arial" w:eastAsia="arial" w:hAnsi="arial" w:cs="arial"/>
          <w:i/>
          <w:color w:val="000000"/>
          <w:sz w:val="20"/>
          <w:lang w:val="en-US" w:eastAsia="en-US" w:bidi="ar-SA"/>
        </w:rPr>
        <w:t>Trozzo Holdings Ltd. v. M.V.S. Construction Ltd.</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(2002), 18 C.L.R. (3d) 159</w:t>
        </w:r>
      </w:hyperlink>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2002 BCSC 1202</w:t>
        </w:r>
      </w:hyperlink>
      <w:r>
        <w:rPr>
          <w:rFonts w:ascii="arial" w:eastAsia="arial" w:hAnsi="arial" w:cs="arial"/>
          <w:color w:val="000000"/>
          <w:sz w:val="20"/>
          <w:lang w:val="en-US" w:eastAsia="en-US" w:bidi="ar-SA"/>
        </w:rPr>
        <w:t xml:space="preserve"> at [paragraph] 92; </w:t>
      </w:r>
      <w:r>
        <w:rPr>
          <w:rFonts w:ascii="arial" w:eastAsia="arial" w:hAnsi="arial" w:cs="arial"/>
          <w:i/>
          <w:color w:val="000000"/>
          <w:sz w:val="20"/>
          <w:lang w:val="en-US" w:eastAsia="en-US" w:bidi="ar-SA"/>
        </w:rPr>
        <w:t>Roberge v. Tribune Publishers Limited</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(1977), 20 N.B.R. (2d) 381</w:t>
        </w:r>
      </w:hyperlink>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[1977] N.B.J. No. 299</w:t>
        </w:r>
      </w:hyperlink>
      <w:r>
        <w:rPr>
          <w:rFonts w:ascii="arial" w:eastAsia="arial" w:hAnsi="arial" w:cs="arial"/>
          <w:color w:val="000000"/>
          <w:sz w:val="20"/>
          <w:lang w:val="en-US" w:eastAsia="en-US" w:bidi="ar-SA"/>
        </w:rPr>
        <w:t xml:space="preserve"> at [paragraph] 6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burden of proving the truth of the statement rests on the defendant, as falsity is presumed once the elements of defamation are established. The Court is to look at the "natural and ordinary" meaning of the words and the impression they would have on readers or listeners (</w:t>
      </w:r>
      <w:r>
        <w:rPr>
          <w:rFonts w:ascii="arial" w:eastAsia="arial" w:hAnsi="arial" w:cs="arial"/>
          <w:i/>
          <w:color w:val="000000"/>
          <w:sz w:val="20"/>
          <w:lang w:val="en-US" w:eastAsia="en-US" w:bidi="ar-SA"/>
        </w:rPr>
        <w:t>Cimolai</w:t>
      </w:r>
      <w:r>
        <w:rPr>
          <w:rFonts w:ascii="arial" w:eastAsia="arial" w:hAnsi="arial" w:cs="arial"/>
          <w:color w:val="000000"/>
          <w:sz w:val="20"/>
          <w:lang w:val="en-US" w:eastAsia="en-US" w:bidi="ar-SA"/>
        </w:rPr>
        <w:t xml:space="preserve"> at para. 179). The Court in </w:t>
      </w:r>
      <w:r>
        <w:rPr>
          <w:rFonts w:ascii="arial" w:eastAsia="arial" w:hAnsi="arial" w:cs="arial"/>
          <w:i/>
          <w:color w:val="000000"/>
          <w:sz w:val="20"/>
          <w:lang w:val="en-US" w:eastAsia="en-US" w:bidi="ar-SA"/>
        </w:rPr>
        <w:t>Cimolai</w:t>
      </w:r>
      <w:r>
        <w:rPr>
          <w:rFonts w:ascii="arial" w:eastAsia="arial" w:hAnsi="arial" w:cs="arial"/>
          <w:color w:val="000000"/>
          <w:sz w:val="20"/>
          <w:lang w:val="en-US" w:eastAsia="en-US" w:bidi="ar-SA"/>
        </w:rPr>
        <w:t xml:space="preserve"> found that the defendants had shown all but one statement where justification was pleaded were shown to be true, and for the last one and those where justification was not pleaded, the defence of qualified privilege protected the statements.</w:t>
      </w:r>
      <w:r>
        <w:rPr>
          <w:rFonts w:ascii="arial" w:eastAsia="arial" w:hAnsi="arial" w:cs="arial"/>
          <w:sz w:val="20"/>
          <w:lang w:val="en-US" w:eastAsia="en-US" w:bidi="ar-SA"/>
        </w:rPr>
        <w:cr/>
      </w:r>
    </w:p>
    <w:p>
      <w:pPr>
        <w:numPr>
          <w:numId w:val="8"/>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Woods v. Plewes</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2014 BCSC 318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Woods</w:t>
      </w:r>
      <w:r>
        <w:rPr>
          <w:rFonts w:ascii="arial" w:eastAsia="arial" w:hAnsi="arial" w:cs="arial"/>
          <w:color w:val="000000"/>
          <w:sz w:val="20"/>
          <w:lang w:val="en-US" w:eastAsia="en-US" w:bidi="ar-SA"/>
        </w:rPr>
        <w:t>], Macaulay J. summarized the law regarding qualified privilege: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Where it applies, qualified privilege provides a complete defence to a claim in defamation. A defendant, who can claim that a communication was made on an occasion of qualified privilege, is protected from liability for publishing defamatory and untrue statements about the plaintiff: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at para. 144; </w:t>
      </w:r>
      <w:r>
        <w:rPr>
          <w:rFonts w:ascii="arial" w:eastAsia="arial" w:hAnsi="arial" w:cs="arial"/>
          <w:i/>
          <w:color w:val="000000"/>
          <w:sz w:val="20"/>
          <w:lang w:val="en-US" w:eastAsia="en-US" w:bidi="ar-SA"/>
        </w:rPr>
        <w:t>Botiuk v. Toronto Free Press Publications Ltd.</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[1995] 3 S.C.R. 3</w:t>
        </w:r>
      </w:hyperlink>
      <w:r>
        <w:rPr>
          <w:rFonts w:ascii="arial" w:eastAsia="arial" w:hAnsi="arial" w:cs="arial"/>
          <w:color w:val="000000"/>
          <w:sz w:val="20"/>
          <w:lang w:val="en-US" w:eastAsia="en-US" w:bidi="ar-SA"/>
        </w:rPr>
        <w:t xml:space="preserve"> at paras. 78-80.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The privilege arises from the occasion on which a communication is made, not the communication itself. The Supreme Court of Canada has held that an occasion is subject to qualified privilege where: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person who makes a communication has an interest or duty, legal, social or moral, to make it to the person to whom it is made, and the person to whom it is so made has a corresponding duty or interest to receive it. The reciprocity is essential.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143, quoting </w:t>
      </w:r>
      <w:r>
        <w:rPr>
          <w:rFonts w:ascii="arial" w:eastAsia="arial" w:hAnsi="arial" w:cs="arial"/>
          <w:i/>
          <w:color w:val="000000"/>
          <w:sz w:val="20"/>
          <w:lang w:val="en-US" w:eastAsia="en-US" w:bidi="ar-SA"/>
        </w:rPr>
        <w:t>Adam v. Ward</w:t>
      </w:r>
      <w:r>
        <w:rPr>
          <w:rFonts w:ascii="arial" w:eastAsia="arial" w:hAnsi="arial" w:cs="arial"/>
          <w:color w:val="000000"/>
          <w:sz w:val="20"/>
          <w:lang w:val="en-US" w:eastAsia="en-US" w:bidi="ar-SA"/>
        </w:rPr>
        <w:t>, [1917] A.C. 309 (H.L.) at 334. The privilege has the effect of rebutting the normal inference, arising from defamatory publications, that the statements were published with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"interest" which gives rises to the privilege "should not be viewed technically or narrowly"; it may be "personal, social, </w:t>
      </w:r>
      <w:r>
        <w:rPr>
          <w:rFonts w:ascii="arial" w:eastAsia="arial" w:hAnsi="arial" w:cs="arial"/>
          <w:color w:val="000000"/>
          <w:sz w:val="20"/>
          <w:u w:val="single"/>
          <w:lang w:val="en-US" w:eastAsia="en-US" w:bidi="ar-SA"/>
        </w:rPr>
        <w:t>business</w:t>
      </w:r>
      <w:r>
        <w:rPr>
          <w:rFonts w:ascii="arial" w:eastAsia="arial" w:hAnsi="arial" w:cs="arial"/>
          <w:color w:val="000000"/>
          <w:sz w:val="20"/>
          <w:lang w:val="en-US" w:eastAsia="en-US" w:bidi="ar-SA"/>
        </w:rPr>
        <w:t>, financial, or legal" [emphasis added] and should be assessed with reference to the context in which the statements are made (</w:t>
      </w:r>
      <w:r>
        <w:rPr>
          <w:rFonts w:ascii="arial" w:eastAsia="arial" w:hAnsi="arial" w:cs="arial"/>
          <w:i/>
          <w:color w:val="000000"/>
          <w:sz w:val="20"/>
          <w:lang w:val="en-US" w:eastAsia="en-US" w:bidi="ar-SA"/>
        </w:rPr>
        <w:t>RTC Engineering Consultants Ltd. v. Ontario (Ministry of Solicitor General and Correctional Services</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(2002), 58 O.R. (3d) 726</w:t>
        </w:r>
      </w:hyperlink>
      <w:r>
        <w:rPr>
          <w:rFonts w:ascii="arial" w:eastAsia="arial" w:hAnsi="arial" w:cs="arial"/>
          <w:color w:val="000000"/>
          <w:sz w:val="20"/>
          <w:lang w:val="en-US" w:eastAsia="en-US" w:bidi="ar-SA"/>
        </w:rPr>
        <w:t xml:space="preserve"> at para. 16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standard for establishing an interest or duty is an objective one; the Court asks whether "persons of ordinary intelligence and moral principle, or the great majority of right-minded persons, would have considered it a duty to communicate the information to those to whom it was published": </w:t>
      </w:r>
      <w:r>
        <w:rPr>
          <w:rFonts w:ascii="arial" w:eastAsia="arial" w:hAnsi="arial" w:cs="arial"/>
          <w:i/>
          <w:color w:val="000000"/>
          <w:sz w:val="20"/>
          <w:lang w:val="en-US" w:eastAsia="en-US" w:bidi="ar-SA"/>
        </w:rPr>
        <w:t>Mann v. International Association of Machinists and Aerospace Workers</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2012 BCSC 181</w:t>
        </w:r>
      </w:hyperlink>
      <w:r>
        <w:rPr>
          <w:rFonts w:ascii="arial" w:eastAsia="arial" w:hAnsi="arial" w:cs="arial"/>
          <w:color w:val="000000"/>
          <w:sz w:val="20"/>
          <w:lang w:val="en-US" w:eastAsia="en-US" w:bidi="ar-SA"/>
        </w:rPr>
        <w:t xml:space="preserve"> at para. 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Woods</w:t>
      </w:r>
      <w:r>
        <w:rPr>
          <w:rFonts w:ascii="arial" w:eastAsia="arial" w:hAnsi="arial" w:cs="arial"/>
          <w:color w:val="000000"/>
          <w:sz w:val="20"/>
          <w:lang w:val="en-US" w:eastAsia="en-US" w:bidi="ar-SA"/>
        </w:rPr>
        <w:t>, the plaintiff claimed that the defendants, all of whom were university employees, libelled her by writing and distributing a document containing defamatory statements directed at the plaintiff. The Court discussed qualified privilege in an employment setting: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 Courts in this province have held that communications regarding employment are, generally speaking, made on occasions of qualified privilege. In </w:t>
      </w:r>
      <w:r>
        <w:rPr>
          <w:rFonts w:ascii="arial" w:eastAsia="arial" w:hAnsi="arial" w:cs="arial"/>
          <w:i/>
          <w:color w:val="000000"/>
          <w:sz w:val="20"/>
          <w:lang w:val="en-US" w:eastAsia="en-US" w:bidi="ar-SA"/>
        </w:rPr>
        <w:t>M.D.A. Marine Design Associates Ltd. v. British Columbia Ferry Services Inc.</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2008 BCSC 1432</w:t>
        </w:r>
      </w:hyperlink>
      <w:r>
        <w:rPr>
          <w:rFonts w:ascii="arial" w:eastAsia="arial" w:hAnsi="arial" w:cs="arial"/>
          <w:color w:val="000000"/>
          <w:sz w:val="20"/>
          <w:lang w:val="en-US" w:eastAsia="en-US" w:bidi="ar-SA"/>
        </w:rPr>
        <w:t xml:space="preserve"> at para. 25, the court affirmed that communications between "appropriate company personnel, involving the ordinary business affairs of the company" are protected by the privilege. See also </w:t>
      </w:r>
      <w:r>
        <w:rPr>
          <w:rFonts w:ascii="arial" w:eastAsia="arial" w:hAnsi="arial" w:cs="arial"/>
          <w:i/>
          <w:color w:val="000000"/>
          <w:sz w:val="20"/>
          <w:lang w:val="en-US" w:eastAsia="en-US" w:bidi="ar-SA"/>
        </w:rPr>
        <w:t>Dawydiuk v. Insurance Corporation of British Columbia</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2009 BCSC 1259</w:t>
        </w:r>
      </w:hyperlink>
      <w:r>
        <w:rPr>
          <w:rFonts w:ascii="arial" w:eastAsia="arial" w:hAnsi="arial" w:cs="arial"/>
          <w:color w:val="000000"/>
          <w:sz w:val="20"/>
          <w:lang w:val="en-US" w:eastAsia="en-US" w:bidi="ar-SA"/>
        </w:rPr>
        <w:t xml:space="preserve">, rev'd on another point, </w:t>
      </w:r>
      <w:hyperlink r:id="rId208" w:history="1">
        <w:r>
          <w:rPr>
            <w:rFonts w:ascii="arial" w:eastAsia="arial" w:hAnsi="arial" w:cs="arial"/>
            <w:i/>
            <w:color w:val="0077CC"/>
            <w:sz w:val="20"/>
            <w:u w:val="single"/>
            <w:shd w:val="clear" w:color="auto" w:fill="FFFFFF"/>
            <w:lang w:val="en-US" w:eastAsia="en-US" w:bidi="ar-SA"/>
          </w:rPr>
          <w:t>2010 BCCA 353</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The defence of qualified privilege is meant to promote the giving and receiving of uninhibited communications in circumstances where the public interest requires a free exchange of information: </w:t>
      </w:r>
      <w:r>
        <w:rPr>
          <w:rFonts w:ascii="arial" w:eastAsia="arial" w:hAnsi="arial" w:cs="arial"/>
          <w:i/>
          <w:color w:val="000000"/>
          <w:sz w:val="20"/>
          <w:lang w:val="en-US" w:eastAsia="en-US" w:bidi="ar-SA"/>
        </w:rPr>
        <w:t>Cimolai v. Hall et al</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2005 BCSC 31</w:t>
        </w:r>
      </w:hyperlink>
      <w:r>
        <w:rPr>
          <w:rFonts w:ascii="arial" w:eastAsia="arial" w:hAnsi="arial" w:cs="arial"/>
          <w:color w:val="000000"/>
          <w:sz w:val="20"/>
          <w:lang w:val="en-US" w:eastAsia="en-US" w:bidi="ar-SA"/>
        </w:rPr>
        <w:t xml:space="preserve"> at para. 77, aff'd </w:t>
      </w:r>
      <w:hyperlink r:id="rId195" w:history="1">
        <w:r>
          <w:rPr>
            <w:rFonts w:ascii="arial" w:eastAsia="arial" w:hAnsi="arial" w:cs="arial"/>
            <w:i/>
            <w:color w:val="0077CC"/>
            <w:sz w:val="20"/>
            <w:u w:val="single"/>
            <w:shd w:val="clear" w:color="auto" w:fill="FFFFFF"/>
            <w:lang w:val="en-US" w:eastAsia="en-US" w:bidi="ar-SA"/>
          </w:rPr>
          <w:t>2007 BCCA 225</w:t>
        </w:r>
      </w:hyperlink>
      <w:r>
        <w:rPr>
          <w:rFonts w:ascii="arial" w:eastAsia="arial" w:hAnsi="arial" w:cs="arial"/>
          <w:color w:val="000000"/>
          <w:sz w:val="20"/>
          <w:lang w:val="en-US" w:eastAsia="en-US" w:bidi="ar-SA"/>
        </w:rPr>
        <w:t>. That protection is necessary in the workplace, as candid communication between company personnel is necessary for effective business operations. Employees and employers alike have an interest and duty in exchanging information that touches on the proper functioning of the business, including relations between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Woods</w:t>
      </w:r>
      <w:r>
        <w:rPr>
          <w:rFonts w:ascii="arial" w:eastAsia="arial" w:hAnsi="arial" w:cs="arial"/>
          <w:color w:val="000000"/>
          <w:sz w:val="20"/>
          <w:lang w:val="en-US" w:eastAsia="en-US" w:bidi="ar-SA"/>
        </w:rPr>
        <w:t>, the Court found that the statements were made by an employee to his supervisors to deal with workplace issues, which was a situation requiring free and candid exchange of information, and both parties had a legitimate interest in making and receiving the statements. The Court found that the statements did not exceed the limits of the duty to communicate, nor was it motivated by express or actual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As with the employment context in </w:t>
      </w:r>
      <w:r>
        <w:rPr>
          <w:rFonts w:ascii="arial" w:eastAsia="arial" w:hAnsi="arial" w:cs="arial"/>
          <w:i/>
          <w:color w:val="000000"/>
          <w:sz w:val="20"/>
          <w:lang w:val="en-US" w:eastAsia="en-US" w:bidi="ar-SA"/>
        </w:rPr>
        <w:t>Woods</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Cimolai</w:t>
      </w:r>
      <w:r>
        <w:rPr>
          <w:rFonts w:ascii="arial" w:eastAsia="arial" w:hAnsi="arial" w:cs="arial"/>
          <w:color w:val="000000"/>
          <w:sz w:val="20"/>
          <w:lang w:val="en-US" w:eastAsia="en-US" w:bidi="ar-SA"/>
        </w:rPr>
        <w:t xml:space="preserve">, it has been held that communication between directors of a company attracts privilege. In </w:t>
      </w:r>
      <w:r>
        <w:rPr>
          <w:rFonts w:ascii="arial" w:eastAsia="arial" w:hAnsi="arial" w:cs="arial"/>
          <w:i/>
          <w:color w:val="000000"/>
          <w:sz w:val="20"/>
          <w:lang w:val="en-US" w:eastAsia="en-US" w:bidi="ar-SA"/>
        </w:rPr>
        <w:t>McQuaig v. Harbour Financial Inc</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2009 ABQB 678</w:t>
        </w:r>
      </w:hyperlink>
      <w:r>
        <w:rPr>
          <w:rFonts w:ascii="arial" w:eastAsia="arial" w:hAnsi="arial" w:cs="arial"/>
          <w:color w:val="000000"/>
          <w:sz w:val="20"/>
          <w:lang w:val="en-US" w:eastAsia="en-US" w:bidi="ar-SA"/>
        </w:rPr>
        <w:t>,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86 Communications between shareholders and a board of directors or among shareholders for the purpose of raising issues of incompetence or potential dishonesty on behalf of company management are recognized as being made on an occasion of qualified privilege, although it has been held that communications on a website where there was a risk of significant exposure to persons who did not have an interest in the information exceeded the bounds of qualified privilege: </w:t>
      </w:r>
      <w:r>
        <w:rPr>
          <w:rFonts w:ascii="arial" w:eastAsia="arial" w:hAnsi="arial" w:cs="arial"/>
          <w:i/>
          <w:color w:val="000000"/>
          <w:sz w:val="20"/>
          <w:lang w:val="en-US" w:eastAsia="en-US" w:bidi="ar-SA"/>
        </w:rPr>
        <w:t>Angle v. Lapierre</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[2008] A.J. 298</w:t>
        </w:r>
      </w:hyperlink>
      <w:r>
        <w:rPr>
          <w:rFonts w:ascii="arial" w:eastAsia="arial" w:hAnsi="arial" w:cs="arial"/>
          <w:color w:val="000000"/>
          <w:sz w:val="20"/>
          <w:lang w:val="en-US" w:eastAsia="en-US" w:bidi="ar-SA"/>
        </w:rPr>
        <w:t xml:space="preserve"> at para. 16. That is not the case here: there was no evidence that the Stockhouse website, while open to all subscribers, was accessed by a broad spectrum of the public other than investors or potential investors in IHP.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Wang v. British Columbia Medical Association</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2014 BCCA 162</w:t>
        </w:r>
      </w:hyperlink>
      <w:r>
        <w:rPr>
          <w:rFonts w:ascii="arial" w:eastAsia="arial" w:hAnsi="arial" w:cs="arial"/>
          <w:color w:val="000000"/>
          <w:sz w:val="20"/>
          <w:lang w:val="en-US" w:eastAsia="en-US" w:bidi="ar-SA"/>
        </w:rPr>
        <w:t>, the plaintiff appellant appealed the dismissal of her defamation claim against the British Columbia Medical Association (BCMA). The plaintiff was a member of the Board when she became concerned the Board was not adequately serving members of the BCMA. Board members became concerned with Wang's repeated disclosures of Board discussions, in contravention of the Board's Code of Conduct. The Board decided to launch a complaint against the plaintiff with the BCMA's Code of Conduct Committee. The president sent a letter to the BCMA membership informing members of the complaint against Wang. She claimed this letter and other related communications were defamatory. The trial judge held the letter was defamatory, but that it was protected by qualified privilege as it was not motivated by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Court of Appeal upheld the trial judge's finding that the Board had an interest in informing its members, as the governing body of the BCMA and the plaintiff as a member of that Board, and the members had an interest in receiving the information. Thus qualified privilege applied (at para. 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With regards to statements made to a police officer, though those statements are not protected by absolute privilege, they do fall under within the scope of a qualified privilege. In </w:t>
      </w:r>
      <w:r>
        <w:rPr>
          <w:rFonts w:ascii="arial" w:eastAsia="arial" w:hAnsi="arial" w:cs="arial"/>
          <w:i/>
          <w:color w:val="000000"/>
          <w:sz w:val="20"/>
          <w:lang w:val="en-US" w:eastAsia="en-US" w:bidi="ar-SA"/>
        </w:rPr>
        <w:t>Mullins</w:t>
      </w:r>
      <w:r>
        <w:rPr>
          <w:rFonts w:ascii="arial" w:eastAsia="arial" w:hAnsi="arial" w:cs="arial"/>
          <w:color w:val="000000"/>
          <w:sz w:val="20"/>
          <w:lang w:val="en-US" w:eastAsia="en-US" w:bidi="ar-SA"/>
        </w:rPr>
        <w:t xml:space="preserve">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Counsel for the plaintiff has referred the court to </w:t>
      </w:r>
      <w:r>
        <w:rPr>
          <w:rFonts w:ascii="arial" w:eastAsia="arial" w:hAnsi="arial" w:cs="arial"/>
          <w:i/>
          <w:color w:val="000000"/>
          <w:sz w:val="20"/>
          <w:lang w:val="en-US" w:eastAsia="en-US" w:bidi="ar-SA"/>
        </w:rPr>
        <w:t>Gatley on Libel and Slander</w:t>
      </w:r>
      <w:r>
        <w:rPr>
          <w:rFonts w:ascii="arial" w:eastAsia="arial" w:hAnsi="arial" w:cs="arial"/>
          <w:color w:val="000000"/>
          <w:sz w:val="20"/>
          <w:lang w:val="en-US" w:eastAsia="en-US" w:bidi="ar-SA"/>
        </w:rPr>
        <w:t xml:space="preserve"> (Seventh Edition). The author in chapter 13 under the heading "Qualified Privilege" at paragraphs 480 and 481 states that if a charge is made honestly and to the proper authorities, the mere fact that it is found to be groundless or that proceedings in respect of it are subsequently abandoned will not destroy the privilege. The key word for our purposes is that the charge is made honestly. Counsel for the plaintiff also referred to the following cases to support this proposition: </w:t>
      </w:r>
      <w:r>
        <w:rPr>
          <w:rFonts w:ascii="arial" w:eastAsia="arial" w:hAnsi="arial" w:cs="arial"/>
          <w:i/>
          <w:color w:val="000000"/>
          <w:sz w:val="20"/>
          <w:lang w:val="en-US" w:eastAsia="en-US" w:bidi="ar-SA"/>
        </w:rPr>
        <w:t>Dijkstra v. Westerink</w:t>
      </w:r>
      <w:r>
        <w:rPr>
          <w:rFonts w:ascii="arial" w:eastAsia="arial" w:hAnsi="arial" w:cs="arial"/>
          <w:color w:val="000000"/>
          <w:sz w:val="20"/>
          <w:lang w:val="en-US" w:eastAsia="en-US" w:bidi="ar-SA"/>
        </w:rPr>
        <w:t xml:space="preserve">, 401 A.R. (2d) 1118 (168 NJ. Super. 128; </w:t>
      </w:r>
      <w:r>
        <w:rPr>
          <w:rFonts w:ascii="arial" w:eastAsia="arial" w:hAnsi="arial" w:cs="arial"/>
          <w:i/>
          <w:color w:val="000000"/>
          <w:sz w:val="20"/>
          <w:lang w:val="en-US" w:eastAsia="en-US" w:bidi="ar-SA"/>
        </w:rPr>
        <w:t>Heggy v. Grutzner</w:t>
      </w:r>
      <w:r>
        <w:rPr>
          <w:rFonts w:ascii="arial" w:eastAsia="arial" w:hAnsi="arial" w:cs="arial"/>
          <w:color w:val="000000"/>
          <w:sz w:val="20"/>
          <w:lang w:val="en-US" w:eastAsia="en-US" w:bidi="ar-SA"/>
        </w:rPr>
        <w:t>, 456 N.W. (2d) 845 (Wis-App. 1990). These decisions are of the New Jersey Superior Court and the Wisconsin Court of Appeal. The two cases clearly stand for the proposition that a statement to a police officer is subject to a qualified and not an absolute privilege. In my opinion Gatley and the two American decisions clearly reflect the law with regard to a statement to a police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If the defendant shows that the statements were made in the context of qualified privilege, then the onus is on the plaintiff to demonstrate that that privilege has been defeated by either showing actual or express malice, or that the defendant exceeded the limits of duty covered by privilege: </w:t>
      </w:r>
      <w:r>
        <w:rPr>
          <w:rFonts w:ascii="arial" w:eastAsia="arial" w:hAnsi="arial" w:cs="arial"/>
          <w:i/>
          <w:color w:val="000000"/>
          <w:sz w:val="20"/>
          <w:lang w:val="en-US" w:eastAsia="en-US" w:bidi="ar-SA"/>
        </w:rPr>
        <w:t>Botiuk</w:t>
      </w:r>
      <w:r>
        <w:rPr>
          <w:rFonts w:ascii="arial" w:eastAsia="arial" w:hAnsi="arial" w:cs="arial"/>
          <w:color w:val="000000"/>
          <w:sz w:val="20"/>
          <w:lang w:val="en-US" w:eastAsia="en-US" w:bidi="ar-SA"/>
        </w:rPr>
        <w:t xml:space="preserve"> at paras. 79-80; </w:t>
      </w:r>
      <w:r>
        <w:rPr>
          <w:rFonts w:ascii="arial" w:eastAsia="arial" w:hAnsi="arial" w:cs="arial"/>
          <w:i/>
          <w:color w:val="000000"/>
          <w:sz w:val="20"/>
          <w:lang w:val="en-US" w:eastAsia="en-US" w:bidi="ar-SA"/>
        </w:rPr>
        <w:t>Woods</w:t>
      </w:r>
      <w:r>
        <w:rPr>
          <w:rFonts w:ascii="arial" w:eastAsia="arial" w:hAnsi="arial" w:cs="arial"/>
          <w:color w:val="000000"/>
          <w:sz w:val="20"/>
          <w:lang w:val="en-US" w:eastAsia="en-US" w:bidi="ar-SA"/>
        </w:rPr>
        <w:t xml:space="preserve"> at para. 51.</w:t>
      </w:r>
      <w:r>
        <w:rPr>
          <w:rFonts w:ascii="arial" w:eastAsia="arial" w:hAnsi="arial" w:cs="arial"/>
          <w:sz w:val="20"/>
          <w:lang w:val="en-US" w:eastAsia="en-US" w:bidi="ar-SA"/>
        </w:rPr>
        <w:cr/>
      </w:r>
    </w:p>
    <w:p>
      <w:pPr>
        <w:numPr>
          <w:numId w:val="9"/>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Botiuk</w:t>
      </w:r>
      <w:r>
        <w:rPr>
          <w:rFonts w:ascii="arial" w:eastAsia="arial" w:hAnsi="arial" w:cs="arial"/>
          <w:color w:val="000000"/>
          <w:sz w:val="20"/>
          <w:lang w:val="en-US" w:eastAsia="en-US" w:bidi="ar-SA"/>
        </w:rPr>
        <w:t>, the Supreme Court of Canada emphasized that malice in the defamation context is not limited to proof of ill-will or spite. It encompasses "'any indirect motive or ulterior purpose' that conflicts with the sense of duty or the mutual interest which the occasion created" and may also be established where the plaintiff proves that the defendant knew the statements were not true or made them with reckless disregard for the truth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para. 145).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Woods</w:t>
      </w:r>
      <w:r>
        <w:rPr>
          <w:rFonts w:ascii="arial" w:eastAsia="arial" w:hAnsi="arial" w:cs="arial"/>
          <w:color w:val="000000"/>
          <w:sz w:val="20"/>
          <w:lang w:val="en-US" w:eastAsia="en-US" w:bidi="ar-SA"/>
        </w:rPr>
        <w:t>, Justice Macaulay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72 As set out in </w:t>
      </w:r>
      <w:r>
        <w:rPr>
          <w:rFonts w:ascii="arial" w:eastAsia="arial" w:hAnsi="arial" w:cs="arial"/>
          <w:i/>
          <w:color w:val="000000"/>
          <w:sz w:val="20"/>
          <w:lang w:val="en-US" w:eastAsia="en-US" w:bidi="ar-SA"/>
        </w:rPr>
        <w:t>Smith v.</w:t>
      </w:r>
      <w:r>
        <w:rPr>
          <w:rFonts w:ascii="arial" w:eastAsia="arial" w:hAnsi="arial" w:cs="arial"/>
          <w:color w:val="000000"/>
          <w:sz w:val="20"/>
          <w:lang w:val="en-US" w:eastAsia="en-US" w:bidi="ar-SA"/>
        </w:rPr>
        <w:t xml:space="preserve"> Cross, </w:t>
      </w:r>
      <w:hyperlink r:id="rId211" w:history="1">
        <w:r>
          <w:rPr>
            <w:rFonts w:ascii="arial" w:eastAsia="arial" w:hAnsi="arial" w:cs="arial"/>
            <w:i/>
            <w:color w:val="0077CC"/>
            <w:sz w:val="20"/>
            <w:u w:val="single"/>
            <w:shd w:val="clear" w:color="auto" w:fill="FFFFFF"/>
            <w:lang w:val="en-US" w:eastAsia="en-US" w:bidi="ar-SA"/>
          </w:rPr>
          <w:t>2007 BCSC 1757</w:t>
        </w:r>
      </w:hyperlink>
      <w:r>
        <w:rPr>
          <w:rFonts w:ascii="arial" w:eastAsia="arial" w:hAnsi="arial" w:cs="arial"/>
          <w:color w:val="000000"/>
          <w:sz w:val="20"/>
          <w:lang w:val="en-US" w:eastAsia="en-US" w:bidi="ar-SA"/>
        </w:rPr>
        <w:t xml:space="preserve"> at para. 43, aff'd </w:t>
      </w:r>
      <w:hyperlink r:id="rId212" w:history="1">
        <w:r>
          <w:rPr>
            <w:rFonts w:ascii="arial" w:eastAsia="arial" w:hAnsi="arial" w:cs="arial"/>
            <w:i/>
            <w:color w:val="0077CC"/>
            <w:sz w:val="20"/>
            <w:u w:val="single"/>
            <w:shd w:val="clear" w:color="auto" w:fill="FFFFFF"/>
            <w:lang w:val="en-US" w:eastAsia="en-US" w:bidi="ar-SA"/>
          </w:rPr>
          <w:t>2009 BCCA 529</w:t>
        </w:r>
      </w:hyperlink>
      <w:r>
        <w:rPr>
          <w:rFonts w:ascii="arial" w:eastAsia="arial" w:hAnsi="arial" w:cs="arial"/>
          <w:color w:val="000000"/>
          <w:sz w:val="20"/>
          <w:lang w:val="en-US" w:eastAsia="en-US" w:bidi="ar-SA"/>
        </w:rPr>
        <w:t>, there are four ways of establishing malice in the defamation context. The privilege will be defeated where the defendant published the statement:</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knowing it was false;</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reckless indifference as to whether it was true or false;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for the dominant purpose of injuring the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plaintiff because of spite or animosity; or</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some other dominant purpose which is improper, indirect, or unrelated to the privileged occasion.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145 and </w:t>
      </w:r>
      <w:r>
        <w:rPr>
          <w:rFonts w:ascii="arial" w:eastAsia="arial" w:hAnsi="arial" w:cs="arial"/>
          <w:i/>
          <w:color w:val="000000"/>
          <w:sz w:val="20"/>
          <w:lang w:val="en-US" w:eastAsia="en-US" w:bidi="ar-SA"/>
        </w:rPr>
        <w:t>Botiuk</w:t>
      </w:r>
      <w:r>
        <w:rPr>
          <w:rFonts w:ascii="arial" w:eastAsia="arial" w:hAnsi="arial" w:cs="arial"/>
          <w:color w:val="000000"/>
          <w:sz w:val="20"/>
          <w:lang w:val="en-US" w:eastAsia="en-US" w:bidi="ar-SA"/>
        </w:rPr>
        <w:t xml:space="preserve"> at para. 79.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74 The onus of proving malice lies with the plaintiff and, as the British Columbia Court of Appeal has said, it "is not an easy burden to discharge" (</w:t>
      </w:r>
      <w:r>
        <w:rPr>
          <w:rFonts w:ascii="arial" w:eastAsia="arial" w:hAnsi="arial" w:cs="arial"/>
          <w:i/>
          <w:color w:val="000000"/>
          <w:sz w:val="20"/>
          <w:lang w:val="en-US" w:eastAsia="en-US" w:bidi="ar-SA"/>
        </w:rPr>
        <w:t>Cimolai</w:t>
      </w:r>
      <w:r>
        <w:rPr>
          <w:rFonts w:ascii="arial" w:eastAsia="arial" w:hAnsi="arial" w:cs="arial"/>
          <w:color w:val="000000"/>
          <w:sz w:val="20"/>
          <w:lang w:val="en-US" w:eastAsia="en-US" w:bidi="ar-SA"/>
        </w:rPr>
        <w:t xml:space="preserve"> at para. 29).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75 The defendant is protected against the claim that he knew the statements were false or that he was recklessly indifferent to their truth so long as he had an "honest belief" in the truth of the statements. An "honest belief can be formed on the slimmest of evidence": </w:t>
      </w:r>
      <w:r>
        <w:rPr>
          <w:rFonts w:ascii="arial" w:eastAsia="arial" w:hAnsi="arial" w:cs="arial"/>
          <w:i/>
          <w:color w:val="000000"/>
          <w:sz w:val="20"/>
          <w:lang w:val="en-US" w:eastAsia="en-US" w:bidi="ar-SA"/>
        </w:rPr>
        <w:t>Mann v. International Association of Machinists and Aerospace Workers</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2012 BCSC 181</w:t>
        </w:r>
      </w:hyperlink>
      <w:r>
        <w:rPr>
          <w:rFonts w:ascii="arial" w:eastAsia="arial" w:hAnsi="arial" w:cs="arial"/>
          <w:color w:val="000000"/>
          <w:sz w:val="20"/>
          <w:lang w:val="en-US" w:eastAsia="en-US" w:bidi="ar-SA"/>
        </w:rPr>
        <w:t xml:space="preserve"> at para. 99. A defendant who arrives at an honest belief in the truth of the statements through carelessness,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impulsiveness, irrationality, foolishness or a misapprehension of the facts is still protected by qualified privilege (see </w:t>
      </w:r>
      <w:r>
        <w:rPr>
          <w:rFonts w:ascii="arial" w:eastAsia="arial" w:hAnsi="arial" w:cs="arial"/>
          <w:i/>
          <w:color w:val="000000"/>
          <w:sz w:val="20"/>
          <w:lang w:val="en-US" w:eastAsia="en-US" w:bidi="ar-SA"/>
        </w:rPr>
        <w:t>Botiuk</w:t>
      </w:r>
      <w:r>
        <w:rPr>
          <w:rFonts w:ascii="arial" w:eastAsia="arial" w:hAnsi="arial" w:cs="arial"/>
          <w:color w:val="000000"/>
          <w:sz w:val="20"/>
          <w:lang w:val="en-US" w:eastAsia="en-US" w:bidi="ar-SA"/>
        </w:rPr>
        <w:t xml:space="preserve"> at para. 96, </w:t>
      </w:r>
      <w:r>
        <w:rPr>
          <w:rFonts w:ascii="arial" w:eastAsia="arial" w:hAnsi="arial" w:cs="arial"/>
          <w:i/>
          <w:color w:val="000000"/>
          <w:sz w:val="20"/>
          <w:lang w:val="en-US" w:eastAsia="en-US" w:bidi="ar-SA"/>
        </w:rPr>
        <w:t>Mann</w:t>
      </w:r>
      <w:r>
        <w:rPr>
          <w:rFonts w:ascii="arial" w:eastAsia="arial" w:hAnsi="arial" w:cs="arial"/>
          <w:color w:val="000000"/>
          <w:sz w:val="20"/>
          <w:lang w:val="en-US" w:eastAsia="en-US" w:bidi="ar-SA"/>
        </w:rPr>
        <w:t xml:space="preserve"> at para. 100).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76 Where the plaintiff alleges an improper motive, the bar is just as high. It is not sufficient to show that the defendant knew that the statement would injure the plaintiff, or even that the defendant </w:t>
      </w:r>
      <w:r>
        <w:rPr>
          <w:rFonts w:ascii="arial" w:eastAsia="arial" w:hAnsi="arial" w:cs="arial"/>
          <w:i/>
          <w:color w:val="000000"/>
          <w:sz w:val="20"/>
          <w:lang w:val="en-US" w:eastAsia="en-US" w:bidi="ar-SA"/>
        </w:rPr>
        <w:t>wanted</w:t>
      </w:r>
      <w:r>
        <w:rPr>
          <w:rFonts w:ascii="arial" w:eastAsia="arial" w:hAnsi="arial" w:cs="arial"/>
          <w:color w:val="000000"/>
          <w:sz w:val="20"/>
          <w:lang w:val="en-US" w:eastAsia="en-US" w:bidi="ar-SA"/>
        </w:rPr>
        <w:t xml:space="preserve"> to injure the plaintiff. As long as the defendant was still motivated by the protected duty or interest, the occasion is privileged. The privilege will only be defeated where the primary or dominant motive was an improper one: </w:t>
      </w:r>
      <w:r>
        <w:rPr>
          <w:rFonts w:ascii="arial" w:eastAsia="arial" w:hAnsi="arial" w:cs="arial"/>
          <w:i/>
          <w:color w:val="000000"/>
          <w:sz w:val="20"/>
          <w:lang w:val="en-US" w:eastAsia="en-US" w:bidi="ar-SA"/>
        </w:rPr>
        <w:t>Mann</w:t>
      </w:r>
      <w:r>
        <w:rPr>
          <w:rFonts w:ascii="arial" w:eastAsia="arial" w:hAnsi="arial" w:cs="arial"/>
          <w:color w:val="000000"/>
          <w:sz w:val="20"/>
          <w:lang w:val="en-US" w:eastAsia="en-US" w:bidi="ar-SA"/>
        </w:rPr>
        <w:t xml:space="preserve"> at para. 107. In </w:t>
      </w:r>
      <w:r>
        <w:rPr>
          <w:rFonts w:ascii="arial" w:eastAsia="arial" w:hAnsi="arial" w:cs="arial"/>
          <w:i/>
          <w:color w:val="000000"/>
          <w:sz w:val="20"/>
          <w:lang w:val="en-US" w:eastAsia="en-US" w:bidi="ar-SA"/>
        </w:rPr>
        <w:t>Cimolai</w:t>
      </w:r>
      <w:r>
        <w:rPr>
          <w:rFonts w:ascii="arial" w:eastAsia="arial" w:hAnsi="arial" w:cs="arial"/>
          <w:color w:val="000000"/>
          <w:sz w:val="20"/>
          <w:lang w:val="en-US" w:eastAsia="en-US" w:bidi="ar-SA"/>
        </w:rPr>
        <w:t xml:space="preserve"> at para. 41 the Court of Appeal affirmed the following statement from the House of Lords in </w:t>
      </w:r>
      <w:r>
        <w:rPr>
          <w:rFonts w:ascii="arial" w:eastAsia="arial" w:hAnsi="arial" w:cs="arial"/>
          <w:i/>
          <w:color w:val="000000"/>
          <w:sz w:val="20"/>
          <w:lang w:val="en-US" w:eastAsia="en-US" w:bidi="ar-SA"/>
        </w:rPr>
        <w:t>Horrocks v. Lowe</w:t>
      </w:r>
      <w:r>
        <w:rPr>
          <w:rFonts w:ascii="arial" w:eastAsia="arial" w:hAnsi="arial" w:cs="arial"/>
          <w:color w:val="000000"/>
          <w:sz w:val="20"/>
          <w:lang w:val="en-US" w:eastAsia="en-US" w:bidi="ar-SA"/>
        </w:rPr>
        <w:t>, [1975] A.C. 135 (H.L.):</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u w:val="single"/>
          <w:lang w:val="en-US" w:eastAsia="en-US" w:bidi="ar-SA"/>
        </w:rPr>
        <w:t>Qualified privilege would be illusory, and the public interest that it is meant to serve defeated, if the protection which it affords were lost merely because a person, although acting in compliance with a duty or in protection of a legitimate interest, disliked the person whom he defamed or was indignant at what he believed to be that person's conduct and welcomed the opportunity of exposing it.</w:t>
      </w:r>
      <w:r>
        <w:rPr>
          <w:rFonts w:ascii="arial" w:eastAsia="arial" w:hAnsi="arial" w:cs="arial"/>
          <w:color w:val="000000"/>
          <w:sz w:val="20"/>
          <w:lang w:val="en-US" w:eastAsia="en-US" w:bidi="ar-SA"/>
        </w:rPr>
        <w:t xml:space="preserve"> It is only where his desire to comply with the relevant duty or to protect the relevant interest plays no significant part in his motives for publishing what he believes to be true that "express malice" can properly be found.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Evidence of malice may be intrinsic (found in the published words themselves) or extrinsic (taken from the defendant's conduct as a whole). For intrinsic evidence, the words may be "so violent, outrageous or disproportionate to the facts" that malice is suggested: </w:t>
      </w:r>
      <w:r>
        <w:rPr>
          <w:rFonts w:ascii="arial" w:eastAsia="arial" w:hAnsi="arial" w:cs="arial"/>
          <w:i/>
          <w:color w:val="000000"/>
          <w:sz w:val="20"/>
          <w:lang w:val="en-US" w:eastAsia="en-US" w:bidi="ar-SA"/>
        </w:rPr>
        <w:t>Korach v. Moore</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(1991), 1 O.R. (3d) 275</w:t>
        </w:r>
      </w:hyperlink>
      <w:r>
        <w:rPr>
          <w:rFonts w:ascii="arial" w:eastAsia="arial" w:hAnsi="arial" w:cs="arial"/>
          <w:color w:val="000000"/>
          <w:sz w:val="20"/>
          <w:lang w:val="en-US" w:eastAsia="en-US" w:bidi="ar-SA"/>
        </w:rPr>
        <w:t xml:space="preserve"> at para. 25 (C.A.) [</w:t>
      </w:r>
      <w:r>
        <w:rPr>
          <w:rFonts w:ascii="arial" w:eastAsia="arial" w:hAnsi="arial" w:cs="arial"/>
          <w:i/>
          <w:color w:val="000000"/>
          <w:sz w:val="20"/>
          <w:lang w:val="en-US" w:eastAsia="en-US" w:bidi="ar-SA"/>
        </w:rPr>
        <w:t>Korach</w:t>
      </w:r>
      <w:r>
        <w:rPr>
          <w:rFonts w:ascii="arial" w:eastAsia="arial" w:hAnsi="arial" w:cs="arial"/>
          <w:color w:val="000000"/>
          <w:sz w:val="20"/>
          <w:lang w:val="en-US" w:eastAsia="en-US" w:bidi="ar-SA"/>
        </w:rPr>
        <w:t xml:space="preserve">]. For extrinsic evidence, the court may consider the defendant's actions subsequent to publication of the defamatory statement, including steps taken in the litigation process: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paras. 193-194.</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(ii) Limits of Duty Exceeded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 communication may exceed the limits of the qualified privilege in two ways. First, the publication may include statements that are not "reasonably appropriate" in the context of the protected duty or interest. Second, the publication may be sent to recipients who have no interest in it or no duty to receive it (</w:t>
      </w:r>
      <w:r>
        <w:rPr>
          <w:rFonts w:ascii="arial" w:eastAsia="arial" w:hAnsi="arial" w:cs="arial"/>
          <w:i/>
          <w:color w:val="000000"/>
          <w:sz w:val="20"/>
          <w:lang w:val="en-US" w:eastAsia="en-US" w:bidi="ar-SA"/>
        </w:rPr>
        <w:t>Woods</w:t>
      </w:r>
      <w:r>
        <w:rPr>
          <w:rFonts w:ascii="arial" w:eastAsia="arial" w:hAnsi="arial" w:cs="arial"/>
          <w:color w:val="000000"/>
          <w:sz w:val="20"/>
          <w:lang w:val="en-US" w:eastAsia="en-US" w:bidi="ar-SA"/>
        </w:rPr>
        <w:t xml:space="preserve"> at paras. 62-63). That is, the statements must contain appropriate information that is sent to appropriate persons in the given circumstances; and privilege is lost if the statements are "irrelevant, unnecessary or unconnected with the purpose of the publication" (</w:t>
      </w:r>
      <w:r>
        <w:rPr>
          <w:rFonts w:ascii="arial" w:eastAsia="arial" w:hAnsi="arial" w:cs="arial"/>
          <w:i/>
          <w:color w:val="000000"/>
          <w:sz w:val="20"/>
          <w:lang w:val="en-US" w:eastAsia="en-US" w:bidi="ar-SA"/>
        </w:rPr>
        <w:t>Woods</w:t>
      </w:r>
      <w:r>
        <w:rPr>
          <w:rFonts w:ascii="arial" w:eastAsia="arial" w:hAnsi="arial" w:cs="arial"/>
          <w:color w:val="000000"/>
          <w:sz w:val="20"/>
          <w:lang w:val="en-US" w:eastAsia="en-US" w:bidi="ar-SA"/>
        </w:rPr>
        <w:t xml:space="preserve"> at para. 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phrase "germane and reasonably appropriate" does not refer to the language used in the publication itself, but rather to the scope of the comments and their connection with the protected interest or duty. The language used need not be "proportionate" to the circumstances (</w:t>
      </w:r>
      <w:r>
        <w:rPr>
          <w:rFonts w:ascii="arial" w:eastAsia="arial" w:hAnsi="arial" w:cs="arial"/>
          <w:i/>
          <w:color w:val="000000"/>
          <w:sz w:val="20"/>
          <w:lang w:val="en-US" w:eastAsia="en-US" w:bidi="ar-SA"/>
        </w:rPr>
        <w:t>Ward v. Clark</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2001 BCCA 724</w:t>
        </w:r>
      </w:hyperlink>
      <w:r>
        <w:rPr>
          <w:rFonts w:ascii="arial" w:eastAsia="arial" w:hAnsi="arial" w:cs="arial"/>
          <w:color w:val="000000"/>
          <w:sz w:val="20"/>
          <w:lang w:val="en-US" w:eastAsia="en-US" w:bidi="ar-SA"/>
        </w:rPr>
        <w:t>, at paras. 55 - 65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language which is "excessive or inflammatory" is not enough to defeat the privilege (</w:t>
      </w:r>
      <w:r>
        <w:rPr>
          <w:rFonts w:ascii="arial" w:eastAsia="arial" w:hAnsi="arial" w:cs="arial"/>
          <w:i/>
          <w:color w:val="000000"/>
          <w:sz w:val="20"/>
          <w:lang w:val="en-US" w:eastAsia="en-US" w:bidi="ar-SA"/>
        </w:rPr>
        <w:t>DDI Diamonds Direct Inc. v. Raney</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2006 BCSC 952</w:t>
        </w:r>
      </w:hyperlink>
      <w:r>
        <w:rPr>
          <w:rFonts w:ascii="arial" w:eastAsia="arial" w:hAnsi="arial" w:cs="arial"/>
          <w:color w:val="000000"/>
          <w:sz w:val="20"/>
          <w:lang w:val="en-US" w:eastAsia="en-US" w:bidi="ar-SA"/>
        </w:rPr>
        <w:t xml:space="preserve"> at para. 42). The privilege is only lost where the comments are "unconnected with the matters in controversy"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para. 57, quoting </w:t>
      </w:r>
      <w:r>
        <w:rPr>
          <w:rFonts w:ascii="arial" w:eastAsia="arial" w:hAnsi="arial" w:cs="arial"/>
          <w:i/>
          <w:color w:val="000000"/>
          <w:sz w:val="20"/>
          <w:lang w:val="en-US" w:eastAsia="en-US" w:bidi="ar-SA"/>
        </w:rPr>
        <w:t>Tucker v. Douglas</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[1952] 1 S.C.R. 275</w:t>
        </w:r>
      </w:hyperlink>
      <w:r>
        <w:rPr>
          <w:rFonts w:ascii="arial" w:eastAsia="arial" w:hAnsi="arial" w:cs="arial"/>
          <w:color w:val="000000"/>
          <w:sz w:val="20"/>
          <w:lang w:val="en-US" w:eastAsia="en-US" w:bidi="ar-SA"/>
        </w:rPr>
        <w:t>). However, violent or strong language may in some circumstances provide intrinsic evidence of malice, as discussed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second way that the limits of privilege may be exceeded is demonstrated by </w:t>
      </w:r>
      <w:r>
        <w:rPr>
          <w:rFonts w:ascii="arial" w:eastAsia="arial" w:hAnsi="arial" w:cs="arial"/>
          <w:i/>
          <w:color w:val="000000"/>
          <w:sz w:val="20"/>
          <w:lang w:val="en-US" w:eastAsia="en-US" w:bidi="ar-SA"/>
        </w:rPr>
        <w:t>Dawydiuk v. Insurance Corporation of British Columbia</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2010 BCCA 353</w:t>
        </w:r>
      </w:hyperlink>
      <w:r>
        <w:rPr>
          <w:rFonts w:ascii="arial" w:eastAsia="arial" w:hAnsi="arial" w:cs="arial"/>
          <w:color w:val="000000"/>
          <w:sz w:val="20"/>
          <w:lang w:val="en-US" w:eastAsia="en-US" w:bidi="ar-SA"/>
        </w:rPr>
        <w:t>, where the Court found that the privilege was partially defeated on the basis that the defendant had published the document outside of the sphere of appropriate recipients. While the publication of the termination report to Insurance Corporation of British Columbia's (ICBC) human resources personnel was protected by the privilege, the publication to a third person, Ms. Mohr, was not. The defendant did not provide any evidence as to Ms. Mohr's position in ICBC; lacking that evidence, there was no basis on which the Court could find that Ms. Mohr had a reciprocal duty to receive the report. The Court awarded damages of $1000, on the basis that "evidence of injury to the appellant from the publication of Mr. Rees' report to Ms. Mohr is so minimal that it cannot support an award of other than nominal damages" (at para.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 Application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am satisfied, on the balance of probabilities, that Mr. Popat said words to Mr. MacLennan to the effect that he would have Mr. MacLennan's knees broken. The evidence of Cst. Weeks is clear on that point. Without that evidence, it would have been necessary, in my view, for this matter to proceed to a full trial to determine which evidence of Mr. Popat or Mr. MacLennan to accept as probably true. However, the evidence of Cst. Weeks is of great benefit to me in resolving the conflict in the evidence between Mr. Popat and Mr. MacLennan. I do not accept the evidence of Mr. Popat that Cst. Weeks misunderstood him. Thus, with respect to the alleged defamation of the threat, the words stated by Mr. MacLennan to Cst. Weeks, and then repeated in the email, were substantially true, even though Cst. Weeks accepted, as I do, that the threat was probably said in jest.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statement in Dr. Sanghera's email respecting Mr. Popat being under criminal investigation was not, of course, true as of the date the statement was made, whatever Dr. Sanghera may have then believed. But the email was not "published" in the sense the law requires for the alleged defamation to be communicated to a third party. Dr. Sanghera's fellow defendants were not third parties. This was an internal communication between corporate directors, all of whom are parties to this litigation, although the principal addressee was Mr. Popat. In addressing the plaintiff, Dr. Sanghera used the expression "we", thus conveying the message that what was being said to Mr. Popat was really being said on behalf of the other two defendant directors copied with the email as well. Dr. Sanghera was wrong when he referred to Mr. Popat being under criminal investigation. However, what he said was not communicated to a third party and cannot form the basis of a claim in defamation. In that respect, Mr. Popat was defamed to no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well, the email communication and the report to the VPD (Cst. Weeks) were both on occasions of qualified privilege. The latter because of the nature of the communication (the jest that was framed as a threat) and the duty of Cst. Weeks and the VPD to receive it, and the former because of it being a communication between corporate directors flowing from a discussion they had had respecting the incident at the restaurant. Mr. MacLennan did not take what Mr. Popat said as a joke. It was not unreasonable for him to have taken that view as those are not the type of words one should use in jest. Thus he and his fellow defendants/directors had every justification to be concerned, a definite interest in communicating and receiving information related to the incident, and to communicate with Mr. Popat respecting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Further, I find that there was no malice intended by Dr. Sanghera or the other defendants in writing the email to Mr. Popat. They were justifiably concerned about what to them at that point appeared to be an untenable situation. Nor did any of the defendants exceed the limits of the privilege. They kept the communication between the directors, and as a result of their discussion Mr. Popat's resignation was demanded. Mr. Popat submitted his resignation, though not due to the demand in the email, rather because of other factors relating to what appears to have then been a breakdown in his relationship with other board members and his belief that he was being frozen out of the decision-making process. Those issues are for another day in one of the other actions now ongoing. However, those issues should be resolved without the distraction of the matter of the alleged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Popat's claim is dismissed. The parties may address the matter of costs in written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T.J. MELNICK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5" style="position:absolute;z-index:251746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Pruden v. Gagnon, [2015] B.C.J. No. 2409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Cranbrook,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T.M. 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5,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23438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Cranbrook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2409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2029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260 A.C.W.S. (3d) 194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 C.C.L.T. (4th) 164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3214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Jacquelyn Ann Pruden, Plaintiff, and Andrew Stephen Charles Gagnon and Casey Jensen,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 paras.)</w:t>
      </w:r>
    </w:p>
    <w:p>
      <w:pPr>
        <w:jc w:val="both"/>
        <w:rPr>
          <w:rFonts w:ascii="arial" w:eastAsia="arial" w:hAnsi="arial" w:cs="arial"/>
          <w:sz w:val="20"/>
          <w:lang w:val="en-US" w:eastAsia="en-US" w:bidi="ar-SA"/>
        </w:rPr>
      </w:pPr>
      <w:bookmarkStart w:id="32" w:name="Counsel_8"/>
      <w:bookmarkEnd w:id="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6"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 Buddenhagen.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 Prestwich.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 w:name="Judgment_8"/>
      <w:bookmarkEnd w:id="33"/>
      <w:r>
        <w:pict>
          <v:line id="_x0000_s1057" style="position:absolute;z-index:2517094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4" w:name="T.M. McEWAN J."/>
            <w:bookmarkEnd w:id="34"/>
            <w:r>
              <w:rPr>
                <w:rFonts w:ascii="arial" w:eastAsia="arial" w:hAnsi="arial" w:cs="arial"/>
                <w:b/>
                <w:color w:val="000000"/>
                <w:sz w:val="30"/>
                <w:lang w:val="en-US" w:eastAsia="en-US" w:bidi="ar-SA"/>
              </w:rPr>
              <w:t>T.M. McEWAN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matter comes before the court on a trial of liability alone, damages having been severed September 22, 2015 by Master Scarth.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fall of 2012 the plaintiff, the mother of a four year old daughter, Autumn, sought the services of a babysitter. The defendant, Casey Jensen, was recommended by a mutual friend. The parties worked out an arrangement whereby the plaintiff would drop Autumn off at 6:00 a.m. at the defendant's residence and pick her up after she finished work at 3:00 p.m. The arrangement included a stipulation that Casey Jensen would meet the plaintiff at the door at 6:00 a.m. The plaintiff would typically arrive early, read a book for a few minutes and go to the door at 6:00 a.m. precisely. The parties adhered to this routine with very few exceptions up to February 4, 2013. On that day the plaintiff arrived as usual, a few minutes early, parked a little way up the street, and read until 6:00 a.m. It was still dark, although the area was well illuminated. The plaintiff then drove toward the defendant's house, parking on the wrong side of the street, nose to nose with the defendant's vehicle, which was parked directly in front of the house. A walkway runs perpendicularly from the front door, in roughly the centre of the property, to a sidewalk running along the street on City of Cranbrook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gathered up Autumn and her things, and stepped onto the sidewalk. She lost her footing and fell to the ground. She was unable to get up. In the immediate aftermath, the defendants attended to the plaintiff, took Autumn into the house, and called an ambulance. The plaintiff's husband was also called and subsequently attended.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is no question that the sidewalk was icy. A photograph taken some hours later on February 4, 2013 shows a patch of bare pavement and some wet areas that are damp and icy toward the area at the intersection of the walkway and the sidewalk. The weather data from the Cranbrook weather station shows overnight temperatures slightly above freezing. Most significantly, Gordon Ingram, one of the two ambulance attendants who attended after the plaintiff fell, said the road surface as very icy and slippery and they had to spread sand on the pavement to make it easier to do their job. The gurney they used to put the plaintiff in the ambulance was slipping on the road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Andrew Gagnon testified that he had spent the day before the plaintiff's accident clearing the sidewalk of ice. He said there was quite a bit to do and that he used a 5 foot pry bar to chip out the ice while the neighbourhood children took the ice away to a snowpile nearby.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Gagnon said that February 3 was a warm nice day. He said he cleared both the sidewalk and the walkway to the house. He said the City would plow snow onto the sidewalk and that he and his neighbours would clear it, sometimes with the aid of a neighbour's bobcat. Mr. Gagnon said that on this occasion he finished up about 4:30 or 5:00 and that the sidewalk was bare and dry. He did not see water pooling on the sidewalk.</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parties agree that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[RSBS 1956] ch. 337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applies. The relevant provisions are:</w:t>
      </w:r>
      <w:r>
        <w:rPr>
          <w:rFonts w:ascii="arial" w:eastAsia="arial" w:hAnsi="arial" w:cs="arial"/>
          <w:sz w:val="20"/>
          <w:lang w:val="en-US" w:eastAsia="en-US" w:bidi="ar-SA"/>
        </w:rPr>
        <w:cr/>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definition of "occupier"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"occupier" means a person who</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in physical possession of premises, or</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responsibility for, and control over, the conditions of premises, the activities conducted on those premises and the persons allowed to enter those premises.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8"/>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numPr>
          <w:numId w:val="9"/>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an occupier has no duty of care to a person in respect of risks willingly assumed by that person other than a duty not to</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a danger with intent to do harm to the person or damage to the person's property, or</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reckless disregard to the safety of the person or the integrity of the person's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duty of persons in Cranbrook relative to sidewalks is set out in Bylaw No. 3021 streets and traffic by-law s. 56:</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person being an occupant or owner of any property abutting or fronting upon a portion of a sidewalk in a commercially zoned area shall cause such portion of the sidewalk to be cleared and kept clear of all snow, ice, dirt, litter and rubbish and shall dispose of same otherwise than by leaving it upon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submits that the by-law applies to the defendants because their contract for babysitting services put the plaintiff and the defendant into a commercial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There is no suggestion that the defendants were the occupiers of the sidewalk within the definition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nor is there any suggestion that the plaintiffs fall took place other than on the City-owned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submits that the defendants owed her a common law duty of care founded in the defendant's assumption of responsibility for the sidewalk. She further submits that they failed to meet the standard of care in the circumstances. This was expressed to be a duty to check the condition of the sidewalk within the hour before the plaintiff's expected arrival at 6:00 a.m.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 do not think liability can be established on any of the grounds advanced. Bylaw 3021 is restricted to a "commercially zoned </w:t>
      </w:r>
      <w:r>
        <w:rPr>
          <w:rFonts w:ascii="arial" w:eastAsia="arial" w:hAnsi="arial" w:cs="arial"/>
          <w:i/>
          <w:color w:val="000000"/>
          <w:sz w:val="20"/>
          <w:lang w:val="en-US" w:eastAsia="en-US" w:bidi="ar-SA"/>
        </w:rPr>
        <w:t>area.</w:t>
      </w:r>
      <w:r>
        <w:rPr>
          <w:rFonts w:ascii="arial" w:eastAsia="arial" w:hAnsi="arial" w:cs="arial"/>
          <w:color w:val="000000"/>
          <w:sz w:val="20"/>
          <w:lang w:val="en-US" w:eastAsia="en-US" w:bidi="ar-SA"/>
        </w:rPr>
        <w:t>" This does not include "commercial uses" outside those areas, even if the arrangement between the parties for babysitting could be so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defendants are not "occupiers" of the sidewalk as defined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They were neither in physical possession of the sidewalk nor had they any responsibility for, or control over, the condition of the sidewalk, the activities conducted on the sidewalk or the persons allowed to be on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On the issue of whether the defendant's voluntary clearing of the sidewalk gave rise to a duty of care, I think </w:t>
      </w:r>
      <w:r>
        <w:rPr>
          <w:rFonts w:ascii="arial" w:eastAsia="arial" w:hAnsi="arial" w:cs="arial"/>
          <w:i/>
          <w:color w:val="000000"/>
          <w:sz w:val="20"/>
          <w:lang w:val="en-US" w:eastAsia="en-US" w:bidi="ar-SA"/>
        </w:rPr>
        <w:t>Gardner v. Unimet Investments Ltd. et al</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19 B.C.L.R. (3d) 196</w:t>
        </w:r>
      </w:hyperlink>
      <w:r>
        <w:rPr>
          <w:rFonts w:ascii="arial" w:eastAsia="arial" w:hAnsi="arial" w:cs="arial"/>
          <w:color w:val="000000"/>
          <w:sz w:val="20"/>
          <w:lang w:val="en-US" w:eastAsia="en-US" w:bidi="ar-SA"/>
        </w:rPr>
        <w:t xml:space="preserve"> is directly on point. (See, more recently </w:t>
      </w:r>
      <w:r>
        <w:rPr>
          <w:rFonts w:ascii="arial" w:eastAsia="arial" w:hAnsi="arial" w:cs="arial"/>
          <w:i/>
          <w:color w:val="000000"/>
          <w:sz w:val="20"/>
          <w:lang w:val="en-US" w:eastAsia="en-US" w:bidi="ar-SA"/>
        </w:rPr>
        <w:t>Maras v. Seemore Enterprises Ltd.</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2014 BCSC 1121</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Gardner</w:t>
      </w:r>
      <w:r>
        <w:rPr>
          <w:rFonts w:ascii="arial" w:eastAsia="arial" w:hAnsi="arial" w:cs="arial"/>
          <w:color w:val="000000"/>
          <w:sz w:val="20"/>
          <w:lang w:val="en-US" w:eastAsia="en-US" w:bidi="ar-SA"/>
        </w:rPr>
        <w:t xml:space="preserve"> the Court of Appeal affirmed the reasoning of Baker J., quoting from her judgment at length, including the following passage: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The appellant says that </w:t>
      </w:r>
      <w:r>
        <w:rPr>
          <w:rFonts w:ascii="arial" w:eastAsia="arial" w:hAnsi="arial" w:cs="arial"/>
          <w:color w:val="000000"/>
          <w:sz w:val="20"/>
          <w:u w:val="single"/>
          <w:lang w:val="en-US" w:eastAsia="en-US" w:bidi="ar-SA"/>
        </w:rPr>
        <w:t>the test under s. 1(b) of the Act is whether the respondents had some - as opposed to sole - measure of control over the sidewalk. It was an agreed fact that "DPE cleared the sidewalk from time to time</w:t>
      </w:r>
      <w:r>
        <w:rPr>
          <w:rFonts w:ascii="arial" w:eastAsia="arial" w:hAnsi="arial" w:cs="arial"/>
          <w:color w:val="000000"/>
          <w:sz w:val="20"/>
          <w:lang w:val="en-US" w:eastAsia="en-US" w:bidi="ar-SA"/>
        </w:rPr>
        <w:t>, believing that DPE had some obligation to do so under a City of Vancouver Bylaw". The appellant also asserts that DPE accepted responsibility for and control over the sidewalk as can be seen from the provisions of the lease. I do not read the reasons for judgment of the trial judge such that she considered the test for an "occupier" within the Act to be one of sole control or responsibility over the sidewalk where the appellant slipped and fell. In reference to s. 1(b) of the Act she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Section 1(b) of the Act is conjunctive. Both control over and responsibility for the condition of premises are required for the definition of "occupier" to apply. The only action on the part of DPE which could be considered to constitute "responsibility for, and control over" the sidewalk was DPE's practise of voluntarily clearing the sidewalk from time to time</w:t>
      </w:r>
      <w:r>
        <w:rPr>
          <w:rFonts w:ascii="arial" w:eastAsia="arial" w:hAnsi="arial" w:cs="arial"/>
          <w:color w:val="000000"/>
          <w:sz w:val="20"/>
          <w:lang w:val="en-US" w:eastAsia="en-US" w:bidi="ar-SA"/>
        </w:rPr>
        <w:t xml:space="preserve">. In Lysack, </w:t>
      </w:r>
      <w:hyperlink r:id="rId226" w:history="1">
        <w:r>
          <w:rPr>
            <w:rFonts w:ascii="arial" w:eastAsia="arial" w:hAnsi="arial" w:cs="arial"/>
            <w:i/>
            <w:color w:val="0077CC"/>
            <w:sz w:val="20"/>
            <w:u w:val="single"/>
            <w:shd w:val="clear" w:color="auto" w:fill="FFFFFF"/>
            <w:lang w:val="en-US" w:eastAsia="en-US" w:bidi="ar-SA"/>
          </w:rPr>
          <w:t>[1991] B.C.J. No. 2408</w:t>
        </w:r>
      </w:hyperlink>
      <w:r>
        <w:rPr>
          <w:rFonts w:ascii="arial" w:eastAsia="arial" w:hAnsi="arial" w:cs="arial"/>
          <w:color w:val="000000"/>
          <w:sz w:val="20"/>
          <w:lang w:val="en-US" w:eastAsia="en-US" w:bidi="ar-SA"/>
        </w:rPr>
        <w:t xml:space="preserve"> the hotel manager had a practise of shovelling snow off the sidewalk, but the hotel was not found to be an occupier of the sidewalk. </w:t>
      </w:r>
      <w:r>
        <w:rPr>
          <w:rFonts w:ascii="arial" w:eastAsia="arial" w:hAnsi="arial" w:cs="arial"/>
          <w:color w:val="000000"/>
          <w:sz w:val="20"/>
          <w:u w:val="single"/>
          <w:lang w:val="en-US" w:eastAsia="en-US" w:bidi="ar-SA"/>
        </w:rPr>
        <w:t>Even if DPE could be considered to have unilaterally assumed responsibility for cleaning the sidewalk adjacent to its premises, that activity gave DPE no control over the sidewalk</w:t>
      </w:r>
      <w:r>
        <w:rPr>
          <w:rFonts w:ascii="arial" w:eastAsia="arial" w:hAnsi="arial" w:cs="arial"/>
          <w:color w:val="000000"/>
          <w:sz w:val="20"/>
          <w:lang w:val="en-US" w:eastAsia="en-US" w:bidi="ar-SA"/>
        </w:rPr>
        <w:t>. It could not restrict or direct activities conducted on the sidewalk, and it had no control over persons using the sidewalk. I conclude that DPE was not an occupier of the sidewalk.</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challenging this finding of fact by the trial judge the appellant must show that the judge was plainly wrong and in my opinion this cannot be done.</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issue of DPE owing a duty of care to the appellant otherwise than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the trial judge said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with DPE's submission that the Vancouver City Bylaw requiring an owner of real property to remove snow and ice from municipal sidewalks adjacent to the property only applies to the owner of property, and not to a tenant. In its lease with Unimet, DPE did not explicitly assume responsibility for complying with the bylaw; nor did it do so implicitly by its covenant to comply with all municipal regulations applicable to the demised premises. The sidewalk is not part of the demised premises. The bylaw is applicable to the owner of the property, not the property itself. As well, it has been held that the failure to comply with a municipal snow-clearing bylaw does not render an owner civilly liable to third parties.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Here there is no evidence that DPE caused snow or ice to form on the sidewalk, or contributed to the creation of the hazard by directing or diverting Mr. Gardner's path. There is no special circumstances here which place on DPE a duty of care to users of the sidewalk. Absent a duty of care, Mr. Gardner's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cannot succeed</w:t>
      </w:r>
      <w:r>
        <w:rPr>
          <w:rFonts w:ascii="arial" w:eastAsia="arial" w:hAnsi="arial" w:cs="arial"/>
          <w:color w:val="000000"/>
          <w:sz w:val="20"/>
          <w:lang w:val="en-US" w:eastAsia="en-US" w:bidi="ar-SA"/>
        </w:rPr>
        <w:t xml:space="preserve"> and the action against DPE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Lastly, I am of the view that even if such a duty could be construed on the facts of this case, it would not extend to a duty than to do more than the defendant did in clearing the ice from the sidewalk the evening before, and would not have extended to the duty suggested by the plaintiff, that is, of getting up every morning to check the surface condition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case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T.M. 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8" style="position:absolute;z-index:251747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3" w:history="1">
        <w:r>
          <w:rPr>
            <w:rFonts w:ascii="arial" w:eastAsia="arial" w:hAnsi="arial" w:cs="arial"/>
            <w:b/>
            <w:bCs/>
            <w:i/>
            <w:color w:val="0077CC"/>
            <w:kern w:val="32"/>
            <w:sz w:val="28"/>
            <w:szCs w:val="32"/>
            <w:u w:val="single"/>
            <w:shd w:val="clear" w:color="auto" w:fill="FFFFFF"/>
            <w:lang w:val="en-US" w:eastAsia="en-US" w:bidi="ar-SA"/>
          </w:rPr>
          <w:t>Radha Holdings Ltd. v. Quantum Properties Brooklyn Inc., [2016] B.C.J. No. 1567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 Burke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10,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22,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S161623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1567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1364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Radha Holdings Ltd., Plaintiff, and Quantum Properties Brooklyn Inc., Northblu Fruit Co. Inc., Parmjit Singh Bains, Suksuj Ventures Ltd., Dr. Shavinder Singh Gill, Diane Delves, Quantum Properties Brooklyn (GP) Inc., and Quantum Properties Brooklyn Limited Partnership,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jc w:val="both"/>
        <w:rPr>
          <w:rFonts w:ascii="arial" w:eastAsia="arial" w:hAnsi="arial" w:cs="arial"/>
          <w:sz w:val="20"/>
          <w:lang w:val="en-US" w:eastAsia="en-US" w:bidi="ar-SA"/>
        </w:rPr>
      </w:pPr>
      <w:bookmarkStart w:id="35" w:name="Counsel_9"/>
      <w:bookmarkEnd w:id="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9"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G.P. Holeksa.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Northblu Fruit Co. Inc., Parmjit Singh Bains, Dr. Shavinder Singh Gill and Suksuj Ventures Ltd.: J.D. Poole.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Quantum Properties Brooklyn Inc., Quantum Properties Brooklyn (GP) Inc., Quantum Properties Brooklyn Limited Partnership and Diane Delves: W.D. Holder.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6" w:name="Judgment_9"/>
      <w:bookmarkEnd w:id="36"/>
      <w:r>
        <w:pict>
          <v:line id="_x0000_s1060" style="position:absolute;z-index:2517104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7" w:name="E. BURKE J."/>
            <w:bookmarkEnd w:id="37"/>
            <w:r>
              <w:rPr>
                <w:rFonts w:ascii="arial" w:eastAsia="arial" w:hAnsi="arial" w:cs="arial"/>
                <w:b/>
                <w:color w:val="000000"/>
                <w:sz w:val="30"/>
                <w:lang w:val="en-US" w:eastAsia="en-US" w:bidi="ar-SA"/>
              </w:rPr>
              <w:t>E. BURKE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apply for an order that the plaintiff, Radha Holdings Ltd. ("Radha"), provide security for costs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Quantum Properties ("the Quantum Defendants") and Diane Delves seek an order for security for costs in the amount of $303,700. Northblu Fruit Co. Inc., Parmjit Singh Bains, Suksuj Ventures Ltd. and Dr. Shavinder Singh Gill also seek an order that Radha be required to post security for costs in the amount of $400,000.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Each of the applications seek a stay of all proceedings until the security is posted; that the action be dismissed if the security is not paid; an order granting leave to apply for further security for costs in the future; and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trial in this matter is set to proceed in March 2017 for 29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r>
        <w:rPr>
          <w:rFonts w:ascii="arial" w:eastAsia="arial" w:hAnsi="arial" w:cs="arial"/>
          <w:sz w:val="20"/>
          <w:lang w:val="en-US" w:eastAsia="en-US" w:bidi="ar-SA"/>
        </w:rPr>
        <w:cr/>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security for costs against the plaintiff be ordered?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amount of security of costs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Radha is a corporation incorporated under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xml:space="preserve">. The defendants bring this application pursuant to s. 236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 inherent jurisdiction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action is complex and arises from the participation of the parties in the development of 87 condominium units in Abbotsford. The plaintiff was a shareholder of Quantum Properties Brooklyn Inc. ("Brooklyn"), along with Suksuj Ventures Ltd. ("Suksuj") and Northblu Fruit Co. Inc. ("Northblu"). Brooklyn was in the business of developing a property purchased in 2006, located in Abbotsford.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While the development underwent a number of steps to move forward between December 2006 and October 2009, construction or the project had not commenced by this time. On October 21, 2009, the plaintiff sold its shares in Brooklyn to Northblu and Suksuj pursuant to a share purchase agreement. As part of that agreement, the plaintiff's shareholder loan was converted to a vendor's loan in the amount of $1,498,771, with interest at 3% per annum. Brooklyn signed a promissory note in that amount as security for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dispute between the parties concerns a subsequent Memorandum of Understanding dated April 6, 2010, in which the parties agreed to terms which affected the above shareholder loan of the plaintiff. The Memorandum of Agreement reduced the loan by $467,000 and converted it into a promissory note in favour of Radha, in the amount of $467,500 at 5% per annum that each of Suksuj and Northblu would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reduction in the amount is not at issue between the parties. At issue is the term in that agreement that the payment of these amounts would be deferred until the completion of the project; sale of residential units and the receipt of net proceeds by the shareholders of Brooklyn; Northblu and Suksuj, sufficient to provide an adequate return of equity on the development to satisfy the full payment of the promissory notes. The previous share purchase agreement provided that Radha's loan would be repaid in priority to all other debts and liabilities of the project once all bank financing for the project had been repaid.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say the project was completed at a loss in 2012 and they did not receive adequate equity to satisfy the conditions in the Memorandum of Agreement. As a result, the defendants say the amounts in the promissory notes were never due and owing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essentially alleges this Memorandum of Agreement was reached when the plaintiff was in a vulnerable state and he was taken advantage of. The plaintiff claims against the defendants, both corporate and individual, seeking a number of remedies on an alternative basis, including a declaration the April 2010 Memorandum of Agreement is not a valid and enforceable contract; is void or voidable; rescission; rectification; and judgment against the corporate defendants in the amount of $1,498,771.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Alternatively, it seeks separate and individual judgments against the corporate defendant Northblu and Suksuj in the amount of $467,500 plus interest; an accounting of profits; a declaration of resulting trust; an order tracing receipt of the proceeds of sales; damages for misrepresentation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also alleges misrepresentation against the individual defendants, which the defendants say is essentially a claim of fraud. The plaintiff claims against Dr. Gill in his capacity as a cardiologist for Mr. Santokh Herar, a shareholder and director of Radha. The plaintiff maintains Dr. Gill advised the other defendants of Mr. Herar's medical condition, causing or contributing to undue pressure on Mr. Herar to amend the share purchase agreement in a manner that was substantially unfair to Radha.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This is all vigorously denied by the defendants. In addition, the defendants point to the substantial time between March 18, 2010 and the execution on April 6, 2010 of the Memorandum of Understanding, during which the plaintiff had time to consider the Memorandum of Agreement and the legal advice provided to him prior to signing the Agreement. Furthermore, the defendant, Diane Delves, and the Quantum Defendants, say they were approached in December 2009 to rescue a faltering project in financial difficulties. As part agreeing to participate, they sought and obtained a release executed by Radha and Mr. Herar.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point out the claim was filed on June 3, 2014 and they unsuccessfully sought to negotiate security for costs with the plaintiff. While pleadings have been completed, no examination for discovery has been held. As a result, the defendants maintain this application is timely.</w:t>
      </w:r>
      <w:r>
        <w:rPr>
          <w:rFonts w:ascii="arial" w:eastAsia="arial" w:hAnsi="arial" w:cs="arial"/>
          <w:sz w:val="20"/>
          <w:lang w:val="en-US" w:eastAsia="en-US" w:bidi="ar-SA"/>
        </w:rPr>
        <w:cr/>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Should security for costs be awarded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turn to the question of whether security for costs against the plaintiff should be ordered.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Section 236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Court may order security for costs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If a corporation is the plaintiff in a legal proceeding brought before the court, and if it appears that the corporation will be unable to pay the costs of the defendant if the defendant is successful in the defence, the court may require security to be given by the corporation for those costs, and may stay all legal proceedings until the security is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As set out in </w:t>
      </w:r>
      <w:r>
        <w:rPr>
          <w:rFonts w:ascii="arial" w:eastAsia="arial" w:hAnsi="arial" w:cs="arial"/>
          <w:i/>
          <w:color w:val="000000"/>
          <w:sz w:val="20"/>
          <w:lang w:val="en-US" w:eastAsia="en-US" w:bidi="ar-SA"/>
        </w:rPr>
        <w:t>Island Research &amp; Development Corp. v. Boeing Co.</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1991 CarswellBC 2628</w:t>
        </w:r>
      </w:hyperlink>
      <w:r>
        <w:rPr>
          <w:rFonts w:ascii="arial" w:eastAsia="arial" w:hAnsi="arial" w:cs="arial"/>
          <w:color w:val="000000"/>
          <w:sz w:val="20"/>
          <w:lang w:val="en-US" w:eastAsia="en-US" w:bidi="ar-SA"/>
        </w:rPr>
        <w:t xml:space="preserve"> at para. 3 (S.C.), Spencer J. noted the purpose of security for costs is to protect a defendant from the likelihood that in the event of its success it will be unable to recover its costs from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factors to be considered in achieving a just balance between the defendants' right to protection and the plaintiffs' right to advance a potential claim for adjudication include the chance of the claim's success, the anticipated level of cost in conducting the action and the prospect of the plaintiffs ever having assets from which to pay the defendants' costs if the claim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considerations a court will take into account when determining whether to grant an order for security for costs against impecunious corporate plaintiffs were described in </w:t>
      </w:r>
      <w:r>
        <w:rPr>
          <w:rFonts w:ascii="arial" w:eastAsia="arial" w:hAnsi="arial" w:cs="arial"/>
          <w:i/>
          <w:color w:val="000000"/>
          <w:sz w:val="20"/>
          <w:lang w:val="en-US" w:eastAsia="en-US" w:bidi="ar-SA"/>
        </w:rPr>
        <w:t>Keary Development v. Tarmac Construction</w:t>
      </w:r>
      <w:r>
        <w:rPr>
          <w:rFonts w:ascii="arial" w:eastAsia="arial" w:hAnsi="arial" w:cs="arial"/>
          <w:color w:val="000000"/>
          <w:sz w:val="20"/>
          <w:lang w:val="en-US" w:eastAsia="en-US" w:bidi="ar-SA"/>
        </w:rPr>
        <w:t xml:space="preserve">, [1995] 3 All E.R. 534 at 539-42, and adopted by our Court of Appeal in </w:t>
      </w:r>
      <w:r>
        <w:rPr>
          <w:rFonts w:ascii="arial" w:eastAsia="arial" w:hAnsi="arial" w:cs="arial"/>
          <w:i/>
          <w:color w:val="000000"/>
          <w:sz w:val="20"/>
          <w:lang w:val="en-US" w:eastAsia="en-US" w:bidi="ar-SA"/>
        </w:rPr>
        <w:t>Kropp v. Swaneset Bay Golf Course Ltd.</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(1997), 29 B.C.L.R. (3d) 252</w:t>
        </w:r>
      </w:hyperlink>
      <w:r>
        <w:rPr>
          <w:rFonts w:ascii="arial" w:eastAsia="arial" w:hAnsi="arial" w:cs="arial"/>
          <w:color w:val="000000"/>
          <w:sz w:val="20"/>
          <w:lang w:val="en-US" w:eastAsia="en-US" w:bidi="ar-SA"/>
        </w:rPr>
        <w:t xml:space="preserve"> at para. 17 (C.A.):</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has a complete discretion whether to order security, and will act in light of all the relevant circumstances;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possibility or probability that the plaintiff company will be deterred from pursuing its claim is not without more sufficient reason for not ordering security;</w:t>
      </w:r>
    </w:p>
    <w:p>
      <w:pPr>
        <w:numPr>
          <w:numId w:val="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attempt to balance injustices arising from use of security as an instrument of oppression to stifle a legitimate claim on the one hand, and use of impecuniosity as a means of putting unfair pressure on a defendant on the other;</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have regard to the merits of the action, but should avoid going into detail on the merits unless success or failure appears obvious;</w:t>
      </w:r>
    </w:p>
    <w:p>
      <w:pPr>
        <w:numPr>
          <w:numId w:val="8"/>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can order any amount of security up to the full amount claimed, as long as the amount is more than nominal;</w:t>
      </w:r>
    </w:p>
    <w:p>
      <w:pPr>
        <w:numPr>
          <w:numId w:val="9"/>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court refuses to order security on the ground that it would unfairly stifle a valid claim, the court must be satisfied that, in all the circumstances, it is probable that the claim would be stifled; and</w:t>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lateness of the application for security is a circumstance which can properly be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Court of Appeal recently confirmed the legal principles described in </w:t>
      </w:r>
      <w:r>
        <w:rPr>
          <w:rFonts w:ascii="arial" w:eastAsia="arial" w:hAnsi="arial" w:cs="arial"/>
          <w:i/>
          <w:color w:val="000000"/>
          <w:sz w:val="20"/>
          <w:lang w:val="en-US" w:eastAsia="en-US" w:bidi="ar-SA"/>
        </w:rPr>
        <w:t>Kropp</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Ocean Pastures Corporation v. Old Masset Economic Development Corporation</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2016 BCCA 12</w:t>
        </w:r>
      </w:hyperlink>
      <w:r>
        <w:rPr>
          <w:rFonts w:ascii="arial" w:eastAsia="arial" w:hAnsi="arial" w:cs="arial"/>
          <w:color w:val="000000"/>
          <w:sz w:val="20"/>
          <w:lang w:val="en-US" w:eastAsia="en-US" w:bidi="ar-SA"/>
        </w:rPr>
        <w:t xml:space="preserve"> at para. 17. The Court then went on to say,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Once an applicant for security for costs has shown that a corporate plaintiff will not be able to pay costs should its claim fail, security is generally ordered unless the court is satisfied that there is no arguable defence: </w:t>
      </w:r>
      <w:r>
        <w:rPr>
          <w:rFonts w:ascii="arial" w:eastAsia="arial" w:hAnsi="arial" w:cs="arial"/>
          <w:i/>
          <w:color w:val="000000"/>
          <w:sz w:val="20"/>
          <w:lang w:val="en-US" w:eastAsia="en-US" w:bidi="ar-SA"/>
        </w:rPr>
        <w:t>Fat Mel's</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[1993] B.C.J. No. 507</w:t>
        </w:r>
      </w:hyperlink>
      <w:r>
        <w:rPr>
          <w:rFonts w:ascii="arial" w:eastAsia="arial" w:hAnsi="arial" w:cs="arial"/>
          <w:color w:val="000000"/>
          <w:sz w:val="20"/>
          <w:lang w:val="en-US" w:eastAsia="en-US" w:bidi="ar-SA"/>
        </w:rPr>
        <w:t xml:space="preserve"> at 235.</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Application of the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Based on the above jurisprudence, I conclude security for costs against the plaintiff should be ordered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It is the defendants' position that the plaintiff is a shell or holding company and that it has no exigible assets. As a result, should the defendants be successful, they would be unable to obtain costs. The Quantum Defendants seek $303,700 as security for costs, calculated as costs on a solicitor-client basis. They argue this is warranted due to the allegations of fraud and breach of fiduciary duty. The Northblu Defendants seek $400,000 as security for costs on a similar basis. The parties rely on </w:t>
      </w:r>
      <w:r>
        <w:rPr>
          <w:rFonts w:ascii="arial" w:eastAsia="arial" w:hAnsi="arial" w:cs="arial"/>
          <w:i/>
          <w:color w:val="000000"/>
          <w:sz w:val="20"/>
          <w:lang w:val="en-US" w:eastAsia="en-US" w:bidi="ar-SA"/>
        </w:rPr>
        <w:t>Mayer v. Osborne Contracting Ltd.</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2011 BCSC 914</w:t>
        </w:r>
      </w:hyperlink>
      <w:r>
        <w:rPr>
          <w:rFonts w:ascii="arial" w:eastAsia="arial" w:hAnsi="arial" w:cs="arial"/>
          <w:color w:val="000000"/>
          <w:sz w:val="20"/>
          <w:lang w:val="en-US" w:eastAsia="en-US" w:bidi="ar-SA"/>
        </w:rPr>
        <w:t>, as an authority for the Court's ability to award special costs where a party pursues meritless claims or makes improper allegations of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concedes it is impecunious. However, it claims the impecuniosity is a result of the impugned actions of the defendants. According to the plaintiff, its claim is meritorious. To grant security for costs, the plaintiff argues, would frustrate a valid claim and reward the defendants for their allegedly wrongful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first question to consider is whether the defendants have made out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that the plaintiff would be unable to pay the applicant's costs if the claim fails. This factor, as mentioned, is conceded by the plaintiff. Radha does not hold sufficient exigible assets that could be used to satisfy an award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second question is whether the defendants have an arguable defence to the plaintiff's claims. Without delving too deeply into the merits of the parties' cases, I conclude the defendants have an arguable defence to the claims. Based on the materials presented, there are clearly challenges that can be made to the plaintiff's claims, which are based,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on mistake, undue influence, and breach of fiduciary duty. It is not necessary for me to comment further on the merits at this point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has not convinced me that if security for costs is ordered its claim would be stifled. I was provided with no evidence establishing the plaintiff could not raise security if required. I note this is a corporate plaintiff and therefore a lower threshold than that involving an individual plaintiff must be met by the defendants in seeking security for costs. I also note the claim, in effect for fraud, raises potentially serious issues the defendants must deal with should the plaintiff continue to pursue these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for the cause of the plaintiff's impecuniosity, I accept the alleged conduct of the defendants may have contributed to that situation. Other than the alleged non-payment of a debt, the degree to which that has impacted on the plaintiff is not, however, apparent from the materials. I am therefore not prepared to dismiss the order on that basis. The defendants are entitled to some protection should they be successful. The matter is lengthy and said to require expensive expert reports and, as noted earlier, involves what may, in effect, be characterized as allegations of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Based on all the above, I conclude security for costs against the plaintiff should be ordered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turn to the second question.</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What amount of security of costs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defendants provided no authority where a Court ordered security for costs on a solicitor-client basis. </w:t>
      </w:r>
      <w:r>
        <w:rPr>
          <w:rFonts w:ascii="arial" w:eastAsia="arial" w:hAnsi="arial" w:cs="arial"/>
          <w:i/>
          <w:color w:val="000000"/>
          <w:sz w:val="20"/>
          <w:lang w:val="en-US" w:eastAsia="en-US" w:bidi="ar-SA"/>
        </w:rPr>
        <w:t>Mayer</w:t>
      </w:r>
      <w:r>
        <w:rPr>
          <w:rFonts w:ascii="arial" w:eastAsia="arial" w:hAnsi="arial" w:cs="arial"/>
          <w:color w:val="000000"/>
          <w:sz w:val="20"/>
          <w:lang w:val="en-US" w:eastAsia="en-US" w:bidi="ar-SA"/>
        </w:rPr>
        <w:t xml:space="preserve"> is authority only for the proposition that special costs are warranted in certain situations. The defendants' argument is based on the assumption that the Court will certainly exercise its discretion to award special costs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 am not prepared to order that the plaintiff provide security in that amount on the chance that its claims prove meritless after what the defendants contend will be a 29-day trial. Section 236 is to ensure a defendant can recover its costs if successful; special costs, on the other hand, are not compensatory -- they are a punitive measure used to deter reprehensible conduct: </w:t>
      </w:r>
      <w:r>
        <w:rPr>
          <w:rFonts w:ascii="arial" w:eastAsia="arial" w:hAnsi="arial" w:cs="arial"/>
          <w:i/>
          <w:color w:val="000000"/>
          <w:sz w:val="20"/>
          <w:lang w:val="en-US" w:eastAsia="en-US" w:bidi="ar-SA"/>
        </w:rPr>
        <w:t>Mayer</w:t>
      </w:r>
      <w:r>
        <w:rPr>
          <w:rFonts w:ascii="arial" w:eastAsia="arial" w:hAnsi="arial" w:cs="arial"/>
          <w:color w:val="000000"/>
          <w:sz w:val="20"/>
          <w:lang w:val="en-US" w:eastAsia="en-US" w:bidi="ar-SA"/>
        </w:rPr>
        <w:t>, at paras. 8 and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Similarly, I am not prepared to award costs on scale C. I have not been convinced this litigation is bound to be a matter of more than ordinary difficulty and conclude it would be premature for me to do so. While the expert reports are argued to be costly, that is a matter that can ultimately be dealt with in awarding costs after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Therefore, I order the plaintiff to put up security for costs at scale B based on the estimated 29 days of trial. While there is some difference between the parties on the length of trial, I prefer to err on the side of caution in accepting those estimates.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Draft bills of costs on the basis of Scale C have been prepared and submitted by the defendants. These should be modified to Scale B. On that basis, I estimate each bill of costs to be around $60,000. Rhada should pay as security for costs $60,000 for each of the two respective groups of defendants as identified; in effect, $120,000.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therefore order Rhada to provide $120,000 as security for costs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order that the plaintiff, Rhada, post within 60 days of this order, a letter of credit or other means of security acceptable to the registrar in that amount. Until that has been completed, the plaintiff's claim is stayed. If security is not provided within 60 days of these reasons, the defendants will have leave to apply to dismiss the action. I also note that if security is paid, the defendants have leave to apply for further security for costs if necessary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both sides have been partly successful, the parties will bear their own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 BURKE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1" style="position:absolute;z-index:251748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5" w:history="1">
        <w:r>
          <w:rPr>
            <w:rFonts w:ascii="arial" w:eastAsia="arial" w:hAnsi="arial" w:cs="arial"/>
            <w:b/>
            <w:bCs/>
            <w:i/>
            <w:color w:val="0077CC"/>
            <w:kern w:val="32"/>
            <w:sz w:val="28"/>
            <w:szCs w:val="32"/>
            <w:u w:val="single"/>
            <w:shd w:val="clear" w:color="auto" w:fill="FFFFFF"/>
            <w:lang w:val="en-US" w:eastAsia="en-US" w:bidi="ar-SA"/>
          </w:rPr>
          <w:t>Real Organics &amp; Naturals House Ltd. v. Canadian Phytopharmaceutical Corp., [2019] B.C.J. No. 436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P.G. Voith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7-8,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20,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S-177788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436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394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Real Organics &amp; Naturals House Ltd. and Ivy Liou, Plaintiffs, and Canadian Phytopharmaceutical Corporation and Kok-Sing Lim and Daniel Wang and Carina Cai,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(52 paras.)</w:t>
      </w:r>
    </w:p>
    <w:p>
      <w:pPr>
        <w:jc w:val="both"/>
        <w:rPr>
          <w:rFonts w:ascii="arial" w:eastAsia="arial" w:hAnsi="arial" w:cs="arial"/>
          <w:sz w:val="20"/>
          <w:lang w:val="en-US" w:eastAsia="en-US" w:bidi="ar-SA"/>
        </w:rPr>
      </w:pPr>
      <w:bookmarkStart w:id="38" w:name="Counsel_10"/>
      <w:bookmarkEnd w:id="3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2"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D. 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D.L.R. Yaverbaum.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9" w:name="Judgment_10"/>
      <w:bookmarkEnd w:id="39"/>
      <w:r>
        <w:pict>
          <v:line id="_x0000_s1063" style="position:absolute;z-index:2517114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0" w:name="P.G. VOITH J."/>
            <w:bookmarkEnd w:id="40"/>
            <w:r>
              <w:rPr>
                <w:rFonts w:ascii="arial" w:eastAsia="arial" w:hAnsi="arial" w:cs="arial"/>
                <w:b/>
                <w:color w:val="000000"/>
                <w:sz w:val="30"/>
                <w:lang w:val="en-US" w:eastAsia="en-US" w:bidi="ar-SA"/>
              </w:rPr>
              <w:t>P.G. VOITH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A.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Real Organics &amp; Naturals House Ltd. ("Real Organics") and Ivy Liou, have brought an application against the defendant, Canadian Phytopharmaceutical Corporation ("CPC"), seeking two forms of relief. First, by way of a summary trial application, the Plaintiffs seek a declaratory order that CPC breached the terms of the contracts it made with Real Organics in or around July and August 2016. Second, though not explicit in their application, the Plaintiffs seek to sever certain questions of liability that arise in their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CPC raises multiple issues in response to the application. For example, it objects to the admissibility of various pieces of evidence. It also argues that it misapprehended the nature and focus of the present application and therefore did not assemble the evidence that it might otherwise have gathered for the application. Ultimately, CPC's position is that the present dispute is not suitable for resolution by way of summary disposition and that severing issue of liability and damages would, having regard to the relevant authorities, be inappropriate.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B. </w:t>
      </w:r>
      <w:r>
        <w:rPr>
          <w:rFonts w:ascii="arial" w:eastAsia="arial" w:hAnsi="arial" w:cs="arial"/>
          <w:b/>
          <w:color w:val="000000"/>
          <w:sz w:val="20"/>
          <w:u w:val="single"/>
          <w:lang w:val="en-US" w:eastAsia="en-US" w:bidi="ar-SA"/>
        </w:rPr>
        <w:t>Background and Nature of the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Real Organics is a British Columbia company that is in the business of retail, online and wholesale distribution of health products, including products made from raw Chaga. Chaga is a type of mushroom that grows on birch and other trees and that is said to have various health benefits. The plaintiff, Ms. Liou, is the Chief Executive Officer, director, and shareholder of Real Organics.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CPC is a British Columbia company and is a contract manufacturer and private labeler of herbal extracts, dietary supplements, vitamins and minerals, and natural health products. The various individual defendants, against whom no relief is sought on this application, either have an interest in or are employed by CPC.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or about April 2016, Real Organics delivered 50 kg of raw Chaga to CPC to be processed in a manner that would increase the concentration of various constituent elements in the Chaga for a new trial product that was to be sold by Real Organics (the "Trial Batch").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Real Organics says that the Trial Batch was to be processed using the specific formula and procedures that it delivered, in writing, to CPC (the "Procedures"). The Procedures contemplated the use of what is described as a dual-extraction process and further contemplated that the raw Chaga would be processed at specified temperatures for specified lengths of time using certain specified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the Trial Batch was processed, Real Organics had the processed Chaga tested by an independent testing laboratory called Silliker Laboratories Group, Inc. ("Silliker"). It did so in order to determine the concentration levels of materials that had been extracted through the Procedures. These tests indicated that the polysaccharides in the processed material had a concentration of 50.2%. This is to be compared to earlier testing undertaken by Silliker, on the raw Chaga, that had yielded a polysaccharide concentration of 8.84%.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Satisfied with these results, Real Organics directed CPC to make capsules from, and then bottle, the processed Trial Batch. Ultimately, 679 bottles of processed Chaga, containing 90 capsules each, were manufactured from the Trial Batch.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Thereafter, on July 7, 2016 and August 8, 2016, Real Organics signed two purchase orders that it had received from CPC in connection with orders to process two further batches of raw Chaga (the "Purchase Orders"). In relation to the Purchase Orders, Real Organics again provided CPC with a set of written Procedures that mirrored the Procedures for the Trial Batch. Real Organics says that these written Procedures were incorporated into the Purchase Orders and were a term of its contract with CPC.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August 10 and August 23, 2016, Real Organics delivered two further batches of raw Chaga to CPC. Each batch consisted of approximately 513 kg of raw Chaga. At the end of November 2016, Real Organics was advised by CPC that its product had been processed. Real Organics again had samples of this processed product tested by Silliker. The results achieved by this testing indicated that the polysaccharide concentration of the processed material was only 6% as compared to the 50.2% polysaccharide concentration of the Trial Batch. Real Organics argues that both the Trial Batch and the two subsequent batches of raw Chaga were harvested in the same period and that they ought, accordingly, to have the same or similar levels of polysaccharide concentration if they were processed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two batches of processed Chaga were never capsulated or bottled. Real Organics asserts that it has lost significant profits as a result of CPC's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 </w:t>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Difficulties with the positions and evidence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Counsel for Real Organics acknowledged at the outset that the Amended Notice of Civil Claim, filed by previous counsel, was a poor pleading in multiple respects. I agree. It is not clear, for example, what claim the Plaintiffs have against the various individual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That said, the pleading clearly advanced a breach of contract claim in respect of two products. The first is the Chaga capsule product that I have described. The second is a further product called Beauty Secret Powder. The pleading also advances a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breach of fiduciary obligation, and for fraud. The fraud claim relates,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to the allegation that CPC falsified various records relating to the procedure and production of the Chaga capsule product. Real Organics seeks either specific performance of its contract with CPC or, alternatively, damages. It also seeks both aggravated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this application, Real Organics only advances its breach of contract claim for the processing and production of the Chaga capsule product. Counsel for the Plaintiffs also confirmed that Real Organics had elected to pursue damages rather than specific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Furthermore, in order to simplify its application, Real Organics formally confirmed that it was prepared, if successful on its summary trial application, to abandon all claims in its Amended Notice of Civil Claim other than its claim for breach of contract for the processing and production of the Chaga product. If it was unsuccessful on its summary trial application, Real Organics reserved the right to pursue either all or some of these additional claims and forms of relief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is important to realize, however, that Real Organics' claim for breach of contract has two distinct components. The first is based on CPC's failure to follow the written Procedures provided by Real Organics (the "Procedure Breach"). The second is based on CPC's failure to achieve the 50.2% polysaccharide concentration that had been achieved with the Trial Batch (the "Concentration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Different evidence and different considerations pertain to these two alleged breaches. Absent Real Organics being able to make out both components of its contract claim on this application, Real Organics would be seeking to sever not only the issues of liability and damages, it would also be seeking to deal with the two components of its contract claim at different stages in the litigation process.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Procedure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CPC admits, in its various affidavit materials, that it did not follow the written Procedures that Real Organics had provided to it. CPC now says that it did not follow the written Procedures for either the Trial Batch or for the two subsequent and later deliveries of Chaga that Real Organics' present claim is based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Early in its submissions, CPC accepted that the Purchase Orders constituted a contract with Real Organics and that the written Procedures formed part of that contract. I asked counsel why, if that were the case and if CPC admitted that it had not followed the written Procedures it had been provided, I should not make the declaration of breach that Real Organics sought, at least in respect of the Procedure Breach. Counsel for CPC reflected on his client's position overnight and, on the second day of the application, asserted that he had misspoken and that he was not prepared to concede that the written Procedures received by CPC from Real Organics formed a term of the contract between the parties. I accept counsel's assertion that he misspoke.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Counsel also asserted, as I have said earlier, that he had misapprehended the nature and focus of Real Organics' position. In particular, counsel for CPC says it misapprehended, first, the importance of the written Procedures provided by Real Organics and, second, that it did not apprehend the alleged Procedure Breach to be part of the Plaintiffs' breach of contract claim. This assertion is more difficult to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Real Organics' Amended Notice of Civil Claim, though inelegant and flawed in several respects, advances a breach of contract claim in Part 3. The pleading also states, in Part 1, that:</w:t>
      </w:r>
      <w:r>
        <w:rPr>
          <w:rFonts w:ascii="arial" w:eastAsia="arial" w:hAnsi="arial" w:cs="arial"/>
          <w:sz w:val="20"/>
          <w:lang w:val="en-US" w:eastAsia="en-US" w:bidi="ar-SA"/>
        </w:rPr>
        <w:cr/>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nature of the contractual relationship between the Plaintiffs and the Defendants was one of "made to order"; the Plaintiffs provide the Chaga raw mushroom, the product's formula for each product, and </w:t>
      </w:r>
      <w:r>
        <w:rPr>
          <w:rFonts w:ascii="arial" w:eastAsia="arial" w:hAnsi="arial" w:cs="arial"/>
          <w:color w:val="000000"/>
          <w:sz w:val="20"/>
          <w:u w:val="single"/>
          <w:lang w:val="en-US" w:eastAsia="en-US" w:bidi="ar-SA"/>
        </w:rPr>
        <w:t>the procedure of manufacturing</w:t>
      </w:r>
      <w:r>
        <w:rPr>
          <w:rFonts w:ascii="arial" w:eastAsia="arial" w:hAnsi="arial" w:cs="arial"/>
          <w:color w:val="000000"/>
          <w:sz w:val="20"/>
          <w:lang w:val="en-US" w:eastAsia="en-US" w:bidi="ar-SA"/>
        </w:rPr>
        <w:t>. The Defendants provide the manufacturing services from start to finished products.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Notice of Application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Purchase Order (The Contract)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or around April 2016, Real Organics delivered 50kg of raw Chaga to CPC for a trial powder product (the "Sample"). It was to </w:t>
      </w:r>
      <w:r>
        <w:rPr>
          <w:rFonts w:ascii="arial" w:eastAsia="arial" w:hAnsi="arial" w:cs="arial"/>
          <w:color w:val="000000"/>
          <w:sz w:val="20"/>
          <w:u w:val="single"/>
          <w:lang w:val="en-US" w:eastAsia="en-US" w:bidi="ar-SA"/>
        </w:rPr>
        <w:t>be produced based on the Dual-Extraction Procedure (the "Procedure") provided by Real Organics</w:t>
      </w:r>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paragraph 7 of the response to amended civil claim filed by the defendants (the "Response"), </w:t>
      </w:r>
      <w:r>
        <w:rPr>
          <w:rFonts w:ascii="arial" w:eastAsia="arial" w:hAnsi="arial" w:cs="arial"/>
          <w:color w:val="000000"/>
          <w:sz w:val="20"/>
          <w:u w:val="single"/>
          <w:lang w:val="en-US" w:eastAsia="en-US" w:bidi="ar-SA"/>
        </w:rPr>
        <w:t>the defendants admit that CPC would process the raw Chaga using the Procedure</w:t>
      </w:r>
      <w:r>
        <w:rPr>
          <w:rFonts w:ascii="arial" w:eastAsia="arial" w:hAnsi="arial" w:cs="arial"/>
          <w:color w:val="000000"/>
          <w:sz w:val="20"/>
          <w:lang w:val="en-US" w:eastAsia="en-US" w:bidi="ar-SA"/>
        </w:rPr>
        <w:t xml:space="preserve"> (referred to as "processing protocol" in the Response).</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6th July, 2016, Real Organics received the Sample of the dual-extracted Chaga powder from CPC. Real Organics in turn sent the Sample to a third-party lab, the Silliker Laboratories Group, Inc. ("Silliker"), to verify the quality of the concentrated constituents extracted through the Procedure.</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Real Organics was satisfied with the results of Silliker. The results indicated an index data of 50.2% for Polysaccharides, comparing to the raw Chaga which only contains 8.84% Polysaccharides, analyzed by the same lab, Silliker.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July 7, 2016 and August 8, 2016, an order was placed to CPC to process a second batch of raw Chaga into powder </w:t>
      </w:r>
      <w:r>
        <w:rPr>
          <w:rFonts w:ascii="arial" w:eastAsia="arial" w:hAnsi="arial" w:cs="arial"/>
          <w:color w:val="000000"/>
          <w:sz w:val="20"/>
          <w:u w:val="single"/>
          <w:lang w:val="en-US" w:eastAsia="en-US" w:bidi="ar-SA"/>
        </w:rPr>
        <w:t>according to the Procedure</w:t>
      </w:r>
      <w:r>
        <w:rPr>
          <w:rFonts w:ascii="arial" w:eastAsia="arial" w:hAnsi="arial" w:cs="arial"/>
          <w:color w:val="000000"/>
          <w:sz w:val="20"/>
          <w:lang w:val="en-US" w:eastAsia="en-US" w:bidi="ar-SA"/>
        </w:rPr>
        <w:t xml:space="preserve"> (the "Purchase Order").</w:t>
      </w:r>
    </w:p>
    <w:p>
      <w:pPr>
        <w:numPr>
          <w:numId w:val="9"/>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CPC received and accepted the Purchase Order.</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color w:val="000000"/>
          <w:sz w:val="20"/>
          <w:u w:val="single"/>
          <w:lang w:val="en-US" w:eastAsia="en-US" w:bidi="ar-SA"/>
        </w:rPr>
        <w:t>Purchase Order specified the Procedure to be followed</w:t>
      </w:r>
      <w:r>
        <w:rPr>
          <w:rFonts w:ascii="arial" w:eastAsia="arial" w:hAnsi="arial" w:cs="arial"/>
          <w:color w:val="000000"/>
          <w:sz w:val="20"/>
          <w:lang w:val="en-US" w:eastAsia="en-US" w:bidi="ar-SA"/>
        </w:rPr>
        <w:t>.</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admitted the Purchase Order is a binding contract in the Response.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Paragraph 27 of the first affidavit of Ms. Liou, filed for this application,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CPC did not process our first and second batch of raw Chaga of PO #070716-271 and PO# 080816-236 </w:t>
      </w:r>
      <w:r>
        <w:rPr>
          <w:rFonts w:ascii="arial" w:eastAsia="arial" w:hAnsi="arial" w:cs="arial"/>
          <w:color w:val="000000"/>
          <w:sz w:val="20"/>
          <w:u w:val="single"/>
          <w:lang w:val="en-US" w:eastAsia="en-US" w:bidi="ar-SA"/>
        </w:rPr>
        <w:t>as per the Procedure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These paragraphs highlight the importance of the written Procedures to Real Organics' claim. The foregoing paragraphs in the Plaintiff's Notice of Application also identify various paragraphs where CPC has, in its Response to Amended Civil Claim, formally accepted that the written Procedures were part of its contract with Real Organics. CPC's Response states:</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July 7, 2016, Real Organics and CPC entered into an agreement whereby CPC agreed process 500 kg of raw Chaga for fee of $48,969.75 (the "</w:t>
      </w:r>
      <w:r>
        <w:rPr>
          <w:rFonts w:ascii="arial" w:eastAsia="arial" w:hAnsi="arial" w:cs="arial"/>
          <w:b/>
          <w:color w:val="000000"/>
          <w:sz w:val="20"/>
          <w:lang w:val="en-US" w:eastAsia="en-US" w:bidi="ar-SA"/>
        </w:rPr>
        <w:t>First Chaga Order</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Under the terms of the First Chaga Order</w:t>
      </w:r>
      <w:r>
        <w:rPr>
          <w:rFonts w:ascii="arial" w:eastAsia="arial" w:hAnsi="arial" w:cs="arial"/>
          <w:color w:val="000000"/>
          <w:sz w:val="20"/>
          <w:lang w:val="en-US" w:eastAsia="en-US" w:bidi="ar-SA"/>
        </w:rPr>
        <w:t xml:space="preserve">, Real Organics would supply CPC with 500 kg of raw Chaga. CPC would process the raw Chaga into 200 kg of powdered extract (a 2.5 to 1 ratio) </w:t>
      </w:r>
      <w:r>
        <w:rPr>
          <w:rFonts w:ascii="arial" w:eastAsia="arial" w:hAnsi="arial" w:cs="arial"/>
          <w:color w:val="000000"/>
          <w:sz w:val="20"/>
          <w:u w:val="single"/>
          <w:lang w:val="en-US" w:eastAsia="en-US" w:bidi="ar-SA"/>
        </w:rPr>
        <w:t>using a processing protocol that had been provided by Real Organics</w:t>
      </w:r>
      <w:r>
        <w:rPr>
          <w:rFonts w:ascii="arial" w:eastAsia="arial" w:hAnsi="arial" w:cs="arial"/>
          <w:color w:val="000000"/>
          <w:sz w:val="20"/>
          <w:lang w:val="en-US" w:eastAsia="en-US" w:bidi="ar-SA"/>
        </w:rPr>
        <w:t>. CPC would then turn the powdered extract into bottled Chaga capsules.</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August 8, 2016, Real Organics entered into an agreement for CPC to process an additional 500 kg of raw Chaga for fee of $43,087.56 (the "</w:t>
      </w:r>
      <w:r>
        <w:rPr>
          <w:rFonts w:ascii="arial" w:eastAsia="arial" w:hAnsi="arial" w:cs="arial"/>
          <w:b/>
          <w:color w:val="000000"/>
          <w:sz w:val="20"/>
          <w:lang w:val="en-US" w:eastAsia="en-US" w:bidi="ar-SA"/>
        </w:rPr>
        <w:t>Second Chaga Order</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Under the terms of the Second Chaga Order</w:t>
      </w:r>
      <w:r>
        <w:rPr>
          <w:rFonts w:ascii="arial" w:eastAsia="arial" w:hAnsi="arial" w:cs="arial"/>
          <w:color w:val="000000"/>
          <w:sz w:val="20"/>
          <w:lang w:val="en-US" w:eastAsia="en-US" w:bidi="ar-SA"/>
        </w:rPr>
        <w:t xml:space="preserve">, Real Organics would supply CPC with 500 kg of raw Chaga. CPC would process the raw Chaga into 200 kg of powder </w:t>
      </w:r>
      <w:r>
        <w:rPr>
          <w:rFonts w:ascii="arial" w:eastAsia="arial" w:hAnsi="arial" w:cs="arial"/>
          <w:color w:val="000000"/>
          <w:sz w:val="20"/>
          <w:u w:val="single"/>
          <w:lang w:val="en-US" w:eastAsia="en-US" w:bidi="ar-SA"/>
        </w:rPr>
        <w:t>using the same processing protocol</w:t>
      </w:r>
      <w:r>
        <w:rPr>
          <w:rFonts w:ascii="arial" w:eastAsia="arial" w:hAnsi="arial" w:cs="arial"/>
          <w:color w:val="000000"/>
          <w:sz w:val="20"/>
          <w:lang w:val="en-US" w:eastAsia="en-US" w:bidi="ar-SA"/>
        </w:rPr>
        <w:t xml:space="preserve"> then turned the powdered extract into bottled Chaga capsules.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or around October to November 2016, CPC processed the raw Chaga into powdered extract </w:t>
      </w:r>
      <w:r>
        <w:rPr>
          <w:rFonts w:ascii="arial" w:eastAsia="arial" w:hAnsi="arial" w:cs="arial"/>
          <w:color w:val="000000"/>
          <w:sz w:val="20"/>
          <w:u w:val="single"/>
          <w:lang w:val="en-US" w:eastAsia="en-US" w:bidi="ar-SA"/>
        </w:rPr>
        <w:t>in accordance with the processing protocols provided by Real Organics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Furthermore, under the heading "Legal Basis" and in paragraph 41 of their Response, CPC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particular and without limiting the forgoing, CPC processed the raw Chaga provided by Real Organics </w:t>
      </w:r>
      <w:r>
        <w:rPr>
          <w:rFonts w:ascii="arial" w:eastAsia="arial" w:hAnsi="arial" w:cs="arial"/>
          <w:color w:val="000000"/>
          <w:sz w:val="20"/>
          <w:u w:val="single"/>
          <w:lang w:val="en-US" w:eastAsia="en-US" w:bidi="ar-SA"/>
        </w:rPr>
        <w:t>in accordance with the procedures provided by Real Organics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Finally, I refer to the affidavit of Ms. Cai, a defendant and employee of CPC. Ms. Cai deposes: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July 6, 2016, I received an email from Ms. Liou making an order for CPC to manufacture chaga capsules from raw chaga. In the email, Ms. Liou said that she would deliver 1,100 LB of chaga nuggets to CPC for processing into powder and then capsules </w:t>
      </w:r>
      <w:r>
        <w:rPr>
          <w:rFonts w:ascii="arial" w:eastAsia="arial" w:hAnsi="arial" w:cs="arial"/>
          <w:color w:val="000000"/>
          <w:sz w:val="20"/>
          <w:u w:val="single"/>
          <w:lang w:val="en-US" w:eastAsia="en-US" w:bidi="ar-SA"/>
        </w:rPr>
        <w:t>using a specific procedure</w:t>
      </w:r>
      <w:r>
        <w:rPr>
          <w:rFonts w:ascii="arial" w:eastAsia="arial" w:hAnsi="arial" w:cs="arial"/>
          <w:color w:val="000000"/>
          <w:sz w:val="20"/>
          <w:lang w:val="en-US" w:eastAsia="en-US" w:bidi="ar-SA"/>
        </w:rPr>
        <w:t>. A copy of the July 6 email is attached to my affidavit and marked as Exhibit "A".</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August 6, 2016, I received another email from Ms. Liou making a further order for CPC to manufacture chaga capsules from raw chaga. In the email, Ms. Liou again said that she would deliver 1,100 LB of chaga nuggets to CPC for processing into powder and then capsules </w:t>
      </w:r>
      <w:r>
        <w:rPr>
          <w:rFonts w:ascii="arial" w:eastAsia="arial" w:hAnsi="arial" w:cs="arial"/>
          <w:color w:val="000000"/>
          <w:sz w:val="20"/>
          <w:u w:val="single"/>
          <w:lang w:val="en-US" w:eastAsia="en-US" w:bidi="ar-SA"/>
        </w:rPr>
        <w:t>using a specific procedure</w:t>
      </w:r>
      <w:r>
        <w:rPr>
          <w:rFonts w:ascii="arial" w:eastAsia="arial" w:hAnsi="arial" w:cs="arial"/>
          <w:color w:val="000000"/>
          <w:sz w:val="20"/>
          <w:lang w:val="en-US" w:eastAsia="en-US" w:bidi="ar-SA"/>
        </w:rPr>
        <w:t>. A copy of the August 6 email is attached to my affidavit and marked as Exhibit "B".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Exhibit "A" and "B" to the affidavit of Ms. Cai, which are virtually identical, are the written Procedures that I alluded to earlier and that were delivered by Real Organics to CPC.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Based on the foregoing materials, it is difficult to accept that CPC somehow misapprehended the importance of the written Procedures that Real Organics provided to it and that it did not apprehend that CPC's alleged Procedure Breach constituted a part of Real Organics' breach of contract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Furthermore, notwithstanding the foregoing admissions and evidence, counsel for CPC sought to argue that it was open to CPC to use its expertise and to deviate, if it thought necessary or appropriate, from the written Procedures that it had received. None of CPC's pleadings or its affidavits advance any such entitlement, either by way of implied term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 further set of facts is relevant. I have said that the Plaintiffs' pleadings raise a fraud claim. A component of that fraud claim is based on the assertion that CPC knowingly falsified production records. That assertion is based on the evidence of Mr. Li, a former employee of CPC, who has deposed,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 he was told by Mr. Ying, a current CPC employee and an affiant on behalf of CPC on this application, that Mr. Ying had falsified various production records relating to the processing of Real Organics' Chaga capsule product. Mr. Ying has denied that assertion. I advised counsel that this was not an issue I could address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the same time, the facts that underlie this issue are, at least inferentially, relevant to the Procedure Breach. CPC says that it lost the original production records that relate to the Chaga it processed for Real Organics in the fall of 2016. Mr. Ying thereafter deposed that he retroactively completed daily production records for the time periods in question. Those production records indicate that CPC adhered perfectly to the written Procedures it had received from Real Organics.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However, in Mr. Ying's affidavit of November 9, 2018, he has, again, based on his memory, re-created how Real Organics' raw Chaga was processed. This new recollection deviates materially in several respects from the written Procedures that Real Organics provided to CPC and from the production records that Mr. Ying himself later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Whether the production records that Mr. Ying completed were "falsified" or simply false, in the sense that they were inaccurate, is a matter for trial. What is relevant is that Mr. Ying appeared to consider, when he completed the production records after the fact, that CPC had adhered to the written Procedures it had received from Real Organics.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Because of the difficulties associated with the Concentration Breach claim advanced by Real Organics, and on account of my other conclusions on this application, I do not consider that it is necessary or appropriate for me to address the merits of the Procedure Breach further.</w:t>
      </w:r>
      <w:r>
        <w:rPr>
          <w:rFonts w:ascii="arial" w:eastAsia="arial" w:hAnsi="arial" w:cs="arial"/>
          <w:sz w:val="20"/>
          <w:lang w:val="en-US" w:eastAsia="en-US" w:bidi="ar-SA"/>
        </w:rPr>
        <w:cr/>
      </w:r>
    </w:p>
    <w:p>
      <w:pPr>
        <w:numPr>
          <w:numId w:val="1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Concentration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 are several apparent difficulties with this aspect of Real Organics' claim. At her examination for discovery, Ms. Liou, on her own behalf and on behalf of Real Organics, admitted that the Purchase Orders she had signed did not include a term that dealt with polysaccharide concentrations of the finished product. Specifically, in relation to the July 7, 2016 Purchase Order, Ms. Liou gave the following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287 Q. And to your knowledge there's no term in this contract requiring a concentration of polysaccharides?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Yes. But we do agree on the first trial processing protocol. So I believe CPC refer the first trial process protocol. And also mention on your amend - amendment of the civil - on our civil claim in November 2016. You mentioned on your amendment say CPC and I agree the - this P0 should follow the - the processing protocol on our trial chaga--on our trial 50 kg. Because the 50 kg report come out over 50 percent of polysaccharides.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relation to the August 8, 2016 Purchase Order, Ms. Liou gave the following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327 Q. And you agree with me that there's no term in this contract requiring any specific concentration of polysaccharides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328 Q. - - polysaccharides in the finished manufactured product?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Yes. Because I believed they will follow the - the processing protocol of our trial 50 kg chaga.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329 Q. And you believed that would result in the same concentration of polysaccharides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For 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50.2% polysaccharide concentration was the outcome of the testing of the Trial Batch done by Silliker on behalf of Real Organics. That 50.2% polysaccharide concentration was then incorporated onto a label, prepared by Real Organics, which was delivered to CPC for placement onto the bottles of the finished Chaga capsule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CPC advances the position that the Plaintiffs never communicated their "potency requirements" to CPC and that CPC did not therefore test the finished Chaga capsule product. One aspect of CPC's very purpose, however, is to process raw materials in order to increase the concentrations of certain components within those raw materials. Counsel for CPC accepts that this is so. Indeed this appears to be inherent in CPC's submission that it was permitted to use its discretion to deviate from the Plaintiffs' written Procedures so as to arrive at some desired result. What is not clear is what CPC understood that desired result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Real Organics filed an expert report from Dr. Wang. The admissibility of that report is objected to, on various grounds, by CPC. Leaving aside those objections, for present purposes, one aspect of Dr. Wang's report suggests that some level of variability in the concentrations of the components of both raw and processed Chaga is to be expected. Indeed Dr. Wang has opined that the concentration of polysaccharides in harvested raw Chaga may vary from batch to batch.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This conclusion seems to be consistent with some of the earlier raw Chaga testing results that were undertaken for Real Organics and from some of CPC's internal testing though those test results were not included within CPC's materials. The conclusion, that some degree of variability in the concentrations of materials in the processed Chaga product is to be expected, is also consistent with a portion of the first affidavit of Ms. Liou, sworn August 16, 2018, which states:</w:t>
      </w:r>
      <w:r>
        <w:rPr>
          <w:rFonts w:ascii="arial" w:eastAsia="arial" w:hAnsi="arial" w:cs="arial"/>
          <w:sz w:val="20"/>
          <w:lang w:val="en-US" w:eastAsia="en-US" w:bidi="ar-SA"/>
        </w:rPr>
        <w:cr/>
      </w:r>
    </w:p>
    <w:p>
      <w:pPr>
        <w:numPr>
          <w:numId w:val="1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these three shipments of Chaga were harvested at the same period, the Processed Chaga should have the </w:t>
      </w:r>
      <w:r>
        <w:rPr>
          <w:rFonts w:ascii="arial" w:eastAsia="arial" w:hAnsi="arial" w:cs="arial"/>
          <w:color w:val="000000"/>
          <w:sz w:val="20"/>
          <w:u w:val="single"/>
          <w:lang w:val="en-US" w:eastAsia="en-US" w:bidi="ar-SA"/>
        </w:rPr>
        <w:t>same or similar level</w:t>
      </w:r>
      <w:r>
        <w:rPr>
          <w:rFonts w:ascii="arial" w:eastAsia="arial" w:hAnsi="arial" w:cs="arial"/>
          <w:color w:val="000000"/>
          <w:sz w:val="20"/>
          <w:lang w:val="en-US" w:eastAsia="en-US" w:bidi="ar-SA"/>
        </w:rPr>
        <w:t xml:space="preserve"> of Polysaccharide content..."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Counsel for Real Organics, in response to a question I asked, accepted that the results of the polysaccharide concentration for the Trial Batch could have varied somewhat. The result of this is that the label that Real Organics delivered to CPC, for the Trial Batch, might not have been based on a polysaccharide concentration of 50.2% but rather on a somewhat higher or somewhat lower number. Counsel for the Plaintiffs also accepted that if CPC had delivered processed Chaga that had a concentration of, for example, 45%, no action would have been brought by Real Organics.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Two further factors are relevant. First, leaving aside issues of admissibility, another portion of Dr. Wang's expert report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If the polysaccharide content of the first batch is 50.2%, it is the manufacturer's responsibility to make sure all batches onwards will match the same or higher potency. If the result turns out to be different under the same process condition, then this is considered a "Out of Specification" and the manufacturer should do a "OOS investigation". This is a standard procedure for a GMP registered manufactory and it does not need to be indicated on the contract; the quality agreement exists in the GMP license. As a GMP pharmaceutical manufacturer, it is our responsibility to maintain the quality of product produced and in this case, find out the reason on how it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Even if the Court were to accept the existence of such a "standard procedure", the foregoing paragraph seems to acknowledge that different batches may not all meet the same potency specifications and its focus seems to be on what ensuing investigation is thereafter "standard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Second, the Plaintiffs' Amended Notice of Civil Claim is particularly unclear as it relates to the Concentration Breach. It is not clear whether Real Organics asserts that its contract with CPC required a specific polysaccharide concentration, whether that term was express or implied, and what the material facts that support the existence of that term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Accordingly, I do not consider that Real Organics' pleadings in relation to this issue are sufficiently well-developed. Furthermore, I do not consider that the positions and/or the evidence of either Real Organics or of CPC are sufficiently clear or coherent to enable the Court to find the facts necessary to decide the Concentration Breach and to address the whole of Real Organics' breach of contract claim on the merits.</w:t>
      </w:r>
      <w:r>
        <w:rPr>
          <w:rFonts w:ascii="arial" w:eastAsia="arial" w:hAnsi="arial" w:cs="arial"/>
          <w:sz w:val="20"/>
          <w:lang w:val="en-US" w:eastAsia="en-US" w:bidi="ar-SA"/>
        </w:rPr>
        <w:cr/>
      </w:r>
    </w:p>
    <w:p>
      <w:pPr>
        <w:numPr>
          <w:numId w:val="19"/>
        </w:numPr>
        <w:tabs>
          <w:tab w:val="num" w:pos="1120"/>
          <w:tab w:val="clear" w:pos="29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Suitability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Further factors are relevant to whether Real Organics' breach of contract claim is suitable for summary disposition. The factors that should be addressed when considering whether a claim can be determined by way of summary trial are well-established. Rule 9-7(15)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B.C. Reg. 168/2009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Judgment</w:t>
      </w:r>
    </w:p>
    <w:p>
      <w:pPr>
        <w:numPr>
          <w:numId w:val="20"/>
        </w:numPr>
        <w:tabs>
          <w:tab w:val="num" w:pos="1120"/>
          <w:tab w:val="clear" w:pos="29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 summary trial application, the court may</w:t>
      </w:r>
    </w:p>
    <w:p>
      <w:pPr>
        <w:numPr>
          <w:numId w:val="2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terms respecting enforcement of the judgment, including a stay of execution, 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Madam Justice D. Smith, for the Court, summarized the framework for the application of R. 9-7(15) and the relevant considerations that a chambers judge should consider:</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the court confirmed that the court under this rule "tries the issues raised by the pleadings on affidavits", that "a triable issue or arguable defence will not always defeat a summary trial application", and that "cases will be decided summarily if the court is able to find the facts necessary for that purpose, even though there may be disputed issues of fact and law" provided that the judge does not find "it is unjust to do so" (p. 211). In determining the latter issue (whether it would be unjust to proceed summarily), the Chief Justice identified a number of relevant factors to consider (at p. 215):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deciding whether it will be unjust to give judgment the chambers judge is entitled to consider, inter alia, the amount involved, the complexity of the matter, its urgency, any prejudice likely to arise by reason of delay, the cost of taking the case forward to a conventional trial in relation to the amount involved, the course of the proceedings and any other matters which arise for consideration on this important question.</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this list has been added other factors including the cost of the litigation and the time of the summary trial, whether credibility is a critical factor in the determination of the dispute, whether the summary trial may create an unnecessary complexity in the resolution of the dispute, and whether the application would result in litigating in slices: </w:t>
      </w:r>
      <w:r>
        <w:rPr>
          <w:rFonts w:ascii="arial" w:eastAsia="arial" w:hAnsi="arial" w:cs="arial"/>
          <w:i/>
          <w:color w:val="000000"/>
          <w:sz w:val="20"/>
          <w:lang w:val="en-US" w:eastAsia="en-US" w:bidi="ar-SA"/>
        </w:rPr>
        <w:t>Dahl v. Royal Bank of Canada et al.</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2005 BCSC 1263</w:t>
        </w:r>
      </w:hyperlink>
      <w:r>
        <w:rPr>
          <w:rFonts w:ascii="arial" w:eastAsia="arial" w:hAnsi="arial" w:cs="arial"/>
          <w:color w:val="000000"/>
          <w:sz w:val="20"/>
          <w:lang w:val="en-US" w:eastAsia="en-US" w:bidi="ar-SA"/>
        </w:rPr>
        <w:t xml:space="preserve"> at para. 12, upheld on appeal at </w:t>
      </w:r>
      <w:hyperlink r:id="rId185" w:history="1">
        <w:r>
          <w:rPr>
            <w:rFonts w:ascii="arial" w:eastAsia="arial" w:hAnsi="arial" w:cs="arial"/>
            <w:i/>
            <w:color w:val="0077CC"/>
            <w:sz w:val="20"/>
            <w:u w:val="single"/>
            <w:shd w:val="clear" w:color="auto" w:fill="FFFFFF"/>
            <w:lang w:val="en-US" w:eastAsia="en-US" w:bidi="ar-SA"/>
          </w:rPr>
          <w:t>2006 BCCA 369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Real Organics says that its claim for damages is approximately $1.35 million, representing the price it expected to sell the Chaga products that CPC was to process and package. It is not clear to me how the costs of production and other expenses factor into that number. The affidavit materials filed by Real Organics also seem to contemplate some further claim for loss of goodwill. Thus, the claim, as advanced, is for a relatively significant sum.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There are also some significant conflicts in the evidence, particularly as it relates to the evidence of Mr. Li and the representatives of CPC. The evidence of Mr. Li relates not only to Real Organics' fraud claim but also, for the reasons that I have explained, to those aspects of its claim that deal with the Procedure Breach. These matters cannot be resolved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is no suggestion that Real Organics' claim is particularly urgent. Still further, the claim by virtue of the technical nature of some aspects of the evidence and the apparent need for expert opinion evidence makes the claim moderately complex. To be specific, Real Organics intends to lead expert evidence in relation to questions of liability. CPC says it also intends to lead expert evidence in relation to questions of damages. It is likely that each party will retain experts to respond to the expert reports filed by the other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Finally, it is clear that Real Organics' summary trial application would result in its claim being "litigated in slices". Indeed, for the reasons that I have explained, it would result in Real Organics' breach of contract claim being dealt with "in slices" as well as in having the damages component of its claim being deferred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Based on the foregoing considerations, I do not consider that Real Organics' application can succeed. I am unable to find the facts necessary to decide the issues of fact or law that are raised. Additionally, it would be unjust to decide the issues raised by the application. Based on these conclusions, it is unnecessary for me to address the parties' detailed submissions on whether it would be appropriate to sever issues of liability from questions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Accordingly, the summary trial application of Real Organics is dismissed. I consider that the trial judge who hears the matter should also deal with the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P.G. VOITH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4" style="position:absolute;z-index:251749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2" w:history="1">
        <w:r>
          <w:rPr>
            <w:rFonts w:ascii="arial" w:eastAsia="arial" w:hAnsi="arial" w:cs="arial"/>
            <w:b/>
            <w:bCs/>
            <w:i/>
            <w:color w:val="0077CC"/>
            <w:kern w:val="32"/>
            <w:sz w:val="28"/>
            <w:szCs w:val="32"/>
            <w:u w:val="single"/>
            <w:shd w:val="clear" w:color="auto" w:fill="FFFFFF"/>
            <w:lang w:val="en-US" w:eastAsia="en-US" w:bidi="ar-SA"/>
          </w:rPr>
          <w:t>Rostas v. Hyde Creek Recreation, [2019] B.C.J. No. 1974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T.A. Schultes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18,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S164064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1974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1804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Zoltan Konrad Rostas, Plaintiff, and Hyde Creek Recreation and The Corporation of the City of Port Coquitlam,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(83 paras.)</w:t>
      </w:r>
    </w:p>
    <w:p>
      <w:pPr>
        <w:jc w:val="both"/>
        <w:rPr>
          <w:rFonts w:ascii="arial" w:eastAsia="arial" w:hAnsi="arial" w:cs="arial"/>
          <w:sz w:val="20"/>
          <w:lang w:val="en-US" w:eastAsia="en-US" w:bidi="ar-SA"/>
        </w:rPr>
      </w:pPr>
      <w:bookmarkStart w:id="41" w:name="Counsel_11"/>
      <w:bookmarkEnd w:id="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5"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M.J. Velletta.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 Morishita.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2" w:name="Judgment_11"/>
      <w:bookmarkEnd w:id="42"/>
      <w:r>
        <w:pict>
          <v:line id="_x0000_s1066" style="position:absolute;z-index:25171251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November 19, 2019; the changes have been made to the text and the corrigenda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3" w:name="T.A. SCHULTES J."/>
            <w:bookmarkEnd w:id="43"/>
            <w:r>
              <w:rPr>
                <w:rFonts w:ascii="arial" w:eastAsia="arial" w:hAnsi="arial" w:cs="arial"/>
                <w:b/>
                <w:color w:val="000000"/>
                <w:sz w:val="30"/>
                <w:lang w:val="en-US" w:eastAsia="en-US" w:bidi="ar-SA"/>
              </w:rPr>
              <w:t>T.A. SCHULTES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April 27, 2014, Mr. Rostas was seriously injured when a sink in the washroom that he was using at the swimming pool in the Hyde Creek Recreation Centre gave way. This summary trial on liability alone dealt with the issue of whether Corporation of the City of Port Coquitlam, as occupier of the recreation centre, took reasonable steps to ensure Mr. Rostas's safety when he was using the washroom.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important underlying questions are how Mr. Rostas came into contact with the sink, why it broke, its suitability for use in that location, and whether the inspection regime that the City had in place was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recreation centre's employees did not preserve the remnants of the sink, raising the further question of what inferences should be drawn in the absence of any opportunity for the parties to examine it to determine why it failed.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Both counsel took the position that this case is suitable for determination by summary trial. In support of that position, they did everything reasonably possible during the hearing to minimize conflicts in the evidence and, where such conflicts remained, to provide a basis on which they could be resolved by reference to the existing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How the Accident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Rostas was then 29 years old. Because of the way the accident may have unfolded, it is relevant that he weighed 237 pounds. He was at the pool that evening with his wife and young daughter. They were frequent users of the facility. After they all got ready in the family change room, Mr. Rostas's wife and daughter went to the pool area, which is accessed directly from that change room, while he went to use its washroom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washroom was in a separate room with a locking door, off of the main family change room area. It was available for use by all genders and was designed to be accessible to people with disabilities. It contained a wall-mounted ceramic sink with a mirror above it and a toilet.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Mr. Rostas entered the washroom he went to the sink, to look in the mirror. He had a habit of doing so, he explained, because the workout regime he was following at that time gave him acne. He placed his left arm on the sink to brace himself as he leaned forward. He said that there was nowhere else around the sink for him to place his weight. (In contrast, bars were mounted around the toilet to assist users with mobility issues to get on and off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According to Mr. Rostas, at this point the sink suddenly gave out from under him. It happened very quickly, as result of which he lost his balance and fell to his knees. His left forearm was severely cut, it appears by a portion of the shattered sink.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only weight or pressure he had put on it was with his arm, in the course of leaning forward. In particular, he did not fall onto it, or place his "weight over it in any sudden way". More generally he said that he "certainly did not do anything unusual that would have caused or contributed to it breaking".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Although he was emphatic that he did not feel like he was "fainting or about to faint" before the accident, he indicated in his affidavit that it was possible that he had felt "light-headed". Regardless, he said he had full control of his "mobility and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Bleeding profusely, he made his way to the pool deck area, where he received first aid from a staff member and was then taken to hospital by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Rostas gave explanations of what occurred to the first aid provider and his subsequent medical caregivers that differ from his current version</w:t>
      </w:r>
      <w:bookmarkStart w:id="44"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44"/>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pool employee who provided first aid recorded that Mr. Rostas "felt faint" and "grabbed the sink". An ambulance attendant recorded that he "fell against the sink". An emergency department record noted that he had "passed out/hit sink". A nursing note described him "having dizzy spells before falling through sink" and that he "has been having dizzy spells x 1/12".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consulting cardiologist at the hospital recorded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had some light-headedness and dizziness and felt like he was going to faint. He grabbed the sink to brace his fall. The sink fell right off the wall, shattered into several pieces, and during his period of syncope [loss of consciousness] the sink lacerated his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addition, the cardiologist described Mr. Rostas having had two other "presyncope" episodes that day and that "he has had very similar episodes over the last two years, and they have been increasing in frequency". Follow-up examinations were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Similarly, the plastic surgeon who was consulted reported that Mr. Rostas had had "a syncopal episode resulting in a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During his examination for discovery as the City's representative, the area recreation manager confirmed that the lifeguards and other staff members were aware that patrons could become dizzy or lightheaded after using the sauna, steam room or hot tub in the pool area. There were signs posted warning about that occurring. He also confirmed that it would not be unusual for patrons to go from one of those facilities directly into one of the change rooms.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How and Why the Sink Failed</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Observations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Rostas had not noticed any problems with the sink before the accident. It appeared to be firmly attached to the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his affidavit of August 2018 he said that, "to my recollection" the sink came off the wall. While he did not have specific memory of the sink after it came to rest, he did remember water "spurting out every where". This indicated to him that it had broken off at the wall, or close to it, because that is the location of the tap.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contrast, all but one of the employees who dealt with the washroom after the accident</w:t>
      </w:r>
      <w:bookmarkStart w:id="45"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45"/>
      <w:r>
        <w:rPr>
          <w:rFonts w:ascii="arial" w:eastAsia="arial" w:hAnsi="arial" w:cs="arial"/>
          <w:color w:val="000000"/>
          <w:sz w:val="20"/>
          <w:lang w:val="en-US" w:eastAsia="en-US" w:bidi="ar-SA"/>
        </w:rPr>
        <w:t xml:space="preserve"> described a portion of the sink having broken off and another portion still being attached, but with its position altered somewhat.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Their various estimates were that from one-quarter to two-thirds of the sink had fallen off. One of the maintenance workers said that it appeared to have smashed to pieces when it hit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two maintenance workers who had specific recollections of the damage described the remaining attached portion as "having pulled way from the wall to some extent" and "still attached...but... leaning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maintenance supervisor described the front of this remaining portion as "jagged and sharp". Because this broken portion of the sink remained attached, he expressed the view that "the sink did not fail at the attachment point". He also observed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metal wall mount/bracket had been bent somewhat, the back of the sink was not sitting flush against the wall. The fact that the metal bracket was bent suggested to me that some force was applied to the sink.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employee who gave first aid to Mr. Rostas took a photo of the damaged sink on her phone and showed it to the city's area recreation manager. That photo cannot now be located. The manager's current recollection of what was in the photo is generally consistent with what the other employees described ("the back of the damaged sink was still attached to the wall") but is not especially helpful in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I have mentioned, the sink was not preserved. The maintenance worker who carried out the clean up said that she put the pieces of it that were on the floor in a box. The fate of that box is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maintenance supervisor saw the washroom on his "first shift back". It had been closed off from public use. The broken pieces of the sink had been removed and he assumed that they had been disposed of by someone else. He removed the remaining portion of the sink. He described his thought process when doing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didn't cross my mind to save any broken pieces. Further, at the time it didn't cross my mind that there could be a lawsuit down the road relating to the broken sink. As far as I was concerned there was a fixture in a bathroom that was damaged and needed top be replaced as soon as possible so that the washroom could be reopened to the public."</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Expert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City obtained a report from Wayne Brox, a professional engineer who specializes in metallurgical engineering. One of his assigned tasks was "to comment on the possible causes of the sink's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Although the actual sink involved was no longer available, the maintenance supervisor was able to identify the same model of sink, installed at the same time, in another of the recreation centre's washrooms. Mr. Brox based his analysis on that sink.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Assuming the observations of the witnesses about where the sink broke and that a portion remained attached to the wall, Mr. Brox said that it was "most likely that the sink broke because it was acted on by some external force or impact...the magnitude of which clearly exceeded [its] strength..." Because the back of the sink remained attached to the wall, he found it most likely that "the sink's securement...was not affected by the accident and most likely not a factor in the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to the effect of the missing original sink, Mr. Brox said that if it had been available it might have been possible to determine whether (1) it had some defect that affected its structural integrity and caused it to break from an external force or impact that it otherwise might have been expected to accommodate or (2) it had been subjected to a force or impact of a magnitude that it was never intended to accommodate.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 explained that like most plumbing fixtures the sink is made from a glazed ceramic material called vitreous china. He described it as a "relatively strong but brittle material". Products made from it "do not normally degrade significantly with age" and "generally have a relatively long service life" - more frequently being replaced "for aesthetic reasons than due to wear and tear". The critical portion of his opinion on this point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 vitreous china fixture be exposed to forces that exceed the strength of the article, will crack and this crack, due to the material's brittle behaviour, will normally propagate throughout the article. Depending on the size of the area over which an external force may be applied and its magnitude, the surface may chip or spall [break into smaller pieces] or the article may crack and separate into two or more pieces (break).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Actions of the 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Regulatory Compliance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According to the City's technical maintenance coordinator and its manager of building, the recreation centre was substantially renovated in 1994-95. The sink in question was installed as part of those renovations, along with the one from a different washroom that Mr. Brox 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design and installation of the plumbing fixtures was carried out by a contractor and overseen by a professional engineer. As part of his duties the engineer conducted field reviews, including of "the structural capacity of the plumbing components". He ultimately provided a sealed assurance that they had been built according to the plans and complied with the applicable building codes and other safety-related enactments.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sink would also have been inspected by the City's plumbing inspectors, although the manager of building pointed out that they would not have been expected to inspect the attachment points of sinks to the wall. Their duty is to ensure compliance with the </w:t>
      </w:r>
      <w:r>
        <w:rPr>
          <w:rFonts w:ascii="arial" w:eastAsia="arial" w:hAnsi="arial" w:cs="arial"/>
          <w:i/>
          <w:color w:val="000000"/>
          <w:sz w:val="20"/>
          <w:lang w:val="en-US" w:eastAsia="en-US" w:bidi="ar-SA"/>
        </w:rPr>
        <w:t>BC Building Code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BC Plumbing Code</w:t>
      </w:r>
      <w:r>
        <w:rPr>
          <w:rFonts w:ascii="arial" w:eastAsia="arial" w:hAnsi="arial" w:cs="arial"/>
          <w:color w:val="000000"/>
          <w:sz w:val="20"/>
          <w:lang w:val="en-US" w:eastAsia="en-US" w:bidi="ar-SA"/>
        </w:rPr>
        <w:t>, which do not require the bracing of a plumbing fixture.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Importantly for our purposes, the manager of building pointed out that inspectors assess compliance with the applicable codes at the time of construction. The City does not retroactively apply subsequent changes to existing structures, unless there is a substantial alteration or renovation that involves new fixtures. In the same way, the </w:t>
      </w:r>
      <w:r>
        <w:rPr>
          <w:rFonts w:ascii="arial" w:eastAsia="arial" w:hAnsi="arial" w:cs="arial"/>
          <w:i/>
          <w:color w:val="000000"/>
          <w:sz w:val="20"/>
          <w:lang w:val="en-US" w:eastAsia="en-US" w:bidi="ar-SA"/>
        </w:rPr>
        <w:t>BC Building Code</w:t>
      </w:r>
      <w:r>
        <w:rPr>
          <w:rFonts w:ascii="arial" w:eastAsia="arial" w:hAnsi="arial" w:cs="arial"/>
          <w:color w:val="000000"/>
          <w:sz w:val="20"/>
          <w:lang w:val="en-US" w:eastAsia="en-US" w:bidi="ar-SA"/>
        </w:rPr>
        <w:t xml:space="preserve"> itself "does not require retrospective application of new requirements to existing buildings" unless a local regulation or bylaw specifically requires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An example relevant to this case is that the location at which a sink needs to be able to a specified amount of force has changed. The version of the </w:t>
      </w:r>
      <w:r>
        <w:rPr>
          <w:rFonts w:ascii="arial" w:eastAsia="arial" w:hAnsi="arial" w:cs="arial"/>
          <w:i/>
          <w:color w:val="000000"/>
          <w:sz w:val="20"/>
          <w:lang w:val="en-US" w:eastAsia="en-US" w:bidi="ar-SA"/>
        </w:rPr>
        <w:t>BC Plumbing Code</w:t>
      </w:r>
      <w:r>
        <w:rPr>
          <w:rFonts w:ascii="arial" w:eastAsia="arial" w:hAnsi="arial" w:cs="arial"/>
          <w:color w:val="000000"/>
          <w:sz w:val="20"/>
          <w:lang w:val="en-US" w:eastAsia="en-US" w:bidi="ar-SA"/>
        </w:rPr>
        <w:t xml:space="preserve"> in effect at the time that the sink was installed required it to "accommodate a vertical load of 1.3 kN (292 lbs.) applied at the centre of [its] maximum span [,] when installed in accordance with the manufacturer's instructions". In contrast, the latest version of the </w:t>
      </w:r>
      <w:r>
        <w:rPr>
          <w:rFonts w:ascii="arial" w:eastAsia="arial" w:hAnsi="arial" w:cs="arial"/>
          <w:i/>
          <w:color w:val="000000"/>
          <w:sz w:val="20"/>
          <w:lang w:val="en-US" w:eastAsia="en-US" w:bidi="ar-SA"/>
        </w:rPr>
        <w:t>Canadian Standards Association</w:t>
      </w:r>
      <w:r>
        <w:rPr>
          <w:rFonts w:ascii="arial" w:eastAsia="arial" w:hAnsi="arial" w:cs="arial"/>
          <w:color w:val="000000"/>
          <w:sz w:val="20"/>
          <w:lang w:val="en-US" w:eastAsia="en-US" w:bidi="ar-SA"/>
        </w:rPr>
        <w:t xml:space="preserve">'s requirements for fixtures (which are applied by the </w:t>
      </w:r>
      <w:r>
        <w:rPr>
          <w:rFonts w:ascii="arial" w:eastAsia="arial" w:hAnsi="arial" w:cs="arial"/>
          <w:i/>
          <w:color w:val="000000"/>
          <w:sz w:val="20"/>
          <w:lang w:val="en-US" w:eastAsia="en-US" w:bidi="ar-SA"/>
        </w:rPr>
        <w:t>BC Plumbing Code</w:t>
      </w:r>
      <w:r>
        <w:rPr>
          <w:rFonts w:ascii="arial" w:eastAsia="arial" w:hAnsi="arial" w:cs="arial"/>
          <w:color w:val="000000"/>
          <w:sz w:val="20"/>
          <w:lang w:val="en-US" w:eastAsia="en-US" w:bidi="ar-SA"/>
        </w:rPr>
        <w:t>) specify that a wall-mounted sink be able to accommodate a vertical load of 1.1 kN (247 lbs.) applied to the forward edge of the sink.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Mr. Brox also explained that the </w:t>
      </w:r>
      <w:r>
        <w:rPr>
          <w:rFonts w:ascii="arial" w:eastAsia="arial" w:hAnsi="arial" w:cs="arial"/>
          <w:i/>
          <w:color w:val="000000"/>
          <w:sz w:val="20"/>
          <w:lang w:val="en-US" w:eastAsia="en-US" w:bidi="ar-SA"/>
        </w:rPr>
        <w:t>BC Building Code</w:t>
      </w:r>
      <w:r>
        <w:rPr>
          <w:rFonts w:ascii="arial" w:eastAsia="arial" w:hAnsi="arial" w:cs="arial"/>
          <w:color w:val="000000"/>
          <w:sz w:val="20"/>
          <w:lang w:val="en-US" w:eastAsia="en-US" w:bidi="ar-SA"/>
        </w:rPr>
        <w:t xml:space="preserve"> in force at the time these sinks were installed required sufficient clearance underneath them to be accessible by a person in a wheelchair. He said that "this is perhaps best met" by the use of a wall-mount sink, of the kind that was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He ultimately offered the overall opinion that "this make and model of the sink complied with the requirements of the [b]uilding and [p]lumbing [c]odes of the day and...was therefore suitable for use in the subject bathroom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Ongoing Inspections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City commissioned a facilities assessment by an outside agency in 2013. According to its technical maintenance coordinator, the assessment was to include "the current state of the facilities, identification of short and long-term work that might be required and a schedule of expected equipment replacement dates". The comment in the resulting report was that the plumbing fixtures in the recreational facilities appeared to be in "good functional condition" but that "some additional care in the form of cleaning and re-caulking"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central focus of the city's efforts to keep users of the washroom safe was the regime for ongoing inspection by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facility maintenance supervisor described the washrooms in the recreation centre being thoroughly cleaned once a day, during the graveyard shift. Specifically: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cleaning sinks, maintenance workers are expected to make note of any abnormalities, including if the sink is cracked or chipped or loose. If the maintenance worker sees any such abnormalities, they are expected to bring it to the attention of their supervisor, which in 2014 was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Maintenance staff also check the washrooms "a number of times during the day", with respect to the presence of garbage and the general condition of the washroom.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Each maintenance worker fills out a check sheet for their shift, confirming that they have performed the tasks listed on it. An item to be checked off for the graveyard shift in relation to the family change room was the cleaning of "sinks, mirrors and counters". The manual that governs the duties of maintenance workers lists, among the tasks in relation to the sinks, the requirement to clean and polish "fixtures" daily, as well as to clean "plumbing fixtures" with the same frequency.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maintenance worker who cleaned the washroom after Mr. Rostas's accident was the same one who had cleaned the entire family change room on the April 26 graveyard shift. This was its last full cleaning before the accident. She confirmed that she had completed the check sheet showing performance of the tasks related to the cleaning of the washroom. She described her manner of cleaning the sinks, which involves spraying them with a germicidal cleaner and wiping them down, preceded by the use of an abrasive cream if the sink was "quite dirty". With respect to the maintenance aspect of her duties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cleaning the sink I would look for any cracks or deficiencies with the sink and taps. That would include looking for whether the taps were loose or if the sink was loose from the wall. If the taps or the sink were loose I would know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She added that had she noticed such a situation during that shift, she would have closed down the washroom from public use and advised her supervisor.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maintenance worker who was on duty at the time of the accident also occasionally worked the graveyard shift, including before the accident also described being "on the lookout for issues or problems that need to be addressed or repaired". If she noticed a problem when cleaning the sink, "such as a chip or crack or if it is loose", she too would report it to her supervisor.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addition to this daily routine, there is a yearly facility shut-down, during which the staff perform what the area recreation manager described as "a further big-picture disinfection, cleaning and review of those rooms." However, this process is not carried out in accordance with a check sheet and it does not generate any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An occupational health and safety committee also conducts a walk-through of the facility once per month, but this is carried out from the perspective of staff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facility maintenance supervisor said that there was no record of any problems with the sink in that washroom on April 27, 2014 "or the time period leading up to the date", which was not precisely defined. Nor did he recall any such problems. More generally, he was not aware of any of the sinks in the recreation centre coming loose since he has had that job, which he began in November 2010 and was continuing in when he swore his affidavit in November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To show the effectiveness of this regime in a different light, Mr. Rostas's counsel referred to the photos that Mr. Brox took of the comparison sink in the other washroom. They appear to show the sink coming slightly away from the wall on the left upper corner; a crack in the sink and the flaking of material in the area where the lower right side of the sink joins the wall; corrosion of the metal fittings under the sink; and what counsel described as the "buildup over time of dirt, mould and mildew."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Part of Mr. Brox's report is relevant to the question of what inspections might have been able to detect. In his discussion of how vitreous china sinks break, which I have quote from previously, he elaborated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Hairline cracks are very rare, as the material's brittle behaviour usually causes cracks to extend completely through the article. Features like hairline cracks and chips usually present readily identifiable visible cues that the article has been damaged [,] so that it may be assessed and if necessary removed from service. Hairline cracks trap foreign material and contaminants that cannot be removed by leaning and as a result become discoloured and darken [,] presenting a visual contrast against the often white or off-white background colour of the article.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City's subsequent actions in relation to accident are also potentially relevant. During his examination for discovery, the area recreation manager explained that when the new sink was installed in that washroom, extra bracing was put on the "back end" of it. The manager explained that this was done "from an excessive perspective to overmount the sink" or, as he attempted to clarify, "to re-examine the stability to doubly ensure something were not to happen", such as the incident involving Mr. Rostas. What was done was "above and beyond the code" he said. This additional bracing was applied to the comparison sink that Mr. Brox examined, as well as a third sink in another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is well known, Rule 9-7(15) allows me to grant judgment in a summary trial unless I am unable to "find the facts necessary to decide the issues of fact or law", or I conclude that it would be "unjust to decide the issues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Although the case was decided under Rule 18A, the predecessor of Rule 9-7, Justice Dillon's summary of the applicable principles in </w:t>
      </w:r>
      <w:r>
        <w:rPr>
          <w:rFonts w:ascii="arial" w:eastAsia="arial" w:hAnsi="arial" w:cs="arial"/>
          <w:i/>
          <w:color w:val="000000"/>
          <w:sz w:val="20"/>
          <w:lang w:val="en-US" w:eastAsia="en-US" w:bidi="ar-SA"/>
        </w:rPr>
        <w:t>Ferrier v. Johnscross Properties (B.C.) Ltd.</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2010 BCSC 492</w:t>
        </w:r>
      </w:hyperlink>
      <w:r>
        <w:rPr>
          <w:rFonts w:ascii="arial" w:eastAsia="arial" w:hAnsi="arial" w:cs="arial"/>
          <w:color w:val="000000"/>
          <w:sz w:val="20"/>
          <w:lang w:val="en-US" w:eastAsia="en-US" w:bidi="ar-SA"/>
        </w:rPr>
        <w:t xml:space="preserve"> remains relevant and helpful: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...In consideration of the justice of the situation, the court should consider the amount involved, the complexity of the matter, its urgency, any prejudice likely to arise by reason of delay, the cost of proceeding to a conventional trial in relation to the amount involved, the course of proceedings, and other matters (</w:t>
      </w:r>
      <w:r>
        <w:rPr>
          <w:rFonts w:ascii="arial" w:eastAsia="arial" w:hAnsi="arial" w:cs="arial"/>
          <w:i/>
          <w:color w:val="000000"/>
          <w:sz w:val="20"/>
          <w:lang w:val="en-US" w:eastAsia="en-US" w:bidi="ar-SA"/>
        </w:rPr>
        <w:t>Inspiration Management Inc. v. McDermid St. Lawrence Ltd.</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[1989] B.C.J. No. 1003</w:t>
        </w:r>
      </w:hyperlink>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36 B.C.L.R. (2d) 202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Foreman v. Foster</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2001 BCCA 26</w:t>
        </w:r>
      </w:hyperlink>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84 B.C.L.R. (3d) 184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Dahl v. Royal Bank</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(2005), 46 B.C.L.R. (4th) 342</w:t>
        </w:r>
      </w:hyperlink>
      <w:r>
        <w:rPr>
          <w:rFonts w:ascii="arial" w:eastAsia="arial" w:hAnsi="arial" w:cs="arial"/>
          <w:color w:val="000000"/>
          <w:sz w:val="20"/>
          <w:lang w:val="en-US" w:eastAsia="en-US" w:bidi="ar-SA"/>
        </w:rPr>
        <w:t xml:space="preserve"> (S.C.), affirmed </w:t>
      </w:r>
      <w:hyperlink r:id="rId185" w:history="1">
        <w:r>
          <w:rPr>
            <w:rFonts w:ascii="arial" w:eastAsia="arial" w:hAnsi="arial" w:cs="arial"/>
            <w:i/>
            <w:color w:val="0077CC"/>
            <w:sz w:val="20"/>
            <w:u w:val="single"/>
            <w:shd w:val="clear" w:color="auto" w:fill="FFFFFF"/>
            <w:lang w:val="en-US" w:eastAsia="en-US" w:bidi="ar-SA"/>
          </w:rPr>
          <w:t>2006 BCCA 369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It is not the case that a court may not determine a matter under Rule 18A if there are conflicts in the evidence (</w:t>
      </w:r>
      <w:r>
        <w:rPr>
          <w:rFonts w:ascii="arial" w:eastAsia="arial" w:hAnsi="arial" w:cs="arial"/>
          <w:i/>
          <w:color w:val="000000"/>
          <w:sz w:val="20"/>
          <w:lang w:val="en-US" w:eastAsia="en-US" w:bidi="ar-SA"/>
        </w:rPr>
        <w:t>MacMillan v. Kaiser Equipment Ltd.</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2004 BCCA 270</w:t>
        </w:r>
      </w:hyperlink>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33 B.C.L.R. (4th) 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Uppal v. Rawlins</w:t>
      </w:r>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2009 BCSC 127</w:t>
        </w:r>
      </w:hyperlink>
      <w:r>
        <w:rPr>
          <w:rFonts w:ascii="arial" w:eastAsia="arial" w:hAnsi="arial" w:cs="arial"/>
          <w:color w:val="000000"/>
          <w:sz w:val="20"/>
          <w:lang w:val="en-US" w:eastAsia="en-US" w:bidi="ar-SA"/>
        </w:rPr>
        <w:t xml:space="preserve"> at para. 21 (</w:t>
      </w:r>
      <w:r>
        <w:rPr>
          <w:rFonts w:ascii="arial" w:eastAsia="arial" w:hAnsi="arial" w:cs="arial"/>
          <w:i/>
          <w:color w:val="000000"/>
          <w:sz w:val="20"/>
          <w:lang w:val="en-US" w:eastAsia="en-US" w:bidi="ar-SA"/>
        </w:rPr>
        <w:t>Uppal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Friscioni v. Forzani Group Ltd.</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2004 BCSC 787</w:t>
        </w:r>
      </w:hyperlink>
      <w:r>
        <w:rPr>
          <w:rFonts w:ascii="arial" w:eastAsia="arial" w:hAnsi="arial" w:cs="arial"/>
          <w:color w:val="000000"/>
          <w:sz w:val="20"/>
          <w:lang w:val="en-US" w:eastAsia="en-US" w:bidi="ar-SA"/>
        </w:rPr>
        <w:t xml:space="preserve"> at paras. 12 and 22 (</w:t>
      </w:r>
      <w:r>
        <w:rPr>
          <w:rFonts w:ascii="arial" w:eastAsia="arial" w:hAnsi="arial" w:cs="arial"/>
          <w:i/>
          <w:color w:val="000000"/>
          <w:sz w:val="20"/>
          <w:lang w:val="en-US" w:eastAsia="en-US" w:bidi="ar-SA"/>
        </w:rPr>
        <w:t>Friscioni</w:t>
      </w:r>
      <w:r>
        <w:rPr>
          <w:rFonts w:ascii="arial" w:eastAsia="arial" w:hAnsi="arial" w:cs="arial"/>
          <w:color w:val="000000"/>
          <w:sz w:val="20"/>
          <w:lang w:val="en-US" w:eastAsia="en-US" w:bidi="ar-SA"/>
        </w:rPr>
        <w:t>)). However, if serious concerns about credibility arise, it may not be possible to find the facts necessary to determine the matter (</w:t>
      </w:r>
      <w:r>
        <w:rPr>
          <w:rFonts w:ascii="arial" w:eastAsia="arial" w:hAnsi="arial" w:cs="arial"/>
          <w:i/>
          <w:color w:val="000000"/>
          <w:sz w:val="20"/>
          <w:lang w:val="en-US" w:eastAsia="en-US" w:bidi="ar-SA"/>
        </w:rPr>
        <w:t>Uppal</w:t>
      </w:r>
      <w:r>
        <w:rPr>
          <w:rFonts w:ascii="arial" w:eastAsia="arial" w:hAnsi="arial" w:cs="arial"/>
          <w:color w:val="000000"/>
          <w:sz w:val="20"/>
          <w:lang w:val="en-US" w:eastAsia="en-US" w:bidi="ar-SA"/>
        </w:rPr>
        <w:t xml:space="preserve"> at para. 26) or it may be unjust to do so (</w:t>
      </w:r>
      <w:r>
        <w:rPr>
          <w:rFonts w:ascii="arial" w:eastAsia="arial" w:hAnsi="arial" w:cs="arial"/>
          <w:i/>
          <w:color w:val="000000"/>
          <w:sz w:val="20"/>
          <w:lang w:val="en-US" w:eastAsia="en-US" w:bidi="ar-SA"/>
        </w:rPr>
        <w:t>Friscioni</w:t>
      </w:r>
      <w:r>
        <w:rPr>
          <w:rFonts w:ascii="arial" w:eastAsia="arial" w:hAnsi="arial" w:cs="arial"/>
          <w:color w:val="000000"/>
          <w:sz w:val="20"/>
          <w:lang w:val="en-US" w:eastAsia="en-US" w:bidi="ar-SA"/>
        </w:rPr>
        <w:t xml:space="preserve"> at paras. 12 and 22). It may be possible to resolve conflicts in the evidence without making findings of credibility (</w:t>
      </w:r>
      <w:r>
        <w:rPr>
          <w:rFonts w:ascii="arial" w:eastAsia="arial" w:hAnsi="arial" w:cs="arial"/>
          <w:i/>
          <w:color w:val="000000"/>
          <w:sz w:val="20"/>
          <w:lang w:val="en-US" w:eastAsia="en-US" w:bidi="ar-SA"/>
        </w:rPr>
        <w:t>Friscioni</w:t>
      </w:r>
      <w:r>
        <w:rPr>
          <w:rFonts w:ascii="arial" w:eastAsia="arial" w:hAnsi="arial" w:cs="arial"/>
          <w:color w:val="000000"/>
          <w:sz w:val="20"/>
          <w:lang w:val="en-US" w:eastAsia="en-US" w:bidi="ar-SA"/>
        </w:rPr>
        <w:t xml:space="preserve"> at para. 22). Or, credibility may be determined based upon other admissible evidence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at pp. 215-216; </w:t>
      </w:r>
      <w:r>
        <w:rPr>
          <w:rFonts w:ascii="arial" w:eastAsia="arial" w:hAnsi="arial" w:cs="arial"/>
          <w:i/>
          <w:color w:val="000000"/>
          <w:sz w:val="20"/>
          <w:lang w:val="en-US" w:eastAsia="en-US" w:bidi="ar-SA"/>
        </w:rPr>
        <w:t>Singh v. Lally</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2005 BCSC 1600</w:t>
        </w:r>
      </w:hyperlink>
      <w:r>
        <w:rPr>
          <w:rFonts w:ascii="arial" w:eastAsia="arial" w:hAnsi="arial" w:cs="arial"/>
          <w:color w:val="000000"/>
          <w:sz w:val="20"/>
          <w:lang w:val="en-US" w:eastAsia="en-US" w:bidi="ar-SA"/>
        </w:rPr>
        <w:t xml:space="preserve"> at para. 23 (</w:t>
      </w:r>
      <w:r>
        <w:rPr>
          <w:rFonts w:ascii="arial" w:eastAsia="arial" w:hAnsi="arial" w:cs="arial"/>
          <w:i/>
          <w:color w:val="000000"/>
          <w:sz w:val="20"/>
          <w:lang w:val="en-US" w:eastAsia="en-US" w:bidi="ar-SA"/>
        </w:rPr>
        <w:t>Singh</w:t>
      </w:r>
      <w:r>
        <w:rPr>
          <w:rFonts w:ascii="arial" w:eastAsia="arial" w:hAnsi="arial" w:cs="arial"/>
          <w:color w:val="000000"/>
          <w:sz w:val="20"/>
          <w:lang w:val="en-US" w:eastAsia="en-US" w:bidi="ar-SA"/>
        </w:rPr>
        <w:t>)). The matter may be unsuitable for disposition under this Rule where such other evidence is not available, or there is a head-on conflict in the evidence going to the foundation of the case and that conflict is not resolvable without making findings of credibility (</w:t>
      </w:r>
      <w:r>
        <w:rPr>
          <w:rFonts w:ascii="arial" w:eastAsia="arial" w:hAnsi="arial" w:cs="arial"/>
          <w:i/>
          <w:color w:val="000000"/>
          <w:sz w:val="20"/>
          <w:lang w:val="en-US" w:eastAsia="en-US" w:bidi="ar-SA"/>
        </w:rPr>
        <w:t>Friscioni</w:t>
      </w:r>
      <w:r>
        <w:rPr>
          <w:rFonts w:ascii="arial" w:eastAsia="arial" w:hAnsi="arial" w:cs="arial"/>
          <w:color w:val="000000"/>
          <w:sz w:val="20"/>
          <w:lang w:val="en-US" w:eastAsia="en-US" w:bidi="ar-SA"/>
        </w:rPr>
        <w:t xml:space="preserve"> at para. 22; </w:t>
      </w:r>
      <w:r>
        <w:rPr>
          <w:rFonts w:ascii="arial" w:eastAsia="arial" w:hAnsi="arial" w:cs="arial"/>
          <w:i/>
          <w:color w:val="000000"/>
          <w:sz w:val="20"/>
          <w:lang w:val="en-US" w:eastAsia="en-US" w:bidi="ar-SA"/>
        </w:rPr>
        <w:t>Singh</w:t>
      </w:r>
      <w:r>
        <w:rPr>
          <w:rFonts w:ascii="arial" w:eastAsia="arial" w:hAnsi="arial" w:cs="arial"/>
          <w:color w:val="000000"/>
          <w:sz w:val="20"/>
          <w:lang w:val="en-US" w:eastAsia="en-US" w:bidi="ar-SA"/>
        </w:rPr>
        <w:t xml:space="preserve"> at para. 24).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The court should give judgment under Rule 18A wherever it can and should be courageous to resolve an action without a conventional trial if circumstances make it just to do so (</w:t>
      </w:r>
      <w:r>
        <w:rPr>
          <w:rFonts w:ascii="arial" w:eastAsia="arial" w:hAnsi="arial" w:cs="arial"/>
          <w:i/>
          <w:color w:val="000000"/>
          <w:sz w:val="20"/>
          <w:lang w:val="en-US" w:eastAsia="en-US" w:bidi="ar-SA"/>
        </w:rPr>
        <w:t>Mariotto v. Waterman</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(1996), 32 B.C.L.R. (3d) 125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other preliminary issue is whether any adverse inference should be drawn against the City because of the failure of its employees to preserve the damaged sink. The principles governing such conduct, which is known as spoliation, are summarized in </w:t>
      </w:r>
      <w:r>
        <w:rPr>
          <w:rFonts w:ascii="arial" w:eastAsia="arial" w:hAnsi="arial" w:cs="arial"/>
          <w:i/>
          <w:color w:val="000000"/>
          <w:sz w:val="20"/>
          <w:lang w:val="en-US" w:eastAsia="en-US" w:bidi="ar-SA"/>
        </w:rPr>
        <w:t>Chow-Hidasi v. Hidasi</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2013 BCCA 73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On the present state of the law, it is clear that spoliation requires </w:t>
      </w:r>
      <w:r>
        <w:rPr>
          <w:rFonts w:ascii="arial" w:eastAsia="arial" w:hAnsi="arial" w:cs="arial"/>
          <w:color w:val="000000"/>
          <w:sz w:val="20"/>
          <w:u w:val="single"/>
          <w:lang w:val="en-US" w:eastAsia="en-US" w:bidi="ar-SA"/>
        </w:rPr>
        <w:t>intentional</w:t>
      </w:r>
      <w:r>
        <w:rPr>
          <w:rFonts w:ascii="arial" w:eastAsia="arial" w:hAnsi="arial" w:cs="arial"/>
          <w:color w:val="000000"/>
          <w:sz w:val="20"/>
          <w:lang w:val="en-US" w:eastAsia="en-US" w:bidi="ar-SA"/>
        </w:rPr>
        <w:t xml:space="preserve"> conduct: see </w:t>
      </w:r>
      <w:r>
        <w:rPr>
          <w:rFonts w:ascii="arial" w:eastAsia="arial" w:hAnsi="arial" w:cs="arial"/>
          <w:i/>
          <w:color w:val="000000"/>
          <w:sz w:val="20"/>
          <w:lang w:val="en-US" w:eastAsia="en-US" w:bidi="ar-SA"/>
        </w:rPr>
        <w:t>St. Louis v. Canada</w:t>
      </w:r>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(1896), 25 S.C.R. 649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McDougall v. Black &amp; Decker Canada Inc.</w:t>
      </w:r>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2008 ABCA 353</w:t>
        </w:r>
      </w:hyperlink>
      <w:r>
        <w:rPr>
          <w:rFonts w:ascii="arial" w:eastAsia="arial" w:hAnsi="arial" w:cs="arial"/>
          <w:color w:val="000000"/>
          <w:sz w:val="20"/>
          <w:lang w:val="en-US" w:eastAsia="en-US" w:bidi="ar-SA"/>
        </w:rPr>
        <w:t xml:space="preserve"> at para. 29; </w:t>
      </w:r>
      <w:r>
        <w:rPr>
          <w:rFonts w:ascii="arial" w:eastAsia="arial" w:hAnsi="arial" w:cs="arial"/>
          <w:i/>
          <w:color w:val="000000"/>
          <w:sz w:val="20"/>
          <w:lang w:val="en-US" w:eastAsia="en-US" w:bidi="ar-SA"/>
        </w:rPr>
        <w:t>Endean v. Canadian Red Cross Society</w:t>
      </w:r>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(1998) 157 D.L.R. (4th) 465</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Dawes v. Jajcaj</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1999 BCCA 237</w:t>
        </w:r>
      </w:hyperlink>
      <w:r>
        <w:rPr>
          <w:rFonts w:ascii="arial" w:eastAsia="arial" w:hAnsi="arial" w:cs="arial"/>
          <w:color w:val="000000"/>
          <w:sz w:val="20"/>
          <w:lang w:val="en-US" w:eastAsia="en-US" w:bidi="ar-SA"/>
        </w:rPr>
        <w:t xml:space="preserve"> at para. 68; and the discussion in </w:t>
      </w:r>
      <w:r>
        <w:rPr>
          <w:rFonts w:ascii="arial" w:eastAsia="arial" w:hAnsi="arial" w:cs="arial"/>
          <w:i/>
          <w:color w:val="000000"/>
          <w:sz w:val="20"/>
          <w:lang w:val="en-US" w:eastAsia="en-US" w:bidi="ar-SA"/>
        </w:rPr>
        <w:t>Holland v. Marshall</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2008 BCCA 468</w:t>
        </w:r>
      </w:hyperlink>
      <w:r>
        <w:rPr>
          <w:rFonts w:ascii="arial" w:eastAsia="arial" w:hAnsi="arial" w:cs="arial"/>
          <w:color w:val="000000"/>
          <w:sz w:val="20"/>
          <w:lang w:val="en-US" w:eastAsia="en-US" w:bidi="ar-SA"/>
        </w:rPr>
        <w:t xml:space="preserve"> at paras. 70-2. (I understand 'intentional' to mean 'with the knowledge that the evidence would be required for litigation purposes'.) As stated in </w:t>
      </w:r>
      <w:r>
        <w:rPr>
          <w:rFonts w:ascii="arial" w:eastAsia="arial" w:hAnsi="arial" w:cs="arial"/>
          <w:i/>
          <w:color w:val="000000"/>
          <w:sz w:val="20"/>
          <w:lang w:val="en-US" w:eastAsia="en-US" w:bidi="ar-SA"/>
        </w:rPr>
        <w:t>McDougall v. Black &amp; Decker</w:t>
      </w:r>
      <w:r>
        <w:rPr>
          <w:rFonts w:ascii="arial" w:eastAsia="arial" w:hAnsi="arial" w:cs="arial"/>
          <w:color w:val="000000"/>
          <w:sz w:val="20"/>
          <w:lang w:val="en-US" w:eastAsia="en-US" w:bidi="ar-SA"/>
        </w:rPr>
        <w:t>, "When the destruction is not intentional, it is not possible to draw the inference that the evidence would tell against the person who has destroyed it." (Para. 24).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The Court observed in </w:t>
      </w:r>
      <w:r>
        <w:rPr>
          <w:rFonts w:ascii="arial" w:eastAsia="arial" w:hAnsi="arial" w:cs="arial"/>
          <w:i/>
          <w:color w:val="000000"/>
          <w:sz w:val="20"/>
          <w:lang w:val="en-US" w:eastAsia="en-US" w:bidi="ar-SA"/>
        </w:rPr>
        <w:t>McDougall</w:t>
      </w:r>
      <w:r>
        <w:rPr>
          <w:rFonts w:ascii="arial" w:eastAsia="arial" w:hAnsi="arial" w:cs="arial"/>
          <w:color w:val="000000"/>
          <w:sz w:val="20"/>
          <w:lang w:val="en-US" w:eastAsia="en-US" w:bidi="ar-SA"/>
        </w:rPr>
        <w:t xml:space="preserve"> that where evidence has been destroyed unintentionally, a court of law may fashion a civil remedy to assist in ensuring the fairness of a trial. A costs award may be made, or evidence may be excluded. We were not referred to any case binding on us, however, that would indicate that such remedies would include the drawing of an adverse inference such as that sought in this case by Ms. Chow-Hidasi. (See </w:t>
      </w:r>
      <w:r>
        <w:rPr>
          <w:rFonts w:ascii="arial" w:eastAsia="arial" w:hAnsi="arial" w:cs="arial"/>
          <w:i/>
          <w:color w:val="000000"/>
          <w:sz w:val="20"/>
          <w:lang w:val="en-US" w:eastAsia="en-US" w:bidi="ar-SA"/>
        </w:rPr>
        <w:t>McDougall</w:t>
      </w:r>
      <w:r>
        <w:rPr>
          <w:rFonts w:ascii="arial" w:eastAsia="arial" w:hAnsi="arial" w:cs="arial"/>
          <w:color w:val="000000"/>
          <w:sz w:val="20"/>
          <w:lang w:val="en-US" w:eastAsia="en-US" w:bidi="ar-SA"/>
        </w:rPr>
        <w:t xml:space="preserve">, para. 25, British Columbia Law Institute, </w:t>
      </w:r>
      <w:r>
        <w:rPr>
          <w:rFonts w:ascii="arial" w:eastAsia="arial" w:hAnsi="arial" w:cs="arial"/>
          <w:i/>
          <w:color w:val="000000"/>
          <w:sz w:val="20"/>
          <w:lang w:val="en-US" w:eastAsia="en-US" w:bidi="ar-SA"/>
        </w:rPr>
        <w:t>Report on Spoliation of Evidence</w:t>
      </w:r>
      <w:r>
        <w:rPr>
          <w:rFonts w:ascii="arial" w:eastAsia="arial" w:hAnsi="arial" w:cs="arial"/>
          <w:color w:val="000000"/>
          <w:sz w:val="20"/>
          <w:lang w:val="en-US" w:eastAsia="en-US" w:bidi="ar-SA"/>
        </w:rPr>
        <w:t xml:space="preserve"> (2004), at 10-20.)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Finally, on the principles that govern the determination of liability in this case, it may be most efficient simply to repeat the summary of them that I provided in </w:t>
      </w:r>
      <w:r>
        <w:rPr>
          <w:rFonts w:ascii="arial" w:eastAsia="arial" w:hAnsi="arial" w:cs="arial"/>
          <w:i/>
          <w:color w:val="000000"/>
          <w:sz w:val="20"/>
          <w:lang w:val="en-US" w:eastAsia="en-US" w:bidi="ar-SA"/>
        </w:rPr>
        <w:t>Bendzak v. Bohnet</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2013 BCSC 435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Section 3(1)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requires an occupier of premises to take that care that is reasonable in all the circumstances of the case to see that a person on the premises will be reasonably safe in using the premises. This duty applies to, among other considerations, the condition of the premises and the activities on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The standard of care set out in s. 3(1) is comprehensive, and it is not necessary to refer to standards set out in general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as that is "likely to be more confusing than helpful in the analysis": </w:t>
      </w:r>
      <w:r>
        <w:rPr>
          <w:rFonts w:ascii="arial" w:eastAsia="arial" w:hAnsi="arial" w:cs="arial"/>
          <w:i/>
          <w:color w:val="000000"/>
          <w:sz w:val="20"/>
          <w:lang w:val="en-US" w:eastAsia="en-US" w:bidi="ar-SA"/>
        </w:rPr>
        <w:t>Weiss v. Young Men's Christian Association of Greater Vancouver</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(1979), 11 B.C.L.R. 112</w:t>
        </w:r>
      </w:hyperlink>
      <w:r>
        <w:rPr>
          <w:rFonts w:ascii="arial" w:eastAsia="arial" w:hAnsi="arial" w:cs="arial"/>
          <w:color w:val="000000"/>
          <w:sz w:val="20"/>
          <w:lang w:val="en-US" w:eastAsia="en-US" w:bidi="ar-SA"/>
        </w:rPr>
        <w:t xml:space="preserve"> (C.A.) at 118; </w:t>
      </w:r>
      <w:r>
        <w:rPr>
          <w:rFonts w:ascii="arial" w:eastAsia="arial" w:hAnsi="arial" w:cs="arial"/>
          <w:i/>
          <w:color w:val="000000"/>
          <w:sz w:val="20"/>
          <w:lang w:val="en-US" w:eastAsia="en-US" w:bidi="ar-SA"/>
        </w:rPr>
        <w:t>Foley v. Imperial Oil Limited</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2011 BCCA 262</w:t>
        </w:r>
      </w:hyperlink>
      <w:r>
        <w:rPr>
          <w:rFonts w:ascii="arial" w:eastAsia="arial" w:hAnsi="arial" w:cs="arial"/>
          <w:color w:val="000000"/>
          <w:sz w:val="20"/>
          <w:lang w:val="en-US" w:eastAsia="en-US" w:bidi="ar-SA"/>
        </w:rPr>
        <w:t>, at para. 62.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The standard of care is one of reasonableness and not perfection. The occupier is definitely not an insurer against any possible risk of harm: </w:t>
      </w:r>
      <w:r>
        <w:rPr>
          <w:rFonts w:ascii="arial" w:eastAsia="arial" w:hAnsi="arial" w:cs="arial"/>
          <w:i/>
          <w:color w:val="000000"/>
          <w:sz w:val="20"/>
          <w:lang w:val="en-US" w:eastAsia="en-US" w:bidi="ar-SA"/>
        </w:rPr>
        <w:t>Carlson v. Canada Safeway</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(1983), 47 B.C.L.R. 252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Sulmona v. Serraglio</w:t>
      </w:r>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[1986] B.C.J. No. 413</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The duty is not to ensure that those using the premises will be absolutely safe but to use reasonable care to prevent injury or harm from danger that is or ought to be known: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aff'd, </w:t>
      </w:r>
      <w:hyperlink r:id="rId272" w:history="1">
        <w:r>
          <w:rPr>
            <w:rFonts w:ascii="arial" w:eastAsia="arial" w:hAnsi="arial" w:cs="arial"/>
            <w:i/>
            <w:color w:val="0077CC"/>
            <w:sz w:val="20"/>
            <w:u w:val="single"/>
            <w:shd w:val="clear" w:color="auto" w:fill="FFFFFF"/>
            <w:lang w:val="en-US" w:eastAsia="en-US" w:bidi="ar-SA"/>
          </w:rPr>
          <w:t>49 B.C.L.R. (2d) 99</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The test is not "whether anything could have been done to prevent the injury using 20/20 hindsight, but rather whether the steps taken by the occupier were reasonable in all the circumstances" : </w:t>
      </w:r>
      <w:r>
        <w:rPr>
          <w:rFonts w:ascii="arial" w:eastAsia="arial" w:hAnsi="arial" w:cs="arial"/>
          <w:i/>
          <w:color w:val="000000"/>
          <w:sz w:val="20"/>
          <w:lang w:val="en-US" w:eastAsia="en-US" w:bidi="ar-SA"/>
        </w:rPr>
        <w:t>Duddle v. Vernon (City)</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2004 BCCA 390</w:t>
        </w:r>
      </w:hyperlink>
      <w:r>
        <w:rPr>
          <w:rFonts w:ascii="arial" w:eastAsia="arial" w:hAnsi="arial" w:cs="arial"/>
          <w:color w:val="000000"/>
          <w:sz w:val="20"/>
          <w:lang w:val="en-US" w:eastAsia="en-US" w:bidi="ar-SA"/>
        </w:rPr>
        <w:t xml:space="preserve"> at para. 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Although it is not specifically mentioned in the section, the common law requirement of reasonable foreseeability of harm remains part of the analysis of liability under the act: </w:t>
      </w:r>
      <w:r>
        <w:rPr>
          <w:rFonts w:ascii="arial" w:eastAsia="arial" w:hAnsi="arial" w:cs="arial"/>
          <w:i/>
          <w:color w:val="000000"/>
          <w:sz w:val="20"/>
          <w:lang w:val="en-US" w:eastAsia="en-US" w:bidi="ar-SA"/>
        </w:rPr>
        <w:t>Rendall v. Ewert</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(1989), 38 B.C.L.R. (2d) 1</w:t>
        </w:r>
      </w:hyperlink>
      <w:r>
        <w:rPr>
          <w:rFonts w:ascii="arial" w:eastAsia="arial" w:hAnsi="arial" w:cs="arial"/>
          <w:color w:val="000000"/>
          <w:sz w:val="20"/>
          <w:lang w:val="en-US" w:eastAsia="en-US" w:bidi="ar-SA"/>
        </w:rPr>
        <w:t xml:space="preserve"> (C.A.) at 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For a risk to be foreseeable it is not required that it be more likely than not to occur or that there needs to be some particular degree of statistical probability attaching to it. In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at para. 13, Chief Justice McLachlan described the correct approach: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Much has been written on how probable or likely a harm needs to be in order to be considered reasonably foreseeable. The parties raise the question of whether a reasonably foreseeable harm is one whose occurrence is </w:t>
      </w:r>
      <w:r>
        <w:rPr>
          <w:rFonts w:ascii="arial" w:eastAsia="arial" w:hAnsi="arial" w:cs="arial"/>
          <w:i/>
          <w:color w:val="000000"/>
          <w:sz w:val="20"/>
          <w:lang w:val="en-US" w:eastAsia="en-US" w:bidi="ar-SA"/>
        </w:rPr>
        <w:t>probable</w:t>
      </w:r>
      <w:r>
        <w:rPr>
          <w:rFonts w:ascii="arial" w:eastAsia="arial" w:hAnsi="arial" w:cs="arial"/>
          <w:color w:val="000000"/>
          <w:sz w:val="20"/>
          <w:lang w:val="en-US" w:eastAsia="en-US" w:bidi="ar-SA"/>
        </w:rPr>
        <w:t xml:space="preserve"> or merely </w:t>
      </w:r>
      <w:r>
        <w:rPr>
          <w:rFonts w:ascii="arial" w:eastAsia="arial" w:hAnsi="arial" w:cs="arial"/>
          <w:i/>
          <w:color w:val="000000"/>
          <w:sz w:val="20"/>
          <w:lang w:val="en-US" w:eastAsia="en-US" w:bidi="ar-SA"/>
        </w:rPr>
        <w:t>possible</w:t>
      </w:r>
      <w:r>
        <w:rPr>
          <w:rFonts w:ascii="arial" w:eastAsia="arial" w:hAnsi="arial" w:cs="arial"/>
          <w:color w:val="000000"/>
          <w:sz w:val="20"/>
          <w:lang w:val="en-US" w:eastAsia="en-US" w:bidi="ar-SA"/>
        </w:rPr>
        <w:t xml:space="preserve">. In my view, these terms are misleading. Any harm which has actually occurred is "possible"; it is therefore clear that possibility alone does not provide a meaningful standard for the application of reasonable foreseeability. The degree of probability that would satisfy the reasonable foreseeability requirement was described in </w:t>
      </w:r>
      <w:r>
        <w:rPr>
          <w:rFonts w:ascii="arial" w:eastAsia="arial" w:hAnsi="arial" w:cs="arial"/>
          <w:i/>
          <w:color w:val="000000"/>
          <w:sz w:val="20"/>
          <w:lang w:val="en-US" w:eastAsia="en-US" w:bidi="ar-SA"/>
        </w:rPr>
        <w:t>The Wagon Mound (No. 2)</w:t>
      </w:r>
      <w:r>
        <w:rPr>
          <w:rFonts w:ascii="arial" w:eastAsia="arial" w:hAnsi="arial" w:cs="arial"/>
          <w:color w:val="000000"/>
          <w:sz w:val="20"/>
          <w:lang w:val="en-US" w:eastAsia="en-US" w:bidi="ar-SA"/>
        </w:rPr>
        <w:t xml:space="preserve"> as a "real risk", i.e. "one which would occur to the mind of a reasonable man in the position of the defendan[t] . . . and which he would not brush aside as far-fetched" (</w:t>
      </w:r>
      <w:r>
        <w:rPr>
          <w:rFonts w:ascii="arial" w:eastAsia="arial" w:hAnsi="arial" w:cs="arial"/>
          <w:i/>
          <w:color w:val="000000"/>
          <w:sz w:val="20"/>
          <w:lang w:val="en-US" w:eastAsia="en-US" w:bidi="ar-SA"/>
        </w:rPr>
        <w:t>Overseas Tankship (U.K.) Ltd. v. Miller Steamship Co. Pty.</w:t>
      </w:r>
      <w:r>
        <w:rPr>
          <w:rFonts w:ascii="arial" w:eastAsia="arial" w:hAnsi="arial" w:cs="arial"/>
          <w:color w:val="000000"/>
          <w:sz w:val="20"/>
          <w:lang w:val="en-US" w:eastAsia="en-US" w:bidi="ar-SA"/>
        </w:rPr>
        <w:t>, [1967] A.C. 617 (P.C.), at p. 643). [Emphasis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It is also not necessary that the exact type of injury that occurred be foreseen. As Mr. Justice Dickson explained in </w:t>
      </w:r>
      <w:r>
        <w:rPr>
          <w:rFonts w:ascii="arial" w:eastAsia="arial" w:hAnsi="arial" w:cs="arial"/>
          <w:i/>
          <w:color w:val="000000"/>
          <w:sz w:val="20"/>
          <w:lang w:val="en-US" w:eastAsia="en-US" w:bidi="ar-SA"/>
        </w:rPr>
        <w:t>Assiniboine School Division No. 3 v. Hoffer</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(1971), 21 D.L.R. (3d) 608</w:t>
        </w:r>
      </w:hyperlink>
      <w:r>
        <w:rPr>
          <w:rFonts w:ascii="arial" w:eastAsia="arial" w:hAnsi="arial" w:cs="arial"/>
          <w:color w:val="000000"/>
          <w:sz w:val="20"/>
          <w:lang w:val="en-US" w:eastAsia="en-US" w:bidi="ar-SA"/>
        </w:rPr>
        <w:t xml:space="preserve"> (Man. C.A.), at page 614: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enough to fix liability if one could foresee in a general way the sort of thing that happened. The extent of the damage and its manner of incidence may not be foreseeable if physical damage of the kind which in fact ensued is foreseeable.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In </w:t>
      </w:r>
      <w:r>
        <w:rPr>
          <w:rFonts w:ascii="arial" w:eastAsia="arial" w:hAnsi="arial" w:cs="arial"/>
          <w:i/>
          <w:color w:val="000000"/>
          <w:sz w:val="20"/>
          <w:lang w:val="en-US" w:eastAsia="en-US" w:bidi="ar-SA"/>
        </w:rPr>
        <w:t>R. v. Côté</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[1976] 1 S.C.R. 595</w:t>
        </w:r>
      </w:hyperlink>
      <w:r>
        <w:rPr>
          <w:rFonts w:ascii="arial" w:eastAsia="arial" w:hAnsi="arial" w:cs="arial"/>
          <w:color w:val="000000"/>
          <w:sz w:val="20"/>
          <w:lang w:val="en-US" w:eastAsia="en-US" w:bidi="ar-SA"/>
        </w:rPr>
        <w:t>, at p. 604 Mr. Justice Dickson elaborated on this principle: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not necessary that one foresee the "precise concatenation of events"; it is enough to fix liability if one can foresee in a general way the class or character of injury which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Rostas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His counsel submits that it is obvious that the sink presented a hazard. The fact that it collapsed from Mr. Rostas simply putting his weight on it shows that it had developed some kind of flaw that rendered it susceptible to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Despite this, Mr. Rostas has been unfairly deprived of the opportunity to determine exactly why it collapsed by the failure of the City to preserve it. His counsel says that this is one of those cases in which an adverse inference should be drawn from that failure. He points out that the </w:t>
      </w:r>
      <w:r>
        <w:rPr>
          <w:rFonts w:ascii="arial" w:eastAsia="arial" w:hAnsi="arial" w:cs="arial"/>
          <w:i/>
          <w:color w:val="000000"/>
          <w:sz w:val="20"/>
          <w:lang w:val="en-US" w:eastAsia="en-US" w:bidi="ar-SA"/>
        </w:rPr>
        <w:t>Chow-Hidasi</w:t>
      </w:r>
      <w:r>
        <w:rPr>
          <w:rFonts w:ascii="arial" w:eastAsia="arial" w:hAnsi="arial" w:cs="arial"/>
          <w:color w:val="000000"/>
          <w:sz w:val="20"/>
          <w:lang w:val="en-US" w:eastAsia="en-US" w:bidi="ar-SA"/>
        </w:rPr>
        <w:t xml:space="preserve"> decision defines the intentional destruction of evidence as including conduct that is carried out "with the knowledge that the evidence would be required for litigation purposes". In this case it is inconceivable that it would not cross the maintenance supervisor's mind that litigation would result from such a serious accident and that an analysis of the broken sink would play a part in that litigation. Significantly, even the worker who did the actual clean up knew enough to take the step of putting the broken parts in a box, although they were ultimately not preserved.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the question of reasonable foreseeability of the harm from a collapsing sink, counsel says that the application of minor hand pressure by Mr. Rostas that caused it to collapse is obviously within the type of day-to-day use of the washroom that the City should have envisioned. Any number of routine tasks by patrons would involve the same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Counsel argues that the potentially inconsistent statements by Mr. Rostas to his caregivers should be viewed with caution. Mr. Rostas's condition of the time could well have played apart in his manner of reporting; it is not clear whether the information was received directly from him in each case or was relayed through other attendees; and the primary concern of these caregivers was treating his injury, not obtaining a precise explanation of the mechanism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But even if there is a finding that Mr. Rostas fainted and fell into the sink, his such an event is said to be well within the range of reasonably foreseeable occurrences involving patrons' use of the washroom. As his counsel established during his examination for discovery of the City's representative, it was well known to staff that users of the various pool facilities could be come dizzy afterwards, and it was not unusual for them to go directly to the change rooms after using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the adequacy of the regime that was put in place by the City to ensure the safety of the sink, Mr. Rostas's counsel emphasizes that although the sinks were designed and installed by the contractor, with supervision by an engineer, this was carried out without any input by the City as to the safety of the sinks in the specific locations where they were to be used, and the activities that would occur there. A sink that was simply bolted to the wall was not adequate in such a situation, he argues, and at minimum the kind of bracing that was added after the accident should have been considered. Better yet, a more stable type of sink should have been selected by the City from the outset.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Further, counsel stresses that compliance with the applicable codes and their underlying standards at the time of its installation does not address the issue of the sink's stability in situations like the current one. In any event, that fact of compliance with building codes is not conclusive of there having been reasonable steps by an occupier. To the extent that Mr. Brox's opinion relies on such compliance it is not really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other factor undermining confidence in Mr. Brox's report is that he concludes that the sink's "securement" to the wall was most likely not affected and was therefore not a factor in the collapse. This was of course contradicted by the observations of several attending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inspection process that the City chose to follow was also inadequate, counsel submits. It was geared from the outset only towards incidental observations in the course of cleaning. Neither the manuals and checklists that the maintenance workers were to followed nor their own descriptions of their routines would lead to observations of the other parts of the sink that would be prone to developing flaws, such as its underside or the attachment hardware. In essence, there was nothing directing that any attention be paid the sink's ongoing structural integrity.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addition, counsel says that the photos taken by Mr. Brox of the comparison sink belie the standard of maintenance that the City claims to have adhered to, showing various forms of deterioration and uncleanliness.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Finally, the comprehensive facility assessment and the annual cleaning and monthly walk-through all focus on largely unrelated issues and it is not surprising that they detected nothing helpful before this accident occurred.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Its counsel points out that because the sink cannot now be inspected, we are unable determine which of two potential causes led to the breakage - whether a defect in the sink caused it to break from the application of a force that it should have been able to accommodate, or it was subjected to a force that exceeded its design. These were the possibilities that Mr. Brox identified. No adverse inference should be drawn against the City in this process however, counsel submits, because there is no basis on which to find that the maintenance supervisor or other employees knew that the pieces were required for litigation when they disposed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When one considers the expert opinion, counsel says that it is impossible to conclude that the accident was reasonably foreseeable. As Mr. Brox explained, these fixtures have such a long service life that they are usually replaced for aesthetic reasons rather than wear and tear. Cracks will usually move throughout the sink and, crucially, cracks and chips will be readily identifiable, because hairline cracks trap foreign material, resulting in a discolouration of the otherwise white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What this means, in the City's submission, is that the failure must have resulted from events that it could neither have reasonably foreseen nor prevented - a latent defect in this sink, or the application of a force greater than the CSA standards that it was designed to meet, and which the City relied on when installing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 to its reasonable efforts to keep users safe when using the washroom, counsel says that the City's compliance with all of the necessary requirements for design, installation and supervision of those processes for this sink are entitled to significant weight. They represent adherence by the City to "industry custom, practice, or statutory or regulatory standards". This comprehensive level of compliance is what led Mr. Brox to conclude that the sink was "suitable and appropriate for use in the subject bathroom application". While the City's counsel concedes that compliance in this regard is not conclusive of reasonable steps having been taken by the occupier, it does lend strong support to such a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inspection regime put in place was similarly comprehensive, it is argued, with daily cleanings by maintenance workers who described being clearly focused on any signs of emerging flaws or deterioration. Their compliance with the required cleaning steps, which were set out in writing as part of their duties, was also recorded on a daily basis, supporting the finding that it was carried out as directed.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 further reasonable step by the City was to engage in an overall facilities analysis, which was actually completed just a few months before the accident. The consultant who carried it out found the plumbing fixtures in the City's facilities to be in good functional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light of these efforts, counsel argues, it cannot be said that the City breached the standard of care. Even if a breach is identified, it certainly cannot be said that but for it the accident would not have occurred (the requirement of factual causation), given that the most likely causes of the failure were latent and not within the City's control. It would also not have been foreseeable that such a breach would lead to an accident of this kind, given that any breach would be insufficiently related to what actually occurred (the requirement of legal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Despite my respect for counsel's approach and the desirability of accommodating their intention to have this case resolved summarily, I find myself unable to find the facts necessary to render judgment on that basis. I have set out the evidence and positions of the parties in detail to provide a context for what I have concluded is lacking.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Most importantly, I conclude that deciding whether the sink collapsed because Mr. Rostas simply put his hand on it or because he fainted and fell (or at least put considerably more weight) on it requires me to resolve the issue of his credibility and reliability, and that it is impossible to do so on the current record. The comments attributed to him by the medical caregivers run directly counter to his deposed version of events and he does not admit that the things he is alleged to have described to the caregivers might have occurred. Without knowing which of those comments he agrees he actually made, what explanation he might have for them, and any surrounding circumstances that might affect the weight to be attributed to them, there is no basis to prefer either version. Even among these various comments his description of incident varies, so they need to be assessed and weighed before any facts can be found based 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appreciate that his counsel took the position that even if the fainting/bracing/falling scenario is what occurred the accident was still foreseeable, but the conflict also has an important bearing on deciding what kind of defect or force led the sink to collapse. This is a critical finding of fact, one that will determine whether the City's position - that there could have been a latent defect that led to the collapse, one that it could not reasonably have detected - can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To elaborate, if Mr. Rostas merely put his ordinary weight on the sink, it seems likely, as a matter of common sense, that such significant fragility could have been detected by a reasonable inspection process, including by simply cleaning the sink. If the accident was caused by him forcefully grabbing the sink to avoid falling, or by actually falling into it, that raises questions about the amount of force that would have been applied as a result (which requires expertise beyond simple common sense to determine) and what kinds of existing faults in the sink could have been stressed by such force to the point of collapse, yet still not have been detectable by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Compounding this problem, we do not have the benefit of Mr. Brox's responses to the specific issues that emerge from these alternative scenarios and the witnesses' observations of the sink afterwards. Crucial questions for him would be: (1) whether any of the scenarios under which Mr. Rostas contacted the sink could have generated enough force to exceed its designed tolerance and (2) whether the specific form of failure that was recorded by the employees afterwards - particularly the range of locations of the break, the jagged edge left attached to the wall and the movement of the rear of the sink and the mountings - says anything meaningful about the mechanism of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It is worth noting in this regard that the theory of a latent and undetectable defect is not actually part of Mr. Brox's report. He only comments indirectly, by describing how certain kinds of damage will become visible. A trier of fact cannot do justice in this case without knowing what kinds of defects would or would not reveal themselves in the manner that he describes, and also be capable of undermining the sink's resistance to contact from Mr. Rostas.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do not think such a conclusion favours either party. On the current body of evidence, they would be equally at risk of an adverse decision based on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regret the amount of time it has taken me to render this decision, and I am receptive to making any orders under 9-7(16) or (17) that would increase the efficiency of the additional proceedings that will now be necessary. For example, if counsel wish to conduct cross-examination on the affidavits, or of Mr. Brox on his report, or to submit additional expert reports, I would be prepared to remain seized to decide the case on the basis of that amplified record. Alternatively, I would be prepared to grant leave for a further separate summary trial application to be brought at a later point, whether before me or another judge, on the basis of whatever additional evidence counsel decide to put forward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question of costs will be deferred until liability is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 SCHULTES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Corriegenda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November 19, 2019</w:t>
      </w:r>
      <w:r>
        <w:rPr>
          <w:rFonts w:ascii="arial" w:eastAsia="arial" w:hAnsi="arial" w:cs="arial"/>
          <w:sz w:val="20"/>
          <w:lang w:val="en-US" w:eastAsia="en-US" w:bidi="ar-SA"/>
        </w:rPr>
        <w:cr/>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last line of paragraph [75], the words "concluded is" have been added before the word "lacking".</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first sentence of paragraph [76], the words "and reliability" have been added after the "credibility".</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first line of paragraph [77], the comma after "the position that" has been removed.</w:t>
      </w:r>
    </w:p>
    <w:p>
      <w:pPr>
        <w:spacing w:after="240"/>
        <w:rPr>
          <w:rFonts w:ascii="arial" w:eastAsia="arial" w:hAnsi="arial" w:cs="arial"/>
          <w:sz w:val="20"/>
          <w:lang w:val="en-US" w:eastAsia="en-US" w:bidi="ar-SA"/>
        </w:rPr>
      </w:pPr>
      <w:r>
        <w:pict>
          <v:line id="_x0000_s1067" style="position:absolute;z-index:251750400"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46"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46"/>
      <w:r>
        <w:rPr>
          <w:rFonts w:ascii="arial" w:eastAsia="arial" w:hAnsi="arial" w:cs="arial"/>
          <w:sz w:val="20"/>
          <w:lang w:val="en-US" w:eastAsia="en-US" w:bidi="ar-SA"/>
        </w:rPr>
        <w:tab/>
      </w:r>
      <w:r>
        <w:rPr>
          <w:rFonts w:ascii="arial" w:eastAsia="arial" w:hAnsi="arial" w:cs="arial"/>
          <w:color w:val="6D6E71"/>
          <w:sz w:val="18"/>
          <w:lang w:val="en-US" w:eastAsia="en-US" w:bidi="ar-SA"/>
        </w:rPr>
        <w:t>The medical records from which these comments were drawn were admitted to be business records.</w:t>
      </w:r>
    </w:p>
    <w:p>
      <w:pPr>
        <w:spacing w:before="120" w:after="20" w:line="240" w:lineRule="atLeast"/>
        <w:ind w:left="720" w:hanging="360"/>
        <w:jc w:val="both"/>
        <w:rPr>
          <w:rFonts w:ascii="arial" w:eastAsia="arial" w:hAnsi="arial" w:cs="arial"/>
          <w:sz w:val="20"/>
          <w:lang w:val="en-US" w:eastAsia="en-US" w:bidi="ar-SA"/>
        </w:rPr>
      </w:pPr>
      <w:bookmarkStart w:id="47"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47"/>
      <w:r>
        <w:rPr>
          <w:rFonts w:ascii="arial" w:eastAsia="arial" w:hAnsi="arial" w:cs="arial"/>
          <w:sz w:val="20"/>
          <w:lang w:val="en-US" w:eastAsia="en-US" w:bidi="ar-SA"/>
        </w:rPr>
        <w:tab/>
      </w:r>
      <w:r>
        <w:rPr>
          <w:rFonts w:ascii="arial" w:eastAsia="arial" w:hAnsi="arial" w:cs="arial"/>
          <w:color w:val="6D6E71"/>
          <w:sz w:val="18"/>
          <w:lang w:val="en-US" w:eastAsia="en-US" w:bidi="ar-SA"/>
        </w:rPr>
        <w:t>That worker's recollection was not as precise. She could only say she was "pretty sure" that part of the sink remained attached.</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8" style="position:absolute;z-index:2517729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84" w:history="1">
        <w:r>
          <w:rPr>
            <w:rFonts w:ascii="arial" w:eastAsia="arial" w:hAnsi="arial" w:cs="arial"/>
            <w:b/>
            <w:bCs/>
            <w:i/>
            <w:color w:val="0077CC"/>
            <w:kern w:val="32"/>
            <w:sz w:val="28"/>
            <w:szCs w:val="32"/>
            <w:u w:val="single"/>
            <w:shd w:val="clear" w:color="auto" w:fill="FFFFFF"/>
            <w:lang w:val="en-US" w:eastAsia="en-US" w:bidi="ar-SA"/>
          </w:rPr>
          <w:t>Royal Bank of Canada v. B.M.P. Global Distribution Inc., [2011] B.C.J. No. 2323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C.J. 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24 and September 9,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S023327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2323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1650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Royal Bank of Canada, Plaintiff, and B.M.P. Global Distribution Inc., 636651 B.C. Ltd., Audie Hashka, Paul Backman and Debra Backman, Defendants, and Bank of Nova Scotia,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(70 paras.)</w:t>
      </w:r>
    </w:p>
    <w:p>
      <w:pPr>
        <w:jc w:val="both"/>
        <w:rPr>
          <w:rFonts w:ascii="arial" w:eastAsia="arial" w:hAnsi="arial" w:cs="arial"/>
          <w:sz w:val="20"/>
          <w:lang w:val="en-US" w:eastAsia="en-US" w:bidi="ar-SA"/>
        </w:rPr>
      </w:pPr>
      <w:bookmarkStart w:id="48" w:name="Counsel_12"/>
      <w:bookmarkEnd w:id="4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9"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Ross McGowan, Robert Dawkins, Daniel Cowper.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B.M.P. Global Distribution Inc. and 636651 B.C. Ltd.: Paul E. Jaffe.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Audie Hashka: Self-Represented.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Debra Backman: Self-Represented.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Paul Backman: Self-Represented.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Bank of Nova Scotia: Brook Greenberg, Joel Payne.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9" w:name="Judgment_12"/>
      <w:bookmarkEnd w:id="49"/>
      <w:r>
        <w:pict>
          <v:line id="_x0000_s1070" style="position:absolute;z-index:2517135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0" w:name="C.J. ROSS J."/>
            <w:bookmarkEnd w:id="50"/>
            <w:r>
              <w:rPr>
                <w:rFonts w:ascii="arial" w:eastAsia="arial" w:hAnsi="arial" w:cs="arial"/>
                <w:b/>
                <w:color w:val="000000"/>
                <w:sz w:val="30"/>
                <w:lang w:val="en-US" w:eastAsia="en-US" w:bidi="ar-SA"/>
              </w:rPr>
              <w:t>C.J. 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Royal Bank of Canada ("RBC"), and the third party, Bank of Nova Scotia ("BNS"), seek orders for special costs following a summary trial (Reasons indexed at </w:t>
      </w:r>
      <w:hyperlink r:id="rId285" w:history="1">
        <w:r>
          <w:rPr>
            <w:rFonts w:ascii="arial" w:eastAsia="arial" w:hAnsi="arial" w:cs="arial"/>
            <w:i/>
            <w:color w:val="0077CC"/>
            <w:sz w:val="20"/>
            <w:u w:val="single"/>
            <w:shd w:val="clear" w:color="auto" w:fill="FFFFFF"/>
            <w:lang w:val="en-US" w:eastAsia="en-US" w:bidi="ar-SA"/>
          </w:rPr>
          <w:t>2011 BCSC 458</w:t>
        </w:r>
      </w:hyperlink>
      <w:r>
        <w:rPr>
          <w:rFonts w:ascii="arial" w:eastAsia="arial" w:hAnsi="arial" w:cs="arial"/>
          <w:color w:val="000000"/>
          <w:sz w:val="20"/>
          <w:lang w:val="en-US" w:eastAsia="en-US" w:bidi="ar-SA"/>
        </w:rPr>
        <w:t>), in which RBC was granted judgment for $127,226.96 (the "Unrecovered Amount"), and both the counterclaim and third party notice were dismissed from B.M.P. Global Distribution Inc., ("BMP"), 636651 B.C. Ltd., Audie Hashka and Paul Backman (collectively the "BMP Parties"). In addition, RBC seeks an order that Debra Backman pay RBC's costs, jointly and severally, with the BMP Parties from the date she was added as a defendant. In the alternative, RBC seeks an order for double costs based upon the delivery of offers to settle before the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factual background and history of this litigation and the companion action, in which the defendants in this action sued BNS in relation to transactions concerning the proceeds of the same counterfeit cheque at issue in this litigation, are summarized in those Reasons from the summary trial and will not be repeated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Without Prejudice Communications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a preliminary issue, RBC seeks to introduce into evidence three "without prejudice" communications that were authored by counsel for the BMP Parties to provide relevant context and solely for the purposes of consideration as to costs, in order to support an award of special costs in favour of RBC and in relation to submissions concerning cost options under Rule 9-1(5). The "without prejudice" communications at issue include appropriate "Calderbank" language and were made expressly for the purposes of consideration as to costs. However, the defendants challenge the admissibility, and wish to exclude any reliance by RBC upon, such "without prejudice" communications.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RBC's position is that the "without prejudice" communications at issue for consideration as to costs are now properly admissible into evidence to assist the Court in the exercise of its discretion as to an award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RBC submits that there are three grounds by which each of the individual challenged communications should be considered admissible into evidence:</w:t>
      </w:r>
      <w:r>
        <w:rPr>
          <w:rFonts w:ascii="arial" w:eastAsia="arial" w:hAnsi="arial" w:cs="arial"/>
          <w:sz w:val="20"/>
          <w:lang w:val="en-US" w:eastAsia="en-US" w:bidi="ar-SA"/>
        </w:rPr>
        <w:cr/>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Express Language: RBC submits that where correspondence has been expressly made with "Calderbank" language, indicating that such correspondence may be subsequently brought to the attention of the Court for the purposes of speaking to issues as to costs, then by the very nature of the document, there is an express stipulation that the privilege is limited in scope and that such document is subsequently admissible into evidence after the matter of the underlying dispute has been determined. The three challenged exhibits all contain express language to that effect, and as such, it is submitted they are admissible accordingly. RBC submits that if the correspondence contains this express conditional waiver, there is no principled basis to permit one party to admit such documents into evidence, but to exclude such documents if introduced by the other.</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waived Privilege by raising the issue as a matter of motive and credibility: RBC submits that the BMP Parties have expressly waived any settlement privilege in two distinct ways. First, they put motive at issue by filing a counterclaim alleging malicious prosecution of these proceedings against RBC. Second, the BMP Parties tendered evidence in the Affidavit of Audie Hashka, sworn November 15, 2010, in which Mr. Hashka inaccurately deposed at paragraph 28: "That, even after the Supreme Court of Canada judgment, our recovery against BNS still exceeds any settlement offer ever available to us in this matter". This was rephrased by the BMP Parties in a written argument that they tendered into evidence appended to Exhibit "B" to that same Hashka Affidavit, wherein there, counsel for BMP wrongly and inaccurately asserted: "Secondly even the very modest damages ($7,613.50) remaining due to the plaintiffs following the Supreme Court of Canada judgment is an amount which exceeds any settlement offered by BNS at anytime". RBC submits that Mr. Hashka put into question RBC's motives for pursuit of the action and the accuracy of his statement concerning offers exchanged relative to the value of offers as made. RBC submits that this is a clear waiver of privilege, which in consequence, exposes all settlement offers as exchanged between the parties that are relevant to motives and value as made prior to the summary trial in that it was sworn to on the eve of the summary trial and relied upon at the summary trial.</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waived Privilege by raising the issue through their own disclosure and reliance upon many privileged documents: RBC submits that during the course of these proceedings, and before the substance of the dispute, was determined the BMP Parties attached and relied upon numerous "without prejudice" communications as were attached to the Affidavits of Audie Hashka sworn both July 27, 2007 as well as November 15, 2010. The "partial" waiver of settlement privilege and the improper attachment of settlement offers, but only when convenient to the BMP Parties, exposes otherwise privileged communications, to provide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my view, for all the reasons advanced by RBC, it is appropriate for the court to have regard to the communications.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general purposes to be served by an award of costs were summarized by Frankel J.A., speaking for the court, in </w:t>
      </w:r>
      <w:r>
        <w:rPr>
          <w:rFonts w:ascii="arial" w:eastAsia="arial" w:hAnsi="arial" w:cs="arial"/>
          <w:i/>
          <w:color w:val="000000"/>
          <w:sz w:val="20"/>
          <w:lang w:val="en-US" w:eastAsia="en-US" w:bidi="ar-SA"/>
        </w:rPr>
        <w:t>Giles v. Westminster Savings and Credit Union</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2010 BCCA 282</w:t>
        </w:r>
      </w:hyperlink>
      <w:r>
        <w:rPr>
          <w:rFonts w:ascii="arial" w:eastAsia="arial" w:hAnsi="arial" w:cs="arial"/>
          <w:color w:val="000000"/>
          <w:sz w:val="20"/>
          <w:lang w:val="en-US" w:eastAsia="en-US" w:bidi="ar-SA"/>
        </w:rPr>
        <w:t xml:space="preserve"> at para. 74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purposes for which costs rules exist must be kept in mind in determining whether appellate intervention is warranted. In addition to indemnifying a successful litigant, those purposes have been described as follows by this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[D]eterring frivolous actions or defences": </w:t>
      </w:r>
      <w:r>
        <w:rPr>
          <w:rFonts w:ascii="arial" w:eastAsia="arial" w:hAnsi="arial" w:cs="arial"/>
          <w:i/>
          <w:color w:val="000000"/>
          <w:sz w:val="20"/>
          <w:lang w:val="en-US" w:eastAsia="en-US" w:bidi="ar-SA"/>
        </w:rPr>
        <w:t>Houweling Nurseries Ltd. v. Fisons Western Corp.</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(1988), 37 B.C.L.R. (2d) 2</w:t>
        </w:r>
      </w:hyperlink>
      <w:r>
        <w:rPr>
          <w:rFonts w:ascii="arial" w:eastAsia="arial" w:hAnsi="arial" w:cs="arial"/>
          <w:color w:val="000000"/>
          <w:sz w:val="20"/>
          <w:lang w:val="en-US" w:eastAsia="en-US" w:bidi="ar-SA"/>
        </w:rPr>
        <w:t xml:space="preserve"> at 25 (C.A.), leave ref'd, </w:t>
      </w:r>
      <w:hyperlink r:id="rId287" w:history="1">
        <w:r>
          <w:rPr>
            <w:rFonts w:ascii="arial" w:eastAsia="arial" w:hAnsi="arial" w:cs="arial"/>
            <w:i/>
            <w:color w:val="0077CC"/>
            <w:sz w:val="20"/>
            <w:u w:val="single"/>
            <w:shd w:val="clear" w:color="auto" w:fill="FFFFFF"/>
            <w:lang w:val="en-US" w:eastAsia="en-US" w:bidi="ar-SA"/>
          </w:rPr>
          <w:t>[1988] S.C.C.A. No. 200</w:t>
        </w:r>
      </w:hyperlink>
      <w:r>
        <w:rPr>
          <w:rFonts w:ascii="arial" w:eastAsia="arial" w:hAnsi="arial" w:cs="arial"/>
          <w:color w:val="000000"/>
          <w:sz w:val="20"/>
          <w:lang w:val="en-US" w:eastAsia="en-US" w:bidi="ar-SA"/>
        </w:rPr>
        <w:t>, [1988] 1 S.C.R. ix;</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encourage conduct that reduces the duration and expense of litigation and to discourage conduct that has the opposite effect": </w:t>
      </w:r>
      <w:r>
        <w:rPr>
          <w:rFonts w:ascii="arial" w:eastAsia="arial" w:hAnsi="arial" w:cs="arial"/>
          <w:i/>
          <w:color w:val="000000"/>
          <w:sz w:val="20"/>
          <w:lang w:val="en-US" w:eastAsia="en-US" w:bidi="ar-SA"/>
        </w:rPr>
        <w:t>Skidmore v. Blackmore</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(1995), 2 B.C.L.R. (3d) 201</w:t>
        </w:r>
      </w:hyperlink>
      <w:r>
        <w:rPr>
          <w:rFonts w:ascii="arial" w:eastAsia="arial" w:hAnsi="arial" w:cs="arial"/>
          <w:color w:val="000000"/>
          <w:sz w:val="20"/>
          <w:lang w:val="en-US" w:eastAsia="en-US" w:bidi="ar-SA"/>
        </w:rPr>
        <w:t xml:space="preserve"> at para. 28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[E]ncouraging litigants to settle whenever possible, thus freeing up judicial resources for other cases: </w:t>
      </w:r>
      <w:r>
        <w:rPr>
          <w:rFonts w:ascii="arial" w:eastAsia="arial" w:hAnsi="arial" w:cs="arial"/>
          <w:i/>
          <w:color w:val="000000"/>
          <w:sz w:val="20"/>
          <w:lang w:val="en-US" w:eastAsia="en-US" w:bidi="ar-SA"/>
        </w:rPr>
        <w:t>Bedwell v. McGill</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2008 BCCA 526</w:t>
        </w:r>
      </w:hyperlink>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86 B.C.L.R. (4th) 343</w:t>
        </w:r>
      </w:hyperlink>
      <w:r>
        <w:rPr>
          <w:rFonts w:ascii="arial" w:eastAsia="arial" w:hAnsi="arial" w:cs="arial"/>
          <w:color w:val="000000"/>
          <w:sz w:val="20"/>
          <w:lang w:val="en-US" w:eastAsia="en-US" w:bidi="ar-SA"/>
        </w:rPr>
        <w:t xml:space="preserve"> at para. 33;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have a winnowing function in the litigation process" by "requir[ing] litigants to make a careful assessment of the strength or lack thereof of their cases at the commencement and throughout the course of the litigation", and by "discourag[ing] the continuance of doubtful cases or defences": </w:t>
      </w:r>
      <w:r>
        <w:rPr>
          <w:rFonts w:ascii="arial" w:eastAsia="arial" w:hAnsi="arial" w:cs="arial"/>
          <w:i/>
          <w:color w:val="000000"/>
          <w:sz w:val="20"/>
          <w:lang w:val="en-US" w:eastAsia="en-US" w:bidi="ar-SA"/>
        </w:rPr>
        <w:t>Catalyst Paper Corporation v. Companhia de Navegaçao Norsul</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2009 BCCA 16</w:t>
        </w:r>
      </w:hyperlink>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88 B.C.L.R. (4th) 17</w:t>
        </w:r>
      </w:hyperlink>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test for an award for special costs is whether the litigant's conduct has been reprehensible, as that term has been defined in the jurisprudence. Reprehensible conduct has been found to encompass scandalous or outrageous conduct, but it also encompasses milder forms of misconduct deserving of reproof or rebuke. Special costs may be warranted when the court seeks to disassociate itself from the conduct of a litigant; see </w:t>
      </w:r>
      <w:r>
        <w:rPr>
          <w:rFonts w:ascii="arial" w:eastAsia="arial" w:hAnsi="arial" w:cs="arial"/>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(1994), 119 D.L.R. (4th) 740</w:t>
        </w:r>
      </w:hyperlink>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9 B.C.L.R. (3d) 242</w:t>
        </w:r>
      </w:hyperlink>
      <w:r>
        <w:rPr>
          <w:rFonts w:ascii="arial" w:eastAsia="arial" w:hAnsi="arial" w:cs="arial"/>
          <w:color w:val="000000"/>
          <w:sz w:val="20"/>
          <w:lang w:val="en-US" w:eastAsia="en-US" w:bidi="ar-SA"/>
        </w:rPr>
        <w:t xml:space="preserve"> (C.A.). Special costs have been awarded:</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 party unsuccessfully alleges criminal conduct: </w:t>
      </w:r>
      <w:r>
        <w:rPr>
          <w:rFonts w:ascii="arial" w:eastAsia="arial" w:hAnsi="arial" w:cs="arial"/>
          <w:i/>
          <w:color w:val="000000"/>
          <w:sz w:val="20"/>
          <w:lang w:val="en-US" w:eastAsia="en-US" w:bidi="ar-SA"/>
        </w:rPr>
        <w:t>Kurtakis v. Canadian Northern Shield Insurance Co.</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(1995), 17 B.C.L.R. (3d) 197</w:t>
        </w:r>
      </w:hyperlink>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70 B.C.A.C. 76</w:t>
        </w:r>
      </w:hyperlink>
      <w:r>
        <w:rPr>
          <w:rFonts w:ascii="arial" w:eastAsia="arial" w:hAnsi="arial" w:cs="arial"/>
          <w:color w:val="000000"/>
          <w:sz w:val="20"/>
          <w:lang w:val="en-US" w:eastAsia="en-US" w:bidi="ar-SA"/>
        </w:rPr>
        <w:t xml:space="preserve"> at para. 9;</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there is a totally unfounded allegation of fraud: </w:t>
      </w:r>
      <w:r>
        <w:rPr>
          <w:rFonts w:ascii="arial" w:eastAsia="arial" w:hAnsi="arial" w:cs="arial"/>
          <w:i/>
          <w:color w:val="000000"/>
          <w:sz w:val="20"/>
          <w:lang w:val="en-US" w:eastAsia="en-US" w:bidi="ar-SA"/>
        </w:rPr>
        <w:t>Paz v. Hardouin</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(1996), 25 B.C.L.R. (3d) 201</w:t>
        </w:r>
      </w:hyperlink>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138 D.L.R. (4th) 292</w:t>
        </w:r>
      </w:hyperlink>
      <w:r>
        <w:rPr>
          <w:rFonts w:ascii="arial" w:eastAsia="arial" w:hAnsi="arial" w:cs="arial"/>
          <w:color w:val="000000"/>
          <w:sz w:val="20"/>
          <w:lang w:val="en-US" w:eastAsia="en-US" w:bidi="ar-SA"/>
        </w:rPr>
        <w:t xml:space="preserve"> (C.A.) at para. 9;</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plaintiff shows reckless indifference to the legitimate interests of the defendant by failing to come to terms with "the manifest deficiency in its claim at an early stage in the proceedings": </w:t>
      </w:r>
      <w:r>
        <w:rPr>
          <w:rFonts w:ascii="arial" w:eastAsia="arial" w:hAnsi="arial" w:cs="arial"/>
          <w:i/>
          <w:color w:val="000000"/>
          <w:sz w:val="20"/>
          <w:lang w:val="en-US" w:eastAsia="en-US" w:bidi="ar-SA"/>
        </w:rPr>
        <w:t>Concord v. 371773 B.C. Ltd.</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2002 BCSC 900</w:t>
        </w:r>
      </w:hyperlink>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McLean v. Gonzalez-Calvo</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2007 BCSC 648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Stach v. Younger</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2009 BCSC 476</w:t>
        </w:r>
      </w:hyperlink>
      <w:r>
        <w:rPr>
          <w:rFonts w:ascii="arial" w:eastAsia="arial" w:hAnsi="arial" w:cs="arial"/>
          <w:color w:val="000000"/>
          <w:sz w:val="20"/>
          <w:lang w:val="en-US" w:eastAsia="en-US" w:bidi="ar-SA"/>
        </w:rPr>
        <w: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 party is found to be attempting to re litigate previously decided issues, see </w:t>
      </w:r>
      <w:r>
        <w:rPr>
          <w:rFonts w:ascii="arial" w:eastAsia="arial" w:hAnsi="arial" w:cs="arial"/>
          <w:i/>
          <w:color w:val="000000"/>
          <w:sz w:val="20"/>
          <w:lang w:val="en-US" w:eastAsia="en-US" w:bidi="ar-SA"/>
        </w:rPr>
        <w:t>Muller v. Muller</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2010 BCSC 1381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Mott et al. v. P.N.E. et al.</w:t>
      </w:r>
      <w:r>
        <w:rPr>
          <w:rFonts w:ascii="arial" w:eastAsia="arial" w:hAnsi="arial" w:cs="arial"/>
          <w:color w:val="000000"/>
          <w:sz w:val="20"/>
          <w:lang w:val="en-US" w:eastAsia="en-US" w:bidi="ar-SA"/>
        </w:rPr>
        <w:t xml:space="preserve"> (unreported) Supreme Court of British Columbia, Vancouver Registry No. S013035, August 23, 2001;</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there was improper conduct in the litigation including delay and hindering the proceedings, see </w:t>
      </w:r>
      <w:r>
        <w:rPr>
          <w:rFonts w:ascii="arial" w:eastAsia="arial" w:hAnsi="arial" w:cs="arial"/>
          <w:i/>
          <w:color w:val="000000"/>
          <w:sz w:val="20"/>
          <w:lang w:val="en-US" w:eastAsia="en-US" w:bidi="ar-SA"/>
        </w:rPr>
        <w:t>Genesee Enterprises Ltd. v. Rached</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2001 BCSC 1172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RBC sought and was awarded judgment against the defendants, jointly and severally, for a portion of funds derived from the negotiation of a counterfeit cheque (the "Counterfeit Cheque"), drawn on the account of one of RBC's customers, and spent by or for the benefit of the defendants. Negotiation of the Counterfeit Cheque resulted in a substantial fraud loss to RBC. This has been known by the defendants since on or about November 9,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Counterfeit Cheque was created by a third party whose true identity and whereabouts are unknown. It was negotiated by the BMP Parties to the account of BMP at the BNS. The defendants dispersed the proceeds of the Counterfeit Cheque (the "Funds") to other accounts they held at BNS, and spent a portion of the Funds for their personal benefit (the "Unrecovered Amount"), primarily to pay pre-existing debts. A further portion of the Funds continued to stand to their credit with BNS when the fraud was discovered (the "Recovered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Recovered Amount was subsequently returned to RBC by BNS voluntarily, pursuant to an indemnity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early 2002, the BMP Parties sued BNS to pursue the Recovered Amount for their benefit in the BNS Action, alleging various improprieties and illegality on the part of BNS, including breach of their account agreement. Insofar as the main thrust of the BNS Action was pursuit of the Recovered Amount, the BMP Parties were ultimately entirely unsuccessful, with the Supreme Court of Canada affirming that BNS and RBC acted lawfully and prudently in returning the Recovered Amount to RBC in the unusual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When the fraud was discovered, RBC immediately claimed an entitlement to return of the Recovered Amount. In June 2002, RBC commenced this lawsuit solely, at that time, to recover the Unrecovered Amount from the BMP Parties. Debra Backman was added as a proper and necessary party by Court Order on October 3,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RBC submitted that the defendants have conducted themselves in a reprehensible manner throughout this action that ought to sound in special costs. In particular, they have:</w:t>
      </w:r>
      <w:r>
        <w:rPr>
          <w:rFonts w:ascii="arial" w:eastAsia="arial" w:hAnsi="arial" w:cs="arial"/>
          <w:sz w:val="20"/>
          <w:lang w:val="en-US" w:eastAsia="en-US" w:bidi="ar-SA"/>
        </w:rPr>
        <w:cr/>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knowingly and persistently advanced frivolous defences and counterclaims;</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conducted themselves unreasonably, in a manner that unnecessarily increased the duration and expense of the litigation, in the absence of any reasonably plausible basis upon which to explain their conduct; and</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refused to carefully assess their position as the case progressed, maintaining untenable positions, defences and counterclaims through to trial, including very serious claims of theft, fraud, breach of trust, conspiracy and malicious prosecution which wrongfully and intentionally impugned the reputation of RBC (the "Counterclaims").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RBC submitted that during the course of the RBC Action, the BMP Parties made every effort to avoid consideration of the underlying merits of the claim, and sought to retain the benefit of the fraud at the expense of RBC. The BMP Parties did this by complicating and expanding the proceedings in an effort to seek to retain all or a portion of the Funds as their windfall, all without any legitimate claim to the Funds in law or equity. For example, the BMP Parties failed to make reasonable admissions of fact, resisted provision of listed documents, refused to answer interrogatories, resisted discoveries and sought to delay the hearing of the summary trial in the RBC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After a hearing and a denied request for rehearing before the Supreme Court of Canada, and a clear confirmation of the propriety of the return of the Funds to RBC, the BMP Parties continued to assert allegations of illegality of return of the Recovered Amount to RBC in defence of the RBC Action. Such untenable positions were relied upon in both the BMP Parties' defence and expanded upon in support of their Counterclaims and Third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RBC submitted that issues in the BNS Action decided against the BMP Parties have simply been rolled over to be argued again on the theory that the Supreme Court of Canada did not have proper jurisdiction to make the order it did. In that regard, RBC notes that the defences advanced by the BMP Parties relied upon express or implied assertions of entitlement to retain the Funds, purported illegality on the part of RBC and BNS in returning the Recovered Amount and upon the BMP Parties' continued denial that the Counterfeit Cheque was a fraudulent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That the Counterfeit Cheque was fraudulent was found as a fact at trial in the BNS Action. That finding of fact was not challenged on appeal. It was also affirmed and relied upon by the Court of Appeal and the Supreme Court of Canada in the BNS Action. Despite this, and the express finding of the Supreme Court of Canada that BNS' return of the Recovered Amount to RBC was lawful and proper, the BMP Parties and Debra Backman maintained their allegations of illegality through trial. They also persisted in raising as a defence, an allegation that the cheque was not counterfeit which they asserted from the earliest defence through to inclusion in their written argument at trial in the RBC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Jaffe submitted on behalf of the BMP defendants that this was not a case in which the defendants made spurious allegations of misconduct in their pleadings. In my view, particularly after the Reasons of the Supreme Court of Canada, that assertion is simply wrong. The defendants alleged serious misconduct against RBC including, but not limited to, malicious prosecution, fraud and conspiracy. The pleas were never withdrawn and were found to be entirely without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elements of malicious prosecution were stated in </w:t>
      </w:r>
      <w:r>
        <w:rPr>
          <w:rFonts w:ascii="arial" w:eastAsia="arial" w:hAnsi="arial" w:cs="arial"/>
          <w:i/>
          <w:color w:val="000000"/>
          <w:sz w:val="20"/>
          <w:lang w:val="en-US" w:eastAsia="en-US" w:bidi="ar-SA"/>
        </w:rPr>
        <w:t>Miazga v. Kvello Estate</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2009 SCC 51</w:t>
        </w:r>
      </w:hyperlink>
      <w:r>
        <w:rPr>
          <w:rFonts w:ascii="arial" w:eastAsia="arial" w:hAnsi="arial" w:cs="arial"/>
          <w:color w:val="000000"/>
          <w:sz w:val="20"/>
          <w:lang w:val="en-US" w:eastAsia="en-US" w:bidi="ar-SA"/>
        </w:rPr>
        <w:t>, as follows at para.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succeed in an action for malicious prosecution, a plaintiff must prove that the prosecution was: (1) initiated by the defendant; (2) terminated in favour of the plaintiff; (3) undertaken without reasonable and probable cause; and (4) motivated by malice or a primary purpose other than that of carrying the law into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suit brought by RBC was to recover funds derived from the negotiation of a counterfeit cheque. From the outset, it could not be said that the action was taken without reasonable and probable cause. There is no evidence that the bank's motivation was malicious or otherwise improper. Thus, the allegation of malicious prosecution was spurious from the outset. As to the other misconduct alleged against the bank, it should have been clear, at least after the judgment of the Supreme Court of Canada, that those allegations were without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Counsel submits on behalf of the BMP Parties that the allegations made concerning the bank's conduct were founded in the defendants' honest belief about the nature of the bank's conduct. However, as Levine J., as she then was, noted in </w:t>
      </w:r>
      <w:r>
        <w:rPr>
          <w:rFonts w:ascii="arial" w:eastAsia="arial" w:hAnsi="arial" w:cs="arial"/>
          <w:i/>
          <w:color w:val="000000"/>
          <w:sz w:val="20"/>
          <w:lang w:val="en-US" w:eastAsia="en-US" w:bidi="ar-SA"/>
        </w:rPr>
        <w:t>Genesse Enterprises Ltd. v. Rached</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2001 BCSC 1172</w:t>
        </w:r>
      </w:hyperlink>
      <w:r>
        <w:rPr>
          <w:rFonts w:ascii="arial" w:eastAsia="arial" w:hAnsi="arial" w:cs="arial"/>
          <w:color w:val="000000"/>
          <w:sz w:val="20"/>
          <w:lang w:val="en-US" w:eastAsia="en-US" w:bidi="ar-SA"/>
        </w:rPr>
        <w:t xml:space="preserve"> at para. 10 and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claims of fraudulent misrepresentation, unlawful conspiracy and breach of fiduciary duty were all dismissed. The evidence simply did not support them. The defendants repeatedly failed to give the plaintiff and defendants by counterclaim particulars of the alleged fraud, conspiracy, breach of fiduciary duty, or damages, and failed to provide any particulars of damages in their closing submissions at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Defendants' counsel says that because Mr. Abou-Rached sincerely and honestly believed that Jean de Grasse and Robert de Grasse conspired against him, the bringing of these unmeritorious claims should not be censured. I disagree: a party may honestly believe that he has been wronged, but he has a responsibility as a litigant to bring claims that have a reasonable prospect of success (</w:t>
      </w:r>
      <w:r>
        <w:rPr>
          <w:rFonts w:ascii="arial" w:eastAsia="arial" w:hAnsi="arial" w:cs="arial"/>
          <w:i/>
          <w:color w:val="000000"/>
          <w:sz w:val="20"/>
          <w:lang w:val="en-US" w:eastAsia="en-US" w:bidi="ar-SA"/>
        </w:rPr>
        <w:t>Garcia</w:t>
      </w:r>
      <w:r>
        <w:rPr>
          <w:rFonts w:ascii="arial" w:eastAsia="arial" w:hAnsi="arial" w:cs="arial"/>
          <w:color w:val="000000"/>
          <w:sz w:val="20"/>
          <w:lang w:val="en-US" w:eastAsia="en-US" w:bidi="ar-SA"/>
        </w:rPr>
        <w:t xml:space="preserve"> at p. 252). He risks censure for bringing claims that have the effect of besmirching the reputation of other parties (</w:t>
      </w:r>
      <w:r>
        <w:rPr>
          <w:rFonts w:ascii="arial" w:eastAsia="arial" w:hAnsi="arial" w:cs="arial"/>
          <w:i/>
          <w:color w:val="000000"/>
          <w:sz w:val="20"/>
          <w:lang w:val="en-US" w:eastAsia="en-US" w:bidi="ar-SA"/>
        </w:rPr>
        <w:t>Hannan v. Methenex Corp</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(1998), 46 B.C.L.R. (3d) 230</w:t>
        </w:r>
      </w:hyperlink>
      <w:r>
        <w:rPr>
          <w:rFonts w:ascii="arial" w:eastAsia="arial" w:hAnsi="arial" w:cs="arial"/>
          <w:color w:val="000000"/>
          <w:sz w:val="20"/>
          <w:lang w:val="en-US" w:eastAsia="en-US" w:bidi="ar-SA"/>
        </w:rPr>
        <w:t xml:space="preserve"> at 247 (C.A.)) or making unfounded allegations about the conduct of counsel (</w:t>
      </w:r>
      <w:r>
        <w:rPr>
          <w:rFonts w:ascii="arial" w:eastAsia="arial" w:hAnsi="arial" w:cs="arial"/>
          <w:i/>
          <w:color w:val="000000"/>
          <w:sz w:val="20"/>
          <w:lang w:val="en-US" w:eastAsia="en-US" w:bidi="ar-SA"/>
        </w:rPr>
        <w:t>Interstate Investments Ltd. v. Pacific International Securities Inc.</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(1995), 10 B.C.L.R. (3d) 265</w:t>
        </w:r>
      </w:hyperlink>
      <w:r>
        <w:rPr>
          <w:rFonts w:ascii="arial" w:eastAsia="arial" w:hAnsi="arial" w:cs="arial"/>
          <w:color w:val="000000"/>
          <w:sz w:val="20"/>
          <w:lang w:val="en-US" w:eastAsia="en-US" w:bidi="ar-SA"/>
        </w:rPr>
        <w:t xml:space="preserve"> at 269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my view, the defendants in this litigation ignored these responsibilities identified by Levine J. The claims were advanced with no prospect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Jaffe submits that RBC should be deprived of costs, or disentitled to an order for special costs, because RBC alleged fraud against the defendants and its allegations were not made out, and because it did not succeed with respect to the submission for recovery on the Indemnity. However, RBC did succeed in its claim for the Unrecovered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my view, RBC's allegations could not be characterized as spurious or unfounded even though not all were made out at the summary trial. It is the case that RBC did not succeed in relation to its claim on the Indemnity. However, in dismissing that claim, I stated at para. 171 of those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RBC has not established that it is entitled to reimbursement as damages for the costs paid and payable under the Indemnity. I agree that the conduct of the BMP parties and their pursuit of the BNS litigation and in relation to this litigation is a matter that sounds in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my view, the conduct of the BMP Parties in relation to the defence of the action and prosecution of the Counterclaim, and of Debra Backman in relation to the defence of the action is reprehensible as that term is defined in the jurisprudence and warrants the imposition of special costs. The defendants alleged criminal conduct, fraud and other serious corporate misconduct and continued to press these allegations throughout the litigation. The allegations were wholly without foundation and never withdrawn. The defendants attempted to re-litigate matters that had been adjudicated in the BNS Action; notably that the Counterfeit Cheque was not fraudulent, and that RBC and BNS had engaged in illegal and dishonest conduct in relation to the return of the Recovered Amount. Moreover, the conduct of the defendants throughout the litigation increased the expense and duration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Accordingly, I order that RBC is entitled to special costs of its claim and the defence of the counterclaim against the BMP Parties. RBC is entitled to special costs of its claim, excluding the defence of the counterclaim, against Debra Backman, from the date she was added as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BNS seeks an order for special costs of the action. BNS had been joined as a third party to the action by all defendants except Debra Backman. The Third Party Notice alleged:</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claimed against these Defendants for an alleged loss arising from the Indemnity as referred to at paragraphs 41, 44 and 70 of the Further Amended Statement of Claim.</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Indemnity was entered into between the Third Party and the Plaintiff, without the knowledge or consent of these Defendants and for the improper purpose of protecting the Third Party from the consequences of misconduct induced by the Plaintiff, which misconduct included the Third Party's breach of contractual and common law duties to these Defendants and was unlawful.</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did suffer any loss arising from the Indemnity, which allegation is denied by these Defendants, then such loss was caused by the above conduct of the Third Party.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if a failure to investigate and/or disclose suspicious circumstances about the Cheque to the Plaintiff caused a loss to the Plaintiff, an allegation denied by these Defendants, such loss was caused by the failure of the Third Party as collecting bank for B.M.P. Global Distribution Inc. to take whatever steps were warranted in the circumstances, and by exposing these Defendants to the claims of the Plaintiff herein, was conduct which breached the Third Party's duties to these Defendants.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or in the alternative, the conduct of the Third Party caused or contributed to the loss claimed by the Plaintiff herein and, in the event any liability may be imposed on these Defendants, they seek contribution and indemnity from the Third Party pursuant to section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Following the decision of the Supreme Court of Canada in the BNS Action, the parties were given leave to amend their pleadings in the present action. Mr. Greenberg, counsel for BNS, then wrote to Mr. Jaffe, counsel for the BMP defendants, suggesting that the Supreme Court of Canada decision has rendered the claims in the third party notice entirely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suggesting that the third party notice be discontinued, failing which BNS would bring an application to strike the third party notice as disclosing no reasonable cause of action, as </w:t>
      </w:r>
      <w:r>
        <w:rPr>
          <w:rFonts w:ascii="arial" w:eastAsia="arial" w:hAnsi="arial" w:cs="arial"/>
          <w:i/>
          <w:color w:val="000000"/>
          <w:sz w:val="20"/>
          <w:lang w:val="en-US" w:eastAsia="en-US" w:bidi="ar-SA"/>
        </w:rPr>
        <w:t>res judiciata</w:t>
      </w:r>
      <w:r>
        <w:rPr>
          <w:rFonts w:ascii="arial" w:eastAsia="arial" w:hAnsi="arial" w:cs="arial"/>
          <w:color w:val="000000"/>
          <w:sz w:val="20"/>
          <w:lang w:val="en-US" w:eastAsia="en-US" w:bidi="ar-SA"/>
        </w:rPr>
        <w:t xml:space="preserve"> and an abuse of process, and that it would seek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No notice of discontinuance was filed. BNS brought an application to strike the third party notice which was heard in conjunction with the summary trial. The application was granted for reasons summarized at para. 185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with the submission of counsel for BNS that BNS's role in the litigation ought to have been complete following the decision of the Supreme Court of Canada. Instead, the defendants have maintained the allegations in the third party notice which disclosed no reasonable claim against BNS and which seek to re-litigate the very issues determine conclusively by that Court. The third party claims are unnecessary and would require this court to contradict the Supreme Court of Canada in respect of the very matters that were before the Court. In the circumstances, I conclude that the third party notice is without merit and an abuse of process. The third party notice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Rule 9-5(1)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Scandalous, frivolous or vexatious matters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BNS notes that the rule explicitly provides the court with the power to order a party to pay special costs where the proceedings are found to be meritless or an abuse of process. BNS submits that the inclusion of express reference to special costs in Rule 9-5 signals that bringing meritless proceedings and abusing the court processes is conduct that is,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deserving of rebuke.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BNS submits that the third party proceeding, particularly in light of the findings of the Supreme Court of Canada, was clearly a manifestly unmeritorious claim. BNS notes that such conduct has been held to be reprehensible conduct providing a basis for an award of special costs. In addition, BNS submits that the defendant's submissions expressly invited this Court to reconsider and come to conclusions different than those of the Supreme Court of Canada. BNS submits that there could be no clearer example of an attempt to re-litigate issues which have been conclusively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defendants submit that BNS should not be entitled to special costs because of the Indemnity. Counsel submits further that there were no discrepant issues between BNS and RBC, and therefore, there was no need for BNS to have separate counsel. The argument with respect to the indemnification was, however, specifically rejected by Mr. Justice Vickers in </w:t>
      </w:r>
      <w:r>
        <w:rPr>
          <w:rFonts w:ascii="arial" w:eastAsia="arial" w:hAnsi="arial" w:cs="arial"/>
          <w:i/>
          <w:color w:val="000000"/>
          <w:sz w:val="20"/>
          <w:lang w:val="en-US" w:eastAsia="en-US" w:bidi="ar-SA"/>
        </w:rPr>
        <w:t>Wright v. Wright</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(1994) 93 B.C.L.R. (2d) 358</w:t>
        </w:r>
      </w:hyperlink>
      <w:r>
        <w:rPr>
          <w:rFonts w:ascii="arial" w:eastAsia="arial" w:hAnsi="arial" w:cs="arial"/>
          <w:color w:val="000000"/>
          <w:sz w:val="20"/>
          <w:lang w:val="en-US" w:eastAsia="en-US" w:bidi="ar-SA"/>
        </w:rPr>
        <w:t xml:space="preserve">, relying upon the decision of the Court of Appeal in </w:t>
      </w:r>
      <w:r>
        <w:rPr>
          <w:rFonts w:ascii="arial" w:eastAsia="arial" w:hAnsi="arial" w:cs="arial"/>
          <w:i/>
          <w:color w:val="000000"/>
          <w:sz w:val="20"/>
          <w:lang w:val="en-US" w:eastAsia="en-US" w:bidi="ar-SA"/>
        </w:rPr>
        <w:t>Fullerton v. Matsqui (District)</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(1992), 74 B.C.L.R. (2d) 311</w:t>
        </w:r>
      </w:hyperlink>
      <w:r>
        <w:rPr>
          <w:rFonts w:ascii="arial" w:eastAsia="arial" w:hAnsi="arial" w:cs="arial"/>
          <w:color w:val="000000"/>
          <w:sz w:val="20"/>
          <w:lang w:val="en-US" w:eastAsia="en-US" w:bidi="ar-SA"/>
        </w:rPr>
        <w:t>. As to the suggestion that BNS need not have retained its own counsel, the interests of RBC and BNS on the pleadings are not identical. But in any event, it hardly lies in the mouth of the parties that brought BNS into the action to take a position on BNS's counsel, particularly when they had previously taken the position that it was inappropriate for BNS and RBC to have the same counsel in the BNS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defendants submit that special costs ought not to be ordered because it was reasonable to argue that this Court should not follow the decision and findings of the Supreme Court of Canada. I disagree. Counsel submitted that it was necessary to bring BNS into this action because the defendants had to deal with what counsel described as the "illegal and improper conduct" of the banks. However, the "illegal and improper conduct" was either irrelevant to the issues in this action (the breach of privacy, defamation and the small amount ultimately determined to have been wrongly taken from the defendant's account), dealt with in the BNS Action, or found not to have been improper and illegal by the Supreme Court of Canada and hence exemplifying the attempt to re-litigate.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was submitted that RBC made it necessary to bring BNS into the action because of its claim for recovery of the costs it has incurred pursuant to the Indemnity. However, in that regard, I note that the claims advanced in the third party notice go beyond issues raised in relation to the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my view, special costs should be awarded in the circumstances of this case. The claims sought to be advanced in the Third Party Notice were manifestly deficient, and constituted an attempt to relitigate matters that had been determined by the Supreme Court of Canada. They amounted to an abuse of the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Accordingly, I order that the BMP Parties pay the special costs of the action to BNS.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By letter dated July 20, 2007, RBC and BNS made a joint offer of settlement to the BMP Parties. It had a Calderbank clause, and offered to settle both the RBC Action and the BNS Action by paying the BMP Parties $25,000, and permitting the BMP Parties to retain the $127,000 at issue in the RBC Action and the $80,000 paid in November 2005 in the BNS Action, all without costs to any party (the "2007 Offer"). This offer was not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the eve of the summary trial, RBC offered to settle both the RBC and the BNS Actions on payment by the BMP Parties to RBC of $113.50 and a waiver of costs in all proceedings throughout (the "2010 Offer"). In essence, the offer would have permitted the BMP Parties to keep the $127,000, and the $80,000 advanced in 2005. BNS would waive its costs as then outstanding at the Supreme Court of Canada and the one cost in any event of the cause order in favour of BNS then extant and any costs in the BNS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2010 Offer contained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expressly reserve the right to refer to and rely upon this offer for the purposes of seeking double costs for further preparation and attendance at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BNS confirmed that the offer was acceptable. The offer was not accepted by the BMP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Rule 9-1 of the Rules defines an "offer to settle" as:</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offer to settle made and delivered before July 2, 2008 under Rule 37 of the former Supreme Court Rules, as that rule read on the date of the offer to settle, and in relation to which no order was made under that rule,</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offer of settlement made and delivered before July 2, 2008 under Rule 37A of the former Supreme Court Rules, as that rule read on the date of the offer of settlement, and in relation to which no order was made under that rule, or</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offer to settle made after July 1, 2008 under Rule 37B of the former Supreme Court Rules, as that rule read on the date of the offer to settle, or made under this rule, that</w:t>
      </w:r>
    </w:p>
    <w:p>
      <w:pPr>
        <w:numPr>
          <w:numId w:val="8"/>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made in writing by a party to a proceeding,</w:t>
      </w:r>
    </w:p>
    <w:p>
      <w:pPr>
        <w:numPr>
          <w:numId w:val="9"/>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been served on all parties of record, and</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contains the following sentence: "The</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[party(ies)]</w:t>
      </w:r>
      <w:r>
        <w:rPr>
          <w:rFonts w:ascii="arial" w:eastAsia="arial" w:hAnsi="arial" w:cs="arial"/>
          <w:color w:val="000000"/>
          <w:sz w:val="20"/>
          <w:lang w:val="en-US" w:eastAsia="en-US" w:bidi="ar-SA"/>
        </w:rPr>
        <w:t xml:space="preserve"> ............,</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[name(s) of party(ies)]</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reserve(s) the right to bring</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this offer to the attention of the court for</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consideration in relation to costs after the</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court has pronounced judgment on all other</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issues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2007 Offer would therefore have to be an offer under Rule 37 or 37A of the former Supreme Court Rules in order to comply with Rule 9-1(1)(a). In transitional cases such as this, Mr. Justice Williams stated in </w:t>
      </w:r>
      <w:r>
        <w:rPr>
          <w:rFonts w:ascii="arial" w:eastAsia="arial" w:hAnsi="arial" w:cs="arial"/>
          <w:i/>
          <w:color w:val="000000"/>
          <w:sz w:val="20"/>
          <w:lang w:val="en-US" w:eastAsia="en-US" w:bidi="ar-SA"/>
        </w:rPr>
        <w:t>Kinloch v. Edmonds</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2008 BCSC 1684</w:t>
        </w:r>
      </w:hyperlink>
      <w:r>
        <w:rPr>
          <w:rFonts w:ascii="arial" w:eastAsia="arial" w:hAnsi="arial" w:cs="arial"/>
          <w:color w:val="000000"/>
          <w:sz w:val="20"/>
          <w:lang w:val="en-US" w:eastAsia="en-US" w:bidi="ar-SA"/>
        </w:rPr>
        <w:t xml:space="preserve">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determination in this case will be made in accordance with the new rule ... but ... the analysis of whether there was in fact a valid offer made will be decided by reference to Rules 37 and 37A.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the time of the 2007 Offer, Rule 37(2) stated:</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to a proceeding may deliver to any other party of record a written offer in Form 64 to settle one or more of the claims in the proceeding in the terms specified in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Rule 37A(1) stated:</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circumstances to which Rule 37 does not apply, a party to a proceeding may deliver a written offer of settlement, in any form, of one or more of the claims in the proceeding if that offer of settlement includes a statement that the party delivering the offer of settlement reserves the right to bring it to the attention of the court for consideration in relation to costs after the court has rendered judgment on all other issues in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2007 Offer was a joint offer made by RBC and BNS to settle both the BNS Action and the present action. However, Madam Justice Fisher, in </w:t>
      </w:r>
      <w:r>
        <w:rPr>
          <w:rFonts w:ascii="arial" w:eastAsia="arial" w:hAnsi="arial" w:cs="arial"/>
          <w:i/>
          <w:color w:val="000000"/>
          <w:sz w:val="20"/>
          <w:lang w:val="en-US" w:eastAsia="en-US" w:bidi="ar-SA"/>
        </w:rPr>
        <w:t>Marszalek v. Bishop</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2008 BCSC 370</w:t>
        </w:r>
      </w:hyperlink>
      <w:r>
        <w:rPr>
          <w:rFonts w:ascii="arial" w:eastAsia="arial" w:hAnsi="arial" w:cs="arial"/>
          <w:color w:val="000000"/>
          <w:sz w:val="20"/>
          <w:lang w:val="en-US" w:eastAsia="en-US" w:bidi="ar-SA"/>
        </w:rPr>
        <w:t>, canvassed the case law and concluded that global offers, that is offers made by or to multiple parties, or in multiple actions, were not acceptable under Rule 37. She said at paras. 26-27: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appellate authorities in this province are clear that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do not permit defendants in separate actions tried together to make a joint, or global offer to settle under Rule 37: </w:t>
      </w:r>
      <w:r>
        <w:rPr>
          <w:rFonts w:ascii="arial" w:eastAsia="arial" w:hAnsi="arial" w:cs="arial"/>
          <w:i/>
          <w:color w:val="000000"/>
          <w:sz w:val="20"/>
          <w:lang w:val="en-US" w:eastAsia="en-US" w:bidi="ar-SA"/>
        </w:rPr>
        <w:t>[Cao] v. Natt</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2005 BCCA 351</w:t>
        </w:r>
      </w:hyperlink>
      <w:r>
        <w:rPr>
          <w:rFonts w:ascii="arial" w:eastAsia="arial" w:hAnsi="arial" w:cs="arial"/>
          <w:color w:val="000000"/>
          <w:sz w:val="20"/>
          <w:lang w:val="en-US" w:eastAsia="en-US" w:bidi="ar-SA"/>
        </w:rPr>
        <w:t xml:space="preserve">, ... see also </w:t>
      </w:r>
      <w:r>
        <w:rPr>
          <w:rFonts w:ascii="arial" w:eastAsia="arial" w:hAnsi="arial" w:cs="arial"/>
          <w:i/>
          <w:color w:val="000000"/>
          <w:sz w:val="20"/>
          <w:lang w:val="en-US" w:eastAsia="en-US" w:bidi="ar-SA"/>
        </w:rPr>
        <w:t>White v. Nuraney</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2000 BCCA 675</w:t>
        </w:r>
      </w:hyperlink>
      <w:r>
        <w:rPr>
          <w:rFonts w:ascii="arial" w:eastAsia="arial" w:hAnsi="arial" w:cs="arial"/>
          <w:color w:val="000000"/>
          <w:sz w:val="20"/>
          <w:lang w:val="en-US" w:eastAsia="en-US" w:bidi="ar-SA"/>
        </w:rPr>
        <w:t xml:space="preserve">, at para. 18-19 and </w:t>
      </w:r>
      <w:r>
        <w:rPr>
          <w:rFonts w:ascii="arial" w:eastAsia="arial" w:hAnsi="arial" w:cs="arial"/>
          <w:i/>
          <w:color w:val="000000"/>
          <w:sz w:val="20"/>
          <w:lang w:val="en-US" w:eastAsia="en-US" w:bidi="ar-SA"/>
        </w:rPr>
        <w:t>Chaube v. Campbell</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2004 BCCA 85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Canadian Forest Products Ltd. v. B.C. Rail Ltd.</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2005 BCCA 460</w:t>
        </w:r>
      </w:hyperlink>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51 B.C.L.R. (4th) 34</w:t>
        </w:r>
      </w:hyperlink>
      <w:r>
        <w:rPr>
          <w:rFonts w:ascii="arial" w:eastAsia="arial" w:hAnsi="arial" w:cs="arial"/>
          <w:color w:val="000000"/>
          <w:sz w:val="20"/>
          <w:lang w:val="en-US" w:eastAsia="en-US" w:bidi="ar-SA"/>
        </w:rPr>
        <w:t>, the Court of Appeal applied the same reasoning to an offer made by a plaintiff to multiple defendants in the same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2007 Offer was in the form of a Calderbank letter. However, Madam Justice Southin in </w:t>
      </w:r>
      <w:r>
        <w:rPr>
          <w:rFonts w:ascii="arial" w:eastAsia="arial" w:hAnsi="arial" w:cs="arial"/>
          <w:i/>
          <w:color w:val="000000"/>
          <w:sz w:val="20"/>
          <w:lang w:val="en-US" w:eastAsia="en-US" w:bidi="ar-SA"/>
        </w:rPr>
        <w:t>Brown v. Lowe, Bryson and Gossen</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2002 BCCA 7</w:t>
        </w:r>
      </w:hyperlink>
      <w:r>
        <w:rPr>
          <w:rFonts w:ascii="arial" w:eastAsia="arial" w:hAnsi="arial" w:cs="arial"/>
          <w:color w:val="000000"/>
          <w:sz w:val="20"/>
          <w:lang w:val="en-US" w:eastAsia="en-US" w:bidi="ar-SA"/>
        </w:rPr>
        <w:t>, held that Calderbank letters were no longer acceptable for determining costs, unless an offer complies with Rule 37. Madam Justice Southin said at para. 154: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1993 revision to our Rule 37 is of such an order that we have had no gap since then. It is a complete code and there is no room for any judicial discretion save that given by it. </w:t>
      </w:r>
      <w:r>
        <w:rPr>
          <w:rFonts w:ascii="arial" w:eastAsia="arial" w:hAnsi="arial" w:cs="arial"/>
          <w:i/>
          <w:color w:val="000000"/>
          <w:sz w:val="20"/>
          <w:lang w:val="en-US" w:eastAsia="en-US" w:bidi="ar-SA"/>
        </w:rPr>
        <w:t>Calderbank v. Calderbank</w:t>
      </w:r>
      <w:r>
        <w:rPr>
          <w:rFonts w:ascii="arial" w:eastAsia="arial" w:hAnsi="arial" w:cs="arial"/>
          <w:color w:val="000000"/>
          <w:sz w:val="20"/>
          <w:lang w:val="en-US" w:eastAsia="en-US" w:bidi="ar-SA"/>
        </w:rPr>
        <w:t xml:space="preserve"> should not be considered law in this Province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Madam Justice Southin's ruling on Calderbank letters was adopted in an number of subsequent cases, see </w:t>
      </w:r>
      <w:r>
        <w:rPr>
          <w:rFonts w:ascii="arial" w:eastAsia="arial" w:hAnsi="arial" w:cs="arial"/>
          <w:i/>
          <w:color w:val="000000"/>
          <w:sz w:val="20"/>
          <w:lang w:val="en-US" w:eastAsia="en-US" w:bidi="ar-SA"/>
        </w:rPr>
        <w:t>Chaube v. Campbell</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2004 BCCA 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ICBC v. Eurosport Auto</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2007 BCCA 279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Cridge v. Harper Grey Easton</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2005 BCCA 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Rule 37A was enacted after the decision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and provided a remedy in those situations in which Rule 37 does not apply. However, as Mr. Justice Goepel in </w:t>
      </w:r>
      <w:r>
        <w:rPr>
          <w:rFonts w:ascii="arial" w:eastAsia="arial" w:hAnsi="arial" w:cs="arial"/>
          <w:i/>
          <w:color w:val="000000"/>
          <w:sz w:val="20"/>
          <w:lang w:val="en-US" w:eastAsia="en-US" w:bidi="ar-SA"/>
        </w:rPr>
        <w:t>P.G. Restaurant Ltd. v. Northern Interior Regional Health Board et al.</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2006 BCSC 1680</w:t>
        </w:r>
      </w:hyperlink>
      <w:r>
        <w:rPr>
          <w:rFonts w:ascii="arial" w:eastAsia="arial" w:hAnsi="arial" w:cs="arial"/>
          <w:color w:val="000000"/>
          <w:sz w:val="20"/>
          <w:lang w:val="en-US" w:eastAsia="en-US" w:bidi="ar-SA"/>
        </w:rPr>
        <w:t>, concluded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Rule 37A does not however, provide an alternative means of settlement which can be used instead of Rule 37. If an offer can be made under Rule 37, it cannot be said that Rule 37 does not apply: </w:t>
      </w:r>
      <w:r>
        <w:rPr>
          <w:rFonts w:ascii="arial" w:eastAsia="arial" w:hAnsi="arial" w:cs="arial"/>
          <w:i/>
          <w:color w:val="000000"/>
          <w:sz w:val="20"/>
          <w:lang w:val="en-US" w:eastAsia="en-US" w:bidi="ar-SA"/>
        </w:rPr>
        <w:t>Cao (Guardian ad litem of) v. Schroeder</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2005, 42 B.C.L.R. (4th) 222</w:t>
        </w:r>
      </w:hyperlink>
      <w:r>
        <w:rPr>
          <w:rFonts w:ascii="arial" w:eastAsia="arial" w:hAnsi="arial" w:cs="arial"/>
          <w:color w:val="000000"/>
          <w:sz w:val="20"/>
          <w:lang w:val="en-US" w:eastAsia="en-US" w:bidi="ar-SA"/>
        </w:rPr>
        <w:t xml:space="preserve"> (C.A.). In this case the defendants could have made their offers under Rule 37. They chose not to. In such circumstances Rule 37A does not apply and the offers made under Rule 37A are of no force or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Accordingly, if RBC and BNS had made separate offers to settle their respective actions with BMP, they would have complied with Rule 37, and thus Rule 37A is not available to them. This conclusion is consistent with Madam Justice Fisher's observation in para. 46 of </w:t>
      </w:r>
      <w:r>
        <w:rPr>
          <w:rFonts w:ascii="arial" w:eastAsia="arial" w:hAnsi="arial" w:cs="arial"/>
          <w:i/>
          <w:color w:val="000000"/>
          <w:sz w:val="20"/>
          <w:lang w:val="en-US" w:eastAsia="en-US" w:bidi="ar-SA"/>
        </w:rPr>
        <w:t>Marszalek</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the defendants could have made valid offers under Rule 37, had they complied with its requirements. Therefore, I must conclude that the defendants are not entitled to rely on Rule 37A. I say this reluctantly because Rule 37A has been interpreted so narrowly that it is difficult to envisage what kind of offer could not have been made under Rule 37. If Rule 37A was intended to provide a more flexible process to promote settlements, this objective has not been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court retained discretion under former Rule 57(9) in determining costs as well. Rule 57(9) provided:</w:t>
      </w:r>
      <w:r>
        <w:rPr>
          <w:rFonts w:ascii="arial" w:eastAsia="arial" w:hAnsi="arial" w:cs="arial"/>
          <w:sz w:val="20"/>
          <w:lang w:val="en-US" w:eastAsia="en-US" w:bidi="ar-SA"/>
        </w:rPr>
        <w:cr/>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subrule (12), costs of and incidental to a proceeding shall follow the event unless the court otherwise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Given the unique circumstances of the present litigation, an argument could be made that the circumstances of this case justify such an exercise of discretion. However, in </w:t>
      </w:r>
      <w:r>
        <w:rPr>
          <w:rFonts w:ascii="arial" w:eastAsia="arial" w:hAnsi="arial" w:cs="arial"/>
          <w:i/>
          <w:color w:val="000000"/>
          <w:sz w:val="20"/>
          <w:lang w:val="en-US" w:eastAsia="en-US" w:bidi="ar-SA"/>
        </w:rPr>
        <w:t>Kerpan v. ICBC and Henry's Autobody Inc. et al. and Lambert et al.</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2007 BCSC 203</w:t>
        </w:r>
      </w:hyperlink>
      <w:r>
        <w:rPr>
          <w:rFonts w:ascii="arial" w:eastAsia="arial" w:hAnsi="arial" w:cs="arial"/>
          <w:color w:val="000000"/>
          <w:sz w:val="20"/>
          <w:lang w:val="en-US" w:eastAsia="en-US" w:bidi="ar-SA"/>
        </w:rPr>
        <w:t xml:space="preserve">, Mr. Justice Shaw ruled out the possibility of using the discretion in Rule 57(9) to allow an "end-run" around the ruling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against Calderbank letters and global offers, stating at para.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Rule 37A was brought into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in 2003. Does its advent make any difference to the rulings in </w:t>
      </w:r>
      <w:r>
        <w:rPr>
          <w:rFonts w:ascii="arial" w:eastAsia="arial" w:hAnsi="arial" w:cs="arial"/>
          <w:i/>
          <w:color w:val="000000"/>
          <w:sz w:val="20"/>
          <w:lang w:val="en-US" w:eastAsia="en-US" w:bidi="ar-SA"/>
        </w:rPr>
        <w:t>Brown v. Lowe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Chaube v. Campbell</w:t>
      </w:r>
      <w:r>
        <w:rPr>
          <w:rFonts w:ascii="arial" w:eastAsia="arial" w:hAnsi="arial" w:cs="arial"/>
          <w:color w:val="000000"/>
          <w:sz w:val="20"/>
          <w:lang w:val="en-US" w:eastAsia="en-US" w:bidi="ar-SA"/>
        </w:rPr>
        <w:t xml:space="preserve"> that Rule 37 is a "complete code", to the exclusion of </w:t>
      </w:r>
      <w:r>
        <w:rPr>
          <w:rFonts w:ascii="arial" w:eastAsia="arial" w:hAnsi="arial" w:cs="arial"/>
          <w:i/>
          <w:color w:val="000000"/>
          <w:sz w:val="20"/>
          <w:lang w:val="en-US" w:eastAsia="en-US" w:bidi="ar-SA"/>
        </w:rPr>
        <w:t>Calderbank</w:t>
      </w:r>
      <w:r>
        <w:rPr>
          <w:rFonts w:ascii="arial" w:eastAsia="arial" w:hAnsi="arial" w:cs="arial"/>
          <w:color w:val="000000"/>
          <w:sz w:val="20"/>
          <w:lang w:val="en-US" w:eastAsia="en-US" w:bidi="ar-SA"/>
        </w:rPr>
        <w:t xml:space="preserve"> letters? In my opinion, Rule 37A simply expanded the scope of the code so that Rules 37 and 37A together form a complete code. I consider the reasoning in </w:t>
      </w:r>
      <w:r>
        <w:rPr>
          <w:rFonts w:ascii="arial" w:eastAsia="arial" w:hAnsi="arial" w:cs="arial"/>
          <w:i/>
          <w:color w:val="000000"/>
          <w:sz w:val="20"/>
          <w:lang w:val="en-US" w:eastAsia="en-US" w:bidi="ar-SA"/>
        </w:rPr>
        <w:t>Brown v. Lowe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Chaube v. Campbell</w:t>
      </w:r>
      <w:r>
        <w:rPr>
          <w:rFonts w:ascii="arial" w:eastAsia="arial" w:hAnsi="arial" w:cs="arial"/>
          <w:color w:val="000000"/>
          <w:sz w:val="20"/>
          <w:lang w:val="en-US" w:eastAsia="en-US" w:bidi="ar-SA"/>
        </w:rPr>
        <w:t xml:space="preserve"> to be equally applicable to the combination of Rules 37 and 37A as it was to Rule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the result, I conclude that the 2007 Offer is not valid under either Rule 37 or Rule 37A.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2010 Offer was made on or around December 5, 2010, and therefore Rule 9-1, as it was in December of 2010, is applicable. As such, the offer has to comply with the requirements of Rule 9-1(1)(c).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Madam Justice Prowse discussed a similar requirement in former Rule 37B in </w:t>
      </w:r>
      <w:r>
        <w:rPr>
          <w:rFonts w:ascii="arial" w:eastAsia="arial" w:hAnsi="arial" w:cs="arial"/>
          <w:i/>
          <w:color w:val="000000"/>
          <w:sz w:val="20"/>
          <w:lang w:val="en-US" w:eastAsia="en-US" w:bidi="ar-SA"/>
        </w:rPr>
        <w:t>Roach v. Dutra</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2010 BCCA 264</w:t>
        </w:r>
      </w:hyperlink>
      <w:r>
        <w:rPr>
          <w:rFonts w:ascii="arial" w:eastAsia="arial" w:hAnsi="arial" w:cs="arial"/>
          <w:color w:val="000000"/>
          <w:sz w:val="20"/>
          <w:lang w:val="en-US" w:eastAsia="en-US" w:bidi="ar-SA"/>
        </w:rPr>
        <w:t>, saying that strict compliance with the wording in Rule 37B's version of Rule 9-1(1)(c)(iii) is not necessary, at para. 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[S]urely it could not have been intended that the omission of the words, "for the consideration of the Court", or the substitution of the words, "for consideration by the Court", or some other proximate expression, would prove fatal to an offer under the Rule. That said, I am also of the view that the wording of the offer must be substantially compliant with the wording of subrule 1(c)(iii) such that no reasonable person could be misled as to the intent of the offer or the fact that it was an offer within the meaning of Rule 37B. In other words, the offer must be in writing, the wording must make it clear what party is making the offer and to whom it is made, and it must include the fact that the party making the offer is reserving the right to bring the offer to the attention of the court in relation to costs after judgment on all other issues in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As Madam Justice Humphries observed in </w:t>
      </w:r>
      <w:r>
        <w:rPr>
          <w:rFonts w:ascii="arial" w:eastAsia="arial" w:hAnsi="arial" w:cs="arial"/>
          <w:i/>
          <w:color w:val="000000"/>
          <w:sz w:val="20"/>
          <w:lang w:val="en-US" w:eastAsia="en-US" w:bidi="ar-SA"/>
        </w:rPr>
        <w:t>Northern Sun Developments Ltd. v. Cook</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2011 BCSC 1008</w:t>
        </w:r>
      </w:hyperlink>
      <w:r>
        <w:rPr>
          <w:rFonts w:ascii="arial" w:eastAsia="arial" w:hAnsi="arial" w:cs="arial"/>
          <w:color w:val="000000"/>
          <w:sz w:val="20"/>
          <w:lang w:val="en-US" w:eastAsia="en-US" w:bidi="ar-SA"/>
        </w:rPr>
        <w:t xml:space="preserve"> at para.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the new rule, which is substantially the same as the former Rule 37B, the considerations in respect of costs following an offer to settle are now more flexible and subject to the exercise of judicial discretion than they were under some previous iterations of the "costs after offers to settle"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Therefore, if an offer to settle substantively complies with Rule 9-1(1)(c), the court will have broad discretion to consider the effect of the offer for costs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If it is compliant on that basis, global offers appear to be possible under Rule 9-1. Madam Justice Humphries faced a similar situation with one offer settling two actions in </w:t>
      </w:r>
      <w:r>
        <w:rPr>
          <w:rFonts w:ascii="arial" w:eastAsia="arial" w:hAnsi="arial" w:cs="arial"/>
          <w:i/>
          <w:color w:val="000000"/>
          <w:sz w:val="20"/>
          <w:lang w:val="en-US" w:eastAsia="en-US" w:bidi="ar-SA"/>
        </w:rPr>
        <w:t>Northern Sun</w:t>
      </w:r>
      <w:r>
        <w:rPr>
          <w:rFonts w:ascii="arial" w:eastAsia="arial" w:hAnsi="arial" w:cs="arial"/>
          <w:color w:val="000000"/>
          <w:sz w:val="20"/>
          <w:lang w:val="en-US" w:eastAsia="en-US" w:bidi="ar-SA"/>
        </w:rPr>
        <w:t xml:space="preserve"> and said at para. 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it is not good practice to make one offer to settle two actions, in these circumstances there would be no difficulty allocating the settlement funds between NSD and Young's Plumbing, given that Young's Plumbing had a single invoice.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Rule 9-1(5) sets out the cost options for the court in proceedings where an offer to settle has been made. It provides:</w:t>
      </w:r>
      <w:r>
        <w:rPr>
          <w:rFonts w:ascii="arial" w:eastAsia="arial" w:hAnsi="arial" w:cs="arial"/>
          <w:sz w:val="20"/>
          <w:lang w:val="en-US" w:eastAsia="en-US" w:bidi="ar-SA"/>
        </w:rPr>
        <w:cr/>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proceeding in which an offer to settle has been made, the court may do one or more of the following:</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deprive a party of any or all of the costs, including any or all of the disbursements, to which the party would otherwise be entitled in respect of all or some of the steps taken in the proceeding after the date of delivery or service of the offer to settle;</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double costs of all or some of the steps taken in the proceeding after the date of delivery or service of the offer to settle;</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to a party, in respect of all or some of the steps taken in the proceeding after the date of delivery or service of the offer to settle, costs to which the party would have been entitled had the offer not been made;</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offer was made by a defendant and the judgment awarded to the plaintiff was no greater than the amount of the offer to settle, award to the defendant the defendant's costs in respect of all or some of the steps taken in the proceeding after the date of delivery or service of the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conclude that it is open to consider the 2010 Offer pursuant to Rule 9-1(1)(c). Rule 9-1(5) enumerates factors to be considered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Considerations of court</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an order under subrule (5), the court may consider the following:</w:t>
      </w:r>
    </w:p>
    <w:p>
      <w:pPr>
        <w:numPr>
          <w:numId w:val="1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served or on any later date;</w:t>
      </w:r>
    </w:p>
    <w:p>
      <w:pPr>
        <w:numPr>
          <w:numId w:val="1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numPr>
          <w:numId w:val="1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1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rationale for the Rule was summarized in </w:t>
      </w:r>
      <w:r>
        <w:rPr>
          <w:rFonts w:ascii="arial" w:eastAsia="arial" w:hAnsi="arial" w:cs="arial"/>
          <w:i/>
          <w:color w:val="000000"/>
          <w:sz w:val="20"/>
          <w:lang w:val="en-US" w:eastAsia="en-US" w:bidi="ar-SA"/>
        </w:rPr>
        <w:t>Hartshorne v. Hartshorne</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2011 BCCA 29</w:t>
        </w:r>
      </w:hyperlink>
      <w:r>
        <w:rPr>
          <w:rFonts w:ascii="arial" w:eastAsia="arial" w:hAnsi="arial" w:cs="arial"/>
          <w:color w:val="000000"/>
          <w:sz w:val="20"/>
          <w:lang w:val="en-US" w:eastAsia="en-US" w:bidi="ar-SA"/>
        </w:rPr>
        <w:t xml:space="preserve"> at para. 25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An award of double costs is a punitive measure against a litigant for that party's failure, in all of the circumstances, to have accepted an offer to settle that should have been accepted. Litigants are to be reminded that costs rules are in place "to encourage the early settlement of disputes by rewarding the party who makes a reasonable settlement offer and penalizing the party who declines to accept such an offer" (</w:t>
      </w:r>
      <w:r>
        <w:rPr>
          <w:rFonts w:ascii="arial" w:eastAsia="arial" w:hAnsi="arial" w:cs="arial"/>
          <w:i/>
          <w:color w:val="000000"/>
          <w:sz w:val="20"/>
          <w:lang w:val="en-US" w:eastAsia="en-US" w:bidi="ar-SA"/>
        </w:rPr>
        <w:t>A.E. v. D.W.J.,</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2009 BCSC 505</w:t>
        </w:r>
      </w:hyperlink>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91 B.C.L.R. (4th) 372</w:t>
        </w:r>
      </w:hyperlink>
      <w:r>
        <w:rPr>
          <w:rFonts w:ascii="arial" w:eastAsia="arial" w:hAnsi="arial" w:cs="arial"/>
          <w:color w:val="000000"/>
          <w:sz w:val="20"/>
          <w:lang w:val="en-US" w:eastAsia="en-US" w:bidi="ar-SA"/>
        </w:rPr>
        <w:t xml:space="preserve"> at para. 61, citing </w:t>
      </w:r>
      <w:r>
        <w:rPr>
          <w:rFonts w:ascii="arial" w:eastAsia="arial" w:hAnsi="arial" w:cs="arial"/>
          <w:i/>
          <w:color w:val="000000"/>
          <w:sz w:val="20"/>
          <w:lang w:val="en-US" w:eastAsia="en-US" w:bidi="ar-SA"/>
        </w:rPr>
        <w:t>MacKenzie v. Brooks,</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1999 BCCA 623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Skidmore v. Blackmore</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(1995), 2 B.C.L.R. (3d) 201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Radke v. Parry,</w:t>
      </w:r>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2008 BCSC 1397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Hartshorne</w:t>
      </w:r>
      <w:r>
        <w:rPr>
          <w:rFonts w:ascii="arial" w:eastAsia="arial" w:hAnsi="arial" w:cs="arial"/>
          <w:color w:val="000000"/>
          <w:sz w:val="20"/>
          <w:lang w:val="en-US" w:eastAsia="en-US" w:bidi="ar-SA"/>
        </w:rPr>
        <w:t>, the court addressed factors relevant to the consideration of the first factor at para. 27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first factor - whether the offer to settle was one that ought reasonably to have been accepted - is not determined by reference to the award that was ultimately made. Rather, in considering that factor, the court must determine whether, at the time that the offer was open for acceptance, it would have been reasonable for it to have been accepted: </w:t>
      </w:r>
      <w:r>
        <w:rPr>
          <w:rFonts w:ascii="arial" w:eastAsia="arial" w:hAnsi="arial" w:cs="arial"/>
          <w:i/>
          <w:color w:val="000000"/>
          <w:sz w:val="20"/>
          <w:lang w:val="en-US" w:eastAsia="en-US" w:bidi="ar-SA"/>
        </w:rPr>
        <w:t>Bailey v. Jang</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2008 BCSC 1372</w:t>
        </w:r>
      </w:hyperlink>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90 B.C.L.R. (4th) 125</w:t>
        </w:r>
      </w:hyperlink>
      <w:r>
        <w:rPr>
          <w:rFonts w:ascii="arial" w:eastAsia="arial" w:hAnsi="arial" w:cs="arial"/>
          <w:color w:val="000000"/>
          <w:sz w:val="20"/>
          <w:lang w:val="en-US" w:eastAsia="en-US" w:bidi="ar-SA"/>
        </w:rPr>
        <w:t xml:space="preserve"> at para. 24; </w:t>
      </w:r>
      <w:r>
        <w:rPr>
          <w:rFonts w:ascii="arial" w:eastAsia="arial" w:hAnsi="arial" w:cs="arial"/>
          <w:i/>
          <w:color w:val="000000"/>
          <w:sz w:val="20"/>
          <w:lang w:val="en-US" w:eastAsia="en-US" w:bidi="ar-SA"/>
        </w:rPr>
        <w:t>A.E. v. D.W.J.</w:t>
      </w:r>
      <w:r>
        <w:rPr>
          <w:rFonts w:ascii="arial" w:eastAsia="arial" w:hAnsi="arial" w:cs="arial"/>
          <w:color w:val="000000"/>
          <w:sz w:val="20"/>
          <w:lang w:val="en-US" w:eastAsia="en-US" w:bidi="ar-SA"/>
        </w:rPr>
        <w:t xml:space="preserve"> at para. 55. As was said in </w:t>
      </w:r>
      <w:r>
        <w:rPr>
          <w:rFonts w:ascii="arial" w:eastAsia="arial" w:hAnsi="arial" w:cs="arial"/>
          <w:i/>
          <w:color w:val="000000"/>
          <w:sz w:val="20"/>
          <w:lang w:val="en-US" w:eastAsia="en-US" w:bidi="ar-SA"/>
        </w:rPr>
        <w:t>A.E. v. D.W.J.</w:t>
      </w:r>
      <w:r>
        <w:rPr>
          <w:rFonts w:ascii="arial" w:eastAsia="arial" w:hAnsi="arial" w:cs="arial"/>
          <w:color w:val="000000"/>
          <w:sz w:val="20"/>
          <w:lang w:val="en-US" w:eastAsia="en-US" w:bidi="ar-SA"/>
        </w:rPr>
        <w:t>, "The reasonableness of the plaintiff's decision not to accept the offer to settle must be assessed without reference to the court's decision" (para. 55). Instead, the reasonableness is to be assessed by considering such factors as the timing of the offer, whether it had some relationship to the claim (as opposed to simply being a "nuisance offer"), whether it could be easily evaluated, and whether some rationale for the offer was provided. We do not intend this to be a comprehensive list, nor do we suggest that each of these factors will necessarily be relevant in a given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was submitted on behalf of the defendants that because the trial costs for the BNS Action remain to be determined, the offer could not be evaluated by the defendants and should have no effect with respect to costs of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There are certain costs issues that are open in the BNS Action. BNS was awarded costs against the BMP Parties at the Supreme Court of Canada. Mr. Justice Cohen awarded costs in favour of BNS in any event of the cause for certain protracted interlocutory matters heard by Mr. Justice Cohen. The plaintiffs in the BNS Action were awarded party and party costs at scale 4 to December 23, 2003 and double costs at scale 4 thereafter. The trial costs in the BNS Action were re-opened for consideration pursuant to the February 18, 2010 order of the Supreme Court of Canada. BNS had advanced the sum of $80,000 to the BMP Parties on account of damages and costs, if any, as could be awarded to the BMP Parties in the BNS Action. However, given the substantial reversal of the trial decision by the Supreme Court of Canada, I agree with the submission of counsel for RBC that, whatever the final outcome of that reconsideration, the BMP Parties could have no reasonable expectation of improving their position and, therefore, were in a position to evaluate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Following the decision of the Supreme Court of Canada it was clear that the central issue for determination in the summary trial was whether there had been a good faith change of position by the defendants with respect to the Unrecovered Amount. The defendants were aware of all of the facts necessary to evaluate this matter, given that the facts concerned their conduct and their knowledge. In my view, in all of the circumstances the offer was one that it would have been reasonable to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offer was clearly superior to the results of the summary trial. Clearly, RBC has a far superior financial position; however, in my view, given the parties' roles in this litigation, that factor has limited weight. The defendants were attempting to retain a windfall for which they had given no consideration to the detriment of RBC, which had been the victim of a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all of the circumstances, I am satisfied that it is an appropriate case to award RBC double costs for all steps taken in the litigation after the delivery of the 2010 Offer. However, it is not appropriate for RBC to receive both double and special costs. Accordingly, for the steps taken in the litigation after the delivery of the 2010 Offer, RBC is entitled to the greater of special costs or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RBC is entitled to special costs of its claim and the defence of the counterclaim against the BMP Parties except that for the steps taken in the litigation after the delivery of the 2010 Offer, RBC is entitled to the greater of special costs or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RBC is entitled to special costs of its claim, excluding the defence of the counterclaim, against Debra Backman from and after the date that Ms. Backman was added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BNS is entitled to special costs of its defence of the Third Party Notice against the BMP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1" style="position:absolute;z-index:251751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6" w:history="1">
        <w:r>
          <w:rPr>
            <w:rFonts w:ascii="arial" w:eastAsia="arial" w:hAnsi="arial" w:cs="arial"/>
            <w:b/>
            <w:bCs/>
            <w:i/>
            <w:color w:val="0077CC"/>
            <w:kern w:val="32"/>
            <w:sz w:val="28"/>
            <w:szCs w:val="32"/>
            <w:u w:val="single"/>
            <w:shd w:val="clear" w:color="auto" w:fill="FFFFFF"/>
            <w:lang w:val="en-US" w:eastAsia="en-US" w:bidi="ar-SA"/>
          </w:rPr>
          <w:t>Sampson v. Scaletta, [2016] B.C.J. No. 2892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G.B. Butler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17,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November 14,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S107065, 103097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Registrys: Vancouver,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2892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2598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Lois Sampson, Plaintiff, and Giuseppe Scaletta, Vancouver Island Health Authority, Ralph Palamarek, Robert Palamarek, Ernest Palamarek, Defendants And between Lois Sampson, Plaintiff, and Giuseppe Scaletta, Vancouver Island Health Authority,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(50 paras.)</w:t>
      </w:r>
    </w:p>
    <w:p>
      <w:pPr>
        <w:jc w:val="both"/>
        <w:rPr>
          <w:rFonts w:ascii="arial" w:eastAsia="arial" w:hAnsi="arial" w:cs="arial"/>
          <w:sz w:val="20"/>
          <w:lang w:val="en-US" w:eastAsia="en-US" w:bidi="ar-SA"/>
        </w:rPr>
      </w:pPr>
      <w:bookmarkStart w:id="51" w:name="Counsel_13"/>
      <w:bookmarkEnd w:id="5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2"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Giuseppe Scaletta and Vancouver Island Health Authority: M. Ku, Articled Student (Agent for M.T. Hoogstraten).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 Lois Sampson: Appearing In Person.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2" w:name="Judgment_13"/>
      <w:bookmarkEnd w:id="52"/>
      <w:r>
        <w:pict>
          <v:line id="_x0000_s1073" style="position:absolute;z-index:2517145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3" w:name="G.B. BUTLER J. (orally)"/>
            <w:bookmarkEnd w:id="53"/>
            <w:r>
              <w:rPr>
                <w:rFonts w:ascii="arial" w:eastAsia="arial" w:hAnsi="arial" w:cs="arial"/>
                <w:b/>
                <w:color w:val="000000"/>
                <w:sz w:val="30"/>
                <w:lang w:val="en-US" w:eastAsia="en-US" w:bidi="ar-SA"/>
              </w:rPr>
              <w:t>G.B. BUTLER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Giuseppe Scaletta and the Vancouver Island Health Authority ("VIHA") bring this application to have the claims in two actions dismissed for want of prosecution. The first action was filed on July 22, 2010 in the Supreme Court of British Columbia, Victoria Registry No. 103097 (the "Victoria Action"). The second action was commenced on October 22, 2010 in the Supreme Court of British Columbia, Vancouver Registry No. S107065 (the "Vancouver Action"). The plaintiff, Lois Sampson, opposes these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will set out the circumstances giving rise to the claims and will summarize the history of the proceedings. I will then describe the positions of the parties and provide my ruling. As I am delivering this judgment orally, if the transcript is ordered I reserve the right to amend it as to form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both actions, the plaintiff seeks general, special, aggravated and punitive damages for defamation. The claims are based on an email sent on October 30, 2008 by the defendant, Mr. Scaletta, to three employees of the VIHA, Dr. Michael Cooper, Dr. Janet Mak and Jessica Celeste. The plaintiff says the email is defamatory and that Ms. Celeste forwarded it to Dr. Frank Loomer. She says the defendants were actuated by actual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email concerned the medical care of the plaintiff's mother and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daughter [the plaintiff] who removed this lady from Broadmead has a history of schizophrenia and does not believe in medications.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that this is an abuse/neglect situation that warrants some intervention on our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Vancouver Action, the plaintiff joined her three brothers and alleged that they made defamatory statements regarding the plaintiff, including that she was schizophrenic and had stopped taking her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She alleged that those statements were made to individuals involved in the care of the plaintiff's mother. The defamation claims against the plaintiff's brothers are based on numerous statements allegedly made to individuals involved in the care of their mother at the Broadmead Lodge care facility and at other hospitals or care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period between 2007 and 2012, the plaintiff was involved in litigation with two of her brothers regarding the appointment of a committee for their mother. Her brothers, Ralph James Palamarek and Robert Palamarek commenced a proceeding to be appointed as joint committees. The plaintiff opposed that petition and commenced her own proceeding to be appointed committee. As of October 30, 2008, no committee had been appointed.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responses to civil claim filed by VIHA and Mr. Scaletta in 2010 in both actions, they say the plaintiff's mother was a patient at the Saanich Peninsula Hospital from December 2006 to August 2007, at which time she was transferred to the Broadmead Lodge.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They allege she was diagnosed with dementia complicated by depression and psychosis. On October 30, 2008, VIHA learned that the plaintiff had removed her mother from Broadmead. As a result of information received, the defendants say that VIHA, through Mr. Scaletta, decided that the plaintiff's mother should be urgently assessed by appropriate medical professionals.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rely on a defence of qualified privilege and say that when Mr. Scaletta sent the email, he had a duty and interest to furnish all relevant information to the medical professionals carrying out the assessment. They further say that Ms. Celeste and Drs. Cooper, Mak and Loomer all had a legitimate interest to receive the email.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November 19, 2008, Ralph James Palamarek obtained an interim order appointing him as committee of the person and estate of his mother. However, the litigation between the siblings continued. On May 3, 2011, following a hearing in February 2011, the petition of the two brothers to be appointed committees of the person and estate of their mother was granted and the plaintiff's petition was dismissed. The following day their mother passed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claims in the two actions against the defendants are substantially the same. However, the plaintiff's brothers were never party to the Victoria Action. After May 2011, the plaintiff and her brothers negotiated a resolution to the numerous issues between them. In March 2012, they entered into a settlement agreement. On May 15, 2012, the plaintiff discontinued the Vancouver Action against her brothers.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the same time the plaintiff was negotiating with her brothers, settlement discussions were held between counsel for the defendants and the plaintiff. She alleges in her affidavit that the defendants offered to settle the case on a "no-costs basis" but that the parties could not agree on the terms of the release and the language of the consent dismissal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actions are now six years old. No lists of documents have been exchanged by the parties and no examinations for discovery have been conducted. Nothing was done in either action after May 2012 until December 10, 2014, when counsel for the defendants wrote to the plaintiff's counsel requesting that the actions be discontinued or that a notice of intention to proceed be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Defence counsel indicated that if neither of these steps was taken, the defendants would apply to dismiss the actions for want of prosecution. Counsel for the plaintiff responded by indicating that he was not acting for the plaintiff in either action. On January 30, 2015, the plaintiff filed a notice of intention to act in person in the Vancouver Action. In late July 2015, the defendants filed the applications to dismiss the actions for want of prosecution. The applications were first heard on August 18, 2015. The plaintiff sought an adjournment of the applications, which was granted with costs awarded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set down the applications a second time on August 30, 2016. The plaintiff had taken no steps in either action since the adjournment of the first application to dismiss. However, on October 14, 2016, the plaintiff filed a notice of trial in the Vancouver Action set for June 10, 2017. As of the filing of this application, no steps had been taken in the Victoria Action since the plaintiff's then counsel filed a notice of change of solicitor on November 24,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say the delay in this matter is both lengthy and inordinate and that the plaintiff has no valid excuse for not pursuing these actions. The defendants also say they have suffered prejudice. It has now been eight years since the alleged defamatory email was sent. The defendants say the court can infer that they will suffer prejudice given the passage of that much time. However, they say the death of Dr. Loomer, one of their key witnesses, will result in prejudice to the defendants in the defence of 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Further, the defendants say the nature of the allegations is relevant to a consideration of the likely prejudice. In defamation actions it is highly desirable that reliable evidence of the surrounding circumstances of the alleged events be before the court. This is particularly the case where the issue of malice or the absence thereof lies at the heart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Finally, the defendants say it is in the interests of justice that the actions be dismissed. In considering the overarching principle that justice be done, the court can properly consider the overall delay. When that is considered here, the defendants say that the passage of so much time makes it impossible to have a just determination of a case which involves serious allegations of defamation and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also say the claim has little prospect of success but that they need not rely on that aspect of the test given the passage of time and the likelihood that a fair trial is no longer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While the plaintiff acknowledges the long delay, she says she has provided a reasonable explanation for that delay in her extensive affidavit material. She says that initially after the action was commenced, all parties agreed that the plaintiff should suspend the defamation actions while she pursued the committee proceedings against her brothers.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2011 when the final order was made in those proceedings and her mother died, she says the parties were engaged in settlement negotiations. She alleges that an "agreement in principle" to settle was arrived at between her counsel and the defendants' counsel in 2011. She says the only reason that did not proceed was because the defendants reneged on the settlement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She agrees that no steps were taken and no communication was exchanged between the parties between 2012 and 2014. However, she says the settlement negotiations began again in late 2014 after counsel for the defendants sent the letter of December 10,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says the defendants have failed to establish any prejudice. She says the case will be based on the permanent record of the defendants' documents, which sets out the defamatory comments and the treatment afforded to her mother. She denies that the case will turn in any way on "human memory". She says the death of Dr. Loomer is not significant because he is not a critical witness. Further, she argues that the delay is not so inordinate as to allow the court to infer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says the suggestion that her case is weak is incorrect. She says malice can be established from the available evidence, which will show that the defendants were reckless in their statements about her and that they made the statements out of spite or animosity with the intent to harm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and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defendants bring this application pursuant to Rule 22-7(7),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on application by a party, it appears to the court that there is want of prosecution in a proceeding, the court may order that the proceeding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Numerous decisions in this province have considered the rule and its application to a wide variety of circumstances. As noted by Seaton J.A. in </w:t>
      </w:r>
      <w:r>
        <w:rPr>
          <w:rFonts w:ascii="arial" w:eastAsia="arial" w:hAnsi="arial" w:cs="arial"/>
          <w:i/>
          <w:color w:val="000000"/>
          <w:sz w:val="20"/>
          <w:lang w:val="en-US" w:eastAsia="en-US" w:bidi="ar-SA"/>
        </w:rPr>
        <w:t>Irving v. Irving</w:t>
      </w:r>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(1982), 38 B.C.L.R. 318</w:t>
        </w:r>
      </w:hyperlink>
      <w:r>
        <w:rPr>
          <w:rFonts w:ascii="arial" w:eastAsia="arial" w:hAnsi="arial" w:cs="arial"/>
          <w:color w:val="000000"/>
          <w:sz w:val="20"/>
          <w:lang w:val="en-US" w:eastAsia="en-US" w:bidi="ar-SA"/>
        </w:rPr>
        <w:t xml:space="preserve"> (C.A.), the principles are well known. It is the application of those principles which at times can be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principles were set out recently in </w:t>
      </w:r>
      <w:r>
        <w:rPr>
          <w:rFonts w:ascii="arial" w:eastAsia="arial" w:hAnsi="arial" w:cs="arial"/>
          <w:i/>
          <w:color w:val="000000"/>
          <w:sz w:val="20"/>
          <w:lang w:val="en-US" w:eastAsia="en-US" w:bidi="ar-SA"/>
        </w:rPr>
        <w:t>0690860 Manitoba Ltd. v. Country West Construction Ltd.</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2009 BCCA 535</w:t>
        </w:r>
      </w:hyperlink>
      <w:r>
        <w:rPr>
          <w:rFonts w:ascii="arial" w:eastAsia="arial" w:hAnsi="arial" w:cs="arial"/>
          <w:color w:val="000000"/>
          <w:sz w:val="20"/>
          <w:lang w:val="en-US" w:eastAsia="en-US" w:bidi="ar-SA"/>
        </w:rPr>
        <w:t>, at paras. 27 and 28 where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These cases suggest to me that a chambers judge charged with the hearing of an application for dismissal of an action for want of prosecution is bound to consider the following:</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the delay and whether it was inordinate;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reasons for the delay either offered in evidence or inferred from the evidence, including whether the delay was intentional and tactical or whether it was the product of dilatoriness,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impecuniosity, illness or some other relevant cause, the ultimate consideration being whether the delay is excusable in the circumstances;</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delay has caused serious prejudice to the defendant in presenting a defence and, if there is such prejudice, whether it creates a substantial risk that a fair trial is not possible at the earliest date by which the action could be readied for trial after its reactivation by the plaintiff;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on balance, justice requires dismissal of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I consider the fourth question to encompass the other three and to be the most important and decisive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When I apply these considerations to the circumstances of this case, I must conclude on balance that the interests of justice require dismissal of these actions. I will explain why I have arrived at that decision by reference to the four factors.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Length of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has now been eight years since the allegedly defamatory statements were made and six years since the actions were commenced. There have been no substantive steps taken in the actions; none at all. No discoveries have been scheduled, let alone conducted, and the parties have not produced lists of documents. The only step in the proceedings following the exchange of pleadings other than the filing of notices of change of solicitor was the filing of the notice of discontinuance in favour of the plaintiff's brothers in the Vancouver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says that initially the parties agreed to suspend the defamation action to pursue the committeeship proceedings. When asked at the hearing of this application to point to documentation of that agreement, the plaintiff could not do so. The defendants deny any such agreement to suspend the court proceedings. In any event, the committee proceedings concluded in May 2011. Five-and-a-half years have now passed since that date. By any measure, that is a considerable delay. It certainly qualifies as an inordinate delay, especially when the claim against the defendants is in defamation.</w:t>
      </w:r>
      <w:r>
        <w:rPr>
          <w:rFonts w:ascii="arial" w:eastAsia="arial" w:hAnsi="arial" w:cs="arial"/>
          <w:sz w:val="20"/>
          <w:lang w:val="en-US" w:eastAsia="en-US" w:bidi="ar-SA"/>
        </w:rPr>
        <w:cr/>
      </w:r>
    </w:p>
    <w:p>
      <w:pPr>
        <w:numPr>
          <w:numId w:val="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Is the Delay Excusable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advances three main excuses for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To explain the delay before commencement of the actions, she points to her lack of knowledge about the defamatory statements made by the defendants and her brothers. She only learned of Mr. Scaletta's email when she obtained copies of the health records for her mother in approximately October 2009 during the committee litigation. The plaintiff did not know of and could not have learned of that email without production of those documents. I agree that this is a valid reason for the delay from October 2008 to October 2009. In other words, that delay is excusable.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has offered no explanation for the delay of 8 to 12 months from the time she learned of the email until the commencement of the two actions. However, the second reason she gives for delay is the agreement by the parties to suspend the defamation actions once they were commenced, pending resolution of the committee applications. I have already noted that there is no evidence to support the allegation of an agreement to hold the actions in abeyance. However, even if there was an informal understanding, by May 2011 the committee proceedings were at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final reason given by the plaintiff for the delay is the existence of settlement negotiations. There are two aspects to this. She alleges that her efforts were focused on resolving the dispute with her brothers. She wanted to settle with her brothers before settling with the defendants. However, the main explanation for the delay in proceeding with the defamation actions against the defendants is the existence of settlement negotiations about the terms of the release and consent dismissal order for the "no-costs" settlement with the defendants' solicitors.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plaintiff's desire to resolve the dispute with her brothers before settling on terms with the defendants is understandable. Disputes among family members about the care of a parent who is in need of a committee can be trying and emotionally draining. The fact that the dispute contained the additional allegations of sibling slander would make it more difficult. It is understandable the plaintiff would focus on those matters in priority to the allegations against the defendants. In these circumstances, I find that there is some explanation for the delay up to May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However, after May 2012, there was no reason why she could not pursue the case against the defendants. The fact that the defendants had made an offer to resolve the litigation and apparently had done so in 2011 is of no consequence to my consideration of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There is no doubt that in some circumstances good-faith negotiations can be a reason to excuse delay: </w:t>
      </w:r>
      <w:r>
        <w:rPr>
          <w:rFonts w:ascii="arial" w:eastAsia="arial" w:hAnsi="arial" w:cs="arial"/>
          <w:i/>
          <w:color w:val="000000"/>
          <w:sz w:val="20"/>
          <w:lang w:val="en-US" w:eastAsia="en-US" w:bidi="ar-SA"/>
        </w:rPr>
        <w:t>Crepnjak v. British Columbia Hydro and Power Authority</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2011 BCSC 1357</w:t>
        </w:r>
      </w:hyperlink>
      <w:r>
        <w:rPr>
          <w:rFonts w:ascii="arial" w:eastAsia="arial" w:hAnsi="arial" w:cs="arial"/>
          <w:color w:val="000000"/>
          <w:sz w:val="20"/>
          <w:lang w:val="en-US" w:eastAsia="en-US" w:bidi="ar-SA"/>
        </w:rPr>
        <w:t xml:space="preserve"> at para. 24. However, the circumstances here are very different. The defendants indicated they were prepared to resolve the case in 2011 and 2012 on certain terms. They have continued to indicate they are prepared to do so. There is no evidence before me that the parties have engaged in good-faith negotiations for any period of time, let alone since May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addition, the defendants made it clear to the plaintiff that they were going to bring an application to dismiss the claim for want of prosecution. Her decision to take no steps in the proceeding since that notice was given almost two years ago was made at her peril. There is no reasonable explanation for the lengthy delay.</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When the delay is inordinate and inexcusable, a rebuttable presumption of prejudice arises: </w:t>
      </w:r>
      <w:r>
        <w:rPr>
          <w:rFonts w:ascii="arial" w:eastAsia="arial" w:hAnsi="arial" w:cs="arial"/>
          <w:i/>
          <w:color w:val="000000"/>
          <w:sz w:val="20"/>
          <w:lang w:val="en-US" w:eastAsia="en-US" w:bidi="ar-SA"/>
        </w:rPr>
        <w:t>Busse v. Chertkow</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1999 BCCA 313</w:t>
        </w:r>
      </w:hyperlink>
      <w:r>
        <w:rPr>
          <w:rFonts w:ascii="arial" w:eastAsia="arial" w:hAnsi="arial" w:cs="arial"/>
          <w:color w:val="000000"/>
          <w:sz w:val="20"/>
          <w:lang w:val="en-US" w:eastAsia="en-US" w:bidi="ar-SA"/>
        </w:rPr>
        <w:t xml:space="preserve"> at para. 18. I have already determined that the delay is inordinate and inexcusable.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Other decisions of this Court have found a rebuttable presumption of prejudice where, in a defamation action, the delay has extended beyond the two-year limitation period. In </w:t>
      </w:r>
      <w:r>
        <w:rPr>
          <w:rFonts w:ascii="arial" w:eastAsia="arial" w:hAnsi="arial" w:cs="arial"/>
          <w:i/>
          <w:color w:val="000000"/>
          <w:sz w:val="20"/>
          <w:lang w:val="en-US" w:eastAsia="en-US" w:bidi="ar-SA"/>
        </w:rPr>
        <w:t>Lindholm v. Pollen</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[1986] B.C.J. No. 3187</w:t>
        </w:r>
      </w:hyperlink>
      <w:r>
        <w:rPr>
          <w:rFonts w:ascii="arial" w:eastAsia="arial" w:hAnsi="arial" w:cs="arial"/>
          <w:color w:val="000000"/>
          <w:sz w:val="20"/>
          <w:lang w:val="en-US" w:eastAsia="en-US" w:bidi="ar-SA"/>
        </w:rPr>
        <w:t xml:space="preserve"> (S.C.) at para. 17, Gow J. commented on the need to have reliable evidence before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actions of this kind it is more than highly desirable that there be conveyed to the trial judge reliable evidence of the ambience of the alleged events. Effluxion of time here has been so great that the very substantial likelihood is that the evidence will have deteriorated to the point where it can be of little assistance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Matheny v. British Columbia Transit Corp.</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[1997] B.C.J. No. 3020</w:t>
        </w:r>
      </w:hyperlink>
      <w:r>
        <w:rPr>
          <w:rFonts w:ascii="arial" w:eastAsia="arial" w:hAnsi="arial" w:cs="arial"/>
          <w:color w:val="000000"/>
          <w:sz w:val="20"/>
          <w:lang w:val="en-US" w:eastAsia="en-US" w:bidi="ar-SA"/>
        </w:rPr>
        <w:t xml:space="preserve"> (S.C.) at para. 42, the court also accepted that the presumption of prejudice is given much more weight where allegations of a serious nature are made such as in defamation actions: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principle to be taken from the judgments of Allen v. Sir Alfred McAlpine... Lindholm v. Pollen, Yiannides v. Radley Gowns Ltd., Kern v. Watson, </w:t>
      </w:r>
      <w:hyperlink r:id="rId333" w:history="1">
        <w:r>
          <w:rPr>
            <w:rFonts w:ascii="arial" w:eastAsia="arial" w:hAnsi="arial" w:cs="arial"/>
            <w:i/>
            <w:color w:val="0077CC"/>
            <w:sz w:val="20"/>
            <w:u w:val="single"/>
            <w:shd w:val="clear" w:color="auto" w:fill="FFFFFF"/>
            <w:lang w:val="en-US" w:eastAsia="en-US" w:bidi="ar-SA"/>
          </w:rPr>
          <w:t>[1997] B.C.J. No. 680</w:t>
        </w:r>
      </w:hyperlink>
      <w:r>
        <w:rPr>
          <w:rFonts w:ascii="arial" w:eastAsia="arial" w:hAnsi="arial" w:cs="arial"/>
          <w:color w:val="000000"/>
          <w:sz w:val="20"/>
          <w:lang w:val="en-US" w:eastAsia="en-US" w:bidi="ar-SA"/>
        </w:rPr>
        <w:t xml:space="preserve"> and others, is that the nature of the allegations made is relevant to the consideration of the degree of prejudice that the defendant is considered to suffer by delay. Thus, if the presumption that the defendant has been or will be prejudiced, which follows the extinction of the limitation period, is required to be relied upon to establish prejudice, the presumption will be afforded much more weight in a case where the allegations are serious such as defamation or a form of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accept that the presumption of prejudice has more weight in actions like the present. Here, the plaintiff has made serious allegations of defamation against individuals who were acting in their professional capacities when the statements were made. As the defendants argue, the defence of qualified privilege is central to this case. Accordingly, the oral evidence of the VIHA employees is extremely 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court is entitled to have reliable evidence before it to consider the allegation that the statements were made with malice and the defence that they were made in a situation governed by qualified privilege. After eight years, there is no question that the memories of all witnesses will have faded drastically. It would be extraordinarily difficult for the witnesses involved in the care and assessment of the plaintiff's mother to recall what they knew of her condition, what they had heard about the plaintiff and what their intentions were in making or passing on the communications in question. I come to that conclusion without considering the additional difficulty imposed by the death of Dr. Loomer, the individual who was asked to undertake the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Given all of the circumstances, including the nature of the allegations and the inordinate delay, I conclude that the defendants would suffer serious prejudice if this matter proceeds further and that there is a substantial risk that a fair trial could not be held in the summer of 2017.</w:t>
      </w:r>
      <w:r>
        <w:rPr>
          <w:rFonts w:ascii="arial" w:eastAsia="arial" w:hAnsi="arial" w:cs="arial"/>
          <w:sz w:val="20"/>
          <w:lang w:val="en-US" w:eastAsia="en-US" w:bidi="ar-SA"/>
        </w:rPr>
        <w:cr/>
      </w:r>
    </w:p>
    <w:p>
      <w:pPr>
        <w:numPr>
          <w:numId w:val="8"/>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Balancing the Interests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final step in the analysis is to balance the interests of justice. In doing so, I must refer to two overriding principles: an action should be brought to trial with reasonable diligence; and the longer the delay the less likely there can be a fair trial and the less likely justice can be done: </w:t>
      </w:r>
      <w:r>
        <w:rPr>
          <w:rFonts w:ascii="arial" w:eastAsia="arial" w:hAnsi="arial" w:cs="arial"/>
          <w:i/>
          <w:color w:val="000000"/>
          <w:sz w:val="20"/>
          <w:lang w:val="en-US" w:eastAsia="en-US" w:bidi="ar-SA"/>
        </w:rPr>
        <w:t>Williamson v. Toyota Canada Inc.</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2002 BCSC 421</w:t>
        </w:r>
      </w:hyperlink>
      <w:r>
        <w:rPr>
          <w:rFonts w:ascii="arial" w:eastAsia="arial" w:hAnsi="arial" w:cs="arial"/>
          <w:color w:val="000000"/>
          <w:sz w:val="20"/>
          <w:lang w:val="en-US" w:eastAsia="en-US" w:bidi="ar-SA"/>
        </w:rPr>
        <w:t xml:space="preserve"> at para.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When I balance the interests of justice in these circumstances, I have no hesitation in concluding that these actions should be dismissed as a result of the plaintiff's inordinate and inexcusable delay in prosecuting the actions. Given the nature of the claim and the defence to that claim and the length of time that has passed, it is very unlikely that there can be a fair trial of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actions are both dismissed, and the defendants are entitled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Now, is there any submission on costs or scale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Very well. The defendants are entitled to costs in both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 BUTLER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4" style="position:absolute;z-index:251752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Schaffer v. Murphy, [2000] I.L.R. para. M-1250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Insurance Law Reporter Cases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Powers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March 22, 2000.</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[2000] I.L.R. para. M-1250</w:t>
      </w:r>
    </w:p>
    <w:p>
      <w:pPr>
        <w:spacing w:before="120" w:line="260" w:lineRule="atLeast"/>
        <w:rPr>
          <w:lang w:val="en-US" w:eastAsia="en-US" w:bidi="ar-SA"/>
        </w:rPr>
      </w:pPr>
      <w:r>
        <w:rPr>
          <w:rFonts w:ascii="arial" w:eastAsia="arial" w:hAnsi="arial" w:cs="arial"/>
          <w:color w:val="000000"/>
          <w:sz w:val="20"/>
          <w:lang w:val="en-US" w:eastAsia="en-US" w:bidi="ar-SA"/>
        </w:rPr>
        <w:t>Schaffer v. Murphy</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75" style="position:absolute;z-index:25167564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54" w:name="Keywords_1"/>
      <w:bookmarkEnd w:id="54"/>
      <w:r>
        <w:rPr>
          <w:rFonts w:ascii="arial" w:eastAsia="arial" w:hAnsi="arial" w:cs="arial"/>
          <w:b/>
          <w:color w:val="000000"/>
          <w:sz w:val="20"/>
          <w:lang w:val="en-US" w:eastAsia="en-US" w:bidi="ar-SA"/>
        </w:rPr>
        <w:t>Nervous shock — Claim for nervous shock arising from death of tortfeasor not barred.</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55" w:name="Case Summary_1"/>
            <w:bookmarkEnd w:id="55"/>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 motion for dismissal of the plaintiff's action under Rule 34. The plaintiff was injured in a motor vehicle accident admittedly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 and in which M was killed. The plaintiff claimed to have suffered psychological injuries and nervous shock from having witnessed the death of M. The defendant sought to determine whether the plaintiff could make a claim for post-traumatic stress disorder or other psychological injury when the claim arose from the actions and subsequent death of the tortfeasor. </w:t>
            </w:r>
            <w:r>
              <w:rPr>
                <w:lang w:val="en-US" w:eastAsia="en-US" w:bidi="ar-SA"/>
              </w:rPr>
              <w:cr/>
            </w:r>
          </w:p>
          <w:p>
            <w:pPr>
              <w:spacing w:before="120" w:line="260" w:lineRule="atLeast"/>
              <w:ind w:left="240"/>
              <w:jc w:val="both"/>
              <w:rPr>
                <w:lang w:val="en-US" w:eastAsia="en-US" w:bidi="ar-SA"/>
              </w:rPr>
            </w:pPr>
            <w:bookmarkStart w:id="56" w:name="Holdings of Court_1"/>
            <w:bookmarkEnd w:id="56"/>
            <w:r>
              <w:rPr>
                <w:rFonts w:ascii="arial" w:eastAsia="arial" w:hAnsi="arial" w:cs="arial"/>
                <w:color w:val="000000"/>
                <w:sz w:val="20"/>
                <w:lang w:val="en-US" w:eastAsia="en-US" w:bidi="ar-SA"/>
              </w:rPr>
              <w:t>HELD: The plaintiff's action was not barred.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tests for such a claim were foreseeability and the proximity between the plaintiff and the defendant creating a duty of care, and whether any public policy negated the duty of care. There was no reason to deny recovery simply because it was the defendant who had died. </w:t>
            </w:r>
            <w:r>
              <w:rPr>
                <w:lang w:val="en-US" w:eastAsia="en-US" w:bidi="ar-SA"/>
              </w:rPr>
              <w:cr/>
            </w:r>
          </w:p>
          <w:p>
            <w:pPr>
              <w:rPr>
                <w:lang w:val="en-US" w:eastAsia="en-US" w:bidi="ar-SA"/>
              </w:rPr>
            </w:pPr>
          </w:p>
        </w:tc>
      </w:tr>
    </w:tbl>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7155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Shahgaidi v. Zhang, [2018] B.C.J. No. 3734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J.M.I. Duncan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25,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26,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S203174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3734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2082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Kambiz Shahgaidi and Maria Shahgaidi, Appellants, and Ge Zhang,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7"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bookmarkStart w:id="57" w:name="Case Summary_2"/>
            <w:bookmarkEnd w:id="57"/>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appeal from Reasons for Judgment of the Provincial Court of British Columbia, dated May 7, 2018 (</w:t>
            </w:r>
            <w:r>
              <w:rPr>
                <w:rFonts w:ascii="arial" w:eastAsia="arial" w:hAnsi="arial" w:cs="arial"/>
                <w:i/>
                <w:color w:val="000000"/>
                <w:sz w:val="20"/>
                <w:lang w:val="en-US" w:eastAsia="en-US" w:bidi="ar-SA"/>
              </w:rPr>
              <w:t>Zhang v. Shahgaidi</w:t>
            </w:r>
            <w:r>
              <w:rPr>
                <w:rFonts w:ascii="arial" w:eastAsia="arial" w:hAnsi="arial" w:cs="arial"/>
                <w:color w:val="000000"/>
                <w:sz w:val="20"/>
                <w:lang w:val="en-US" w:eastAsia="en-US" w:bidi="ar-SA"/>
              </w:rPr>
              <w:t xml:space="preserve">, Surrey Docket No. S79260).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8" w:name="Counsel_14"/>
      <w:bookmarkEnd w:id="5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8"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Appellants: J.N. Halperin.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Respondent: G.G. Dureault.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9" w:name="Judgment_14"/>
      <w:bookmarkEnd w:id="59"/>
      <w:r>
        <w:pict>
          <v:line id="_x0000_s1079" style="position:absolute;z-index:2517534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0" w:name="J.M.I. DUNCAN J."/>
            <w:bookmarkEnd w:id="60"/>
            <w:r>
              <w:rPr>
                <w:rFonts w:ascii="arial" w:eastAsia="arial" w:hAnsi="arial" w:cs="arial"/>
                <w:b/>
                <w:color w:val="000000"/>
                <w:sz w:val="30"/>
                <w:lang w:val="en-US" w:eastAsia="en-US" w:bidi="ar-SA"/>
              </w:rPr>
              <w:t>J.M.I. DUNCAN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appeal of a Provincial Court decision under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430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concerning a private nuisance. The nuisance occurred when a large amount of water escaped from a rented strata unit, causing damage to multiple other units in the strata. The unit from which the water escaped was owned by the appellants, Maria and Kambiz Shahgaidi (the "Shahgaidis"), but was rented and occupied by a tenant, Crystal Lee Thomas. The respondent, Ge Zhang, was the owner of an adjoining strata unit which sustained water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October 2017, Mr. Zhang obtained default judgment against Ms. Thomas in the amount of $17,335.95 for the damages incurred as a result of the nuisance. Mr. Zhang, unable to locate Ms. Thomas in order to enforce the judgment, brought a notice of claim against the Shahgaidis, alleging,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nuisance arising from the egress of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May 2, 2018, the trial judge found that, by virtue of the tenancy agreement's specific contemplation of the use of water in the strata unit, the nuisance arose from acts which the landlord had contemplated the tenant would engage in. He found the Shahgaidis liable for the private nuisance, and awarded damages of $16,028.95.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Shahgaidis appeal the decision, alleging that the trial judge erred in finding them liable in nuisance. The central question is whether a landlord may be held liable for the private nuisance arising from the egress of water from a rented strata unit into an adjoining strata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trial proceeded on an Agreed Statement of Facts. The relevant facts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Shahgaidis are the registered owners of Strata Lot 215 of Strata Plan BC2785, with the address 2305-13618 100th Avenue, Surrey BC ("SL 215"). Mr. Zhang is the registered owner of Strata Lot 214 ("SL 214"), and is the neighbour of the Shahgaidis.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Thomas was the tenant and occupant of SL 215 with her two children at the time of the alleged incident. Ms. Thomas was present in SL 215 at the time of the alleged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or about August 30, 2015, a water leak emanated from SL 215 into SL 214, with resultant property damage. The cause of the water leak was never determined, and, though the likely source of the water was from the bathroom, no broken water pipes or plugged toilets were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Neither Mr. Zhang nor the Shahgaidis were present at the time of the alleged nuisance. The Shahgaidis did not learn about the water leak until after the damage to SL 214 had occurred, and had no knowledge of the cause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strata paid to locate and stop the water egress and paid for a portion of the emergency work done to SL 214. Mr. Zhang was responsible for repair and remediation to SL 214.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Zhang and the Shahgaidis agreed on damages in the amount of $16,028.95, plus any applicable filing fees, service fees, or disbursements, in the event of a finding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Default judgment was granted against Ms. Thomas in the amount of $17,394.95.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issue before me is whether the trial judge erred in his application of the test for a landlord's liability for the nuisance by a tenant. In particular, the question is whether the trial judge applied the test too broadly in holding that the "nuisance arose from acts which the landlord contemplated the tenant would engage in", given that the Shahgaidis "contemplated [the tenant] ... would use water facilities in the ... condominium", and, if so, whether this constitutes reversible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w:t>
      </w:r>
      <w:r>
        <w:rPr>
          <w:rFonts w:ascii="arial" w:eastAsia="arial" w:hAnsi="arial" w:cs="arial"/>
          <w:b/>
          <w:color w:val="000000"/>
          <w:sz w:val="20"/>
          <w:u w:val="single"/>
          <w:lang w:val="en-US" w:eastAsia="en-US" w:bidi="ar-SA"/>
        </w:rPr>
        <w:t>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Court's Role on Appeal &amp; 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right to appeal a small claims decision of the Provincial Court is set out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Right of appeal</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party to a proceeding under this Act may appeal to the Supreme Court an order to allow or dismiss a claim if that order was made by a Provincial Court judge after a trial.</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appeal lies from any order of the Provincial Court made in a proceeding under this Act other than an order referred to in subsection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Supreme Court, upon hearing the appeal, has broad remedial powers, and the decision is final for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Decision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13 (1) On an appeal, the Supreme Court may do one or more of the following:</w:t>
      </w:r>
    </w:p>
    <w:p>
      <w:pPr>
        <w:numPr>
          <w:numId w:val="3"/>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order that could be made by the Provincial Court;</w:t>
      </w:r>
    </w:p>
    <w:p>
      <w:pPr>
        <w:numPr>
          <w:numId w:val="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reasonable terms and conditions in an order;</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additional order that it considers just;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order award costs to any party to the appeal in accordance with the Supreme Court Rules.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appeal from an order made by the Supreme Court under this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When reviewing a decision made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applicable standard of review on questions of law is correctness, whereas the standard of review for findings of fact is palpable and overriding error. The standard of review was discussed in </w:t>
      </w:r>
      <w:r>
        <w:rPr>
          <w:rFonts w:ascii="arial" w:eastAsia="arial" w:hAnsi="arial" w:cs="arial"/>
          <w:i/>
          <w:color w:val="000000"/>
          <w:sz w:val="20"/>
          <w:lang w:val="en-US" w:eastAsia="en-US" w:bidi="ar-SA"/>
        </w:rPr>
        <w:t>Berg v. Harbour City Diesel and Offroad Ltd.</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2012 BCSC 710</w:t>
        </w:r>
      </w:hyperlink>
      <w:r>
        <w:rPr>
          <w:rFonts w:ascii="arial" w:eastAsia="arial" w:hAnsi="arial" w:cs="arial"/>
          <w:color w:val="000000"/>
          <w:sz w:val="20"/>
          <w:lang w:val="en-US" w:eastAsia="en-US" w:bidi="ar-SA"/>
        </w:rPr>
        <w:t>, where Mr. Justice Voith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In </w:t>
      </w:r>
      <w:r>
        <w:rPr>
          <w:rFonts w:ascii="arial" w:eastAsia="arial" w:hAnsi="arial" w:cs="arial"/>
          <w:i/>
          <w:color w:val="000000"/>
          <w:sz w:val="20"/>
          <w:lang w:val="en-US" w:eastAsia="en-US" w:bidi="ar-SA"/>
        </w:rPr>
        <w:t>Smithers Parts Ltd. v. Hudson</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2009 BCSC 1645</w:t>
        </w:r>
      </w:hyperlink>
      <w:r>
        <w:rPr>
          <w:rFonts w:ascii="arial" w:eastAsia="arial" w:hAnsi="arial" w:cs="arial"/>
          <w:color w:val="000000"/>
          <w:sz w:val="20"/>
          <w:lang w:val="en-US" w:eastAsia="en-US" w:bidi="ar-SA"/>
        </w:rPr>
        <w:t xml:space="preserve"> at paras. 26-27, A. MacKenzie J., as she then was, explained the standard of review applicable to decisions made under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The standard of review on pure questions of law is one of correctness, but the standard of review for findings of fact is they cannot be reversed unless the trial judge has made a palpable and overriding error. A palpable error is one that is plainly seen: </w:t>
      </w:r>
      <w:r>
        <w:rPr>
          <w:rFonts w:ascii="arial" w:eastAsia="arial" w:hAnsi="arial" w:cs="arial"/>
          <w:i/>
          <w:color w:val="000000"/>
          <w:sz w:val="20"/>
          <w:lang w:val="en-US" w:eastAsia="en-US" w:bidi="ar-SA"/>
        </w:rPr>
        <w:t>Housen v. Nikolaisen</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2002 SCC 33</w:t>
        </w:r>
      </w:hyperlink>
      <w:r>
        <w:rPr>
          <w:rFonts w:ascii="arial" w:eastAsia="arial" w:hAnsi="arial" w:cs="arial"/>
          <w:color w:val="000000"/>
          <w:sz w:val="20"/>
          <w:lang w:val="en-US" w:eastAsia="en-US" w:bidi="ar-SA"/>
        </w:rPr>
        <w:t xml:space="preserve">. An appeal court should only intervene when there is a material error, a serious misapprehension of the evidence, or an error in law: </w:t>
      </w:r>
      <w:r>
        <w:rPr>
          <w:rFonts w:ascii="arial" w:eastAsia="arial" w:hAnsi="arial" w:cs="arial"/>
          <w:i/>
          <w:color w:val="000000"/>
          <w:sz w:val="20"/>
          <w:lang w:val="en-US" w:eastAsia="en-US" w:bidi="ar-SA"/>
        </w:rPr>
        <w:t>Hickey v. Hickey</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[1999] 2 S.C.R. 518</w:t>
        </w:r>
      </w:hyperlink>
      <w:r>
        <w:rPr>
          <w:rFonts w:ascii="arial" w:eastAsia="arial" w:hAnsi="arial" w:cs="arial"/>
          <w:color w:val="000000"/>
          <w:sz w:val="20"/>
          <w:lang w:val="en-US" w:eastAsia="en-US" w:bidi="ar-SA"/>
        </w:rPr>
        <w:t xml:space="preserve"> at paras. 11-12; </w:t>
      </w:r>
      <w:r>
        <w:rPr>
          <w:rFonts w:ascii="arial" w:eastAsia="arial" w:hAnsi="arial" w:cs="arial"/>
          <w:i/>
          <w:color w:val="000000"/>
          <w:sz w:val="20"/>
          <w:lang w:val="en-US" w:eastAsia="en-US" w:bidi="ar-SA"/>
        </w:rPr>
        <w:t>R. v. Clark</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2005 SCC 2</w:t>
        </w:r>
      </w:hyperlink>
      <w:r>
        <w:rPr>
          <w:rFonts w:ascii="arial" w:eastAsia="arial" w:hAnsi="arial" w:cs="arial"/>
          <w:color w:val="000000"/>
          <w:sz w:val="20"/>
          <w:lang w:val="en-US" w:eastAsia="en-US" w:bidi="ar-SA"/>
        </w:rPr>
        <w:t xml:space="preserve">. This court will only intervene in an appeal from Small Claims Court where the trial judge was clearly wrong in his apprehension of the law or the facts: </w:t>
      </w:r>
      <w:r>
        <w:rPr>
          <w:rFonts w:ascii="arial" w:eastAsia="arial" w:hAnsi="arial" w:cs="arial"/>
          <w:i/>
          <w:color w:val="000000"/>
          <w:sz w:val="20"/>
          <w:lang w:val="en-US" w:eastAsia="en-US" w:bidi="ar-SA"/>
        </w:rPr>
        <w:t>Priority Buildings Services Ltd. v. Ali</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[1999] B.C.J. No. 2820</w:t>
        </w:r>
      </w:hyperlink>
      <w:r>
        <w:rPr>
          <w:rFonts w:ascii="arial" w:eastAsia="arial" w:hAnsi="arial" w:cs="arial"/>
          <w:color w:val="000000"/>
          <w:sz w:val="20"/>
          <w:lang w:val="en-US" w:eastAsia="en-US" w:bidi="ar-SA"/>
        </w:rPr>
        <w:t xml:space="preserve"> at para. 10, and </w:t>
      </w:r>
      <w:r>
        <w:rPr>
          <w:rFonts w:ascii="arial" w:eastAsia="arial" w:hAnsi="arial" w:cs="arial"/>
          <w:i/>
          <w:color w:val="000000"/>
          <w:sz w:val="20"/>
          <w:lang w:val="en-US" w:eastAsia="en-US" w:bidi="ar-SA"/>
        </w:rPr>
        <w:t>Stewart v. Strutt</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[1998] B.C.J. No. 636</w:t>
        </w:r>
      </w:hyperlink>
      <w:r>
        <w:rPr>
          <w:rFonts w:ascii="arial" w:eastAsia="arial" w:hAnsi="arial" w:cs="arial"/>
          <w:color w:val="000000"/>
          <w:sz w:val="20"/>
          <w:lang w:val="en-US" w:eastAsia="en-US" w:bidi="ar-SA"/>
        </w:rPr>
        <w:t xml:space="preserve"> at para. 10, both being Provincial Court decisions.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[27] Apart from the ground that the judge based his error on an issue not before the court, I must find palpable and overriding error in order to reverse findings of fact or that the trial judge was clearly wrong in his apprehension of the facts; thus, the rules are the same as in the British Columbia Court of Appeal on a review from a judgment of this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The reason that such deference is paid to the decision of the trial judge is because the trial judge benefits from hearing the testimony in person, has much greater exposure to the evidence and as a result is more familiar with the case as a whole, and is better able to assess the credibility of witnesses than is a judge sitting on appeal: </w:t>
      </w:r>
      <w:r>
        <w:rPr>
          <w:rFonts w:ascii="arial" w:eastAsia="arial" w:hAnsi="arial" w:cs="arial"/>
          <w:i/>
          <w:color w:val="000000"/>
          <w:sz w:val="20"/>
          <w:lang w:val="en-US" w:eastAsia="en-US" w:bidi="ar-SA"/>
        </w:rPr>
        <w:t>Housen v. Nikolaisen</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2002 SCC 33</w:t>
        </w:r>
      </w:hyperlink>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[2002] 2 S.C.R. 235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This standard of review is particularly important as it pertains to the appeal advanced by [the appellant]. In his various appeal materials and in his supplemental submissions, [the appellant] has consistently sought to reargue the issues which were before the trial judge. This was not and is not open to him. The onus lies on [the appellant] to establish either an error of law or that there was no reasonable evidential foundation for the factual findings which the trial judge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facts are not in dispute on this appeal. It is the correctness standard of review which is engaged. I turn now to the applicable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Landlord Liability for Nuisance of a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starting proposition is that a landlord will not be held liable for the nuisance of a tenant, unless the premises were let for a purpose calculated to cause a nuisance (see Linden &amp; Felthusen,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10th ed. (Toronto: LexisNexis, 2015) at 624 ("Linden &amp; Felthusen")).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 landlord's liability for nuisance caused by a tenant was addressed in </w:t>
      </w:r>
      <w:r>
        <w:rPr>
          <w:rFonts w:ascii="arial" w:eastAsia="arial" w:hAnsi="arial" w:cs="arial"/>
          <w:i/>
          <w:color w:val="000000"/>
          <w:sz w:val="20"/>
          <w:lang w:val="en-US" w:eastAsia="en-US" w:bidi="ar-SA"/>
        </w:rPr>
        <w:t>Banfai v. Formula Fun Centre Inc.</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[1984] 51 O.R. (2d) 361</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Banfai</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Banfai</w:t>
      </w:r>
      <w:r>
        <w:rPr>
          <w:rFonts w:ascii="arial" w:eastAsia="arial" w:hAnsi="arial" w:cs="arial"/>
          <w:color w:val="000000"/>
          <w:sz w:val="20"/>
          <w:lang w:val="en-US" w:eastAsia="en-US" w:bidi="ar-SA"/>
        </w:rPr>
        <w:t>, property owners, whose lands neighboured a property leased for the purpose of a recreational race track, brought an action seeking damages and an injunction. The court considered whether the landlord, Ontario Hydro, could be held liable for the nuisance at para.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Hydro, the owner, liable for the nuisance by the tenant, Formula? In general, an owner is not liable for the nuisance committed by his tenant. To this rule there is one exception. </w:t>
      </w:r>
      <w:r>
        <w:rPr>
          <w:rFonts w:ascii="arial" w:eastAsia="arial" w:hAnsi="arial" w:cs="arial"/>
          <w:color w:val="000000"/>
          <w:sz w:val="20"/>
          <w:u w:val="single"/>
          <w:lang w:val="en-US" w:eastAsia="en-US" w:bidi="ar-SA"/>
        </w:rPr>
        <w:t>Where the nuisance arises "from the natural and necessary result of what the landlord authorized" the tenant to do, then the owner-landlord is liable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Harris v. James</w:t>
      </w:r>
      <w:r>
        <w:rPr>
          <w:rFonts w:ascii="arial" w:eastAsia="arial" w:hAnsi="arial" w:cs="arial"/>
          <w:color w:val="000000"/>
          <w:sz w:val="20"/>
          <w:lang w:val="en-US" w:eastAsia="en-US" w:bidi="ar-SA"/>
        </w:rPr>
        <w:t xml:space="preserve">, [1878-80] All E.R. Rep. 1142. This exception to the general rule has been expressed in different terms. In </w:t>
      </w:r>
      <w:r>
        <w:rPr>
          <w:rFonts w:ascii="arial" w:eastAsia="arial" w:hAnsi="arial" w:cs="arial"/>
          <w:i/>
          <w:color w:val="000000"/>
          <w:sz w:val="20"/>
          <w:lang w:val="en-US" w:eastAsia="en-US" w:bidi="ar-SA"/>
        </w:rPr>
        <w:t>Earl v. Reid</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(1911), 23 O.L.R. 453</w:t>
        </w:r>
      </w:hyperlink>
      <w:r>
        <w:rPr>
          <w:rFonts w:ascii="arial" w:eastAsia="arial" w:hAnsi="arial" w:cs="arial"/>
          <w:color w:val="000000"/>
          <w:sz w:val="20"/>
          <w:lang w:val="en-US" w:eastAsia="en-US" w:bidi="ar-SA"/>
        </w:rPr>
        <w:t xml:space="preserve">, Riddell J. at p. 466, said the landlord was not liable unless "the use from which the damage or nuisance necessarily arises was plainly contemplated by the lease". In </w:t>
      </w:r>
      <w:r>
        <w:rPr>
          <w:rFonts w:ascii="arial" w:eastAsia="arial" w:hAnsi="arial" w:cs="arial"/>
          <w:i/>
          <w:color w:val="000000"/>
          <w:sz w:val="20"/>
          <w:lang w:val="en-US" w:eastAsia="en-US" w:bidi="ar-SA"/>
        </w:rPr>
        <w:t>Aldridge et al. v. Van Patter</w:t>
      </w:r>
      <w:r>
        <w:rPr>
          <w:rFonts w:ascii="arial" w:eastAsia="arial" w:hAnsi="arial" w:cs="arial"/>
          <w:color w:val="000000"/>
          <w:sz w:val="20"/>
          <w:lang w:val="en-US" w:eastAsia="en-US" w:bidi="ar-SA"/>
        </w:rPr>
        <w:t xml:space="preserve"> et al., </w:t>
      </w:r>
      <w:hyperlink r:id="rId358" w:history="1">
        <w:r>
          <w:rPr>
            <w:rFonts w:ascii="arial" w:eastAsia="arial" w:hAnsi="arial" w:cs="arial"/>
            <w:i/>
            <w:color w:val="0077CC"/>
            <w:sz w:val="20"/>
            <w:u w:val="single"/>
            <w:shd w:val="clear" w:color="auto" w:fill="FFFFFF"/>
            <w:lang w:val="en-US" w:eastAsia="en-US" w:bidi="ar-SA"/>
          </w:rPr>
          <w:t>1952 CanLII 127</w:t>
        </w:r>
      </w:hyperlink>
      <w:r>
        <w:rPr>
          <w:rFonts w:ascii="arial" w:eastAsia="arial" w:hAnsi="arial" w:cs="arial"/>
          <w:color w:val="000000"/>
          <w:sz w:val="20"/>
          <w:lang w:val="en-US" w:eastAsia="en-US" w:bidi="ar-SA"/>
        </w:rPr>
        <w:t xml:space="preserve"> (ON SC), </w:t>
      </w:r>
      <w:hyperlink r:id="rId358" w:history="1">
        <w:r>
          <w:rPr>
            <w:rFonts w:ascii="arial" w:eastAsia="arial" w:hAnsi="arial" w:cs="arial"/>
            <w:i/>
            <w:color w:val="0077CC"/>
            <w:sz w:val="20"/>
            <w:u w:val="single"/>
            <w:shd w:val="clear" w:color="auto" w:fill="FFFFFF"/>
            <w:lang w:val="en-US" w:eastAsia="en-US" w:bidi="ar-SA"/>
          </w:rPr>
          <w:t>[1952] O.R. 595</w:t>
        </w:r>
      </w:hyperlink>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[1952] 4 D.L.R. 93</w:t>
        </w:r>
      </w:hyperlink>
      <w:r>
        <w:rPr>
          <w:rFonts w:ascii="arial" w:eastAsia="arial" w:hAnsi="arial" w:cs="arial"/>
          <w:color w:val="000000"/>
          <w:sz w:val="20"/>
          <w:lang w:val="en-US" w:eastAsia="en-US" w:bidi="ar-SA"/>
        </w:rPr>
        <w:t xml:space="preserve">, Spence J. held the owner liable because the possibility of an automobile, during the course of a race, plunging through the fence around the track and injuring someone in the park (the nuisance that actually occurred) was in the immediate contemplation of the owner when the lease was executed. In </w:t>
      </w:r>
      <w:r>
        <w:rPr>
          <w:rFonts w:ascii="arial" w:eastAsia="arial" w:hAnsi="arial" w:cs="arial"/>
          <w:i/>
          <w:color w:val="000000"/>
          <w:sz w:val="20"/>
          <w:lang w:val="en-US" w:eastAsia="en-US" w:bidi="ar-SA"/>
        </w:rPr>
        <w:t>Smith v. Scott et al.</w:t>
      </w:r>
      <w:r>
        <w:rPr>
          <w:rFonts w:ascii="arial" w:eastAsia="arial" w:hAnsi="arial" w:cs="arial"/>
          <w:color w:val="000000"/>
          <w:sz w:val="20"/>
          <w:lang w:val="en-US" w:eastAsia="en-US" w:bidi="ar-SA"/>
        </w:rPr>
        <w:t xml:space="preserve">, [1972] 3 W.L.R. 783, it was suggested that </w:t>
      </w:r>
      <w:r>
        <w:rPr>
          <w:rFonts w:ascii="arial" w:eastAsia="arial" w:hAnsi="arial" w:cs="arial"/>
          <w:color w:val="000000"/>
          <w:sz w:val="20"/>
          <w:u w:val="single"/>
          <w:lang w:val="en-US" w:eastAsia="en-US" w:bidi="ar-SA"/>
        </w:rPr>
        <w:t>the owner will be held liable if there is "a very high degree of probability" that a nuisance will result from the purposes for which the property is let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no matter what the correct wording of the exception, Hydro is liable for the nuisance on the evidence in this case. As already indicated, </w:t>
      </w:r>
      <w:r>
        <w:rPr>
          <w:rFonts w:ascii="arial" w:eastAsia="arial" w:hAnsi="arial" w:cs="arial"/>
          <w:color w:val="000000"/>
          <w:sz w:val="20"/>
          <w:u w:val="single"/>
          <w:lang w:val="en-US" w:eastAsia="en-US" w:bidi="ar-SA"/>
        </w:rPr>
        <w:t>Hydro knew exactly the use Formula intended for the property before it entered into the lease</w:t>
      </w:r>
      <w:r>
        <w:rPr>
          <w:rFonts w:ascii="arial" w:eastAsia="arial" w:hAnsi="arial" w:cs="arial"/>
          <w:color w:val="000000"/>
          <w:sz w:val="20"/>
          <w:lang w:val="en-US" w:eastAsia="en-US" w:bidi="ar-SA"/>
        </w:rPr>
        <w:t>. Hydro not only knew that Formula intended to use the land for an amusement ride, it knew and approved of the layout of the track. It knew the size, power and make of the cars to be raced thereon and the hours of the day the track would be in operation.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court's reasoning in </w:t>
      </w:r>
      <w:r>
        <w:rPr>
          <w:rFonts w:ascii="arial" w:eastAsia="arial" w:hAnsi="arial" w:cs="arial"/>
          <w:i/>
          <w:color w:val="000000"/>
          <w:sz w:val="20"/>
          <w:lang w:val="en-US" w:eastAsia="en-US" w:bidi="ar-SA"/>
        </w:rPr>
        <w:t>Banfai</w:t>
      </w:r>
      <w:r>
        <w:rPr>
          <w:rFonts w:ascii="arial" w:eastAsia="arial" w:hAnsi="arial" w:cs="arial"/>
          <w:color w:val="000000"/>
          <w:sz w:val="20"/>
          <w:lang w:val="en-US" w:eastAsia="en-US" w:bidi="ar-SA"/>
        </w:rPr>
        <w:t xml:space="preserve"> has since been adopted in British Columbia, in </w:t>
      </w:r>
      <w:r>
        <w:rPr>
          <w:rFonts w:ascii="arial" w:eastAsia="arial" w:hAnsi="arial" w:cs="arial"/>
          <w:i/>
          <w:color w:val="000000"/>
          <w:sz w:val="20"/>
          <w:lang w:val="en-US" w:eastAsia="en-US" w:bidi="ar-SA"/>
        </w:rPr>
        <w:t>Kenny v. Schuster Real Estate Co.</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[1990] B.C.J. No. 1420</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Kenny</w:t>
      </w:r>
      <w:r>
        <w:rPr>
          <w:rFonts w:ascii="arial" w:eastAsia="arial" w:hAnsi="arial" w:cs="arial"/>
          <w:color w:val="000000"/>
          <w:sz w:val="20"/>
          <w:lang w:val="en-US" w:eastAsia="en-US" w:bidi="ar-SA"/>
        </w:rPr>
        <w:t>]. The issue was the nuisance created by an exhaust fan from a lessee restaurant to a condominium above the restaurant owned by the plaintiff. Before moving in, the plaintiff had specifically inquired about the restaurant and whether it would be cooking foods that would create offensive odours. Four years after she moved in, a new restaurant moved into the premises, and installed the offending exhaust fan.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Cohen J. found that the landlord had specifically contemplated both the installation of the fan and that it would change the character of the condominium building. In assigning the restaurant lease to a new tenant, the landlord considered the economic benefit without regard to the impact the fan would have on the plaintiff. The landlord knew full well the new tenant would be cooking food and the fan would emit fumes directly below the plaintiff's condominium. The landlord also acknowledged his responsibility to the plaintiff when she complained about the fan and tried to solve her complaint by offering to purchase her condominium, but could not carry through with the purchase due to issues with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Cohen J.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it is conclusive in this case, that the noise and smell from the fan constitute a nuisance and that </w:t>
      </w:r>
      <w:r>
        <w:rPr>
          <w:rFonts w:ascii="arial" w:eastAsia="arial" w:hAnsi="arial" w:cs="arial"/>
          <w:color w:val="000000"/>
          <w:sz w:val="20"/>
          <w:u w:val="single"/>
          <w:lang w:val="en-US" w:eastAsia="en-US" w:bidi="ar-SA"/>
        </w:rPr>
        <w:t>the nuisance arose as the natural and necessary result of what the defendant Schuster authorized the Cafe Zen to do</w:t>
      </w:r>
      <w:r>
        <w:rPr>
          <w:rFonts w:ascii="arial" w:eastAsia="arial" w:hAnsi="arial" w:cs="arial"/>
          <w:color w:val="000000"/>
          <w:sz w:val="20"/>
          <w:lang w:val="en-US" w:eastAsia="en-US" w:bidi="ar-SA"/>
        </w:rPr>
        <w:t xml:space="preserve">. Therefore, the defendant Schuster is liable for damages. (see </w:t>
      </w:r>
      <w:r>
        <w:rPr>
          <w:rFonts w:ascii="arial" w:eastAsia="arial" w:hAnsi="arial" w:cs="arial"/>
          <w:i/>
          <w:color w:val="000000"/>
          <w:sz w:val="20"/>
          <w:lang w:val="en-US" w:eastAsia="en-US" w:bidi="ar-SA"/>
        </w:rPr>
        <w:t>Banfai v. Formula Fun Centre, supra</w:t>
      </w:r>
      <w:r>
        <w:rPr>
          <w:rFonts w:ascii="arial" w:eastAsia="arial" w:hAnsi="arial" w:cs="arial"/>
          <w:color w:val="000000"/>
          <w:sz w:val="20"/>
          <w:lang w:val="en-US" w:eastAsia="en-US" w:bidi="ar-SA"/>
        </w:rPr>
        <w:t>.) It is no answer for the defendant Schuster to say that Ms. Kenny chose to live in a mixed commercial/ residential neighbourhood and therefore she cannot complain of the noise and smell from the fan. Ms. Kenny did not choose to live in a building where there would be a restaurant creating offensive odours. When Mr. Schuster allowed the installation of the fan he knew the potential problems that the fan would create. What Ms. Kenny complained to Mr. Schuster about was not the noise and smells ordinarily consistent with the character of the neighbourhood but rather the extremely disturbing noise and smell coming from an exhaust fan installed, with Mr. Schuster's permission, in a location which created a substantial interference with the enjoyment of her condominium.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relatively benign circumstances in </w:t>
      </w:r>
      <w:r>
        <w:rPr>
          <w:rFonts w:ascii="arial" w:eastAsia="arial" w:hAnsi="arial" w:cs="arial"/>
          <w:i/>
          <w:color w:val="000000"/>
          <w:sz w:val="20"/>
          <w:lang w:val="en-US" w:eastAsia="en-US" w:bidi="ar-SA"/>
        </w:rPr>
        <w:t>Kenny</w:t>
      </w:r>
      <w:r>
        <w:rPr>
          <w:rFonts w:ascii="arial" w:eastAsia="arial" w:hAnsi="arial" w:cs="arial"/>
          <w:color w:val="000000"/>
          <w:sz w:val="20"/>
          <w:lang w:val="en-US" w:eastAsia="en-US" w:bidi="ar-SA"/>
        </w:rPr>
        <w:t xml:space="preserve"> which led to a finding of nuisance can be contrasted with the decision in </w:t>
      </w:r>
      <w:r>
        <w:rPr>
          <w:rFonts w:ascii="arial" w:eastAsia="arial" w:hAnsi="arial" w:cs="arial"/>
          <w:i/>
          <w:color w:val="000000"/>
          <w:sz w:val="20"/>
          <w:lang w:val="en-US" w:eastAsia="en-US" w:bidi="ar-SA"/>
        </w:rPr>
        <w:t>Durling v. Sunrise Propane Energy Group Inc.</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2012 ONSC 6570</w:t>
        </w:r>
      </w:hyperlink>
      <w:r>
        <w:rPr>
          <w:rFonts w:ascii="arial" w:eastAsia="arial" w:hAnsi="arial" w:cs="arial"/>
          <w:color w:val="000000"/>
          <w:sz w:val="20"/>
          <w:lang w:val="en-US" w:eastAsia="en-US" w:bidi="ar-SA"/>
        </w:rPr>
        <w:t>. A landowner leased out property to a propane company. The operation was located in a residential community. There was a massive propane explosion. A number of lawsuits were commenced, along with an application for certification of a class action. One of the causes of action was in nuisance, for the explosion, and the plaintiffs pursued the landlord as well as the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Horkins J. struck out the pleadings in nuisance as against the landlord: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[125] Following </w:t>
      </w:r>
      <w:r>
        <w:rPr>
          <w:rFonts w:ascii="arial" w:eastAsia="arial" w:hAnsi="arial" w:cs="arial"/>
          <w:i/>
          <w:color w:val="000000"/>
          <w:sz w:val="20"/>
          <w:lang w:val="en-US" w:eastAsia="en-US" w:bidi="ar-SA"/>
        </w:rPr>
        <w:t>Banfai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Aldridge</w:t>
      </w:r>
      <w:r>
        <w:rPr>
          <w:rFonts w:ascii="arial" w:eastAsia="arial" w:hAnsi="arial" w:cs="arial"/>
          <w:color w:val="000000"/>
          <w:sz w:val="20"/>
          <w:lang w:val="en-US" w:eastAsia="en-US" w:bidi="ar-SA"/>
        </w:rPr>
        <w:t>, for a nuisance claim to survive, the following must have been within the immediate contemplation of the parties to the lease: that [the tenant] would allow unlawful truck-to-truck transfers of propane contrary to a TSSA order, that it would allow smoking in the vicinity, and that this would create the possibility of an explosion causing extensive fires and damage in the neighbourhood. It is absurd to say that this was within the immediate contemplation of any of the [landlord] defendants and yet they agreed to lease the Murray Road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Horkins J. found that the explosion and fireball did not arise from the natural and necessary result of what the landlord authorized the tenant to do, nor was it plainly contemplated by the lease. The parties, by inserting language in the lease concerning safety and permitting requirements, contemplated there would be no nuisance. The nuisance was not expressly authorized or a necessary consequence of the purpose for which the property was let. It did not result from the tenant operating the property in the manner contemplated in the lease. The nuisance was not a necessary consequence of the mode of occupation contemplated in the lease. The landlords did not allow the behaviour that led to the nuisance and there was no certainty that a nuisance would be created (at para. 133).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Anmore Development Corp. v. The City of Burnaby et al.</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2005 BCSC 1477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Anmore</w:t>
      </w:r>
      <w:r>
        <w:rPr>
          <w:rFonts w:ascii="arial" w:eastAsia="arial" w:hAnsi="arial" w:cs="arial"/>
          <w:color w:val="000000"/>
          <w:sz w:val="20"/>
          <w:lang w:val="en-US" w:eastAsia="en-US" w:bidi="ar-SA"/>
        </w:rPr>
        <w:t>], lands were leased for the purposes of an operation to recycle construction waste. When the pile of waste began to encroach upon adjacent lands, a neighbour brought an action for nuisance. The court found that the landlords had become involved in the tenant's operation beyond their capacity as landlords: they had invested and become shareholders. Therefore, the landlords were held liable as joint-tortfeasors.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court also considered the potential liability of landlords who are not involved in a common design with the tenant, but who are aware of a tenant's nuisance: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[133] The Thandis knew that by June of 1994, the waste was piling up again on the City lands. Avtar Thandi testified to this fact. </w:t>
      </w:r>
      <w:r>
        <w:rPr>
          <w:rFonts w:ascii="arial" w:eastAsia="arial" w:hAnsi="arial" w:cs="arial"/>
          <w:color w:val="000000"/>
          <w:sz w:val="20"/>
          <w:u w:val="single"/>
          <w:lang w:val="en-US" w:eastAsia="en-US" w:bidi="ar-SA"/>
        </w:rPr>
        <w:t>A landlord may also be liable if, when notified of nuisance by a tenant he does nothing to put an end to it</w:t>
      </w:r>
      <w:r>
        <w:rPr>
          <w:rFonts w:ascii="arial" w:eastAsia="arial" w:hAnsi="arial" w:cs="arial"/>
          <w:color w:val="000000"/>
          <w:sz w:val="20"/>
          <w:lang w:val="en-US" w:eastAsia="en-US" w:bidi="ar-SA"/>
        </w:rPr>
        <w:t>. Further, the waste pile remained on the Thandi lands, periodically falling onto the Anmore lands, until WMI cleaned up the Thandis' property in 1996.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[135] There is no question that the Thandis had the power within the lease agreement to stop Ech-Tech once they were aware that the garbage was encroaching on City and Anmore lands.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went on to consider whether the landlords were liable by virtue of their contemplation of the acts that the tenant would engage 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[128] The Thandis submit that in order for them to be liable, the tenant's act of nuisance must have either been expressly authorized or a necessary consequence of the purpose for which the property was let, citing </w:t>
      </w:r>
      <w:r>
        <w:rPr>
          <w:rFonts w:ascii="arial" w:eastAsia="arial" w:hAnsi="arial" w:cs="arial"/>
          <w:i/>
          <w:color w:val="000000"/>
          <w:sz w:val="20"/>
          <w:lang w:val="en-US" w:eastAsia="en-US" w:bidi="ar-SA"/>
        </w:rPr>
        <w:t xml:space="preserve">Smith v. Scott et al., </w:t>
      </w:r>
      <w:r>
        <w:rPr>
          <w:rFonts w:ascii="arial" w:eastAsia="arial" w:hAnsi="arial" w:cs="arial"/>
          <w:color w:val="000000"/>
          <w:sz w:val="20"/>
          <w:lang w:val="en-US" w:eastAsia="en-US" w:bidi="ar-SA"/>
        </w:rPr>
        <w:t>[1972] 3 All E.R. 645.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[129] However, the Thandis also agreed to the storage of 30,000 cubic yards of debris, knowing that even 7,000 cubic yards would present a problem.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[130] </w:t>
      </w:r>
      <w:r>
        <w:rPr>
          <w:rFonts w:ascii="arial" w:eastAsia="arial" w:hAnsi="arial" w:cs="arial"/>
          <w:color w:val="000000"/>
          <w:sz w:val="20"/>
          <w:u w:val="single"/>
          <w:lang w:val="en-US" w:eastAsia="en-US" w:bidi="ar-SA"/>
        </w:rPr>
        <w:t>A landlord will be liable for nuisance caused by a tenant if the nuisance arises from acts which the landlord contemplated that the tenant would engage in</w:t>
      </w:r>
      <w:r>
        <w:rPr>
          <w:rFonts w:ascii="arial" w:eastAsia="arial" w:hAnsi="arial" w:cs="arial"/>
          <w:color w:val="000000"/>
          <w:sz w:val="20"/>
          <w:lang w:val="en-US" w:eastAsia="en-US" w:bidi="ar-SA"/>
        </w:rPr>
        <w:t xml:space="preserve">: See Fridman,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 191.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[131] Similar principles have been stated in </w:t>
      </w:r>
      <w:r>
        <w:rPr>
          <w:rFonts w:ascii="arial" w:eastAsia="arial" w:hAnsi="arial" w:cs="arial"/>
          <w:i/>
          <w:color w:val="000000"/>
          <w:sz w:val="20"/>
          <w:lang w:val="en-US" w:eastAsia="en-US" w:bidi="ar-SA"/>
        </w:rPr>
        <w:t xml:space="preserve">Aldridge and O'Brien v. Van Patter, Martin and Western Fair Association </w:t>
      </w:r>
      <w:hyperlink r:id="rId358" w:history="1">
        <w:r>
          <w:rPr>
            <w:rFonts w:ascii="arial" w:eastAsia="arial" w:hAnsi="arial" w:cs="arial"/>
            <w:i/>
            <w:color w:val="0077CC"/>
            <w:sz w:val="20"/>
            <w:u w:val="single"/>
            <w:shd w:val="clear" w:color="auto" w:fill="FFFFFF"/>
            <w:lang w:val="en-US" w:eastAsia="en-US" w:bidi="ar-SA"/>
          </w:rPr>
          <w:t>1952 CanLII 127</w:t>
        </w:r>
      </w:hyperlink>
      <w:r>
        <w:rPr>
          <w:rFonts w:ascii="arial" w:eastAsia="arial" w:hAnsi="arial" w:cs="arial"/>
          <w:color w:val="000000"/>
          <w:sz w:val="20"/>
          <w:lang w:val="en-US" w:eastAsia="en-US" w:bidi="ar-SA"/>
        </w:rPr>
        <w:t xml:space="preserve"> (ON SC), </w:t>
      </w:r>
      <w:hyperlink r:id="rId358" w:history="1">
        <w:r>
          <w:rPr>
            <w:rFonts w:ascii="arial" w:eastAsia="arial" w:hAnsi="arial" w:cs="arial"/>
            <w:i/>
            <w:color w:val="0077CC"/>
            <w:sz w:val="20"/>
            <w:u w:val="single"/>
            <w:shd w:val="clear" w:color="auto" w:fill="FFFFFF"/>
            <w:lang w:val="en-US" w:eastAsia="en-US" w:bidi="ar-SA"/>
          </w:rPr>
          <w:t>[1952] O.R. 595</w:t>
        </w:r>
      </w:hyperlink>
      <w:r>
        <w:rPr>
          <w:rFonts w:ascii="arial" w:eastAsia="arial" w:hAnsi="arial" w:cs="arial"/>
          <w:color w:val="000000"/>
          <w:sz w:val="20"/>
          <w:lang w:val="en-US" w:eastAsia="en-US" w:bidi="ar-SA"/>
        </w:rPr>
        <w:t xml:space="preserve"> at p. 613-4.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cited section of Fridman, </w:t>
      </w:r>
      <w:r>
        <w:rPr>
          <w:rFonts w:ascii="arial" w:eastAsia="arial" w:hAnsi="arial" w:cs="arial"/>
          <w:i/>
          <w:color w:val="000000"/>
          <w:sz w:val="20"/>
          <w:lang w:val="en-US" w:eastAsia="en-US" w:bidi="ar-SA"/>
        </w:rPr>
        <w:t>The Law of Torts in Canada</w:t>
      </w:r>
      <w:r>
        <w:rPr>
          <w:rFonts w:ascii="arial" w:eastAsia="arial" w:hAnsi="arial" w:cs="arial"/>
          <w:color w:val="000000"/>
          <w:sz w:val="20"/>
          <w:lang w:val="en-US" w:eastAsia="en-US" w:bidi="ar-SA"/>
        </w:rPr>
        <w:t>, 2nd ed., at p. 91 ("Fridman"),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are several situations in which the fact of being out of occupation, and the fact that the nuisance was really created by a lessee, or licensee, of the owner of the land, may result in liability on the part of the owner. For instance, </w:t>
      </w:r>
      <w:r>
        <w:rPr>
          <w:rFonts w:ascii="arial" w:eastAsia="arial" w:hAnsi="arial" w:cs="arial"/>
          <w:color w:val="000000"/>
          <w:sz w:val="20"/>
          <w:u w:val="single"/>
          <w:lang w:val="en-US" w:eastAsia="en-US" w:bidi="ar-SA"/>
        </w:rPr>
        <w:t>this may occur if the nuisance of which complaint is made necessarily arises from acts which it is contemplated the lessee or licensee will engage in</w:t>
      </w:r>
      <w:r>
        <w:rPr>
          <w:rFonts w:ascii="arial" w:eastAsia="arial" w:hAnsi="arial" w:cs="arial"/>
          <w:color w:val="000000"/>
          <w:sz w:val="20"/>
          <w:lang w:val="en-US" w:eastAsia="en-US" w:bidi="ar-SA"/>
        </w:rPr>
        <w:t xml:space="preserve"> when the agreement between the owner, or landlord, and the tenant or licensee is made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quoted paragraph from Fridman preserves the strict requirement of necessity, or inevitability, which in my view requires a narrow causal connection between the intended use of the premise and the resultant nuisance. The statement in Fridman is consistent with earlier authorities such as </w:t>
      </w:r>
      <w:r>
        <w:rPr>
          <w:rFonts w:ascii="arial" w:eastAsia="arial" w:hAnsi="arial" w:cs="arial"/>
          <w:i/>
          <w:color w:val="000000"/>
          <w:sz w:val="20"/>
          <w:lang w:val="en-US" w:eastAsia="en-US" w:bidi="ar-SA"/>
        </w:rPr>
        <w:t>Banfai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Kenny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 more pointed statement of the liability of a landlord in nuisance is found in Linden &amp; Felthusen, referenced above, at 624: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Owners are not responsible for any nuisance created by tenants unless the premises were let </w:t>
      </w:r>
      <w:r>
        <w:rPr>
          <w:rFonts w:ascii="arial" w:eastAsia="arial" w:hAnsi="arial" w:cs="arial"/>
          <w:color w:val="000000"/>
          <w:sz w:val="20"/>
          <w:u w:val="single"/>
          <w:lang w:val="en-US" w:eastAsia="en-US" w:bidi="ar-SA"/>
        </w:rPr>
        <w:t>for a purpose calculated to cause a nuisance</w:t>
      </w:r>
      <w:r>
        <w:rPr>
          <w:rFonts w:ascii="arial" w:eastAsia="arial" w:hAnsi="arial" w:cs="arial"/>
          <w:color w:val="000000"/>
          <w:sz w:val="20"/>
          <w:lang w:val="en-US" w:eastAsia="en-US" w:bidi="ar-SA"/>
        </w:rPr>
        <w:t xml:space="preserve">. The nuisance must have been either </w:t>
      </w:r>
      <w:r>
        <w:rPr>
          <w:rFonts w:ascii="arial" w:eastAsia="arial" w:hAnsi="arial" w:cs="arial"/>
          <w:color w:val="000000"/>
          <w:sz w:val="20"/>
          <w:u w:val="single"/>
          <w:lang w:val="en-US" w:eastAsia="en-US" w:bidi="ar-SA"/>
        </w:rPr>
        <w:t>expressly authorized or a necessary consequence of the purpose for which the property was let</w:t>
      </w:r>
      <w:r>
        <w:rPr>
          <w:rFonts w:ascii="arial" w:eastAsia="arial" w:hAnsi="arial" w:cs="arial"/>
          <w:color w:val="000000"/>
          <w:sz w:val="20"/>
          <w:lang w:val="en-US" w:eastAsia="en-US" w:bidi="ar-SA"/>
        </w:rPr>
        <w:t>. Such will not be implied merely because landlords, although having knowledge of the nuisance, did not terminate the tenancy or intercede.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 </w:t>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From </w:t>
      </w:r>
      <w:r>
        <w:rPr>
          <w:rFonts w:ascii="arial" w:eastAsia="arial" w:hAnsi="arial" w:cs="arial"/>
          <w:i/>
          <w:color w:val="000000"/>
          <w:sz w:val="20"/>
          <w:lang w:val="en-US" w:eastAsia="en-US" w:bidi="ar-SA"/>
        </w:rPr>
        <w:t>Banfai</w:t>
      </w:r>
      <w:r>
        <w:rPr>
          <w:rFonts w:ascii="arial" w:eastAsia="arial" w:hAnsi="arial" w:cs="arial"/>
          <w:color w:val="000000"/>
          <w:sz w:val="20"/>
          <w:lang w:val="en-US" w:eastAsia="en-US" w:bidi="ar-SA"/>
        </w:rPr>
        <w:t>, the exception is narrow for a landlord to be found liable for a tenant's nuisance: at its most narrow, the nuisance must be the "natural and necessary result of what the landlord has authorized" or, at its most accommodating, there must be "a very high degree of probability that the nuisance will result from the purposes for which the property is 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landlord in </w:t>
      </w:r>
      <w:r>
        <w:rPr>
          <w:rFonts w:ascii="arial" w:eastAsia="arial" w:hAnsi="arial" w:cs="arial"/>
          <w:i/>
          <w:color w:val="000000"/>
          <w:sz w:val="20"/>
          <w:lang w:val="en-US" w:eastAsia="en-US" w:bidi="ar-SA"/>
        </w:rPr>
        <w:t>Kenny</w:t>
      </w:r>
      <w:r>
        <w:rPr>
          <w:rFonts w:ascii="arial" w:eastAsia="arial" w:hAnsi="arial" w:cs="arial"/>
          <w:color w:val="000000"/>
          <w:sz w:val="20"/>
          <w:lang w:val="en-US" w:eastAsia="en-US" w:bidi="ar-SA"/>
        </w:rPr>
        <w:t xml:space="preserve"> was found liable because "the nuisance arose as the natural and necessary result of what the defendant ... authorized." This defines a narrow set of circumstances whereby the landlord must have contemplated the specific nuisance and there is inevitability that the nuisance will arise from the authorization, either expressly or impliedly in the terms of the lease. This is consistent with the reasoning in </w:t>
      </w:r>
      <w:r>
        <w:rPr>
          <w:rFonts w:ascii="arial" w:eastAsia="arial" w:hAnsi="arial" w:cs="arial"/>
          <w:i/>
          <w:color w:val="000000"/>
          <w:sz w:val="20"/>
          <w:lang w:val="en-US" w:eastAsia="en-US" w:bidi="ar-SA"/>
        </w:rPr>
        <w:t>Durling</w:t>
      </w:r>
      <w:r>
        <w:rPr>
          <w:rFonts w:ascii="arial" w:eastAsia="arial" w:hAnsi="arial" w:cs="arial"/>
          <w:color w:val="000000"/>
          <w:sz w:val="20"/>
          <w:lang w:val="en-US" w:eastAsia="en-US" w:bidi="ar-SA"/>
        </w:rPr>
        <w:t>. Notwithstanding that propane is a substance with explosive potential, the parties contemplated it would be stored in a safe and proper manner. It was not, and the series of unfortunate events which led to the explosion and resulting nuisance were not in the contemplation of the landlord.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appellants submit that the trial judge applied the test in a manner that is too general for the scope of the jurisprudence. In particular, they submit that the judge's reliance upon para. 130 of </w:t>
      </w:r>
      <w:r>
        <w:rPr>
          <w:rFonts w:ascii="arial" w:eastAsia="arial" w:hAnsi="arial" w:cs="arial"/>
          <w:i/>
          <w:color w:val="000000"/>
          <w:sz w:val="20"/>
          <w:lang w:val="en-US" w:eastAsia="en-US" w:bidi="ar-SA"/>
        </w:rPr>
        <w:t>Anmore</w:t>
      </w:r>
      <w:r>
        <w:rPr>
          <w:rFonts w:ascii="arial" w:eastAsia="arial" w:hAnsi="arial" w:cs="arial"/>
          <w:color w:val="000000"/>
          <w:sz w:val="20"/>
          <w:lang w:val="en-US" w:eastAsia="en-US" w:bidi="ar-SA"/>
        </w:rPr>
        <w:t xml:space="preserve"> led him to apply the test in a manner that is broader than the jurisprudence has historically supported. The trial judge then applied this broad statement of the law to a residential tenancy case where a tenant left a lit candle unattended: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Applying this principle to a case where a tenant caused a fire to a strata property by leaving a lit candle unattended, Merrick J, in </w:t>
      </w:r>
      <w:r>
        <w:rPr>
          <w:rFonts w:ascii="arial" w:eastAsia="arial" w:hAnsi="arial" w:cs="arial"/>
          <w:i/>
          <w:color w:val="000000"/>
          <w:sz w:val="20"/>
          <w:lang w:val="en-US" w:eastAsia="en-US" w:bidi="ar-SA"/>
        </w:rPr>
        <w:t>Strata Corporation LMS 2723 v. Morrison</w:t>
      </w:r>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2012 BCPC 300</w:t>
        </w:r>
      </w:hyperlink>
      <w:r>
        <w:rPr>
          <w:rFonts w:ascii="arial" w:eastAsia="arial" w:hAnsi="arial" w:cs="arial"/>
          <w:color w:val="000000"/>
          <w:sz w:val="20"/>
          <w:lang w:val="en-US" w:eastAsia="en-US" w:bidi="ar-SA"/>
        </w:rPr>
        <w:t>, made the following comments at paragraph 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Applying those principles to this case, like the presence of washing machines, dishwashers, air conditioners, and water dispensing refrigerators, tenants pose a risk. While I appreciate that Ms. Morrison had no control over the candle, the owner is responsible for what occurs within their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difficulty with the analogy to the unattended lit candle in </w:t>
      </w:r>
      <w:r>
        <w:rPr>
          <w:rFonts w:ascii="arial" w:eastAsia="arial" w:hAnsi="arial" w:cs="arial"/>
          <w:i/>
          <w:color w:val="000000"/>
          <w:sz w:val="20"/>
          <w:lang w:val="en-US" w:eastAsia="en-US" w:bidi="ar-SA"/>
        </w:rPr>
        <w:t>Morrison</w:t>
      </w:r>
      <w:r>
        <w:rPr>
          <w:rFonts w:ascii="arial" w:eastAsia="arial" w:hAnsi="arial" w:cs="arial"/>
          <w:color w:val="000000"/>
          <w:sz w:val="20"/>
          <w:lang w:val="en-US" w:eastAsia="en-US" w:bidi="ar-SA"/>
        </w:rPr>
        <w:t xml:space="preserve"> is that the case did not turn on nuisance. The issue was a claim by a strata corporation to recover a deductible for an insurance claim under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[S.B.C. 1998] c. 43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The sole issue was whether s. 158(2)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insulated the owner from being sued by a strata corporation to recover its deductible, because it was the tenant's actions that caused the damage. Specifically, the issue was the interpretation of the words "responsible for"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Section 158(2)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Subsection (1) does not limit the capacity of the strata corporation to sue an owner in order to recover the deductible portion of an insurance claim if the owner is responsible for the loss or damage that gave rise to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trial judge in </w:t>
      </w:r>
      <w:r>
        <w:rPr>
          <w:rFonts w:ascii="arial" w:eastAsia="arial" w:hAnsi="arial" w:cs="arial"/>
          <w:i/>
          <w:color w:val="000000"/>
          <w:sz w:val="20"/>
          <w:lang w:val="en-US" w:eastAsia="en-US" w:bidi="ar-SA"/>
        </w:rPr>
        <w:t>Morrison</w:t>
      </w:r>
      <w:r>
        <w:rPr>
          <w:rFonts w:ascii="arial" w:eastAsia="arial" w:hAnsi="arial" w:cs="arial"/>
          <w:color w:val="000000"/>
          <w:sz w:val="20"/>
          <w:lang w:val="en-US" w:eastAsia="en-US" w:bidi="ar-SA"/>
        </w:rPr>
        <w:t xml:space="preserve"> considered that the term "responsible for" was to be interpreted broadly (para. 7). He cited a previous decision of this Court, </w:t>
      </w:r>
      <w:r>
        <w:rPr>
          <w:rFonts w:ascii="arial" w:eastAsia="arial" w:hAnsi="arial" w:cs="arial"/>
          <w:i/>
          <w:color w:val="000000"/>
          <w:sz w:val="20"/>
          <w:lang w:val="en-US" w:eastAsia="en-US" w:bidi="ar-SA"/>
        </w:rPr>
        <w:t>Mari v. Strata Plan LMS 2835</w:t>
      </w:r>
      <w:r>
        <w:rPr>
          <w:rFonts w:ascii="arial" w:eastAsia="arial" w:hAnsi="arial" w:cs="arial"/>
          <w:color w:val="000000"/>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2007 BCSC 740</w:t>
        </w:r>
      </w:hyperlink>
      <w:r>
        <w:rPr>
          <w:rFonts w:ascii="arial" w:eastAsia="arial" w:hAnsi="arial" w:cs="arial"/>
          <w:color w:val="000000"/>
          <w:sz w:val="20"/>
          <w:lang w:val="en-US" w:eastAsia="en-US" w:bidi="ar-SA"/>
        </w:rPr>
        <w:t>, in which Mr. Justice Burnyeat determined the specific phrase was intended to create a wider accountability than available at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 am satisfied that the legislation is clear and that no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required. The Legislature used the term "responsible for" in s. 158(2) rather than terms such as "legally liable, liable, negligent". </w:t>
      </w:r>
      <w:r>
        <w:rPr>
          <w:rFonts w:ascii="arial" w:eastAsia="arial" w:hAnsi="arial" w:cs="arial"/>
          <w:color w:val="000000"/>
          <w:sz w:val="20"/>
          <w:u w:val="single"/>
          <w:lang w:val="en-US" w:eastAsia="en-US" w:bidi="ar-SA"/>
        </w:rPr>
        <w:t>The choice of the term "responsible" provides owners with the opportunity to allocate to a particular owner the cost of an insurance deductible in cases where an owner was thought to be responsible for a loss</w:t>
      </w:r>
      <w:r>
        <w:rPr>
          <w:rFonts w:ascii="arial" w:eastAsia="arial" w:hAnsi="arial" w:cs="arial"/>
          <w:color w:val="000000"/>
          <w:sz w:val="20"/>
          <w:lang w:val="en-US" w:eastAsia="en-US" w:bidi="ar-SA"/>
        </w:rPr>
        <w:t>. The presence of washing machines, dishwashers, air conditioners, and water dispensing refrigerators are examples of items that pose a risk for water escape. Unless there is a mechanism to direct the payment of the deductible by an owner who keeps or installs an appliance that has the potential for water escape, owners are free to act without consequence...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Burnyeat J's reasoning supports the conclusion that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was intended to extend liability where none exists at common law, including in nuisance. The discussions in </w:t>
      </w:r>
      <w:r>
        <w:rPr>
          <w:rFonts w:ascii="arial" w:eastAsia="arial" w:hAnsi="arial" w:cs="arial"/>
          <w:i/>
          <w:color w:val="000000"/>
          <w:sz w:val="20"/>
          <w:lang w:val="en-US" w:eastAsia="en-US" w:bidi="ar-SA"/>
        </w:rPr>
        <w:t>Mari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Morrison</w:t>
      </w:r>
      <w:r>
        <w:rPr>
          <w:rFonts w:ascii="arial" w:eastAsia="arial" w:hAnsi="arial" w:cs="arial"/>
          <w:color w:val="000000"/>
          <w:sz w:val="20"/>
          <w:lang w:val="en-US" w:eastAsia="en-US" w:bidi="ar-SA"/>
        </w:rPr>
        <w:t xml:space="preserve"> are focused upon the specific interpretation of a single legislative provision. In my view, the trial judge erred in transposing those statements onto a consideration of a landlord's liability for nuisance which the jurisprudence has narrowly defined.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many ways, this is a novel set of circumstances, where a strata property owner is attempting to hold a neighbouring owner liable for a nuisance that arose from the actions of a residential tenant. Counsel were unable to locate any decisions directly on point. The prevailing authorities have involved relationships of a commercial nature between the landlord and the tenant. In commercial relationships, the lessee's known purpose has been central to a finding of liability on behalf of the landlord: in </w:t>
      </w:r>
      <w:r>
        <w:rPr>
          <w:rFonts w:ascii="arial" w:eastAsia="arial" w:hAnsi="arial" w:cs="arial"/>
          <w:i/>
          <w:color w:val="000000"/>
          <w:sz w:val="20"/>
          <w:lang w:val="en-US" w:eastAsia="en-US" w:bidi="ar-SA"/>
        </w:rPr>
        <w:t>Banfai</w:t>
      </w:r>
      <w:r>
        <w:rPr>
          <w:rFonts w:ascii="arial" w:eastAsia="arial" w:hAnsi="arial" w:cs="arial"/>
          <w:color w:val="000000"/>
          <w:sz w:val="20"/>
          <w:lang w:val="en-US" w:eastAsia="en-US" w:bidi="ar-SA"/>
        </w:rPr>
        <w:t xml:space="preserve">, to operate a race track; in </w:t>
      </w:r>
      <w:r>
        <w:rPr>
          <w:rFonts w:ascii="arial" w:eastAsia="arial" w:hAnsi="arial" w:cs="arial"/>
          <w:i/>
          <w:color w:val="000000"/>
          <w:sz w:val="20"/>
          <w:lang w:val="en-US" w:eastAsia="en-US" w:bidi="ar-SA"/>
        </w:rPr>
        <w:t>Kenny</w:t>
      </w:r>
      <w:r>
        <w:rPr>
          <w:rFonts w:ascii="arial" w:eastAsia="arial" w:hAnsi="arial" w:cs="arial"/>
          <w:color w:val="000000"/>
          <w:sz w:val="20"/>
          <w:lang w:val="en-US" w:eastAsia="en-US" w:bidi="ar-SA"/>
        </w:rPr>
        <w:t xml:space="preserve">, to operate a restaurant; in </w:t>
      </w:r>
      <w:r>
        <w:rPr>
          <w:rFonts w:ascii="arial" w:eastAsia="arial" w:hAnsi="arial" w:cs="arial"/>
          <w:i/>
          <w:color w:val="000000"/>
          <w:sz w:val="20"/>
          <w:lang w:val="en-US" w:eastAsia="en-US" w:bidi="ar-SA"/>
        </w:rPr>
        <w:t>Anmore</w:t>
      </w:r>
      <w:r>
        <w:rPr>
          <w:rFonts w:ascii="arial" w:eastAsia="arial" w:hAnsi="arial" w:cs="arial"/>
          <w:color w:val="000000"/>
          <w:sz w:val="20"/>
          <w:lang w:val="en-US" w:eastAsia="en-US" w:bidi="ar-SA"/>
        </w:rPr>
        <w:t>, to operate what was known to be a grossly oversized waste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trial judge extended this to include the purpose, as authorized in the lease, of using water in residential premises. The trial judge stated that "water, a dishwasher, refrigerator and laundry are included in the monthly rent" and "a bathroom is an essential component of a rental unit, including a sink, toilet and bathtub or shower" (para. 41). But the egress of water was not the necessary consequence of providing water for residential use. The Shahgaidis did not specifically contemplate the existence of the nuisance prior to renting the strata unit, nor did the Shahgaidis become aware that the nuisance was ongoing.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fact that the lease contemplated the use of water is insufficient to find that the egress of water was a necessary, or inevitable, consequence of the residential tenancy lease, as the exception is articulated in </w:t>
      </w:r>
      <w:r>
        <w:rPr>
          <w:rFonts w:ascii="arial" w:eastAsia="arial" w:hAnsi="arial" w:cs="arial"/>
          <w:i/>
          <w:color w:val="000000"/>
          <w:sz w:val="20"/>
          <w:lang w:val="en-US" w:eastAsia="en-US" w:bidi="ar-SA"/>
        </w:rPr>
        <w:t>Banfai</w:t>
      </w:r>
      <w:r>
        <w:rPr>
          <w:rFonts w:ascii="arial" w:eastAsia="arial" w:hAnsi="arial" w:cs="arial"/>
          <w:color w:val="000000"/>
          <w:sz w:val="20"/>
          <w:lang w:val="en-US" w:eastAsia="en-US" w:bidi="ar-SA"/>
        </w:rPr>
        <w:t>. This is not to say that a landlord will never be liable for a tenant's nuisance. However, in the circumstances of this case, I find the trial judge applied the legal test for landlord liability too broadly.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VI. </w:t>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For the above reasons, I find that the trial judge erred in his application of the legal test, and thus committed reversible error. The appeal is allowed and the judgment of the court below is quashed. The appellants are entitled to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J.M.I. DUNCAN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0" style="position:absolute;z-index:2517739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Shaman v. Meek, [2019] B.C.J. No. 11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G.S. Funt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13-17, September 20-21 and October 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7,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S116719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Alex Daniel Shaman, Plaintiff, and Blane John Meek, Mary Ann Meek and Wilder Creek Ranching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(226 paras.)</w:t>
      </w:r>
    </w:p>
    <w:p>
      <w:pPr>
        <w:jc w:val="both"/>
        <w:rPr>
          <w:rFonts w:ascii="arial" w:eastAsia="arial" w:hAnsi="arial" w:cs="arial"/>
          <w:sz w:val="20"/>
          <w:lang w:val="en-US" w:eastAsia="en-US" w:bidi="ar-SA"/>
        </w:rPr>
      </w:pPr>
      <w:bookmarkStart w:id="61" w:name="Counsel_15"/>
      <w:bookmarkEnd w:id="6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1"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 Specht, J.D. Nelson.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R.J. McDonellC. Flintoff, S. Browning, Articled Student.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2" w:name="Judgment_15"/>
      <w:bookmarkEnd w:id="62"/>
      <w:r>
        <w:pict>
          <v:line id="_x0000_s1082" style="position:absolute;z-index:2517176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GENERAL BACKGROUND</w:t>
      </w:r>
      <w:r>
        <w:rPr>
          <w:rFonts w:ascii="arial" w:eastAsia="arial" w:hAnsi="arial" w:cs="arial"/>
          <w:sz w:val="20"/>
          <w:lang w:val="en-US" w:eastAsia="en-US" w:bidi="ar-SA"/>
        </w:rPr>
        <w:cr/>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Properties</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Disputed Roads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 INDEFEASIBLE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 HIGHWAYS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 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 CROWN GRANTS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Grants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Crown Grant Provisions</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Provision (Highway Exception)</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Provision (Free Passage)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Provision (Exception in Annexed Plan)</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Fourth Provision (One-twentieth Resumption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 THE TRANSPORTATION ACT (FORMERLY THE HIGHWAY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 THE LAND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 ANALYSIS OF TITLE</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 1/2 of Section 4</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SW 1/4 of Section 9</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 1/4 of Section 8</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 1/4 of Section 8</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 1/4 of Section 33</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NW 1/4 of Section 33</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SW 1/4 of Section 4</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 1/4 of Section 5</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NW 1/4 of Section 5</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(j) Pre-Emptor Series Map - NW 1/4 of Section 5, SW 1/4 of Section 8, and NW 1/4 of Section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 TRESPASSES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 DAMAGES</w:t>
      </w:r>
      <w:r>
        <w:rPr>
          <w:rFonts w:ascii="arial" w:eastAsia="arial" w:hAnsi="arial" w:cs="arial"/>
          <w:sz w:val="20"/>
          <w:lang w:val="en-US" w:eastAsia="en-US" w:bidi="ar-SA"/>
        </w:rPr>
        <w:cr/>
      </w:r>
    </w:p>
    <w:p>
      <w:pPr>
        <w:numPr>
          <w:numId w:val="8"/>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w:t>
      </w:r>
    </w:p>
    <w:p>
      <w:pPr>
        <w:numPr>
          <w:numId w:val="8"/>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8"/>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Aggravated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 INJUNCTIVE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SCHEDULE "A"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3" w:name="G.S. FUNT J."/>
            <w:bookmarkEnd w:id="63"/>
            <w:r>
              <w:rPr>
                <w:rFonts w:ascii="arial" w:eastAsia="arial" w:hAnsi="arial" w:cs="arial"/>
                <w:b/>
                <w:color w:val="000000"/>
                <w:sz w:val="30"/>
                <w:lang w:val="en-US" w:eastAsia="en-US" w:bidi="ar-SA"/>
              </w:rPr>
              <w:t>G.S. FUNT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1.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owns and operates the Shaman Bison Ranch in the Peace River Regional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Mr. Meek, owns the corporate defendant, Wilder Creek Ranching Ltd. ("Wilder Creek"). He manages Wilder Creek with his spouse, Ms. Meek.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Wilder Creek owns the Wilder Creek Ranch, which neighbours the Shaman Bison Ranch to its north and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says that the defendants have trespassed on his ranch primarily by using the roads on his 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seeks $125,000 in damages for trespass, which includes claims for general damages, special damages, and punitive damages. He also seeks a declaration that there are no public roads within his ranch, save for several small exceptions, and an injunction prohibiting any future trespass by any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main issue is whether the roads on the plaintiff's ranch are not public in that the plaintiff has the possessory right to exclude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For the reasons that follow, the Court finds that trespass is proven and awards the plaintiff $3,400 in general damages. The other relief sought is denied. Costs will be separately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GENERAL BACKGROUND</w:t>
      </w:r>
      <w:r>
        <w:rPr>
          <w:rFonts w:ascii="arial" w:eastAsia="arial" w:hAnsi="arial" w:cs="arial"/>
          <w:sz w:val="20"/>
          <w:lang w:val="en-US" w:eastAsia="en-US" w:bidi="ar-SA"/>
        </w:rPr>
        <w:cr/>
      </w:r>
    </w:p>
    <w:p>
      <w:pPr>
        <w:numPr>
          <w:numId w:val="9"/>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1994, the plaintiff purchased all but one of the parcels of land that now comprise his ranch. The vendor was Ms. Margaret Bennett. Ms. Bennett and her husband, Mr. John Bennett, grew crops and raised livestock on their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Many of the parcels were granted to Mr. or Ms. Bennett by the Crown. Other parcels were acquired by them from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2012, the plaintiff acquired the final parcel of land that now comprises his ranch. The parcel is commonly referred to as the "Bell Quarter", a reference to its original owner and descendants. Prior to 2012, Wilder Creek leased the Bell Quarter where hay was grown.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Attached as Schedule "A" to these reasons is a map showing the boundaries of the plaintiff's ranch. The ranch is approximately 2,500 acres or approximately two-and-one-half times the size of Stanley Park, luxuriating in its own special beauty. Bison are raised and crops are grown on the ranch. The plaintiff's children and grandchildren use the ranch; some of them are involved in running the 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To the south of the plaintiff's ranch, there is property owned by The British Columbia Hydro and Power Authority ("BC Hydro"). The plaintiff leases some of the land from BC Hydro to grow crops. On Schedule "A", this leased land is shown with parallel lines sloping upwards to the northeast.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To the south of the plaintiff's land leased from BC Hydro is land leased by Wilder Creek from BC Hydro. This land is shown with parallel lines sloping downwards to the southeast.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To the south of Wilder Creek's leased land is the Peace River.</w:t>
      </w:r>
      <w:r>
        <w:rPr>
          <w:rFonts w:ascii="arial" w:eastAsia="arial" w:hAnsi="arial" w:cs="arial"/>
          <w:sz w:val="20"/>
          <w:lang w:val="en-US" w:eastAsia="en-US" w:bidi="ar-SA"/>
        </w:rPr>
        <w:cr/>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Disputed Roads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"Bennett Road" is shown on Schedule "A". To the north of the main gate, the Bennett Road runs through the Wilder Creek Ranch until it reaches Highway 29. This portion of the Bennett Road is a public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Travelling south from the main gate, the Bennett Road goes to that which the parties refer to as the "Y" (a fork in the road). The plaintiff pleaded that this portion of the Bennett Road was a private road owned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During cross-examination and closing argument, the plaintiff admitted that this portion of the road (between the main gate and the "Y") was a public road until 2012 when the plaintiff applied for this portion of the road to be closed. Accordingly, travel by the defendants on this portion of Bennett Road before 2012 is not trespass. At trial, the plaintiff did not advance claims of trespass after October 6, 2011, the date of the plaintiff's notice of civil claim. The plaintiff's admission recognized that this portion of the road was maintained with the expenditure of public funds, thereby bringing it within s. 42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44</w:t>
      </w:r>
      <w:r>
        <w:rPr>
          <w:rFonts w:ascii="arial" w:eastAsia="arial" w:hAnsi="arial" w:cs="arial"/>
          <w:color w:val="000000"/>
          <w:sz w:val="20"/>
          <w:lang w:val="en-US" w:eastAsia="en-US" w:bidi="ar-SA"/>
        </w:rPr>
        <w:t>, or similar predecessor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To the south of the "Y" is a road that loops in a potato-shape through the plaintiff's ranch (not to be confused with the 700 feet contour line also shown on Schedule "A"). The alleged trespasses by the defendants relate, with minor exceptions, to travel on portions of this potato-shape road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owns a construction company that builds roads, mainly for the oil and gas industry. Shortly after the plaintiff purchased the ranch, he spent considerable personal funds resulting in the high-grade gravel roads that now exist. The existence of roads or trails at the time of the respective grants was a live issue at trial. I will address this aspect in greater detail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noted above, Wilder Creek has leased land from BC Hydro. Wilder Creek first leased the land in 1990. In the past, the leased land was accessible from the west using a public road. However, travel on this road became difficult as a result of a wash-out in 1997. The leased land is also accessible from the north, through roads on the plaintiff's property, as well as from the east, through property owned by Ross Peck, Deborah Peck, and Dan Peck Holdings Ltd. ("the Pecks").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1999, Wilder Creek entered into a 20-year lease in respect of the BC Hydro land, starting January 1, 2000. BC Hydro required Wilder Creek to obtain a written access agreement from "adjacent tenants and landowners" prior to the commencement of the lease. A letter from the Pecks, dated October 26, 1999, was sufficient to satisfy BC Hydro that the defendants were permitted to access the leased land through the Pecks'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BC Hydro viewed the plaintiff's roads as private or at least not accessible to a member of the public without the plaintiff's permission.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Other third parties also did not view the roads on the plaintiff's ranch as freely accessible to the public. For example, Terra Energy Corp., under an amendment of lease dated July 3, 2007, agreed to pay $18,000 annually for "private road access" to its wells within the Shaman Bison Ranch. The private road access involved Sections 4, 8, 9, and 33 shown on Schedule "A". Terra Energy Corp. was a successor under the original 1999 lease. The lessee under the original lease had agreed to pay a one-time sum of $42,000 and $11,025 per annum after the first year and the same amount for each subsequent year "in the event the well is a producer".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Court heard considerable testimony about the often acrimonious relationship between the plaintiff and the defendant, Mr. Meek.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pleaded (in part):</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Blane John Meek, Mary Anne Meek and Wilder Creek Ranching Ltd. did obtain agricultural leases and licences with the Defendant BC Hydro and Power Authority with respect to lands adjacent to the Shaman Bison Ranch that are owned by the BC Hydro and Power Authority along the banks of the Peace River (the "BC Hydro Property") from the period of 1995 to 2010.</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the period of 1995 to 2010, the Defendants Blane John Meek, Mary Anne Meek and Wilder Creek Ranching Ltd. trespassed on the Shaman Bison Ranch utilizing a private road on the property to access the BC Hydro Property for agricultural purposes and to transport farm equipment and crop material and to access leased land from a third party by the Defendants in the SW 1/4 Section 8 prior to the purchase of that section by the Plaintiff [the "Bell Quarter"].</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Blane John Meek, Mary Anne Meek and Wilder Creek Ranching Ltd. continued to trespass on the Shaman Bison Ranch repeatedly from 1995 to 2011 at the express objection of the Plaintiff and despite efforts he made to prevent entry, which were disturbed.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BC Hydro and Power Authority entered into the agricultural lease or licence with the Defendants Blane John Meek, Mary Anne Meek and Wilder Creek Ranching Ltd. setting out conditions that the Defendants obtain access to the agricultural lease other than through the Plaintiff's lands. Despite agreeing to do so and securing an alternate access, the Defendants continued to trespass through the Plaintiff's lands.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moved persons and equipment through the Plaintiff's lands without the Plaintiffs consent, inclusive of cutting gate locks and fences to facilitate same as part of their trespass.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entering on to the Shaman Bison Ranch as referred to above, the Defendants have caused the Plaintiff to suffer loss, damage and mental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From the presentation of evidence at trial, I understand the reference to the period "from 1995 to 2011" to include the year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plaintiff's action was filed on October 6, 2011. The applicable limitation period is two years: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R.S.B.C. 1996, c. 266, s. 3(2)(b);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S.B.C. 2012, c. 13, s. 30</w:t>
        </w:r>
      </w:hyperlink>
      <w:r>
        <w:rPr>
          <w:rFonts w:ascii="arial" w:eastAsia="arial" w:hAnsi="arial" w:cs="arial"/>
          <w:color w:val="000000"/>
          <w:sz w:val="20"/>
          <w:lang w:val="en-US" w:eastAsia="en-US" w:bidi="ar-SA"/>
        </w:rPr>
        <w:t>(3).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light of the limitation period, I will only consider the alleged trespasses that occurred between October 6, 2009 and October 6, 2011, inclusive. As noted, since October 6, 2011, the plaintiff does not claim any further trespasses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By October 2009, the defendants knew that the plaintiff did not consent to their presence on the plaintiff's ranch (other than to recover escaped livestock). In particular, the plaintiff sent an October 28, 2009 invoice to the defendant, Wilder Creek, billing $5,000 per year for the years from 1995 to and including 2009 ($70,000). The invoice was never paid. In his testimony, Mr. Meek admitted to using, without the plaintiff's consent, the roads on the plaintiff's ranch, in particular, for access to the Bell Quarter and the land Wilder Creek leased from BC Hydro within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expressed in the defendants' written submissions, the issue at bar is primarily one of law involving the legal status of the roads on the plaintiff's ranch. Defendants' counsel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main points of departure between the parties arise as to the effect of the existing roads on the Plaintiff's lands at the time of the Crown Grants and the Non-Interference Condition. [The "Free Passage" Provision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Peter Ballantyne Cree Nation v. Canada (Attorney General)</w:t>
      </w:r>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2016 SKCA 124</w:t>
        </w:r>
      </w:hyperlink>
      <w:r>
        <w:rPr>
          <w:rFonts w:ascii="arial" w:eastAsia="arial" w:hAnsi="arial" w:cs="arial"/>
          <w:color w:val="000000"/>
          <w:sz w:val="20"/>
          <w:lang w:val="en-US" w:eastAsia="en-US" w:bidi="ar-SA"/>
        </w:rPr>
        <w:t xml:space="preserve">, leave to appeal ref'd </w:t>
      </w:r>
      <w:hyperlink r:id="rId373" w:history="1">
        <w:r>
          <w:rPr>
            <w:rFonts w:ascii="arial" w:eastAsia="arial" w:hAnsi="arial" w:cs="arial"/>
            <w:i/>
            <w:color w:val="0077CC"/>
            <w:sz w:val="20"/>
            <w:u w:val="single"/>
            <w:shd w:val="clear" w:color="auto" w:fill="FFFFFF"/>
            <w:lang w:val="en-US" w:eastAsia="en-US" w:bidi="ar-SA"/>
          </w:rPr>
          <w:t>[2017] S.C.C.A. No. 95</w:t>
        </w:r>
      </w:hyperlink>
      <w:r>
        <w:rPr>
          <w:rFonts w:ascii="arial" w:eastAsia="arial" w:hAnsi="arial" w:cs="arial"/>
          <w:color w:val="000000"/>
          <w:sz w:val="20"/>
          <w:lang w:val="en-US" w:eastAsia="en-US" w:bidi="ar-SA"/>
        </w:rPr>
        <w:t>, Justice Herauf, writing for the Court, reviewed and provided a useful summary of the law of trespass. Justice Herauf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[128] The mischief that trespass is directed at remedying is "unjustifiable interference with possession": </w:t>
      </w:r>
      <w:r>
        <w:rPr>
          <w:rFonts w:ascii="arial" w:eastAsia="arial" w:hAnsi="arial" w:cs="arial"/>
          <w:i/>
          <w:color w:val="000000"/>
          <w:sz w:val="20"/>
          <w:lang w:val="en-US" w:eastAsia="en-US" w:bidi="ar-SA"/>
        </w:rPr>
        <w:t>Didow v. Alberta Power Limited</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1988 ABCA 257</w:t>
        </w:r>
      </w:hyperlink>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[1988] 5 WWR 606</w:t>
        </w:r>
      </w:hyperlink>
      <w:r>
        <w:rPr>
          <w:rFonts w:ascii="arial" w:eastAsia="arial" w:hAnsi="arial" w:cs="arial"/>
          <w:color w:val="000000"/>
          <w:sz w:val="20"/>
          <w:lang w:val="en-US" w:eastAsia="en-US" w:bidi="ar-SA"/>
        </w:rPr>
        <w:t xml:space="preserve">. It is "the act of entering upon land, in the possession of another, or placing or throwing or erecting some material object thereon without the legal right to do so": </w:t>
      </w:r>
      <w:r>
        <w:rPr>
          <w:rFonts w:ascii="arial" w:eastAsia="arial" w:hAnsi="arial" w:cs="arial"/>
          <w:i/>
          <w:color w:val="000000"/>
          <w:sz w:val="20"/>
          <w:lang w:val="en-US" w:eastAsia="en-US" w:bidi="ar-SA"/>
        </w:rPr>
        <w:t>Mann v. Saulnier</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(1959), 19 D.L.R. (2d) 130</w:t>
        </w:r>
      </w:hyperlink>
      <w:r>
        <w:rPr>
          <w:rFonts w:ascii="arial" w:eastAsia="arial" w:hAnsi="arial" w:cs="arial"/>
          <w:color w:val="000000"/>
          <w:sz w:val="20"/>
          <w:lang w:val="en-US" w:eastAsia="en-US" w:bidi="ar-SA"/>
        </w:rPr>
        <w:t xml:space="preserve"> (N.B.S.C.) at 132 [</w:t>
      </w:r>
      <w:r>
        <w:rPr>
          <w:rFonts w:ascii="arial" w:eastAsia="arial" w:hAnsi="arial" w:cs="arial"/>
          <w:i/>
          <w:color w:val="000000"/>
          <w:sz w:val="20"/>
          <w:lang w:val="en-US" w:eastAsia="en-US" w:bidi="ar-SA"/>
        </w:rPr>
        <w:t>Mann</w:t>
      </w:r>
      <w:r>
        <w:rPr>
          <w:rFonts w:ascii="arial" w:eastAsia="arial" w:hAnsi="arial" w:cs="arial"/>
          <w:color w:val="000000"/>
          <w:sz w:val="20"/>
          <w:lang w:val="en-US" w:eastAsia="en-US" w:bidi="ar-SA"/>
        </w:rPr>
        <w:t xml:space="preserve">]. As can be gleaned from the above, the discharge of some substance such as water or oil onto another's property may similarly interfere with possession: </w:t>
      </w:r>
      <w:r>
        <w:rPr>
          <w:rFonts w:ascii="arial" w:eastAsia="arial" w:hAnsi="arial" w:cs="arial"/>
          <w:i/>
          <w:color w:val="000000"/>
          <w:sz w:val="20"/>
          <w:lang w:val="en-US" w:eastAsia="en-US" w:bidi="ar-SA"/>
        </w:rPr>
        <w:t>Fleming's The Law of Torts</w:t>
      </w:r>
      <w:r>
        <w:rPr>
          <w:rFonts w:ascii="arial" w:eastAsia="arial" w:hAnsi="arial" w:cs="arial"/>
          <w:color w:val="000000"/>
          <w:sz w:val="20"/>
          <w:lang w:val="en-US" w:eastAsia="en-US" w:bidi="ar-SA"/>
        </w:rPr>
        <w:t xml:space="preserve">, at 50; </w:t>
      </w:r>
      <w:r>
        <w:rPr>
          <w:rFonts w:ascii="arial" w:eastAsia="arial" w:hAnsi="arial" w:cs="arial"/>
          <w:i/>
          <w:color w:val="000000"/>
          <w:sz w:val="20"/>
          <w:lang w:val="en-US" w:eastAsia="en-US" w:bidi="ar-SA"/>
        </w:rPr>
        <w:t>Esso</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[129] As explained by Fleming at 49, the historical origins of trespass can explain its core ingredients: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From earliest times the common law protected the possessory rights of landlords against unauthorised entry by an action of trespass, known as </w:t>
      </w:r>
      <w:r>
        <w:rPr>
          <w:rFonts w:ascii="arial" w:eastAsia="arial" w:hAnsi="arial" w:cs="arial"/>
          <w:i/>
          <w:color w:val="000000"/>
          <w:sz w:val="20"/>
          <w:lang w:val="en-US" w:eastAsia="en-US" w:bidi="ar-SA"/>
        </w:rPr>
        <w:t>quare clausum fregit..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course of its history, this action of trespass came to be used for a number of different purposes which have left their mark on its conditions of liability. In origin, trespass was a remedy of forcible breach of the King's peace, aimed against acts of intentional aggression. This early association with the maintenance of public order explains why the action lies only for interference with an occupier's </w:t>
      </w:r>
      <w:r>
        <w:rPr>
          <w:rFonts w:ascii="arial" w:eastAsia="arial" w:hAnsi="arial" w:cs="arial"/>
          <w:i/>
          <w:color w:val="000000"/>
          <w:sz w:val="20"/>
          <w:lang w:val="en-US" w:eastAsia="en-US" w:bidi="ar-SA"/>
        </w:rPr>
        <w:t>actual</w:t>
      </w:r>
      <w:r>
        <w:rPr>
          <w:rFonts w:ascii="arial" w:eastAsia="arial" w:hAnsi="arial" w:cs="arial"/>
          <w:color w:val="000000"/>
          <w:sz w:val="20"/>
          <w:lang w:val="en-US" w:eastAsia="en-US" w:bidi="ar-SA"/>
        </w:rPr>
        <w:t xml:space="preserve"> possession. Its proprietary aspect became more dominant when it was later used for the purpose of settling boundary disputes, quieting title and preventing the acquisition of easements by prescriptive user. These latter functions account for the rules that the plaintiff is not required to prove material loss, and that a mistaken belief by the defendant that the land was his affords no excuse. The temptation for the occupier to resort to violence in defence of his boundary and privacy was not lessened by the absence of pecuniary loss, while in less serious cases nominal damages were justified to vindicate his rights against adverse claims. Likewise, if mistake as to title had been admitted as a defence, trespass would have been a less suitable remedy for settling claims to disputed land.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[130] The modern function of trespass to land was described by Philip H. Osborne in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4th ed. (Toronto: Irwin Law, 2011) at 295-296: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modern tort law, trespass to land plays a much more sophisticated role. First, it protects the possessor's interest in freedom of land use. The power to control entry onto land facilitates the use and development in accordance with the possessor's desires and interests. A possessor of land is not required to accommodate others who may have a reasonable need or desire to enter his land. Second, trespass to land plays a conventional compensatory and deterrent role when an intruder damages land or destroys premises. Third, trespass to land plays an important role in the protection of privacy interests. The slightest intrusion into a person's home or apartment gives rise to trespassory remedies. ... Finally, trespass to land is an adjunct of the law of real property. It plays a role in the determination of competing land claims and the settlement of boundary disputes. It also provides protection to the possessor against the acquisition of prescriptive easements over his property as a result of twenty years of continuous trespassing in derogation of the possessor's rights. The trespassory conduct may be trivial and harmless, such as a technical but permanent invasion of airspace and the use of land as a pedestrian right of way. Nevertheless, the tort of trespass to land allows the possessor to assert his proprietary rights and prevent the establishment of a prescriptive easement. The capacity of the tort to trespass to complement property law is enhanced by the fact that trespass is actionable without proof of damage and also by the fact that mistake is no defence.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[131] Osborne in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describes the elements of trespass as follows (at 296-298):</w:t>
      </w:r>
    </w:p>
    <w:p>
      <w:pPr>
        <w:numPr>
          <w:numId w:val="1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intrusion onto the land must be direct;</w:t>
      </w:r>
    </w:p>
    <w:p>
      <w:pPr>
        <w:numPr>
          <w:numId w:val="18"/>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interference with land must be intentional or negligent; and</w:t>
      </w:r>
    </w:p>
    <w:p>
      <w:pPr>
        <w:numPr>
          <w:numId w:val="19"/>
        </w:numPr>
        <w:tabs>
          <w:tab w:val="num" w:pos="1840"/>
          <w:tab w:val="clear" w:pos="292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interference with the land must be physical.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[132] In practice, the requirement that the interference must be intentional or negligent, is limited to intentional interference as negligent interference is normally pleaded in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generally viewed that "intentional" does not mean that the defendant intended to do a wrongful act against the plaintiff, but that the defendant completed a voluntary and affirmative act. Trespass will occur, regardless of consciousness of wrongdoing, if the defendant intends to conduct itself in a certain manner and exercises its volition to do so (</w:t>
      </w:r>
      <w:r>
        <w:rPr>
          <w:rFonts w:ascii="arial" w:eastAsia="arial" w:hAnsi="arial" w:cs="arial"/>
          <w:i/>
          <w:color w:val="000000"/>
          <w:sz w:val="20"/>
          <w:lang w:val="en-US" w:eastAsia="en-US" w:bidi="ar-SA"/>
        </w:rPr>
        <w:t>Calgary (City) v. Costello</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1997 ABCA 281</w:t>
        </w:r>
      </w:hyperlink>
      <w:r>
        <w:rPr>
          <w:rFonts w:ascii="arial" w:eastAsia="arial" w:hAnsi="arial" w:cs="arial"/>
          <w:color w:val="000000"/>
          <w:sz w:val="20"/>
          <w:lang w:val="en-US" w:eastAsia="en-US" w:bidi="ar-SA"/>
        </w:rPr>
        <w:t xml:space="preserve"> at para. 33, </w:t>
      </w:r>
      <w:hyperlink r:id="rId376" w:history="1">
        <w:r>
          <w:rPr>
            <w:rFonts w:ascii="arial" w:eastAsia="arial" w:hAnsi="arial" w:cs="arial"/>
            <w:i/>
            <w:color w:val="0077CC"/>
            <w:sz w:val="20"/>
            <w:u w:val="single"/>
            <w:shd w:val="clear" w:color="auto" w:fill="FFFFFF"/>
            <w:lang w:val="en-US" w:eastAsia="en-US" w:bidi="ar-SA"/>
          </w:rPr>
          <w:t>152 D.L.R. (4th) 453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Costello</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East Crest Oil Co. Ltd.</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[1945] S.C.R. 191</w:t>
        </w:r>
      </w:hyperlink>
      <w:r>
        <w:rPr>
          <w:rFonts w:ascii="arial" w:eastAsia="arial" w:hAnsi="arial" w:cs="arial"/>
          <w:color w:val="000000"/>
          <w:sz w:val="20"/>
          <w:lang w:val="en-US" w:eastAsia="en-US" w:bidi="ar-SA"/>
        </w:rPr>
        <w:t xml:space="preserve"> at 195, Rand J. stated that "[t]respass does not depend upon intention. If I walk upon my neighbour's land, I am a trespasser even though I believe it to be my own". Furthermore, if person A is carried against his will by person B onto the plaintiff's land, A is not liable for trespass as his act was not voluntary (see </w:t>
      </w:r>
      <w:r>
        <w:rPr>
          <w:rFonts w:ascii="arial" w:eastAsia="arial" w:hAnsi="arial" w:cs="arial"/>
          <w:i/>
          <w:color w:val="000000"/>
          <w:sz w:val="20"/>
          <w:lang w:val="en-US" w:eastAsia="en-US" w:bidi="ar-SA"/>
        </w:rPr>
        <w:t>Smith v. Stone</w:t>
      </w:r>
      <w:r>
        <w:rPr>
          <w:rFonts w:ascii="arial" w:eastAsia="arial" w:hAnsi="arial" w:cs="arial"/>
          <w:color w:val="000000"/>
          <w:sz w:val="20"/>
          <w:lang w:val="en-US" w:eastAsia="en-US" w:bidi="ar-SA"/>
        </w:rPr>
        <w:t xml:space="preserve"> (1647), 82 ER 533). The requirement that the interference must be physical simply means that the defendant themselves must have physically interfered with the property or caused some physical object to be placed on the property. Objects such as fumes, smoke, noise, or odour do not fall within trespass.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[135] Next, trespass is actionable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in that it does not require proof of actual damage to render a wrong actionable: </w:t>
      </w:r>
      <w:r>
        <w:rPr>
          <w:rFonts w:ascii="arial" w:eastAsia="arial" w:hAnsi="arial" w:cs="arial"/>
          <w:i/>
          <w:color w:val="000000"/>
          <w:sz w:val="20"/>
          <w:lang w:val="en-US" w:eastAsia="en-US" w:bidi="ar-SA"/>
        </w:rPr>
        <w:t>Wordsworth v. Harley</w:t>
      </w:r>
      <w:r>
        <w:rPr>
          <w:rFonts w:ascii="arial" w:eastAsia="arial" w:hAnsi="arial" w:cs="arial"/>
          <w:color w:val="000000"/>
          <w:sz w:val="20"/>
          <w:lang w:val="en-US" w:eastAsia="en-US" w:bidi="ar-SA"/>
        </w:rPr>
        <w:t xml:space="preserve"> (1830), 109 E.R. 833; </w:t>
      </w:r>
      <w:r>
        <w:rPr>
          <w:rFonts w:ascii="arial" w:eastAsia="arial" w:hAnsi="arial" w:cs="arial"/>
          <w:i/>
          <w:color w:val="000000"/>
          <w:sz w:val="20"/>
          <w:lang w:val="en-US" w:eastAsia="en-US" w:bidi="ar-SA"/>
        </w:rPr>
        <w:t>Collins v. Pelletier</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2014 SKCA 130</w:t>
        </w:r>
      </w:hyperlink>
      <w:r>
        <w:rPr>
          <w:rFonts w:ascii="arial" w:eastAsia="arial" w:hAnsi="arial" w:cs="arial"/>
          <w:color w:val="000000"/>
          <w:sz w:val="20"/>
          <w:lang w:val="en-US" w:eastAsia="en-US" w:bidi="ar-SA"/>
        </w:rPr>
        <w:t xml:space="preserve"> at para. 13, </w:t>
      </w:r>
      <w:hyperlink r:id="rId378" w:history="1">
        <w:r>
          <w:rPr>
            <w:rFonts w:ascii="arial" w:eastAsia="arial" w:hAnsi="arial" w:cs="arial"/>
            <w:i/>
            <w:color w:val="0077CC"/>
            <w:sz w:val="20"/>
            <w:u w:val="single"/>
            <w:shd w:val="clear" w:color="auto" w:fill="FFFFFF"/>
            <w:lang w:val="en-US" w:eastAsia="en-US" w:bidi="ar-SA"/>
          </w:rPr>
          <w:t>446 Sask R 303</w:t>
        </w:r>
      </w:hyperlink>
      <w:r>
        <w:rPr>
          <w:rFonts w:ascii="arial" w:eastAsia="arial" w:hAnsi="arial" w:cs="arial"/>
          <w:color w:val="000000"/>
          <w:sz w:val="20"/>
          <w:lang w:val="en-US" w:eastAsia="en-US" w:bidi="ar-SA"/>
        </w:rPr>
        <w:t xml:space="preserve">. Trespass is concerned primarily with interference of possessory rights. As a tort of strict liability, it acts as a remedy against dispossession, vindicating a propriety interest rather than a tort obligation: see Fleming at 50; </w:t>
      </w:r>
      <w:r>
        <w:rPr>
          <w:rFonts w:ascii="arial" w:eastAsia="arial" w:hAnsi="arial" w:cs="arial"/>
          <w:i/>
          <w:color w:val="000000"/>
          <w:sz w:val="20"/>
          <w:lang w:val="en-US" w:eastAsia="en-US" w:bidi="ar-SA"/>
        </w:rPr>
        <w:t>Costello</w:t>
      </w:r>
      <w:r>
        <w:rPr>
          <w:rFonts w:ascii="arial" w:eastAsia="arial" w:hAnsi="arial" w:cs="arial"/>
          <w:color w:val="000000"/>
          <w:sz w:val="20"/>
          <w:lang w:val="en-US" w:eastAsia="en-US" w:bidi="ar-SA"/>
        </w:rPr>
        <w:t xml:space="preserve">. A classic example of this aspect of trespass is illustrated by the old case of </w:t>
      </w:r>
      <w:r>
        <w:rPr>
          <w:rFonts w:ascii="arial" w:eastAsia="arial" w:hAnsi="arial" w:cs="arial"/>
          <w:i/>
          <w:color w:val="000000"/>
          <w:sz w:val="20"/>
          <w:lang w:val="en-US" w:eastAsia="en-US" w:bidi="ar-SA"/>
        </w:rPr>
        <w:t>Basely v. Clarkson</w:t>
      </w:r>
      <w:r>
        <w:rPr>
          <w:rFonts w:ascii="arial" w:eastAsia="arial" w:hAnsi="arial" w:cs="arial"/>
          <w:color w:val="000000"/>
          <w:sz w:val="20"/>
          <w:lang w:val="en-US" w:eastAsia="en-US" w:bidi="ar-SA"/>
        </w:rPr>
        <w:t xml:space="preserve"> (1681), 83 E.R. 565 [</w:t>
      </w:r>
      <w:r>
        <w:rPr>
          <w:rFonts w:ascii="arial" w:eastAsia="arial" w:hAnsi="arial" w:cs="arial"/>
          <w:i/>
          <w:color w:val="000000"/>
          <w:sz w:val="20"/>
          <w:lang w:val="en-US" w:eastAsia="en-US" w:bidi="ar-SA"/>
        </w:rPr>
        <w:t>Basely</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Basely</w:t>
      </w:r>
      <w:r>
        <w:rPr>
          <w:rFonts w:ascii="arial" w:eastAsia="arial" w:hAnsi="arial" w:cs="arial"/>
          <w:color w:val="000000"/>
          <w:sz w:val="20"/>
          <w:lang w:val="en-US" w:eastAsia="en-US" w:bidi="ar-SA"/>
        </w:rPr>
        <w:t>, the defendant was liable in trespass to land for innocently mowing the plaintiff's grass in belief it was his own. However, he intentionally (perhaps should be read as "voluntarily") acted which interfered with the property right of another: see Osborne at 296-97.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[136] An aspect of trespass that is of particular importance in this case is that the tort may "continue" if the interference is not dealt with by the defendant. This characteristic is explained in Fleming's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10th ed. at 53 (portions of this passage is quoted by the Chambers judge, and in </w:t>
      </w:r>
      <w:r>
        <w:rPr>
          <w:rFonts w:ascii="arial" w:eastAsia="arial" w:hAnsi="arial" w:cs="arial"/>
          <w:i/>
          <w:color w:val="000000"/>
          <w:sz w:val="20"/>
          <w:lang w:val="en-US" w:eastAsia="en-US" w:bidi="ar-SA"/>
        </w:rPr>
        <w:t>Johnson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If a structure or other object is placed on another's land, not only the initial intrusion but also failure to remove it constitute an actionable wrong. There is a "continuing trespass" as long as the object remains</w:t>
      </w:r>
      <w:r>
        <w:rPr>
          <w:rFonts w:ascii="arial" w:eastAsia="arial" w:hAnsi="arial" w:cs="arial"/>
          <w:color w:val="000000"/>
          <w:sz w:val="20"/>
          <w:lang w:val="en-US" w:eastAsia="en-US" w:bidi="ar-SA"/>
        </w:rPr>
        <w:t xml:space="preserve">; and on account of it both a subsequent transferee of the land may sue and a purchaser of the offending chattel or structure be liable, because </w:t>
      </w:r>
      <w:r>
        <w:rPr>
          <w:rFonts w:ascii="arial" w:eastAsia="arial" w:hAnsi="arial" w:cs="arial"/>
          <w:color w:val="000000"/>
          <w:sz w:val="20"/>
          <w:u w:val="single"/>
          <w:lang w:val="en-US" w:eastAsia="en-US" w:bidi="ar-SA"/>
        </w:rPr>
        <w:t>the wrong gives rise to actions de die in diem until the condition is abated</w:t>
      </w:r>
      <w:r>
        <w:rPr>
          <w:rFonts w:ascii="arial" w:eastAsia="arial" w:hAnsi="arial" w:cs="arial"/>
          <w:color w:val="000000"/>
          <w:sz w:val="20"/>
          <w:lang w:val="en-US" w:eastAsia="en-US" w:bidi="ar-SA"/>
        </w:rPr>
        <w:t xml:space="preserve"> ... In all these cases, the plaintiff may maintain successive actions, but, in each, damages are assessed only as accrued up to the date of the action. This solution has the advantage to the injured party that the statute of limitations does not run from the initial trespass, but entails the inconvenience of forcing him to institute repeated actions for continuing loss. [Emphasis added by Herauf J.A.; footnotes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[137] A similar passage is found in </w:t>
      </w:r>
      <w:r>
        <w:rPr>
          <w:rFonts w:ascii="arial" w:eastAsia="arial" w:hAnsi="arial" w:cs="arial"/>
          <w:i/>
          <w:color w:val="000000"/>
          <w:sz w:val="20"/>
          <w:lang w:val="en-US" w:eastAsia="en-US" w:bidi="ar-SA"/>
        </w:rPr>
        <w:t>Salmond on the Law of Torts</w:t>
      </w:r>
      <w:r>
        <w:rPr>
          <w:rFonts w:ascii="arial" w:eastAsia="arial" w:hAnsi="arial" w:cs="arial"/>
          <w:color w:val="000000"/>
          <w:sz w:val="20"/>
          <w:lang w:val="en-US" w:eastAsia="en-US" w:bidi="ar-SA"/>
        </w:rPr>
        <w:t xml:space="preserve"> (R.F.V. Heuston, 17th ed. (London: Sweet &amp; Maxwell, 1977)) at 42: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trespass by way of personal entry is a continuing injury, lasting as long as the personal presence of the wrongdoer, and giving rise to actions </w:t>
      </w:r>
      <w:r>
        <w:rPr>
          <w:rFonts w:ascii="arial" w:eastAsia="arial" w:hAnsi="arial" w:cs="arial"/>
          <w:i/>
          <w:color w:val="000000"/>
          <w:sz w:val="20"/>
          <w:lang w:val="en-US" w:eastAsia="en-US" w:bidi="ar-SA"/>
        </w:rPr>
        <w:t>de die in diem</w:t>
      </w:r>
      <w:r>
        <w:rPr>
          <w:rFonts w:ascii="arial" w:eastAsia="arial" w:hAnsi="arial" w:cs="arial"/>
          <w:color w:val="000000"/>
          <w:sz w:val="20"/>
          <w:lang w:val="en-US" w:eastAsia="en-US" w:bidi="ar-SA"/>
        </w:rPr>
        <w:t xml:space="preserve"> so long as it lasts, is sufficiently obvious. </w:t>
      </w:r>
      <w:r>
        <w:rPr>
          <w:rFonts w:ascii="arial" w:eastAsia="arial" w:hAnsi="arial" w:cs="arial"/>
          <w:color w:val="000000"/>
          <w:sz w:val="20"/>
          <w:u w:val="single"/>
          <w:lang w:val="en-US" w:eastAsia="en-US" w:bidi="ar-SA"/>
        </w:rPr>
        <w:t>It is well settled, however, that the same characteristic belongs in law even to those trespasses which consist in placing things upon the plaintiff's land. Such a trespass continues until it has been abated by the removal of the thing which is thus trespassing</w:t>
      </w:r>
      <w:r>
        <w:rPr>
          <w:rFonts w:ascii="arial" w:eastAsia="arial" w:hAnsi="arial" w:cs="arial"/>
          <w:color w:val="000000"/>
          <w:sz w:val="20"/>
          <w:lang w:val="en-US" w:eastAsia="en-US" w:bidi="ar-SA"/>
        </w:rPr>
        <w:t>; successive actions will lie from day to day until it is so removed; and in each action damages (unless awarded in lieu of an injunction) are assessed only up to the date of the action. ... [Emphasis added by Herauf J.A.; footnotes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[138] When one examines the origins and characteristics of trespass, one ascertains the immediate logic behind the concept of continuing trespass. Trespass is different from most other torts, notably from nuisance, in that the offending action is in and of itself the damage that gives rise to liability. As identified by Fleming at 50, "[i] ntentional invasions are actionable whether resulting in harm or not." A trespass is occurring as long as the possessory rights of the plaintiff are being interfered with. As affirmed in [</w:t>
      </w:r>
      <w:r>
        <w:rPr>
          <w:rFonts w:ascii="arial" w:eastAsia="arial" w:hAnsi="arial" w:cs="arial"/>
          <w:i/>
          <w:color w:val="000000"/>
          <w:sz w:val="20"/>
          <w:lang w:val="en-US" w:eastAsia="en-US" w:bidi="ar-SA"/>
        </w:rPr>
        <w:t>Roberts v. Portage la Prairie (City)</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[1971] S.C.R. 481</w:t>
        </w:r>
      </w:hyperlink>
      <w:r>
        <w:rPr>
          <w:rFonts w:ascii="arial" w:eastAsia="arial" w:hAnsi="arial" w:cs="arial"/>
          <w:color w:val="000000"/>
          <w:sz w:val="20"/>
          <w:lang w:val="en-US" w:eastAsia="en-US" w:bidi="ar-SA"/>
        </w:rPr>
        <w:t>] "a trespass continues so long as the defendant remains present upon the plaintiff's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For the case at bar, the last paragraph of the foregoing passage is of particular importance. The tort of trespass is actionable as of right: a defendant's presence (or interference) "is in and of itself damage that gives rise to liability". However, a trespass only continues while the defendant remains present on the plaintiff's land. There is no "continuing trespass" where a defendant leaves the plaintiff's property and then returns to it at a later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An element of a trespass action is interference with the plaintiff's possessory right to the subject property. As noted in Osborne's,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5th ed., (Toronto: 2015) at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Trespass to land does not protect title to, or ownership of, land. It protects </w:t>
      </w:r>
      <w:r>
        <w:rPr>
          <w:rFonts w:ascii="arial" w:eastAsia="arial" w:hAnsi="arial" w:cs="arial"/>
          <w:i/>
          <w:color w:val="000000"/>
          <w:sz w:val="20"/>
          <w:lang w:val="en-US" w:eastAsia="en-US" w:bidi="ar-SA"/>
        </w:rPr>
        <w:t>actual possession</w:t>
      </w:r>
      <w:r>
        <w:rPr>
          <w:rFonts w:ascii="arial" w:eastAsia="arial" w:hAnsi="arial" w:cs="arial"/>
          <w:color w:val="000000"/>
          <w:sz w:val="20"/>
          <w:lang w:val="en-US" w:eastAsia="en-US" w:bidi="ar-SA"/>
        </w:rPr>
        <w:t xml:space="preserve"> of land. Possession is a difficult and fluid concept of property law. It is based on the idea of occupation and control of land coupled with the intention to exclude other persons. The possessor is one who exercises exclusive occupation of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Trespass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2018, c. 3</w:t>
      </w:r>
      <w:r>
        <w:rPr>
          <w:rFonts w:ascii="arial" w:eastAsia="arial" w:hAnsi="arial" w:cs="arial"/>
          <w:color w:val="000000"/>
          <w:sz w:val="20"/>
          <w:lang w:val="en-US" w:eastAsia="en-US" w:bidi="ar-SA"/>
        </w:rPr>
        <w:t xml:space="preserve">, also provides that trespass is an offence subject to the defences of consent, lawful authority, or colour of right. The relevant prior legislation had similar provisions: </w:t>
      </w:r>
      <w:r>
        <w:rPr>
          <w:rFonts w:ascii="arial" w:eastAsia="arial" w:hAnsi="arial" w:cs="arial"/>
          <w:i/>
          <w:color w:val="000000"/>
          <w:sz w:val="20"/>
          <w:lang w:val="en-US" w:eastAsia="en-US" w:bidi="ar-SA"/>
        </w:rPr>
        <w:t>Trespass Act</w:t>
      </w:r>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R.S.B.C. 1996, c. 463, ss. 4</w:t>
        </w:r>
      </w:hyperlink>
      <w:r>
        <w:rPr>
          <w:rFonts w:ascii="arial" w:eastAsia="arial" w:hAnsi="arial" w:cs="arial"/>
          <w:color w:val="000000"/>
          <w:sz w:val="20"/>
          <w:lang w:val="en-US" w:eastAsia="en-US" w:bidi="ar-SA"/>
        </w:rPr>
        <w:t>,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asserts that the defendants, in particular, Mr. Meek, used the plaintiff's roads to gain access to the Wilder Creek land leased from BC Hydro and also to the Bell Quarter. The defendants assert that the plaintiff wished to prevent their access through the Shaman Bison Ranch in order to make it more difficult for them to access the Wilder Creek leased land because the plaintiff wished to take-over the lease. The defendants argue that the roads on the Shaman Bison Ranch were roads on which the public was free to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noted, as a matter of law, the motive or purpose for intruding onto a person's property is not relevant in determining trespass. Similarly, as Osborne notes: "A possessor of land is not required to accommodate others who may have a reasonable need or desire to enter his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 INDEFEASIBLE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Section 23(2)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xml:space="preserve">, states the effect of holding indefeasible title. For the purposes at bar, s. 23(2)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reads:</w:t>
      </w:r>
      <w:r>
        <w:rPr>
          <w:rFonts w:ascii="arial" w:eastAsia="arial" w:hAnsi="arial" w:cs="arial"/>
          <w:sz w:val="20"/>
          <w:lang w:val="en-US" w:eastAsia="en-US" w:bidi="ar-SA"/>
        </w:rPr>
        <w:cr/>
      </w:r>
    </w:p>
    <w:p>
      <w:pPr>
        <w:numPr>
          <w:numId w:val="20"/>
        </w:numPr>
        <w:tabs>
          <w:tab w:val="num" w:pos="1120"/>
          <w:tab w:val="clear" w:pos="29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indefeasible title, as long as it remains in force and uncancelled, is conclusive evidence at law and in equity, as against the Crown and all other persons, that the person named in the title as registered owner is indefeasibly entitled to an estate in fee simple to the land described in the indefeasible title, subject to the following:</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subsisting conditions, provisos, restrictions, exceptions and reservations, including royalties, contained in the original grant or contained in any other grant or disposition from the Crown; ...</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highway or public right of way, watercourse, right of water or other public easement;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Section 1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defines "highway". The definition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"highway" includes a public street, path, walkway, trail, lane, bridge, road, thoroughfare and any other public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principle of indefeasibility of title is a basic tenet of the Torrens system of property. Under the Torrens system, it is generally unnecessary to look beyond the register in order to learn the extent of a person's title to land. As summarized in Bruce Ziff, </w:t>
      </w:r>
      <w:r>
        <w:rPr>
          <w:rFonts w:ascii="arial" w:eastAsia="arial" w:hAnsi="arial" w:cs="arial"/>
          <w:i/>
          <w:color w:val="000000"/>
          <w:sz w:val="20"/>
          <w:lang w:val="en-US" w:eastAsia="en-US" w:bidi="ar-SA"/>
        </w:rPr>
        <w:t>Principles of Property Law</w:t>
      </w:r>
      <w:r>
        <w:rPr>
          <w:rFonts w:ascii="arial" w:eastAsia="arial" w:hAnsi="arial" w:cs="arial"/>
          <w:color w:val="000000"/>
          <w:sz w:val="20"/>
          <w:lang w:val="en-US" w:eastAsia="en-US" w:bidi="ar-SA"/>
        </w:rPr>
        <w:t>, 7th ed. (Toronto: Thomson Reuters, 2018) at 533: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Torrens the register is supposed to be everything. That means that one should (in theory anyway) be able to examine an abstract of title for a specific parcel of land and see listed there all of the interests in land that pertain to that parcel. The register is said to be a </w:t>
      </w:r>
      <w:r>
        <w:rPr>
          <w:rFonts w:ascii="arial" w:eastAsia="arial" w:hAnsi="arial" w:cs="arial"/>
          <w:i/>
          <w:color w:val="000000"/>
          <w:sz w:val="20"/>
          <w:lang w:val="en-US" w:eastAsia="en-US" w:bidi="ar-SA"/>
        </w:rPr>
        <w:t>mirror</w:t>
      </w:r>
      <w:r>
        <w:rPr>
          <w:rFonts w:ascii="arial" w:eastAsia="arial" w:hAnsi="arial" w:cs="arial"/>
          <w:color w:val="000000"/>
          <w:sz w:val="20"/>
          <w:lang w:val="en-US" w:eastAsia="en-US" w:bidi="ar-SA"/>
        </w:rPr>
        <w:t xml:space="preserve"> of all rights in relation to that land.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Sections 23(2)(a) and (e) are two exceptions to indefeasibility of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Under s. 23(2)(a), one must consider the language of the relevant Crown grant to see if there are "subsisting conditions, provisos ..." that may affect the land described in the indefeasible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effect of s. 23(2)(e) is such that a "highway" does not need to be registered in order to affect title to privately owned lands: see </w:t>
      </w:r>
      <w:r>
        <w:rPr>
          <w:rFonts w:ascii="arial" w:eastAsia="arial" w:hAnsi="arial" w:cs="arial"/>
          <w:i/>
          <w:color w:val="000000"/>
          <w:sz w:val="20"/>
          <w:lang w:val="en-US" w:eastAsia="en-US" w:bidi="ar-SA"/>
        </w:rPr>
        <w:t>Maple Ridge v. New Westminster</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(1994), 40 B.C.A.C. 112</w:t>
        </w:r>
      </w:hyperlink>
      <w:r>
        <w:rPr>
          <w:rFonts w:ascii="arial" w:eastAsia="arial" w:hAnsi="arial" w:cs="arial"/>
          <w:color w:val="000000"/>
          <w:sz w:val="20"/>
          <w:lang w:val="en-US" w:eastAsia="en-US" w:bidi="ar-SA"/>
        </w:rPr>
        <w:t xml:space="preserve"> (C.A.) at para. 15; </w:t>
      </w:r>
      <w:r>
        <w:rPr>
          <w:rFonts w:ascii="arial" w:eastAsia="arial" w:hAnsi="arial" w:cs="arial"/>
          <w:i/>
          <w:color w:val="000000"/>
          <w:sz w:val="20"/>
          <w:lang w:val="en-US" w:eastAsia="en-US" w:bidi="ar-SA"/>
        </w:rPr>
        <w:t>Schumann v. British Columbia</w:t>
      </w:r>
      <w:r>
        <w:rPr>
          <w:rFonts w:ascii="arial" w:eastAsia="arial" w:hAnsi="arial" w:cs="arial"/>
          <w:color w:val="000000"/>
          <w:sz w:val="20"/>
          <w:lang w:val="en-US" w:eastAsia="en-US" w:bidi="ar-SA"/>
        </w:rPr>
        <w:t xml:space="preserve"> (27 January 2006), 2005-005(a), (BC Forest Appeals Commission) at paras. 43-48. Thus, the Court may need to look beyond the register in order to determine whether or not a "highway" exists in relation to the lands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Schumann</w:t>
      </w:r>
      <w:r>
        <w:rPr>
          <w:rFonts w:ascii="arial" w:eastAsia="arial" w:hAnsi="arial" w:cs="arial"/>
          <w:color w:val="000000"/>
          <w:sz w:val="20"/>
          <w:lang w:val="en-US" w:eastAsia="en-US" w:bidi="ar-SA"/>
        </w:rPr>
        <w:t xml:space="preserve"> (at para. 46), quoting Victor Di Castri, Q.C., </w:t>
      </w:r>
      <w:r>
        <w:rPr>
          <w:rFonts w:ascii="arial" w:eastAsia="arial" w:hAnsi="arial" w:cs="arial"/>
          <w:i/>
          <w:color w:val="000000"/>
          <w:sz w:val="20"/>
          <w:lang w:val="en-US" w:eastAsia="en-US" w:bidi="ar-SA"/>
        </w:rPr>
        <w:t>Registration of Title to Land</w:t>
      </w:r>
      <w:r>
        <w:rPr>
          <w:rFonts w:ascii="arial" w:eastAsia="arial" w:hAnsi="arial" w:cs="arial"/>
          <w:color w:val="000000"/>
          <w:sz w:val="20"/>
          <w:lang w:val="en-US" w:eastAsia="en-US" w:bidi="ar-SA"/>
        </w:rPr>
        <w:t>, looseleaf ed., (Toronto: Carswell, 2000):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predestined that there would be exceptions to indefeasibility of title. Whatever impact the original Torrens Act was intended to have on real property law in particular, and on the general law of the land, the register would have to be subject, by way of exceptions, to those relevant matters which could not be entered in it, including those while the legislature, in its wisdom, from time to time, decided should impinge on the conclusivity of the register. The neutralizing or modifying force of general legislative enactments must be considered in construing Torrens 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ideally the statutory exceptions would be limited to selected unregistrable interests and instruments, this is not the case. The exceptions remain a danger zone.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 HIGHWAYS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the case at bar, a highway may be excepted from title under either s. 23(2)(a) or s. 23(2)(e)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Our Court of Appeal summarized four ways in which a public highway may be established in </w:t>
      </w:r>
      <w:r>
        <w:rPr>
          <w:rFonts w:ascii="arial" w:eastAsia="arial" w:hAnsi="arial" w:cs="arial"/>
          <w:i/>
          <w:color w:val="000000"/>
          <w:sz w:val="20"/>
          <w:lang w:val="en-US" w:eastAsia="en-US" w:bidi="ar-SA"/>
        </w:rPr>
        <w:t>Brady v. Zirnhelt</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(1998), 57 B.C.L.R. (3d) 144</w:t>
        </w:r>
      </w:hyperlink>
      <w:r>
        <w:rPr>
          <w:rFonts w:ascii="arial" w:eastAsia="arial" w:hAnsi="arial" w:cs="arial"/>
          <w:color w:val="000000"/>
          <w:sz w:val="20"/>
          <w:lang w:val="en-US" w:eastAsia="en-US" w:bidi="ar-SA"/>
        </w:rPr>
        <w:t xml:space="preserve"> (C.A.) at para.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highway can come into being in four ways:</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exemption from a Crown grant (now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xml:space="preserve">, R.S.B.C. 1996, c. 188, s. 2 and </w:t>
      </w:r>
      <w:r>
        <w:rPr>
          <w:rFonts w:ascii="arial" w:eastAsia="arial" w:hAnsi="arial" w:cs="arial"/>
          <w:i/>
          <w:color w:val="000000"/>
          <w:sz w:val="20"/>
          <w:lang w:val="en-US" w:eastAsia="en-US" w:bidi="ar-SA"/>
        </w:rPr>
        <w:t>Land Act</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R.S.B.C. 1996, c. 245, ss. 13</w:t>
        </w:r>
      </w:hyperlink>
      <w:r>
        <w:rPr>
          <w:rFonts w:ascii="arial" w:eastAsia="arial" w:hAnsi="arial" w:cs="arial"/>
          <w:color w:val="000000"/>
          <w:sz w:val="20"/>
          <w:lang w:val="en-US" w:eastAsia="en-US" w:bidi="ar-SA"/>
        </w:rPr>
        <w:t xml:space="preserve"> and 57);</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expenditure of public money on a travelled road (now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xml:space="preserve">, R.S.B.C. 1996, c. 188, s. 4) or entry on lands by the Minister of Highways and Public Works for the purpose of establishing a highway (now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R.S.B.C. 1996, c. 188, s. 5(1));</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law dedication of a road by owner, whether a private owner or the Crown;</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dedication by deposit of a subdivision plan showing a portion of the land as a highway (now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R.S.B.C. 1996, c. 250, s. 107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the case at bar, the third and fourth ways are not engaged. As a result of the current definition of "highway" under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there are now some further ways including "any other prescribed means":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s. 1, definition of "highway". These further ways are also not engaged.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With respect to the first way, a highway can be excepted from a Crown grant in a number of ways. First, a highway may be specifically described in the language of the Crown grant. Second, the highway may be shown in an annexed plan to the Crown grant. Third, the highway may be excepted by general language, for example, by reference to "all highways, within the meaning of the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xml:space="preserve">, existing or through said land at the date hereof". Finally, pursuant to s. 23(2)(e)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a highway may also be excepted without any specific reference in the Crown grant or annexed plan (see also </w:t>
      </w:r>
      <w:r>
        <w:rPr>
          <w:rFonts w:ascii="arial" w:eastAsia="arial" w:hAnsi="arial" w:cs="arial"/>
          <w:i/>
          <w:color w:val="000000"/>
          <w:sz w:val="20"/>
          <w:lang w:val="en-US" w:eastAsia="en-US" w:bidi="ar-SA"/>
        </w:rPr>
        <w:t>Land Act</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R.S.B.C. 1996, c. 245, s. 50</w:t>
        </w:r>
      </w:hyperlink>
      <w:r>
        <w:rPr>
          <w:rFonts w:ascii="arial" w:eastAsia="arial" w:hAnsi="arial" w:cs="arial"/>
          <w:color w:val="000000"/>
          <w:sz w:val="20"/>
          <w:lang w:val="en-US" w:eastAsia="en-US" w:bidi="ar-SA"/>
        </w:rPr>
        <w:t>(5)).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A "highway" is a public way. The definition of "highway" in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first lists particular examples and then concludes with the anchoring language "and any other public way." The definition of "highway" in the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xml:space="preserve"> remained the same from 1930 to 1978 inclusive, the period which covers the relevant Crown grants at bar. It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Act, unless the context otherwise requires: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"Highway" includes all public streets, roads, ways, trails, lanes, bridges, trestles, ferry landings and approaches, and any other public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Similar to the definition of highway under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the definition of highway under the relevant </w:t>
      </w:r>
      <w:r>
        <w:rPr>
          <w:rFonts w:ascii="arial" w:eastAsia="arial" w:hAnsi="arial" w:cs="arial"/>
          <w:i/>
          <w:color w:val="000000"/>
          <w:sz w:val="20"/>
          <w:lang w:val="en-US" w:eastAsia="en-US" w:bidi="ar-SA"/>
        </w:rPr>
        <w:t>Highway Acts</w:t>
      </w:r>
      <w:r>
        <w:rPr>
          <w:rFonts w:ascii="arial" w:eastAsia="arial" w:hAnsi="arial" w:cs="arial"/>
          <w:color w:val="000000"/>
          <w:sz w:val="20"/>
          <w:lang w:val="en-US" w:eastAsia="en-US" w:bidi="ar-SA"/>
        </w:rPr>
        <w:t xml:space="preserve"> also concludes with the language "any other public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There is a reputational aspect associated with a public way. As reported in </w:t>
      </w:r>
      <w:r>
        <w:rPr>
          <w:rFonts w:ascii="arial" w:eastAsia="arial" w:hAnsi="arial" w:cs="arial"/>
          <w:i/>
          <w:color w:val="000000"/>
          <w:sz w:val="20"/>
          <w:lang w:val="en-US" w:eastAsia="en-US" w:bidi="ar-SA"/>
        </w:rPr>
        <w:t>Katherine Austin's Case</w:t>
      </w:r>
      <w:r>
        <w:rPr>
          <w:rFonts w:ascii="arial" w:eastAsia="arial" w:hAnsi="arial" w:cs="arial"/>
          <w:color w:val="000000"/>
          <w:sz w:val="20"/>
          <w:lang w:val="en-US" w:eastAsia="en-US" w:bidi="ar-SA"/>
        </w:rPr>
        <w:t>, (1672), 86 E.R. 128, Sir Matthew Hale, Lord Chief Baron,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 way lead to a market, and were a way for all travellers, and did communicate with a great road, &amp;c. it is an highway; but if it lead only to a church, to a private house or village, or to fields, there it is a private way. </w:t>
      </w:r>
      <w:r>
        <w:rPr>
          <w:rFonts w:ascii="arial" w:eastAsia="arial" w:hAnsi="arial" w:cs="arial"/>
          <w:color w:val="000000"/>
          <w:sz w:val="20"/>
          <w:u w:val="single"/>
          <w:lang w:val="en-US" w:eastAsia="en-US" w:bidi="ar-SA"/>
        </w:rPr>
        <w:t>But</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tis a matter of fact, and much depends upon common reputation</w:t>
      </w:r>
      <w:r>
        <w:rPr>
          <w:rFonts w:ascii="arial" w:eastAsia="arial" w:hAnsi="arial" w:cs="arial"/>
          <w:color w:val="000000"/>
          <w:sz w:val="20"/>
          <w:lang w:val="en-US" w:eastAsia="en-US" w:bidi="ar-SA"/>
        </w:rPr>
        <w:t>. If it be a publick way of common right, the parish is to repair it, unless a particular person be obliged by prescription or custom. Private ways are to be repaired by the village or hamlet, or sometimes by a particular person. In the case at Bar, it was found no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Adam v. Insurance Corporation of British Columbia</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2018 BCCA 482</w:t>
        </w:r>
      </w:hyperlink>
      <w:r>
        <w:rPr>
          <w:rFonts w:ascii="arial" w:eastAsia="arial" w:hAnsi="arial" w:cs="arial"/>
          <w:color w:val="000000"/>
          <w:sz w:val="20"/>
          <w:lang w:val="en-US" w:eastAsia="en-US" w:bidi="ar-SA"/>
        </w:rPr>
        <w:t>, Justice A. Mackenzie, writing for our Court of Appeal,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[66] The common law requires that a public way be a route or passage from one place to another, used as of right by the general public </w:t>
      </w:r>
      <w:r>
        <w:rPr>
          <w:rFonts w:ascii="arial" w:eastAsia="arial" w:hAnsi="arial" w:cs="arial"/>
          <w:color w:val="000000"/>
          <w:sz w:val="20"/>
          <w:u w:val="single"/>
          <w:lang w:val="en-US" w:eastAsia="en-US" w:bidi="ar-SA"/>
        </w:rPr>
        <w:t>as a route or connection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Insurance Corp. of British Columbia v. Routley</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(1995), 14 B.C.L.R. (3d) 279</w:t>
        </w:r>
      </w:hyperlink>
      <w:r>
        <w:rPr>
          <w:rFonts w:ascii="arial" w:eastAsia="arial" w:hAnsi="arial" w:cs="arial"/>
          <w:color w:val="000000"/>
          <w:sz w:val="20"/>
          <w:lang w:val="en-US" w:eastAsia="en-US" w:bidi="ar-SA"/>
        </w:rPr>
        <w:t xml:space="preserve"> (C.A.) at paras. 10, 18, 23-25; </w:t>
      </w:r>
      <w:r>
        <w:rPr>
          <w:rFonts w:ascii="arial" w:eastAsia="arial" w:hAnsi="arial" w:cs="arial"/>
          <w:i/>
          <w:color w:val="000000"/>
          <w:sz w:val="20"/>
          <w:lang w:val="en-US" w:eastAsia="en-US" w:bidi="ar-SA"/>
        </w:rPr>
        <w:t>ICBC v. Bruneau et al.</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2000 BCSC 786</w:t>
        </w:r>
      </w:hyperlink>
      <w:r>
        <w:rPr>
          <w:rFonts w:ascii="arial" w:eastAsia="arial" w:hAnsi="arial" w:cs="arial"/>
          <w:color w:val="000000"/>
          <w:sz w:val="20"/>
          <w:lang w:val="en-US" w:eastAsia="en-US" w:bidi="ar-SA"/>
        </w:rPr>
        <w:t xml:space="preserve"> at paras. 51-52; </w:t>
      </w:r>
      <w:r>
        <w:rPr>
          <w:rFonts w:ascii="arial" w:eastAsia="arial" w:hAnsi="arial" w:cs="arial"/>
          <w:i/>
          <w:color w:val="000000"/>
          <w:sz w:val="20"/>
          <w:lang w:val="en-US" w:eastAsia="en-US" w:bidi="ar-SA"/>
        </w:rPr>
        <w:t>Cleworth v. Zackariuk</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(1985), 32 M.V.R. 23</w:t>
        </w:r>
      </w:hyperlink>
      <w:r>
        <w:rPr>
          <w:rFonts w:ascii="arial" w:eastAsia="arial" w:hAnsi="arial" w:cs="arial"/>
          <w:color w:val="000000"/>
          <w:sz w:val="20"/>
          <w:lang w:val="en-US" w:eastAsia="en-US" w:bidi="ar-SA"/>
        </w:rPr>
        <w:t xml:space="preserve"> (B.C.S.C.) at 32, rev'd in part on other grounds </w:t>
      </w:r>
      <w:hyperlink r:id="rId390" w:history="1">
        <w:r>
          <w:rPr>
            <w:rFonts w:ascii="arial" w:eastAsia="arial" w:hAnsi="arial" w:cs="arial"/>
            <w:i/>
            <w:color w:val="0077CC"/>
            <w:sz w:val="20"/>
            <w:u w:val="single"/>
            <w:shd w:val="clear" w:color="auto" w:fill="FFFFFF"/>
            <w:lang w:val="en-US" w:eastAsia="en-US" w:bidi="ar-SA"/>
          </w:rPr>
          <w:t>(1987), 34 D.L.R. (4th) 722</w:t>
        </w:r>
      </w:hyperlink>
      <w:r>
        <w:rPr>
          <w:rFonts w:ascii="arial" w:eastAsia="arial" w:hAnsi="arial" w:cs="arial"/>
          <w:color w:val="000000"/>
          <w:sz w:val="20"/>
          <w:lang w:val="en-US" w:eastAsia="en-US" w:bidi="ar-SA"/>
        </w:rPr>
        <w:t xml:space="preserve"> (B.C.C.A.). Justice Wood in </w:t>
      </w:r>
      <w:r>
        <w:rPr>
          <w:rFonts w:ascii="arial" w:eastAsia="arial" w:hAnsi="arial" w:cs="arial"/>
          <w:i/>
          <w:color w:val="000000"/>
          <w:sz w:val="20"/>
          <w:lang w:val="en-US" w:eastAsia="en-US" w:bidi="ar-SA"/>
        </w:rPr>
        <w:t>Cleworth</w:t>
      </w:r>
      <w:r>
        <w:rPr>
          <w:rFonts w:ascii="arial" w:eastAsia="arial" w:hAnsi="arial" w:cs="arial"/>
          <w:color w:val="000000"/>
          <w:sz w:val="20"/>
          <w:lang w:val="en-US" w:eastAsia="en-US" w:bidi="ar-SA"/>
        </w:rPr>
        <w:t xml:space="preserve"> opined, for example, that a highway might be established if there was evidence that a route was "accepted by the public" as a public way and was "resorted to for the passage of vehicles between two highways [situated] on the lands adjacent to the lake".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Even where there has been a common law dedication by the title holder, for there to be a public way, there must be clear use by the public: </w:t>
      </w:r>
      <w:r>
        <w:rPr>
          <w:rFonts w:ascii="arial" w:eastAsia="arial" w:hAnsi="arial" w:cs="arial"/>
          <w:i/>
          <w:color w:val="000000"/>
          <w:sz w:val="20"/>
          <w:lang w:val="en-US" w:eastAsia="en-US" w:bidi="ar-SA"/>
        </w:rPr>
        <w:t>Maple Ridge</w:t>
      </w:r>
      <w:r>
        <w:rPr>
          <w:rFonts w:ascii="arial" w:eastAsia="arial" w:hAnsi="arial" w:cs="arial"/>
          <w:color w:val="000000"/>
          <w:sz w:val="20"/>
          <w:lang w:val="en-US" w:eastAsia="en-US" w:bidi="ar-SA"/>
        </w:rPr>
        <w:t xml:space="preserve"> at para. 17. Public use reflects the public's understanding that the way (road, trail, path, etc.) can be used by the public without liability in trespass and the acknowledgement or acquiescence by the owner evidencing the owner's intention: </w:t>
      </w:r>
      <w:r>
        <w:rPr>
          <w:rFonts w:ascii="arial" w:eastAsia="arial" w:hAnsi="arial" w:cs="arial"/>
          <w:i/>
          <w:color w:val="000000"/>
          <w:sz w:val="20"/>
          <w:lang w:val="en-US" w:eastAsia="en-US" w:bidi="ar-SA"/>
        </w:rPr>
        <w:t>Brady</w:t>
      </w:r>
      <w:r>
        <w:rPr>
          <w:rFonts w:ascii="arial" w:eastAsia="arial" w:hAnsi="arial" w:cs="arial"/>
          <w:color w:val="000000"/>
          <w:sz w:val="20"/>
          <w:lang w:val="en-US" w:eastAsia="en-US" w:bidi="ar-SA"/>
        </w:rPr>
        <w:t xml:space="preserve"> at paras. 37-38.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should also be noted:</w:t>
      </w:r>
      <w:r>
        <w:rPr>
          <w:rFonts w:ascii="arial" w:eastAsia="arial" w:hAnsi="arial" w:cs="arial"/>
          <w:sz w:val="20"/>
          <w:lang w:val="en-US" w:eastAsia="en-US" w:bidi="ar-SA"/>
        </w:rPr>
        <w:cr/>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lack of use cannot make a highway private: </w:t>
      </w:r>
      <w:r>
        <w:rPr>
          <w:rFonts w:ascii="arial" w:eastAsia="arial" w:hAnsi="arial" w:cs="arial"/>
          <w:i/>
          <w:color w:val="000000"/>
          <w:sz w:val="20"/>
          <w:lang w:val="en-US" w:eastAsia="en-US" w:bidi="ar-SA"/>
        </w:rPr>
        <w:t>Brady</w:t>
      </w:r>
      <w:r>
        <w:rPr>
          <w:rFonts w:ascii="arial" w:eastAsia="arial" w:hAnsi="arial" w:cs="arial"/>
          <w:color w:val="000000"/>
          <w:sz w:val="20"/>
          <w:lang w:val="en-US" w:eastAsia="en-US" w:bidi="ar-SA"/>
        </w:rPr>
        <w:t xml:space="preserve"> at para. 6;</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road does not necessarily need to be used at the time of the grant for the road to be a highway: </w:t>
      </w:r>
      <w:r>
        <w:rPr>
          <w:rFonts w:ascii="arial" w:eastAsia="arial" w:hAnsi="arial" w:cs="arial"/>
          <w:i/>
          <w:color w:val="000000"/>
          <w:sz w:val="20"/>
          <w:lang w:val="en-US" w:eastAsia="en-US" w:bidi="ar-SA"/>
        </w:rPr>
        <w:t>Brady</w:t>
      </w:r>
      <w:r>
        <w:rPr>
          <w:rFonts w:ascii="arial" w:eastAsia="arial" w:hAnsi="arial" w:cs="arial"/>
          <w:color w:val="000000"/>
          <w:sz w:val="20"/>
          <w:lang w:val="en-US" w:eastAsia="en-US" w:bidi="ar-SA"/>
        </w:rPr>
        <w:t xml:space="preserve"> at para. 9; and</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private road may exist on Crown land: </w:t>
      </w:r>
      <w:r>
        <w:rPr>
          <w:rFonts w:ascii="arial" w:eastAsia="arial" w:hAnsi="arial" w:cs="arial"/>
          <w:i/>
          <w:color w:val="000000"/>
          <w:sz w:val="20"/>
          <w:lang w:val="en-US" w:eastAsia="en-US" w:bidi="ar-SA"/>
        </w:rPr>
        <w:t>Brady</w:t>
      </w:r>
      <w:r>
        <w:rPr>
          <w:rFonts w:ascii="arial" w:eastAsia="arial" w:hAnsi="arial" w:cs="arial"/>
          <w:color w:val="000000"/>
          <w:sz w:val="20"/>
          <w:lang w:val="en-US" w:eastAsia="en-US" w:bidi="ar-SA"/>
        </w:rPr>
        <w:t xml:space="preserve"> at para. 20; </w:t>
      </w:r>
      <w:r>
        <w:rPr>
          <w:rFonts w:ascii="arial" w:eastAsia="arial" w:hAnsi="arial" w:cs="arial"/>
          <w:i/>
          <w:color w:val="000000"/>
          <w:sz w:val="20"/>
          <w:lang w:val="en-US" w:eastAsia="en-US" w:bidi="ar-SA"/>
        </w:rPr>
        <w:t>Vesuna v. Drysdale</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2013 BCCA 10</w:t>
        </w:r>
      </w:hyperlink>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 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plaintiff bears the onus of establishing the elements of trespass on a balance of probabilities. The civil standard of proof requires "clear, convincing and cogent evidence": </w:t>
      </w:r>
      <w:r>
        <w:rPr>
          <w:rFonts w:ascii="arial" w:eastAsia="arial" w:hAnsi="arial" w:cs="arial"/>
          <w:i/>
          <w:color w:val="000000"/>
          <w:sz w:val="20"/>
          <w:lang w:val="en-US" w:eastAsia="en-US" w:bidi="ar-SA"/>
        </w:rPr>
        <w:t>F.H. v. McDougall</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2008 SCC 53</w:t>
        </w:r>
      </w:hyperlink>
      <w:r>
        <w:rPr>
          <w:rFonts w:ascii="arial" w:eastAsia="arial" w:hAnsi="arial" w:cs="arial"/>
          <w:color w:val="000000"/>
          <w:sz w:val="20"/>
          <w:lang w:val="en-US" w:eastAsia="en-US" w:bidi="ar-SA"/>
        </w:rPr>
        <w:t xml:space="preserve">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the case at bar, the plaintiff has the burden to show that the roads over which he says the defendants trespassed were roads owned (and possessed) by him and were private in that he had the right to exclude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relevant </w:t>
      </w:r>
      <w:r>
        <w:rPr>
          <w:rFonts w:ascii="arial" w:eastAsia="arial" w:hAnsi="arial" w:cs="arial"/>
          <w:i/>
          <w:color w:val="000000"/>
          <w:sz w:val="20"/>
          <w:lang w:val="en-US" w:eastAsia="en-US" w:bidi="ar-SA"/>
        </w:rPr>
        <w:t>Highway Acts</w:t>
      </w:r>
      <w:r>
        <w:rPr>
          <w:rFonts w:ascii="arial" w:eastAsia="arial" w:hAnsi="arial" w:cs="arial"/>
          <w:color w:val="000000"/>
          <w:sz w:val="20"/>
          <w:lang w:val="en-US" w:eastAsia="en-US" w:bidi="ar-SA"/>
        </w:rPr>
        <w:t xml:space="preserve"> also all included the following provision: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roads, other than private roads, shall be deemed common and public highways.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 noted, a private road may exist on Crown land. Accordingly, a private road may form part of a Crown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 CROWN GRANTS</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Grants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Key to determining this action involves the exact title held by the plaintiff to the respective parcels of land. The answer often involves both the proper interpretation of the respective original Crown grant and, as noted, whether a public trail (or road) existed at the time of the original grant for the respective parcel of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legal descriptions and dates of the Crown grants for the respective parcels of the plaintiff's ranch on which the Bennett Road and the potato-shape road are located are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3" type="#_x0000_t75" style="width:383.25pt;height:252pt">
            <v:imagedata r:id="rId393"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Schedule "A" shows the year of the respective Crown grant for each parcel where the potato-shape road or the Bennett Road runs on the Shaman Bison Ranch and also the year of the grant for the Bell Quarter.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remaining parcels of land comprising the plaintiff's ranch (through which the disputed road or trail does not run) are as follows:</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Township 84, Range 20 E 1/2 of the NE 1/4 Section 7</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Township 84, Range 20 NW 1/4 Section 8</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Township 84, Range 20 SW 1/4 Section 8</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Township 84, Range 20 NW 1/4 Section 9</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Township 84, Range 20 NE 1/4 Section 5</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Crown Grant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various Crown grants have general provisions regarding highways, roads and trails. All of the grants do not have all of the provisions. The relevant provisions read:</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PROVIDED also that all highways, within the meaning of the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existing over or through said lands at the date hereof shall be exempted from this grant.</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PROVIDED also that this Grant is issued and accepted on the undertaking that the Grantee, her heirs and assigns, shall not interfere with the free and unrestricted use of and passage by the public over any ["roads" or "roads and trails"] existing through the said lands, and it is further provided that this condition shall remain in force for so long as may be deemed necessary by the Minister of Lands, Forests, and Water Resources for and in Right of the Province of British Columbia [with minor variations not relevant for the case at bar].</w:t>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PROVIDED also that any road or roads to the width indicated on the map or plan hereunto annexed, shown coloured, outlined or otherwise designated thereon in a colour other than red are not included in this Grant.</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PROVIDED NEVERTHELESS that it shall at all times be lawful for Us, Our heirs and successors, or for any person or persons acting in that behalf by Our or Their authority, to resume any part of the said lands which it may be deemed necessary to resume for making roads, canals, bridges, or other public works, so, nevertheless, that the lands so to be resumed shall not exceed one-twentieth part of the whole of the lands and that no such resumption shall be made of any lands on which any buildings may have been erected, of which may be in use as gardens or otherwise [with minor variations not relevant for the case at bar].</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 First Provision (Highway Exception)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All of the Crown grants through which the disputed roads run include the first provision (the "highway exception") with the exception of the NE 1/4 of Section 33. With respect to the first provision, the exact meaning of the particular provision could vary depending on the definition of "highway" in the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xml:space="preserve"> as of the date of the particular grant. For the purposes of the case at bar, matters are simplified because the definition did not change during the period that the relevant Crown grants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With respect to each title (with the exception of the NE 1/4 of Section 33), whether there was a road, trail, or other public way in existence at the time of the particular grant, may need to be considered having regard to the definition of "highway" in the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xml:space="preserve"> and "highway" as defined under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 Second Provision (Free Passage)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second provision (the "free passage provision") refers only to "roads" in the Crown grant for the E 1/2 of Section 4. The second provision refers to "roads and trails" in connection with the Crown grants for the NW 1/4 of Section 4, the SE 1/4 of Section 8, and the SW 1/4 of Section 9. In each case, this provision was typed specifically to be part of the grant (other parts of a grant generally contain standard language of a pre-printed template). The other relevant parcels do not have the free passage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With respect to the free passage provision, the plaintiff's written submission stated that "there is no evidence that these clauses remain in effect". The plaintiff also says that the provisions are ambiguous and should be disregarded. Finally, the plaintiff says the Court may infer that these provisions are no longer in force as a result of significant payments to the plaintiff by oil and gas companies to use roads on the Shaman Bison 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did not lead evidence as to whether the Minister of Lands, Forests and Water Resources (the "Minister") had decided that the provision was no longer necessary for any of the subject parcels. The Court will not assume that the free passage provision does not remain in force. The Court cannot speculate that, sometime over the years, the Minister may have decided that the provision was no longer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Jolivet</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[2000] 1 S.C.R. 751</w:t>
        </w:r>
      </w:hyperlink>
      <w:r>
        <w:rPr>
          <w:rFonts w:ascii="arial" w:eastAsia="arial" w:hAnsi="arial" w:cs="arial"/>
          <w:color w:val="000000"/>
          <w:sz w:val="20"/>
          <w:lang w:val="en-US" w:eastAsia="en-US" w:bidi="ar-SA"/>
        </w:rPr>
        <w:t xml:space="preserve"> at para. 25, Justice Binnie, writing for the Supreme Court of Canada,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rule developed in civil cases respecting adverse inferences from failure to tender a witness goes back at least to </w:t>
      </w:r>
      <w:r>
        <w:rPr>
          <w:rFonts w:ascii="arial" w:eastAsia="arial" w:hAnsi="arial" w:cs="arial"/>
          <w:i/>
          <w:color w:val="000000"/>
          <w:sz w:val="20"/>
          <w:lang w:val="en-US" w:eastAsia="en-US" w:bidi="ar-SA"/>
        </w:rPr>
        <w:t>Blatch v. Archer</w:t>
      </w:r>
      <w:r>
        <w:rPr>
          <w:rFonts w:ascii="arial" w:eastAsia="arial" w:hAnsi="arial" w:cs="arial"/>
          <w:color w:val="000000"/>
          <w:sz w:val="20"/>
          <w:lang w:val="en-US" w:eastAsia="en-US" w:bidi="ar-SA"/>
        </w:rPr>
        <w:t xml:space="preserve"> (1774), 1 Cowp. 63, 98 E.R. 969, where, at p. 65, Lord Mansfield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certainly a maxim that all evidence is to be weighed according to the proof which it was in the power of one side to have produced, and in the power of the other to have contradicted.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As noted, I will not disregard the free passage provision. The plaintiff could easily have brought evidence to show the Minister's position with respect to the provision and whether the provision had been waived as no longer necessary with respect to any or all of the subject parcels. The fact that Terra Energy Corp. paid the plaintiff for the use of the roads may reflect a mistake. It may also reflect the fact that in any event, to get to the "free passage" roads, it was necessary to use private roads to which no "free passage" provision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will also not disregard the free passage provision on the basis of ambiguity. The provision is not ambiguous so as to cause it to be void. With respect, the provision is quite clear. I acknowledge that like many contractual provisions, clarification could be required for some particular factual situations (e.g., the difference between a road and a trail), but this does not make the provision void.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result is that with respect to the relevant parcels subject to the free passage provision, an action in trespass cannot be made out. Any road may be used by the public with "free and unrestricted use and passage" within the subject parcels until such time as the Minister waives the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As will be seen below, in analyzing the various titles, the Court draws inferences from the existence of the free passage provision regarding the existence of roads as of the date of the Crown grant and whether the road was a private road or a public way (i.e., a highway) at that time.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iii. Third Provision (Exception in Annexed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third provision (the "exception in annexed plan") is found only in the grant for the NW 1/4 of Section 33. The grant has an annexed plan showing two exceptions.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annexed plan shows an exception for an 80-foot wide road that aligns with the potato-shape on Schedule "A" for that parcel. In addition, there is a 14-foot wide exception along its full western boundary.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Crown grant for the E 1/2 of Section 4 does not contain the third provision. However, its language excepts "thereout a strip of land being the most Southerly 14 feet in parallel width thereof". There is also an annexed plan which shows the 14-foot wide exception along the full southern boundary (not described as a road).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iv. Fourth Provision (One-twentieth Resumption)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fourth provision (the "one-twentieth resumption") is found in all of the relevant Crown grants. It is not directly engaged in the analysis of the titles other than providing context in relation to other provisions and the legislation related to highways. In short, the Crown reserved the right to acquire (resume) one-twentieth of the lands for public works, such as highways, without paying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Since 1979, the one-twentieth right to resumption applicable to the disposition of Crown land has been provided under statute: </w:t>
      </w:r>
      <w:r>
        <w:rPr>
          <w:rFonts w:ascii="arial" w:eastAsia="arial" w:hAnsi="arial" w:cs="arial"/>
          <w:i/>
          <w:color w:val="000000"/>
          <w:sz w:val="20"/>
          <w:lang w:val="en-US" w:eastAsia="en-US" w:bidi="ar-SA"/>
        </w:rPr>
        <w:t>Land Act</w:t>
      </w:r>
      <w:r>
        <w:rPr>
          <w:rFonts w:ascii="arial" w:eastAsia="arial" w:hAnsi="arial" w:cs="arial"/>
          <w:color w:val="000000"/>
          <w:sz w:val="20"/>
          <w:lang w:val="en-US" w:eastAsia="en-US" w:bidi="ar-SA"/>
        </w:rPr>
        <w:t xml:space="preserve">, s. 50(a)(i); </w:t>
      </w:r>
      <w:r>
        <w:rPr>
          <w:rFonts w:ascii="arial" w:eastAsia="arial" w:hAnsi="arial" w:cs="arial"/>
          <w:i/>
          <w:color w:val="000000"/>
          <w:sz w:val="20"/>
          <w:lang w:val="en-US" w:eastAsia="en-US" w:bidi="ar-SA"/>
        </w:rPr>
        <w:t>Land Amendment Act</w:t>
      </w:r>
      <w:r>
        <w:rPr>
          <w:rFonts w:ascii="arial" w:eastAsia="arial" w:hAnsi="arial" w:cs="arial"/>
          <w:color w:val="000000"/>
          <w:sz w:val="20"/>
          <w:lang w:val="en-US" w:eastAsia="en-US" w:bidi="ar-SA"/>
        </w:rPr>
        <w:t>, S.B.C., 1979 c. 14, s.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 THE TRANSPORTATION ACT (FORMERLY THE HIGHWAY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replaced the former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xml:space="preserve"> in 2004. Section 1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defines "highway"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In this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"highway" means a public street, road, trail, lane, bridge, trestle, tunnel, ferry landing, ferry approach, any other public way or any other land or improvement that becomes or has become a highway by any of the following:</w:t>
      </w:r>
    </w:p>
    <w:p>
      <w:pPr>
        <w:numPr>
          <w:numId w:val="4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deposit of a subdivision, reference or explanatory plan in a land title office under section 107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public expenditure to which section 42 applies;</w:t>
      </w:r>
    </w:p>
    <w:p>
      <w:pPr>
        <w:numPr>
          <w:numId w:val="4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common law dedication made by the government or any other person;</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declaration, by notice in the Gazette, made before December 24, 1987;</w:t>
      </w:r>
    </w:p>
    <w:p>
      <w:pPr>
        <w:numPr>
          <w:numId w:val="4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case of a road, colouring, outlining or designating the road on a record in such a way that section 13 or 57 of the </w:t>
      </w:r>
      <w:r>
        <w:rPr>
          <w:rFonts w:ascii="arial" w:eastAsia="arial" w:hAnsi="arial" w:cs="arial"/>
          <w:i/>
          <w:color w:val="000000"/>
          <w:sz w:val="20"/>
          <w:lang w:val="en-US" w:eastAsia="en-US" w:bidi="ar-SA"/>
        </w:rPr>
        <w:t>Land Act</w:t>
      </w:r>
      <w:r>
        <w:rPr>
          <w:rFonts w:ascii="arial" w:eastAsia="arial" w:hAnsi="arial" w:cs="arial"/>
          <w:color w:val="000000"/>
          <w:sz w:val="20"/>
          <w:lang w:val="en-US" w:eastAsia="en-US" w:bidi="ar-SA"/>
        </w:rPr>
        <w:t xml:space="preserve"> applies to that road;</w:t>
      </w:r>
    </w:p>
    <w:p>
      <w:pPr>
        <w:numPr>
          <w:numId w:val="4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under section 56 (2) of this Act;</w:t>
      </w:r>
    </w:p>
    <w:p>
      <w:pPr>
        <w:numPr>
          <w:numId w:val="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prescribed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Section 42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(1) Subject to subsection (2), if public money is spent on a travelled road that is not a highway, the travelled road is deemed and declared to be a highway.</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does not apply to any road or class of roads, or to any expenditure or class of expenditures, that is prescribed by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Section 4(1) of the </w:t>
      </w:r>
      <w:r>
        <w:rPr>
          <w:rFonts w:ascii="arial" w:eastAsia="arial" w:hAnsi="arial" w:cs="arial"/>
          <w:i/>
          <w:color w:val="000000"/>
          <w:sz w:val="20"/>
          <w:lang w:val="en-US" w:eastAsia="en-US" w:bidi="ar-SA"/>
        </w:rPr>
        <w:t>Transportation Act Regulation</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B.C. Reg. 546/2004</w:t>
        </w:r>
      </w:hyperlink>
      <w:r>
        <w:rPr>
          <w:rFonts w:ascii="arial" w:eastAsia="arial" w:hAnsi="arial" w:cs="arial"/>
          <w:color w:val="000000"/>
          <w:sz w:val="20"/>
          <w:lang w:val="en-US" w:eastAsia="en-US" w:bidi="ar-SA"/>
        </w:rPr>
        <w:t xml:space="preserve"> provides (in part):</w:t>
      </w:r>
      <w:r>
        <w:rPr>
          <w:rFonts w:ascii="arial" w:eastAsia="arial" w:hAnsi="arial" w:cs="arial"/>
          <w:sz w:val="20"/>
          <w:lang w:val="en-US" w:eastAsia="en-US" w:bidi="ar-SA"/>
        </w:rPr>
        <w:cr/>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42 (1) of the Act does not apply</w:t>
      </w:r>
    </w:p>
    <w:p>
      <w:pPr>
        <w:numPr>
          <w:numId w:val="5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an expenditure of public money if the expenditure is confined to an expenditure for snowploughing or ice control,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Section 42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is similar to s. 4 of the former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Adam</w:t>
      </w:r>
      <w:r>
        <w:rPr>
          <w:rFonts w:ascii="arial" w:eastAsia="arial" w:hAnsi="arial" w:cs="arial"/>
          <w:color w:val="000000"/>
          <w:sz w:val="20"/>
          <w:lang w:val="en-US" w:eastAsia="en-US" w:bidi="ar-SA"/>
        </w:rPr>
        <w:t xml:space="preserve">, our Court of Appeal in allowing the appeal held that paragraphs (a) to (g) of the definition of "highway" in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represent the "only means by which a highway can come into existence in British Columbia": para.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Adam</w:t>
      </w:r>
      <w:r>
        <w:rPr>
          <w:rFonts w:ascii="arial" w:eastAsia="arial" w:hAnsi="arial" w:cs="arial"/>
          <w:color w:val="000000"/>
          <w:sz w:val="20"/>
          <w:lang w:val="en-US" w:eastAsia="en-US" w:bidi="ar-SA"/>
        </w:rPr>
        <w:t xml:space="preserve">, the Court of Appeal held that a sandbar in the Fraser River over which vehicles traversed and parked when the sandbar was not submerged was not a "way". The Court of Appeal also held that the sandbar (land or improvement) had not become a highway under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as a result of the application of any of paragraphs (a) to (g) of the definition of "highway" in s. 1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Court of Appeal's interpretation of the definition of "highway" in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Adam</w:t>
      </w:r>
      <w:r>
        <w:rPr>
          <w:rFonts w:ascii="arial" w:eastAsia="arial" w:hAnsi="arial" w:cs="arial"/>
          <w:color w:val="000000"/>
          <w:sz w:val="20"/>
          <w:lang w:val="en-US" w:eastAsia="en-US" w:bidi="ar-SA"/>
        </w:rPr>
        <w:t xml:space="preserve"> has resolved the question as to whether the definition should be read as meaning:</w:t>
      </w:r>
      <w:r>
        <w:rPr>
          <w:rFonts w:ascii="arial" w:eastAsia="arial" w:hAnsi="arial" w:cs="arial"/>
          <w:sz w:val="20"/>
          <w:lang w:val="en-US" w:eastAsia="en-US" w:bidi="ar-SA"/>
        </w:rPr>
        <w:cr/>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public way </w:t>
      </w:r>
      <w:r>
        <w:rPr>
          <w:rFonts w:ascii="arial" w:eastAsia="arial" w:hAnsi="arial" w:cs="arial"/>
          <w:color w:val="000000"/>
          <w:sz w:val="20"/>
          <w:u w:val="single"/>
          <w:lang w:val="en-US" w:eastAsia="en-US" w:bidi="ar-SA"/>
        </w:rPr>
        <w:t>or</w:t>
      </w:r>
      <w:r>
        <w:rPr>
          <w:rFonts w:ascii="arial" w:eastAsia="arial" w:hAnsi="arial" w:cs="arial"/>
          <w:color w:val="000000"/>
          <w:sz w:val="20"/>
          <w:lang w:val="en-US" w:eastAsia="en-US" w:bidi="ar-SA"/>
        </w:rPr>
        <w:t xml:space="preserve"> any other land or improvement that, although not necessarily a public way, falls within paragraphs (a) to (g) of the definition; or</w:t>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public way or any other land or improvement that becomes or has become a highway as a result of the application of any of paragraphs (a) to (g) of the definition.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As noted above, the Court of Appeal in </w:t>
      </w:r>
      <w:r>
        <w:rPr>
          <w:rFonts w:ascii="arial" w:eastAsia="arial" w:hAnsi="arial" w:cs="arial"/>
          <w:i/>
          <w:color w:val="000000"/>
          <w:sz w:val="20"/>
          <w:lang w:val="en-US" w:eastAsia="en-US" w:bidi="ar-SA"/>
        </w:rPr>
        <w:t>Adam</w:t>
      </w:r>
      <w:r>
        <w:rPr>
          <w:rFonts w:ascii="arial" w:eastAsia="arial" w:hAnsi="arial" w:cs="arial"/>
          <w:color w:val="000000"/>
          <w:sz w:val="20"/>
          <w:lang w:val="en-US" w:eastAsia="en-US" w:bidi="ar-SA"/>
        </w:rPr>
        <w:t xml:space="preserve"> interpreted the provision in accordance with the latter meaning.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Court also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[93] The Attorney General submits the judge's interpretation is inconsistent with other legislation concerning roads and highways. As discussed above, consideration of the entire context of a statute includes other statutes involving the same subject matter, to be interpreted in harmony. For example, s. 23(2)(e)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provides that one of the exceptions to the indefeasibility of a title in fee simple is "a highway or public right of way, watercourse, right of water or other public easement". Section 1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defines "highway" to include "a public street, path, walkway, trail, lane, bridge, road, thoroughfare and any other public way". Although the definition in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does not specifically refer to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definition, a broadening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definition could unduly affect the indefeasibility of fee simple lands. If the judge's decision were to stand, then every place in British Columbia used by members of the public to traverse in motor vehicles would become a "highway", and therefore be excluded from fee simple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 THE LAND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Land Act</w:t>
      </w:r>
      <w:r>
        <w:rPr>
          <w:rFonts w:ascii="arial" w:eastAsia="arial" w:hAnsi="arial" w:cs="arial"/>
          <w:color w:val="000000"/>
          <w:sz w:val="20"/>
          <w:lang w:val="en-US" w:eastAsia="en-US" w:bidi="ar-SA"/>
        </w:rPr>
        <w:t xml:space="preserve"> deals with Crown grants. For the purposes of the case at bar, the relevant provisions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In this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"Crown grant" means an instrument in writing conveying Crown land in fee simple;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"disposition" means the act of disposal or an instrument by which the act of disposal is effected or evidenced, or by which an interest in Crown land is disposed of or effected, or by which the government divests itself of or creates an interest in Crown land;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"public road" means a portion of Crown land designated or indicated as a road on a plan of survey made under this Act, whether or not a road is constructed, and includes a road allowance or walkway allowance established under section 79;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 2 - Disposition of Crown Land - General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Roads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13(1) In a disposition of Crown land under this or a former Act in which a portion of the land is designated as a road in the instrument evidencing the disposition or in a map or plan attached to it, unless there is express provision in the instrument to the contrary, the road is deemed to be,</w:t>
      </w:r>
    </w:p>
    <w:p>
      <w:pPr>
        <w:numPr>
          <w:numId w:val="53"/>
        </w:numPr>
        <w:tabs>
          <w:tab w:val="num" w:pos="2200"/>
          <w:tab w:val="clear" w:pos="256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disposition made before January 3, 1977, 20.1168 m in width, being 10.0584 m on each side of the centre line of the travelled portion of the road, and</w:t>
      </w:r>
    </w:p>
    <w:p>
      <w:pPr>
        <w:numPr>
          <w:numId w:val="54"/>
        </w:numPr>
        <w:tabs>
          <w:tab w:val="num" w:pos="2200"/>
          <w:tab w:val="clear" w:pos="256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disposition made after January 2, 1977, 20 m in width, being 10 m on each side of the centre line of the travelled portion of the road.</w:t>
      </w:r>
    </w:p>
    <w:p>
      <w:pPr>
        <w:numPr>
          <w:numId w:val="5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part of the road referred to in subsection (1) passes to any person under the instrument.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Exceptions and reservations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(1) </w:t>
      </w:r>
      <w:r>
        <w:rPr>
          <w:rFonts w:ascii="arial" w:eastAsia="arial" w:hAnsi="arial" w:cs="arial"/>
          <w:color w:val="000000"/>
          <w:sz w:val="20"/>
          <w:u w:val="single"/>
          <w:lang w:val="en-US" w:eastAsia="en-US" w:bidi="ar-SA"/>
        </w:rPr>
        <w:t>A disposition of Crown land under this or another Act</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excepts and reserves the following interests, rights, privileges and titles:</w:t>
      </w:r>
    </w:p>
    <w:p>
      <w:pPr>
        <w:numPr>
          <w:numId w:val="57"/>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right in the government, or any person acting for it, to resume any part of the land that is deemed to be necessary by the government for making roads, canals, bridges or other public works, but not more than 1/20 part of the whole of the land, and no resumption may be made of any land on which a building has been erected, or that may be in use as a garden or otherwise;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conveys no right, interest or estate to highways, within the meaning of the Transportation Act, existing over or through the land at the date of the disposition</w:t>
      </w:r>
      <w:r>
        <w:rPr>
          <w:rFonts w:ascii="arial" w:eastAsia="arial" w:hAnsi="arial" w:cs="arial"/>
          <w:color w:val="000000"/>
          <w:sz w:val="20"/>
          <w:lang w:val="en-US" w:eastAsia="en-US" w:bidi="ar-SA"/>
        </w:rPr>
        <w:t>.</w:t>
      </w:r>
    </w:p>
    <w:p>
      <w:pPr>
        <w:numPr>
          <w:numId w:val="5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Subsection (1) applies whether or not express words are used in the disposition</w:t>
      </w:r>
      <w:r>
        <w:rPr>
          <w:rFonts w:ascii="arial" w:eastAsia="arial" w:hAnsi="arial" w:cs="arial"/>
          <w:color w:val="000000"/>
          <w:sz w:val="20"/>
          <w:lang w:val="en-US" w:eastAsia="en-US" w:bidi="ar-SA"/>
        </w:rPr>
        <w:t>, but is subject to subsections (3) and (3.1).</w:t>
      </w:r>
    </w:p>
    <w:p>
      <w:pPr>
        <w:numPr>
          <w:numId w:val="6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disposition of Crown land under another Act that expressly authorizes the disposition on terms different from those referred to in subsection (1) may be made on those terms, and in that case the disposition must refer to the Act that authorizes the different terms and state the terms on which the disposition is made.</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disposition referred to in section 11 (2) (e) may be made, if express words are used in the disposition.</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disposition of Crown land may, by express words, except or reserve to the government rights and privileges more extensive than those referred to in subsection (1).</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For all purposes, including section 23 of the Land Title Act, every disposition of Crown land is conclusively deemed to contain express words making the exceptions and reservations referred to in subsection (1) of this section</w:t>
      </w:r>
      <w:r>
        <w:rPr>
          <w:rFonts w:ascii="arial" w:eastAsia="arial" w:hAnsi="arial" w:cs="arial"/>
          <w:color w:val="000000"/>
          <w:sz w:val="20"/>
          <w:lang w:val="en-US" w:eastAsia="en-US" w:bidi="ar-SA"/>
        </w:rPr>
        <w:t>, except to the extent that the disposition is made on different terms under subsection (3) or (3.1).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 5 - Crown Grants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Roads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57 If Crown land is disposed of by Crown grant and the map or plan attached to the grant shows a road coloured, outlined or designated in a colour other than red, no part of the road passes to the grantee, and, unless there is express provision in the grant to the contrary, the road is deemed to be, for a grant issued</w:t>
      </w:r>
    </w:p>
    <w:p>
      <w:pPr>
        <w:numPr>
          <w:numId w:val="6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January 3, 1977, 20.1168 m in width, and</w:t>
      </w:r>
    </w:p>
    <w:p>
      <w:pPr>
        <w:numPr>
          <w:numId w:val="6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January 2, 1977, 20 m in width.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Sections 13 and 57 are provisions that serve to provide certainty as to the width of roads where the Crown disposition or grant addresses an existing or future designated road and does not otherwise address road width.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addressing matters, the Court must look at the particular Crown grants. As noted, all but one of the relevant grants included the highway exception provision which referred to "highways" within the meaning of the then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xml:space="preserve"> as of the date of the particular Crown grant. As of the dates of the relevant Crown grants, "highway" was defined to include "all public streets, roads, ways, trails, lanes, bridges, trestles, ferry landings and approaches, and any other public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changes introduced by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including the new definition of highway, do not serve to modify earlier Crown grants. In other words, if as of the date of the relevant Crown grant there was an existing highway within the meaning of the then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that highway was excepted from the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 ANALYSIS OF TITLE</w:t>
      </w:r>
      <w:r>
        <w:rPr>
          <w:rFonts w:ascii="arial" w:eastAsia="arial" w:hAnsi="arial" w:cs="arial"/>
          <w:sz w:val="20"/>
          <w:lang w:val="en-US" w:eastAsia="en-US" w:bidi="ar-SA"/>
        </w:rPr>
        <w:cr/>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E 1/2 of Section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considering the various titles, I will start with the E 1/2 of Section 4. The date of the grant is May 16, 1977. The Crown grant excepts a 14-foot strip of land along the full southern boundary of the E 1/2 of Section 4 by both the language of the grant and a contemporaneous annexed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May 16, 1977 Crown grant included, in particular, the highway exception provision and the free passage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portion of the potato-shape road is not shown on the annexed plan or specifically described in the language of the grant. For the reasons that follow, I find that a road did exist at the time of the grant but it was a private road and passed as such to the grantee.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There is also a December 17, 1976 letter to Mr. Bennett from the Director of Land Management (file no. 0100493) with an amended survey plan enclosed. The letter was written in response to Mr. Bennett's application for a Crown grant of the E 1/2 of Section 4, which according to the December 17, 1976 letter, Mr. Bennett was then leasing.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With the amended survey plan there is an examination plan dated "4-2-60" (file no. 0100493) which shows an "oil road" that is consistent with the portion of the potato-shape shown in Schedule "A" in the E 1/2 of Section 4 (other than the eastern fork in the south east corner of the SE 1/4 of Section 4). The examination plan does not show other roads within this parcel other than the deletion for the 14-foot wide southern 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portion of the potato-shape shown in Schedule "A" for the E 1/2 of Section 4 is also consistent with the aerial photographs (mosaic) taken in the 1950s.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Further, the potato-shape road is consistent with Mr. J. Little's testimony. Mr. Little is a friend of Mr. Meek and was first retained in 2010 for consultation in relation to the Bell Quarter. He was paid $90/hour for his work. In the past, he has also worked for the plaintiff. Mr. Little was called by the defendant as a witness. Mr. Little is now 72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From 1967 to 2002, Mr. Little worked for our provincial government in relation to land administration. From 1998 to 2002, he was a senior land officer in the Peace Sub Region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Little was not called as an expert witness. I have disregarded his evidence to the extent it 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Little testified that in 1967 he and his supervisor drove a pick-up truck on the E 1/2 of Section 4 as part of a drive that took them around the potato-shape road after approaching from the north and turning to their left (east) at the "Y".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Little's supervisor and Mr. Bennett were friends. Mr. Little understood that his supervisor and Mr. Bennett were both veterans. They stopped at the Bennett homestead and visited the Bennetts. From the Bennett homestead they drove north, completing travel on the potato-shape road and exited through the NE 1/4 of Section 8 and then Section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Little described the potato-shape road as "little more than an average bush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While I have not found other portions of Mr. Little's testimony to be reliable, I accept his description of the state of the potato-shape road as of 1967. In short, there was a road (not a trail) that a pick-up truck could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Two conclusions can be drawn from the "oil road". First, consistent with Mr. Little's description, there was a road and not a trail or some path. An oil road is constructed to enable large oil and gas equipment to travel to and from an exploration site or well. An oil road is typically 30 to 40 feet wide.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Second, the Crown viewed the oil road as a private road and not a public road. The free passage provision in the Crown grant contemplates that title to the property where the road is located passed to the grantee, subject to the public's free passage and use so long as the Minister may deem necessary. I note again that the free passage provision was typed specifically as part of the grant. The inference that I draw is that the parties, in particular, the Crown, gave contemporaneous thought to the existing oil road and purposely included the safe passage provision because the Crown viewed the road as a private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fact that the stated acreage of the grant is 319.15 is also consistent with the oil road not being excepted from the Crown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 1/4 section is 160 acres and a 1/2 section is 320 acres. A May 16, 1977 letter to Mr. Bennett from the Direction of Land Management is registered in the Land Title Office with the grant. The letter states the total acreage of the E 1/2 of Section 4 under the grant to be 319.15. This accords with a deduction for the area of the 14-foot exception (320 acres - .85 acres = 319.15 acres). There are no other exceptions specifically stated or shown on the annexed plan which would serve to reduce the area of the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There is not a deduction from the 320 acres for the area covered by the portion of the potato-shape road that runs through the E 1/2 of Section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If the acreage had been reduced for the oil road, the inference may have been drawn that the area of the oil road was to be excepted. The decision in </w:t>
      </w:r>
      <w:r>
        <w:rPr>
          <w:rFonts w:ascii="arial" w:eastAsia="arial" w:hAnsi="arial" w:cs="arial"/>
          <w:i/>
          <w:color w:val="000000"/>
          <w:sz w:val="20"/>
          <w:lang w:val="en-US" w:eastAsia="en-US" w:bidi="ar-SA"/>
        </w:rPr>
        <w:t>Herrick v. Sixby</w:t>
      </w:r>
      <w:r>
        <w:rPr>
          <w:rFonts w:ascii="arial" w:eastAsia="arial" w:hAnsi="arial" w:cs="arial"/>
          <w:color w:val="000000"/>
          <w:sz w:val="20"/>
          <w:lang w:val="en-US" w:eastAsia="en-US" w:bidi="ar-SA"/>
        </w:rPr>
        <w:t>, [1867] L.R. 1 P.C. 436 is instructive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Herrick</w:t>
      </w:r>
      <w:r>
        <w:rPr>
          <w:rFonts w:ascii="arial" w:eastAsia="arial" w:hAnsi="arial" w:cs="arial"/>
          <w:color w:val="000000"/>
          <w:sz w:val="20"/>
          <w:lang w:val="en-US" w:eastAsia="en-US" w:bidi="ar-SA"/>
        </w:rPr>
        <w:t>, the Privy Council construed certain deeds in order to determine the boundary line between two contiguous properties. The plaintiff's property was described in his deed as being "ninety acres in superficies, more or less". The defendant's property was described in his deed as being "about fifty acres". The deeds were ambiguous as to the exact boundary between the properties. The parties agreed that the border started at a certain still existing hemlock stump; the tree had been referred to in the defendant's deed when it was first divided from a larger lot of approximately 140 acres.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 argued for a boundary that would give the defendant about 51 acres and the plaintiff about 90 acres, such that the resulting property sizes would be consistent with the acreages stated in the deeds. The defendant proposed a different boundary that would have provided him with about 82 acres and the plaintiff with about 62 acres.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Privy Council found that the language of the defendant's deed was "extremely indefinite and ambiguous" such that it could be construed in favour of either party's interpretation of the boundary (p. 448). The Privy Council held that where the language of the grant is ambiguous, the Court should favour an interpretation that is consistent with the acreage stated in the deed (pp. 452-453):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 clear principle that if one part of a deed is so ambiguously worded that it is equally capable of two different constructions, one of which is in accordance with, and the other conflicts with, another part of the deed, about the meaning of which there is no doubt, the former construction must be adopted as the right one. And (as an instance of the application of that general principle) if, in a deed conveying land, the description of the land intended to be conveyed is couched in such ambiguous terms that it is very doubtful what were intended to be the boundaries of the land, and the language of the description equally admits of two different constructions, the one of which would make the quantity of the land conveyed agree with the quantity mentioned in the deed, and the other would make the quantity altogether different, the former construction must prevail...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Herrick</w:t>
      </w:r>
      <w:r>
        <w:rPr>
          <w:rFonts w:ascii="arial" w:eastAsia="arial" w:hAnsi="arial" w:cs="arial"/>
          <w:color w:val="000000"/>
          <w:sz w:val="20"/>
          <w:lang w:val="en-US" w:eastAsia="en-US" w:bidi="ar-SA"/>
        </w:rPr>
        <w:t xml:space="preserve"> dealt with the location of a boundary rather than the existence of a public road. However, the case provides the general principle that where one part of a deed is ambiguous, it ought to be construed in a manner consistent with the other parts of the deed in context. It follows that if a Crown grant's language and annexed plan are ambiguous as to whether the Crown excepted a road, the Court may consider whether finding such an exception would be inconsistent with other parts of the grant, including the stated acreage. This principle is consistent with our Court of Appeal's reasoning in </w:t>
      </w:r>
      <w:r>
        <w:rPr>
          <w:rFonts w:ascii="arial" w:eastAsia="arial" w:hAnsi="arial" w:cs="arial"/>
          <w:i/>
          <w:color w:val="000000"/>
          <w:sz w:val="20"/>
          <w:lang w:val="en-US" w:eastAsia="en-US" w:bidi="ar-SA"/>
        </w:rPr>
        <w:t>British Columbia v. Hilyn Ltd</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(1991), 78 D.L.R. (4th) 27</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Hilyn</w:t>
      </w:r>
      <w:r>
        <w:rPr>
          <w:rFonts w:ascii="arial" w:eastAsia="arial" w:hAnsi="arial" w:cs="arial"/>
          <w:color w:val="000000"/>
          <w:sz w:val="20"/>
          <w:lang w:val="en-US" w:eastAsia="en-US" w:bidi="ar-SA"/>
        </w:rPr>
        <w:t>, the relevant Crown grant specifically marked the disputed road on an annexed plan. However, the grant's stated acreage did not reflect the excepted road allowance. Justice Taylor, writing for the Court, held that the acreage stated in the grant was not definitive of the area granted. Justice Taylor emphasized that the grant simply described the relevant parcels as being "</w:t>
      </w:r>
      <w:r>
        <w:rPr>
          <w:rFonts w:ascii="arial" w:eastAsia="arial" w:hAnsi="arial" w:cs="arial"/>
          <w:color w:val="000000"/>
          <w:sz w:val="20"/>
          <w:u w:val="single"/>
          <w:lang w:val="en-US" w:eastAsia="en-US" w:bidi="ar-SA"/>
        </w:rPr>
        <w:t>said</w:t>
      </w:r>
      <w:r>
        <w:rPr>
          <w:rFonts w:ascii="arial" w:eastAsia="arial" w:hAnsi="arial" w:cs="arial"/>
          <w:color w:val="000000"/>
          <w:sz w:val="20"/>
          <w:lang w:val="en-US" w:eastAsia="en-US" w:bidi="ar-SA"/>
        </w:rPr>
        <w:t xml:space="preserve"> to contain 19.36 acres"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Justice Taylor relied on </w:t>
      </w:r>
      <w:r>
        <w:rPr>
          <w:rFonts w:ascii="arial" w:eastAsia="arial" w:hAnsi="arial" w:cs="arial"/>
          <w:i/>
          <w:color w:val="000000"/>
          <w:sz w:val="20"/>
          <w:lang w:val="en-US" w:eastAsia="en-US" w:bidi="ar-SA"/>
        </w:rPr>
        <w:t>Herrick</w:t>
      </w:r>
      <w:r>
        <w:rPr>
          <w:rFonts w:ascii="arial" w:eastAsia="arial" w:hAnsi="arial" w:cs="arial"/>
          <w:color w:val="000000"/>
          <w:sz w:val="20"/>
          <w:lang w:val="en-US" w:eastAsia="en-US" w:bidi="ar-SA"/>
        </w:rPr>
        <w:t xml:space="preserve"> for the proposition that "[a]n acreage designation of this sort may be of assistance where the grant is otherwise ambiguous". However, where the grant is clear, it "should be taken to convey the area described by the legal description given as illustrated on the plan referred to, whatever the area may prove to be." In </w:t>
      </w:r>
      <w:r>
        <w:rPr>
          <w:rFonts w:ascii="arial" w:eastAsia="arial" w:hAnsi="arial" w:cs="arial"/>
          <w:i/>
          <w:color w:val="000000"/>
          <w:sz w:val="20"/>
          <w:lang w:val="en-US" w:eastAsia="en-US" w:bidi="ar-SA"/>
        </w:rPr>
        <w:t>Hilyn</w:t>
      </w:r>
      <w:r>
        <w:rPr>
          <w:rFonts w:ascii="arial" w:eastAsia="arial" w:hAnsi="arial" w:cs="arial"/>
          <w:color w:val="000000"/>
          <w:sz w:val="20"/>
          <w:lang w:val="en-US" w:eastAsia="en-US" w:bidi="ar-SA"/>
        </w:rPr>
        <w:t>, the road was clearly excepted on the annexed plan and thus Justice Taylor found it remained with the Crown notwithstanding the fact that the stated acreage did not account for this exception.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In sum, in the case at bar, the road existing prior to the Crown grant was a private road and passed as such to the grantee in 1977. Since that time, there has not been a dedication or other legal event which would change its status as a private road. As a private road, it is not a public way which would fall within either the definition of "highway" in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or the definition of "highway" in the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xml:space="preserve"> as it read at the date of the grant on May 16, 1977: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R.S.B.C. 1960, c. 172.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However, the free passage provision means that the plaintiff does not have the possessory right to maintain an action in trespass with respect to the portion of the potato-shape road within the E 1/2 of Section 4.</w:t>
      </w:r>
      <w:r>
        <w:rPr>
          <w:rFonts w:ascii="arial" w:eastAsia="arial" w:hAnsi="arial" w:cs="arial"/>
          <w:sz w:val="20"/>
          <w:lang w:val="en-US" w:eastAsia="en-US" w:bidi="ar-SA"/>
        </w:rPr>
        <w:cr/>
      </w:r>
    </w:p>
    <w:p>
      <w:pPr>
        <w:numPr>
          <w:numId w:val="6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SW 1/4 of Section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date of the Crown grant for the SW 1/4 of Section 9 is April 10, 1967. This Crown grant also included the NW 1/4 of Section 4 and the SE 1/4 of Section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oil road connects to the north to the portion of the potato-shape in the SW 1/4 of Section 9 (as noted, the examination plan for the oil road is dated 4-2-60). I find this portion of the potato-shape would also be a road (and not a trail) for three reasons. First, an oil road would not likely connect to a trail where there is no other access. Second, the aerial photos (1956, 1963, 1965) do not show a significant change as the oil road connects to the SW 1/4 of Section 9 (possibly encroaching or running through a small portion of the NW 1/4 of Section 8). Third, Mr. Little testified that in 1967, he drove a pick-up truck on this portion of the SW 1/4 of Section 9 as part of a drive that took him around the potato-shape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As noted, this parcel was part of a grant involving three 1/4 section parcels. An April 10, 1977 letter from the Superintendent of Lands to Ms. Bennett, the grantee, filed with the Land Title Office, states that the total acreage of the Crown grant for the three parcels (a 1/4 section each) is 480 acres. In other words, the stated acreage is consistent with there being no portion of any of the three parcels being excepted from the Crown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With the free passage provision for the SW 1/4 of Section 9, it is clear that the Crown viewed the portion of the potato-shape road in the SW 1/4 of Section 9 (and possibly a portion of the NW 1/4 of Section 8) as a private road with free passage and use by the public so long as the Minister may deem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sum, Ms. Bennett, the grantee, received title to the road with the Crown reserving free passage and use for the public for so long as the Minister deemed it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As a private road, it is not a public way within the definition of "highway" under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Similarly, it does not fall within the definition of "highway" as the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xml:space="preserve"> read as of the date of the grant on April 10, 1967: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R.S.B.C. 1960, c. 172.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Again, however, the free passage provision means that the plaintiff does not have the possessory right to maintain an action in trespass with respect to the portion of the potato-shape road within the SW 1/4 of Section 9.</w:t>
      </w:r>
      <w:r>
        <w:rPr>
          <w:rFonts w:ascii="arial" w:eastAsia="arial" w:hAnsi="arial" w:cs="arial"/>
          <w:sz w:val="20"/>
          <w:lang w:val="en-US" w:eastAsia="en-US" w:bidi="ar-SA"/>
        </w:rPr>
        <w:cr/>
      </w:r>
    </w:p>
    <w:p>
      <w:pPr>
        <w:numPr>
          <w:numId w:val="6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SE 1/4 of Section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date of the Crown grant for the SE 1/4 of Section 8 is April 10, 1967.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With the grants for the SE 1/4 of Section 8 and the SW 1/4 of Section 9 in the same instrument (together with the grant for the NW 1/4 of Section 4), the Court will infer that the Crown viewed that the portion of the potato-shape in the SE 1/4 of Section 8 was also a private road, subject to the free passage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Court finds that the grant shows a road and not a trail for three reasons. First, the road is visible in the aerial photographs. If it were only a path, it is less likely the path would be seen in the photographs. Second, it leads to the Bennett homestead. Over a longer distance, such as in the case at bar, a road and not a trail would be necessary to facilitate access by car or truck, and the movement of farm machinery and equipment. Third, as noted above, Mr. Little testified that he drove a pick-up truck on the subject road in 1967.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Again, there is no acreage reduction. An acreage reduction could reflect an exception to the Crown grant for a public road (existing or future). Also, consistent with the free passage provision, the Court infers that the road was private.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A private road is not a public way within the definition of "highway" under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Similarly, it does not fall within the definition of "highway" as the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xml:space="preserve"> read as of the date of the grant on April 10, 1967: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R.S.B.C. 1960, c. 172.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Again, however, the free passage provision means that the plaintiff does not have the possessory right to maintain an action in trespass with respect to the portion of the potato-shape road within the SE 1/4 of Section 8.</w:t>
      </w:r>
      <w:r>
        <w:rPr>
          <w:rFonts w:ascii="arial" w:eastAsia="arial" w:hAnsi="arial" w:cs="arial"/>
          <w:sz w:val="20"/>
          <w:lang w:val="en-US" w:eastAsia="en-US" w:bidi="ar-SA"/>
        </w:rPr>
        <w:cr/>
      </w:r>
    </w:p>
    <w:p>
      <w:pPr>
        <w:numPr>
          <w:numId w:val="6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NE 1/4 of Section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date of the Crown grant for the NE 1/4 of Section 8 is July 30, 1953.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Court also finds that the portion of the potato-shape south of the "Y" in the NE 1/4 of Section 8 was a road as of the date of grant. The western part of the road would have provided access to the Bennett homestead. The western and eastern parts of the road are also shown in the 1956 aerial photograph which is reasonably contemporaneous to the date of the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Court also finds the road to be private. To the north of the "Y" in the NE 1/4 of Section 8 is a road that is deemed to be a public road as a result of public expenditures made for the maintenance of the road: s. 42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Section 42 deems that which would otherwise be a private road to be a public road. The inference the Court draws is that the remainder of the road is private. It has also not otherwise been deemed public since the date of the grant by the operation of s. 42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If the roads in the NE 1/4 of Section 8 had been built after the date of the grant, they would have been private roads when constructed. Section 42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(and predecessor legislation) deems public that which was private. As noted, the road north of the "Y" is subject to s. 42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and, accordingly, is now a public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As the portion of the potato-shape road south of the "Y" in the NE 1/4 of Section 8 is a private road, it is not a public way within the definition of "highway" under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Similarly, it would not fall within the definition of "highway" as the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xml:space="preserve"> read as of the date of the grant on July 30, 1953: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R.S.B.C. 1948, c. 144.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This portion of the road is not subject to the free passage provision. Accordingly, travel on the road without permission is trespass.</w:t>
      </w:r>
      <w:r>
        <w:rPr>
          <w:rFonts w:ascii="arial" w:eastAsia="arial" w:hAnsi="arial" w:cs="arial"/>
          <w:sz w:val="20"/>
          <w:lang w:val="en-US" w:eastAsia="en-US" w:bidi="ar-SA"/>
        </w:rPr>
        <w:cr/>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NE 1/4 of Section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date of the Crown grant for the NE 1/4 of Section 33 is September 15, 1936.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As noted above, the parcel does not have the first provision, the highway exception provision. It does contain the following language: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PROVIDED FURTHER that in cases where ingress, egress, or regress to and from the lands of any present or future settlers and landholders to any existing highway is not in the judgment of Our Minister of Lands provided for or available, it shall be lawful and the right is hereby expressly reserved for any such settlers and landholders acting under the authority of Our said Minister to use without compensation so much of the lands hereby granted as may be necessary for right-of-way purposes, not exceeding in width sixty-six feet, the location of the same to be designated by Our said Minister, and to or in the direction of the nearest existing highway, with the right at all times to them and their servants to pass and repass on foot and with animals and vehicles of every description, so nevertheless that the right so to use the said lands shall cease and determine as soon as a way or highway for such settlers and landholders is otherwise provided.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Running north-south along the eastern border of this parcel is a correction line (or Crown strip road allowance) along which there is a road. The road runs north from the southern gate shown on Schedule "A" (southeast corner of NE 1/4 of Section 33) until it forks with a westerly fork connecting to the potato-shape road near the northern border of the NE 1/4 of Section 33. The road then continues further north along the correction line until it forks with another westerly fork connecting to the potato-shape road in the southeastern part of the SE 1/4 of Section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Travel along the correction line is Crown land. Accordingly, trespass cannot arise for the purposes at bar on the connection line. The Court must consider whether the fork from the correction line to the potato-shape road is a private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fork from the correction line to the potato-shape road engages a larger question as to whether the fork and the southern portion of the potato-shape road was part of a historic trail (or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Meek, age 57, was born in the local area and raised on the ranch he now operates. He professed to be knowledgeable with respect to the roads in the area. He testified that there had historically been a road or trail coming from Bear Flats (the area in which the plaintiff and defendants lease from BC Hydro) connecting to that which I have described as the potato-shape road. He stated that the road ran where the southern part of the potato-shape road runs through the NE 1/4 of Section 33, the NW 1/4 of Section 33, the SE 1/4 of Section 5, the NW 1/4 of Section 5 to near where the Bennett homestead was established, and then further north through the NW 1/4 of Section 5, through the Bell Quarter (SW 1/4 of Section 8), further north through the NW 1/4 of Section 8 and into the NE 1/4 of Section 7, and then beyond.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Meek described the lower portion of the potato-shape road and the north-westerly continuation past the Bennett homestead as part of the "Old Hudson Hope trail".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legal significance of Mr. Meek's testimony, if accepted, is that if a public trail (or road) pre-dated the relevant Crown grants, then the trail (or road) would be excepted as an existing public way (trail, road) under the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as they read at the date of the relevant Crown grants.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reject Mr. Meek's description. The September 15, 1936 Crown grant for the NE 1/4 of Section 33 refers to the parcel "as shown on the plan of the said Township dated Ottawa, 17th December, 1915". The relevant portion of the plan accompanies the grant (without the date of the plan shown on the portion of the plan). The complete plan is found at Exhibit #11, Tab 17. The plan does not show any road or trail as described by Mr. Meek. The plan does show a trail, the Fort Graham to Fort St. John trail, which runs (east-west) to the south of the lands which now comprise the Shaman Bison 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shown Fort Graham trail is in the general vicinity of the purported trail that Mr. Meek asserts existed; both would run through the same township. Given this proximity, the Court infers that the trail described by Mr. Meek would also have been shown on the Township plan had it existed. Furthermore, if a road had been constructed between 1915 (date of the Township plan) and 1936 (date of the Crown grant), I am satisfied that the Township plan would have been updated or the new road otherwise noted or described. I further note that Mr. Meek's testimony focused on the existence of a historic trail.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Meek also vacillated with respect to the location of the Fort Graham trail. In cross-examination, 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we know what we've seen and you produced a map of the old Fort Graham trail,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We know that goes nowhere near Mr. Shaman's lands,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I'm not sure where it goes. I think it goes up through -- from what I understood, up through the trails that go through Bennett's old place over to ours, but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Sir, I'm going to take you to Tab 17, the map that's in your exhibit book. It's also in Exhibit 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Mm-hmm.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you recognize this map.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Yeah, a little bit.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we see in yellow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 the Fort Graham trail.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you agree with me that is nowhere near Mr. Shaman's lands.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Yeah, I don't know if it is or not,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find that if there had been an old trail as described by Mr. Meek, it would have been shown on the Township plan. I find that the purported trail Mr. Meek asserts never existed.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As noted, I have accepted Mr. Little's evidence with respect to his 1967 drive in a pick-up truck around the potato-shaped road and visit with Mr. and Ms. Bennett.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However, I did not find Mr. Little to be a reliable witness as to the historic location of roads and trails for two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First, he relied on a map where its provenance was not known (Exhibit #10, Tab 5). This map apparently accorded with Mr. Meek's assertion that there was an old RCMP trail or settlers' trail that went from the area of the leased land to near the location of the Bennett homestead and then continued in a northwest direction. Under cross-examination, Mr. Little did not know:</w:t>
      </w:r>
      <w:r>
        <w:rPr>
          <w:rFonts w:ascii="arial" w:eastAsia="arial" w:hAnsi="arial" w:cs="arial"/>
          <w:sz w:val="20"/>
          <w:lang w:val="en-US" w:eastAsia="en-US" w:bidi="ar-SA"/>
        </w:rPr>
        <w:cr/>
      </w:r>
    </w:p>
    <w:p>
      <w:pPr>
        <w:numPr>
          <w:numId w:val="7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 other known roads were not shown;</w:t>
      </w:r>
    </w:p>
    <w:p>
      <w:pPr>
        <w:numPr>
          <w:numId w:val="7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 of the individual who made the map;</w:t>
      </w:r>
    </w:p>
    <w:p>
      <w:pPr>
        <w:numPr>
          <w:numId w:val="7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for making the map;</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code (or legend) for tiny dots and long dashes shown and the map; and</w:t>
      </w:r>
    </w:p>
    <w:p>
      <w:pPr>
        <w:numPr>
          <w:numId w:val="7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of the map.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further cross-examination, Mr. Little acknowledged that the dots and lines could refer to the "height" (that is, a contour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Second, Mr. Little was uncertain as to the name of the trail (or road) which Mr. Meek asserted existed. In this regard, in cross-examination, Mr. Little testified with respect to a Township map: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And just looking as well, if I look off to the side -- and that RCMP trail that you mentioned, did it have a name?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Pardon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Did it have a name, the RCMP trail that you suggest went through Section 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think it was the Northwest Trail, but I - I honestly don't have it on the top of my head. I'd have it in my notes out of the -- out of here I have it in my notes.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You're familiar with -- are you familiar with the Fort Graham Trail?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And is that an RCMP trail?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It 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So you'd agree with me, if we look on this map at township -- at the Township map and we look at Section 5, and just over to the west of Section 5, what you'll see there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Is Fort Graham Trail and that's a division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Is the Fort Graham Trail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 of the Fort Graham Trail, because it had two branches,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Well, I'm going to suggest to you, sir, that the Fort Graham Trail is actually the RCMP trail that goes along the southern border.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It actually went two ways. It went up along that way, it went through this land we talked about and up along the half way and up to Brady Ranch, and I can show you on the -- one of these bigger maps where the Brady Ranch is, if you'd like to see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cannot accept that the Township map to which Mr. Little refers would show the Fort Graham trail but not show another RCMP trail running through Sections 33 and 5 (and beyond), if such were to have existed. This is especially so if one were to accept that the asserted trail (road) was part of the same trail that "actually went two ways". I also note that Mr. Meek and Mr. Little were not consistent with each other as to the name of the purported historic trail. Mr. Meek calls it the Old Hudson Hope trail. Mr. Little referred it as an RCMP trail which was part of the Fort Graham trail.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apportioned acreage for the NE 1/4 of Section 33 is stated to be 160 acres. This also supports the inference that there was not a trail (or road) excepted from the Crown grant as an existing public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settlers' and landholders' provision noted above further supports the inference that there was not a trail (or road) to be excepted as a public way. The provision contemplates the possible future designation by the Minister of a right-of-way not exceeding 60 feet in width which in turn could be subsequently cancelled by the Minister. Accordingly, the Court infers that there was not a trail (or road) and if one did exist, it was not a public way. In other words, if there had been a public way, the provision would not have been required in order to provide a temporary right-of-way.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In sum, the portion of the potato-shape road and the fork that run through the NE 1/4 of Section 33 is a private road. As a private road, it is not a public way which would fall within either the definition of "highway" in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or the definition of "highway" in the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xml:space="preserve"> as it read at the date of the grant on September 15, 1936: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R.S.B.C. 1936, c. 116. The plaintiff has the requisite possessory right to maintain an action in trespass on this portion of the road.</w:t>
      </w:r>
      <w:r>
        <w:rPr>
          <w:rFonts w:ascii="arial" w:eastAsia="arial" w:hAnsi="arial" w:cs="arial"/>
          <w:sz w:val="20"/>
          <w:lang w:val="en-US" w:eastAsia="en-US" w:bidi="ar-SA"/>
        </w:rPr>
        <w:cr/>
      </w:r>
    </w:p>
    <w:p>
      <w:pPr>
        <w:numPr>
          <w:numId w:val="7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NW 1/4 of Section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date of the Crown grant for the NW 1/4 of Section 33 is May 1, 1978.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 May 10, 1978 letter to Mr. Bennett from the Director of Land Management states that the acreage is 63.47 hectares. The letter is filed with the grant in the Land Title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Crown grant specifically excepts "a strip of land being the most westerly 14 feet in width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As noted above, the 14-foot strip is also shown in an annexed plan. The annexed plan also shows an exception for an 80-foot wide "road" where the potato-shape road runs through the NW 1/4 of Section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80-foot wide road is not described specifically in the language of the Crown grant but falls within the exception in the annexed plan provision described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exception of the 14-foot strip and the 80-foot wide road is consistent with the 63.47 hectares stated in the May 10, 1978 letter to Mr. Bennett from the Director of Land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63.47 hectares equals 156.83 acres. The 14-foot westerly strip is .85 acres. Accordingly, after deducting the area of the 14-foot strip from the 160 acre 1/4 section, there would be 159.15 acres (160 acres minus .85 acres).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difference between 159.15 acres and the 156.83 stated acres (63.47 hectares) is 2.32 acres (159.15 acres minus 156.83 acres). 2.32 acres is consistent with the area of the 80-foot wide road shown on the annexed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 find that the 80-foot wide road where the potato-shape road runs in the NW 1/4 of Section 33 was excepted in the Crown grants. Thus, an action in trespass for travel on this portion of the road cannot succeed. Title remained with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NW 1/4 of Section 33 is bordered to the east by the NE 1/4 of Section 33 and to the north by the SW 1/4 of Section 4. I have found above that the portions of the potato-shape road in the NE 1/4 of Section 33 are private. I have also concluded below that the portion of the potato-shape road that runs through the SW 1/4 of Section 4 is private. In light of these findings, I will pause here to note that the fact that the road is excepted as public in the NW 1/4 of Section 33 does not affect my findings regarding the roads in these adjacent parcels.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date of the Crown grant for the NE 1/4 of Section 33 is September 15, 1936 and the date of the Crown grant for the SW 1/4 of Section 4 is December 17, 1946. As noted, the 80-foot road was excepted in the NE 1/4 of Section 33 in 1978, decades after the grants in the two adjacent parcels. In light of this gap in time, the 80-foot road exception lacks contemporaneous value to support an inference regarding the intention of the Crown at the time that the earlier grants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Like any contracting party, the Crown may have had its own confidential reasons for choosing to except a public road in the NE 1/4 of Section 33 notwithstanding that such a road would connect with private roads to the east and to the north (for example, the Crown may have been considering the future exercise of the one-twentieth resumption provision or an expropriation of the connected private roads for the then contemplated Site C hydro dam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In sum, the 80-foot road is excepted. Title to this portion of the potato-shape road did not pass to the grantee. It remained with the Crown. As such, the plaintiff does not have the possessory right to maintain an action in trespass with respect to the portion of the potato-shape road within the NW 1/4 of Section 33.</w:t>
      </w:r>
      <w:r>
        <w:rPr>
          <w:rFonts w:ascii="arial" w:eastAsia="arial" w:hAnsi="arial" w:cs="arial"/>
          <w:sz w:val="20"/>
          <w:lang w:val="en-US" w:eastAsia="en-US" w:bidi="ar-SA"/>
        </w:rPr>
        <w:cr/>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SW 1/4 of Section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date of the Crown grant for the SW 1/4 of Section 4 is December 17, 1946. The date of the Crown grant for the 1/4 section to the west of this parcel (SE 1/4 of Section 5) is May 2, 1946. The date of the Crown grant for the Bennett homestead is January 27, 1940 (NW 1/4 of Section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Crown grant states that the parcel is "said to contain 160 acres, more or less". The language of the Crown grant contains no specific exception.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By the 1950s, the potato-shape road as it runs through the SW 1/4 of Section 4 is shown in the aerial photographs (mosaic). The aerial photographs also show fields in the area of this portion of the potato-shape road. The Court infers that this portion of the potato-shape road was related to Mr. and Ms. Bennett's farm and was used by the Bennetts to travel between their fields and their homestead.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With the oil (gas) well located in the NW 1/4 of Section 33 with a fork connecting to the potato-shape road in the SW 1/4 of Section 4, I find that the portion of the potato-shape road that runs through the SW 1/4 of Section 4 was also subsequently used for oil and gas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In sum, the potato-shape road, as it runs through the SW 1/4 of Section 4, is a private road constructed in relation to the Bennetts' farm operations and possibly improved as a result of oil and gas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As a private road, it is not a public way within the definition of "highway" under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or the definition of "highway" in the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xml:space="preserve"> as it read at the date of grant on December 7, 1946: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R.S.B.C. 1936, c. 116. Unauthorized travel on this portion of the potato-shape road is trespass.</w:t>
      </w:r>
      <w:r>
        <w:rPr>
          <w:rFonts w:ascii="arial" w:eastAsia="arial" w:hAnsi="arial" w:cs="arial"/>
          <w:sz w:val="20"/>
          <w:lang w:val="en-US" w:eastAsia="en-US" w:bidi="ar-SA"/>
        </w:rPr>
        <w:cr/>
      </w:r>
    </w:p>
    <w:p>
      <w:pPr>
        <w:numPr>
          <w:numId w:val="7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SE 1/4 of Section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The date of the Crown grant for the SE 1/4 of Section 5 is May 2, 1946. The Crown grant was made "in consideration of the fulfillment of the conditions of the Pre-emptors' </w:t>
      </w:r>
      <w:r>
        <w:rPr>
          <w:rFonts w:ascii="arial" w:eastAsia="arial" w:hAnsi="arial" w:cs="arial"/>
          <w:i/>
          <w:color w:val="000000"/>
          <w:sz w:val="20"/>
          <w:lang w:val="en-US" w:eastAsia="en-US" w:bidi="ar-SA"/>
        </w:rPr>
        <w:t>Free Grants Act</w:t>
      </w:r>
      <w:r>
        <w:rPr>
          <w:rFonts w:ascii="arial" w:eastAsia="arial" w:hAnsi="arial" w:cs="arial"/>
          <w:color w:val="000000"/>
          <w:sz w:val="20"/>
          <w:lang w:val="en-US" w:eastAsia="en-US" w:bidi="ar-SA"/>
        </w:rPr>
        <w:t xml:space="preserve">, 1939". As noted, Mr. Bennett was a veteran: see </w:t>
      </w:r>
      <w:r>
        <w:rPr>
          <w:rFonts w:ascii="arial" w:eastAsia="arial" w:hAnsi="arial" w:cs="arial"/>
          <w:i/>
          <w:color w:val="000000"/>
          <w:sz w:val="20"/>
          <w:lang w:val="en-US" w:eastAsia="en-US" w:bidi="ar-SA"/>
        </w:rPr>
        <w:t>Pre-emptors' Free Grants Act</w:t>
      </w:r>
      <w:r>
        <w:rPr>
          <w:rFonts w:ascii="arial" w:eastAsia="arial" w:hAnsi="arial" w:cs="arial"/>
          <w:color w:val="000000"/>
          <w:sz w:val="20"/>
          <w:lang w:val="en-US" w:eastAsia="en-US" w:bidi="ar-SA"/>
        </w:rPr>
        <w:t>, S.B.C. 1939, c.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analysis of this parcel follows that of the previous parcel considered. I find the potato-shape road, as it runs through this parcel, was constructed in relation to the Bennetts' farm operations. The aerial photographs show nearby fields.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As a private road, it is not a public way within the definition of "highway" under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or the definition of "highway" in the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xml:space="preserve"> as it read at the date of the grant on May 2, 1946: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R.S.B.C. 1936, c. 116. Unauthorized travel on this portion of the road is trespass.</w:t>
      </w:r>
      <w:r>
        <w:rPr>
          <w:rFonts w:ascii="arial" w:eastAsia="arial" w:hAnsi="arial" w:cs="arial"/>
          <w:sz w:val="20"/>
          <w:lang w:val="en-US" w:eastAsia="en-US" w:bidi="ar-SA"/>
        </w:rPr>
        <w:cr/>
      </w:r>
    </w:p>
    <w:p>
      <w:pPr>
        <w:numPr>
          <w:numId w:val="7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NW 1/4 of Section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date of the Crown grant for the NW 1/4 of Section 5 is January 27, 1940.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Bennetts located their home on this parcel.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acreage is stated to be "One hundred and sixty, more or less". There is no specific language that excepts a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With respect to the portion of the potato-shape road in this parcel running south from the Bennett homestead, the Court finds this portion to be a private road following the analysis of the previous two parcels. It was a private road to service the fields to the south and, in particular, fields on the SE 1/4 of Section 5 and the SW 1/4 of Section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potato-shape road as it runs north from the Bennett homestead would have provided access from the north to the Bennett homestead. I find that this portion of the potato-shape road is a private road constructed to provide access to the Bennett homestead (and likely also supporting farm operations) and is a private road (similar to a homeowner's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In sum, as a private road, it is not a public way within the definition of "highway" under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or the definition of "highway" in the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xml:space="preserve"> as it read at the date of the grant on January 27, 1940: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R.S.B.C. 1936, c. 116. Unauthorized travel on this portion of the potato-shape road would be trespass.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 Pre-Emptor Series Map - NW 1/4 of Section 5, SW 1/4 of Section 8, and NW 1/4 of Section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In reviewing the relevant parcels, I have also considered the Pre-Emptor Series map, revised to April 1, 1952, prepared by the Department of Lands and Forests. This map shows a local road running northward from the NW 1/4 of Section 5 through the western portion of Section 8 (on or near its western border) and then into Section 18 (which is immediately west of Section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April 10, 1967 Crown grant for the SE 1/4 of Section 8 (and also the NW 1/4 of Section 4 and SW 1/4 of Section 9) has an annexed plan. The plan shows a correction line that runs along the western side of Section 8 (and Section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Of particular relevance is the January 16, 1974 Crown grant to Mr. Gordon Meek (Mr. Blane Meek's father) of the W 1/2 and NE 1/4 of Section 17, the NE 1/4 of Section 18, the E 1/2 of Section 19, and the SW 1/4 of Section 20. The Crown grant has the following description: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West half and North East quarter of Section 17; North East quarter of Section 18; East half of Section 19; and South West quarter of Section 20, Township 84, Range 20, West of the Sixth Meridian, as shown on plan of said Township dated September 11, 1918, except thereout, firstly, from said West half of Section 17, strips of land being the most westerly 14 feet and the most southerly 14 feet in parallel width thereof; secondly, from said East half of Section 19, Block 'A' thereof; and thirdly, from said southwest quarter of Section 20 a strip of land being the most westerly 14 feet in parallel width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From the description, specific 14-foot strips are excepted from the January 16, 1974 Crown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There is also an annexed plan for the January 16, 1974 Crown grant. It shows the Bennett Road as it runs through the NE 1/4 of Section 17, the NW 1/4 of Section 17, and the SW 1/4 of Section 20. Also shown is a short road in the NE 1/4 of Section 19. The stated acreage of the grant of approximately 1066.96 acres is consistent with excepting the 14-foot strips and the two roads shown on the annexed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Crown grant does not have a free passage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No road is excepted in the SW 1/4 of Section 17 or the NE 1/4 of Section 18 where the Pre-Emptor Series map shows a local road. If in January 1974, there was a public road as now asserted by Mr. Meek based on the Pre-Emptor Series map, I find that it would have been shown on the annexed plan. I further note that Mr. Gordon Meek apparently did not take the position in 1974 that there was such a public road in order that it be excepted from his January 16, 1974 Crown grant. Mr. Blane Meek has also not declared the asserted public road to be a public road to any government organization.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Court finds that the road shown on the Pre-Emptor Series map is a private road to the extent it runs through the NW 1/4 and SW 1/4 of Section 8 and not along the correction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As noted, I found Mr. Meek's and Mr. Little's evidence unreliable in connection with the asserted historic trail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 TRESPASSES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defendants admit to travelling on the roads on the Shaman Bison Ranch. In their written submissions, the defendants state:</w:t>
      </w:r>
      <w:r>
        <w:rPr>
          <w:rFonts w:ascii="arial" w:eastAsia="arial" w:hAnsi="arial" w:cs="arial"/>
          <w:sz w:val="20"/>
          <w:lang w:val="en-US" w:eastAsia="en-US" w:bidi="ar-SA"/>
        </w:rPr>
        <w:cr/>
      </w:r>
    </w:p>
    <w:p>
      <w:pPr>
        <w:numPr>
          <w:numId w:val="8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disputed that Mr. Meek and representatives of Wilder Creek Ranching Ltd., on occasion over the years, travelled on the roads. Their use of the roads was sporadic, occurring mostly during times when key farming activities were ongoing, in particular, seeding and harvesting. The evidence is unclear as to the dates the Defendants used the roads other than some photos purporting to be dated.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As noted above, in accordance with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the Court will consider only trespasses occurring on or after October 6, 2009. The plaintiff does not suggest further trespasses after he filed the notice of civil claim on October 6, 2011. Accordingly, the Court is focused on the two-year period of October 6, 2009 to October 6,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From the foregoing analysis of title, an action in trespass cannot succeed on many portions of the roads located on the plaintiff's ranch because the plaintiff does not have the necessary possessory right as a result of the free passage provision, a specific exception in the Crown grant, or s. 42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(or similar predecessor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plaintiff had photographic evidence of trespass from monitoring cameras he had installed in 2009. The specific dates and times shown on the photographs proved not always to be reliable in that the stated hour did not always agree with the daylight in the photograph or the date of the photograph did not always agree with expected conditions for the time of year (for example, no snow in January).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cameras were first installed in 2009 and were used to monitor travel on the roads running through the plaintiff's 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photographs showed Mr. Meek, usually in his truck, travelling on the east and west portions of the potato-shape road to the south of the "Y" located in the NE 1/4 of Section 8. There were also photographs of Ms. Meek's truck but the driver is not visible. These portions of the potato-shape road are private with the plaintiff enjoying the necessary possessory right. Accordingly, the Court finds the action for trespass is proven with respect to this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In their written submission, the defendants admit that one of the photographs related to a round trip by Mr. Meek to and from the BC Hydro lands he leased.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Most of the photographs relate to travel to and from the Bell Quarter and in several cases involve farm machinery (for example, a 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Some photographs show a vehicle which Mr. Meek identified as Ms. Meek's truck. Mr. Meek did not testify that Ms. Meek would not be driving her truck on the road shown while leaving open the possibility that he may have been driving the truck. Ms. Meek was not called to testify. The Court finds that Ms. Meek travelled on portions of the roads on the plaintiff's ranch over which the plaintiff had the requisite possessory right for an action in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In reviewing the cross-examination of Mr. Meek, I found 17 days in which there were trespasses by the defendants. I found four of them to occur in 2010 and 13 in 2011. There were none in the relevant period of 2009. Most of the trespasses were related to travel to and from the Bell Quarter with two or three related to travel to and from the lands leased from BC Hydro. I have not counted instances where Ms. Meek was trying to recover stray livestock.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In addition to travel on roads within the plaintiff's ranch, the plaintiff raised several related trespasses and actions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First, the plaintiff asserted that Mr. Meek stole a horse from the plaintiff's barn. This serious allegation was not pleaded. The evidence in support of the assertion was relatively scant. For example, there was no evidence of a photograph of Mr. Meek or an eyewitness of Mr. Meek in possession of one of the plaintiff's horses. On a balance of probabilities, I find that Mr. Meek did not steal one of the plaintiff's horses.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Second, the plaintiff asserted that Mr. Meek left the main gate to the Shaman Bison Ranch open for over an hour. The evidence proves the plaintiff's assertion. The gate is across the road recognized as a public way as a result of s. 42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Accordingly, an action in trespass cannot be maintained in this instance. Mr. Meek's conduct was irresponsible, and certainly not neighbourly behaviour, but not a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Third, there were also photographs of a person cutting the locks on a gate located between the lands leased by the plaintiff and by Mr. Meek from BC Hydro. The photographs do not show the face of the person responsible. These lands are not lands addressed by the plaintiff's amended notice of civil claim (filed October 1, 2018) and accordingly must be disregarded.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Fourth, Mr. Meek admitted to cutting a fence on the plaintiff's property to gain access to the Bell Quarter. The location of the fence was on a portion (or spur) of the potato-shape road in the SE 1/4 of Section 8 subject to the safe passage provision. That said, to reach this area, Mr. Meek would have had to trespass portions of the potato-shape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Fifth, the plaintiff and the plaintiff's son-in-law encountered Mr. Meek snowmobiling in 2010 on the lands leased by the plaintiff from BC Hydro. These lands are not lands addressed by the plaintiff's amended notice of civil claim and accordingly must be disregarded.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 DAMAGES</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In cross-examination, the plaintiff conceded that there was no damage to the roads on his ranch occasioned by the defendants' travel to and from the Bell Quarter because "it wasn't that heavy of equipment on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Considerable portions of the roads over which the defendants travelled to and from the Bell Quarter or to and from the land leased by Wilder Creek from BC Hydro were subject to the free passage provision. As a result, the plaintiff does not have the requisite possessory right to maintain an action in trespass over these considerable portions. The main portion of the road over which the plaintiff has the requisite possessory right is the portion of the potato-shape road south of the "Y" as it runs through the NE 1/4 of Section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defendants were using the roads on the plaintiff's ranch for their own benefit. The roads were of high-grade. They facilitated easy travel to and from the Bell Quarter and the land leased from BC Hydro which saved time and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Whitwham v. Westminster Brymbo Coal and Coke Company</w:t>
      </w:r>
      <w:r>
        <w:rPr>
          <w:rFonts w:ascii="arial" w:eastAsia="arial" w:hAnsi="arial" w:cs="arial"/>
          <w:color w:val="000000"/>
          <w:sz w:val="20"/>
          <w:lang w:val="en-US" w:eastAsia="en-US" w:bidi="ar-SA"/>
        </w:rPr>
        <w:t>, [1896] 2 Ch 538 (Eng. C.A.), Lord Justice Lindley, as the Lord Justice then was, stated the applicable rule (pp. 541-542):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if one person has without leave of another been using that other's land for his own purposes, he ought to pay for such user.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 have determined the amount the defendants ought to pay for the trespasses is $3,400. In reaching this amount, I have taken the 17 proven trespasses and then applied a per use charge of $200, which results in $3,400 ($200 x 17 trespasses). I have also considered that most of the trips were to and from the Bell Quarter. The per use charge is an amount that I view as reasonable in the circumstances. That said, the defendants should not view this fixing of damages as indicative of what an award of future damages may be if there were further trespasses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In fixing the $3,400, I have taken into account the contracts the plaintiff had with the oil and gas companies which provided for far greater compensation. In this regard, I have considered that the evidence showed many more trips associated with the oil and gas operations. Further, the transport or movement of the large oil and gas machinery and equipment may have also disturbed the plaintiff's bison. Finally, it is uncertain whether the oil and gas companies entered into contracts with the plaintiff on the basis that he had the requisite possessory right over all of the roads on his ranch.</w:t>
      </w:r>
      <w:r>
        <w:rPr>
          <w:rFonts w:ascii="arial" w:eastAsia="arial" w:hAnsi="arial" w:cs="arial"/>
          <w:sz w:val="20"/>
          <w:lang w:val="en-US" w:eastAsia="en-US" w:bidi="ar-SA"/>
        </w:rPr>
        <w:cr/>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With the plaintiff's concession in cross-examination, no special damages have been proved. The defendants travel to and from the lands leased from BC Hydro also did not involve heavy equipment.</w:t>
      </w:r>
      <w:r>
        <w:rPr>
          <w:rFonts w:ascii="arial" w:eastAsia="arial" w:hAnsi="arial" w:cs="arial"/>
          <w:sz w:val="20"/>
          <w:lang w:val="en-US" w:eastAsia="en-US" w:bidi="ar-SA"/>
        </w:rPr>
        <w:cr/>
      </w:r>
    </w:p>
    <w:p>
      <w:pPr>
        <w:numPr>
          <w:numId w:val="8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Aggravated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In the case at bar, neither aggravated nor punitive damages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I am not satisfied that the defendants' trespasses gave rise to anxiety or mental distress to the plaintiff which would meet the legal test: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at 1205-6.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Similarly, the defendants' trespasses do not straddle civil and criminal law to warrant an award of punitive damages to achieve the goal of punishment and deterrence: </w:t>
      </w:r>
      <w:r>
        <w:rPr>
          <w:rFonts w:ascii="arial" w:eastAsia="arial" w:hAnsi="arial" w:cs="arial"/>
          <w:i/>
          <w:color w:val="000000"/>
          <w:sz w:val="20"/>
          <w:lang w:val="en-US" w:eastAsia="en-US" w:bidi="ar-SA"/>
        </w:rPr>
        <w:t>Fidler v. Sun Life Assurance Co. of Canada</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2006 SCC 30</w:t>
        </w:r>
      </w:hyperlink>
      <w:r>
        <w:rPr>
          <w:rFonts w:ascii="arial" w:eastAsia="arial" w:hAnsi="arial" w:cs="arial"/>
          <w:color w:val="000000"/>
          <w:sz w:val="20"/>
          <w:lang w:val="en-US" w:eastAsia="en-US" w:bidi="ar-SA"/>
        </w:rPr>
        <w:t xml:space="preserve"> at paras. 61-62.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 INJUNCTIVE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Injunctions are equitable remedies: </w:t>
      </w:r>
      <w:r>
        <w:rPr>
          <w:rFonts w:ascii="arial" w:eastAsia="arial" w:hAnsi="arial" w:cs="arial"/>
          <w:i/>
          <w:color w:val="000000"/>
          <w:sz w:val="20"/>
          <w:lang w:val="en-US" w:eastAsia="en-US" w:bidi="ar-SA"/>
        </w:rPr>
        <w:t>Google Inc. v. Equustek Solutions Inc.</w:t>
      </w:r>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2017 SCC 34</w:t>
        </w:r>
      </w:hyperlink>
      <w:r>
        <w:rPr>
          <w:rFonts w:ascii="arial" w:eastAsia="arial" w:hAnsi="arial" w:cs="arial"/>
          <w:color w:val="000000"/>
          <w:sz w:val="20"/>
          <w:lang w:val="en-US" w:eastAsia="en-US" w:bidi="ar-SA"/>
        </w:rPr>
        <w:t xml:space="preserve">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An injunction engages the Court's discretion to restrict or direct a person's behaviour often beyond what is required by legislation. As such, judicial restraint is particularly warranted. Injunctions are only appropriate in clear cases where other remedies, such as damages, are not sufficient to achieve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In the instant case, the Court will not exercise its discretion to grant injunctive relief. The Court expects that the risk of a large damage award for any future trespasses by the defendants (and possible charges under the </w:t>
      </w:r>
      <w:r>
        <w:rPr>
          <w:rFonts w:ascii="arial" w:eastAsia="arial" w:hAnsi="arial" w:cs="arial"/>
          <w:i/>
          <w:color w:val="000000"/>
          <w:sz w:val="20"/>
          <w:lang w:val="en-US" w:eastAsia="en-US" w:bidi="ar-SA"/>
        </w:rPr>
        <w:t>Trespass Act</w:t>
      </w:r>
      <w:r>
        <w:rPr>
          <w:rFonts w:ascii="arial" w:eastAsia="arial" w:hAnsi="arial" w:cs="arial"/>
          <w:color w:val="000000"/>
          <w:sz w:val="20"/>
          <w:lang w:val="en-US" w:eastAsia="en-US" w:bidi="ar-SA"/>
        </w:rPr>
        <w:t>) will be sufficient to deter future trespasses. I note there have been no further trespasses by the defendants since the plaintiff filed his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In order that there are no misunderstandings and that there is a clear evidentiary record, I suggest the plaintiff provide a method by which the defendants can seek his approval to enter onto his lands in order to retrieve stray livestock as this eventuality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Court also does not view a declaration to be appropriate at this time, especially having regard to the uncertainty involving the current status of the free passage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The plaintiff is awarded $3,400 in general damages as against the defendants. The other relief sought by the plaintiff is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If the parties wish to speak to costs, they may arrange through Supreme Court Scheduling a 55 minute 9 a.m. hearing within 90 days from the date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G.S. FUNT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Schedule "A"</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84" type="#_x0000_t75" style="width:402pt;height:559.5pt">
            <v:imagedata r:id="rId399" o:title=""/>
          </v:shape>
        </w:pict>
      </w:r>
      <w:r>
        <w:rPr>
          <w:rFonts w:ascii="arial" w:eastAsia="arial" w:hAnsi="arial" w:cs="arial"/>
          <w:sz w:val="20"/>
          <w:lang w:val="en-US" w:eastAsia="en-US" w:bidi="ar-SA"/>
        </w:rPr>
        <w:t xml:space="preserve">  </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5" style="position:absolute;z-index:251754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Shiner v. Port Alberni (City), [2004] B.C.J. No. 1673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Wilson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19, 2003 and July 23,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11,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02-0308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1673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1076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38 C.L.R. (3d) 115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133 A.C.W.S. (3d) 545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Gerald Shiner and Maureen Shiner, plaintiffs, and The Corporation of the City of Port Alberni, A.V. Construction Co. Ltd., Siegfried Steinke and J.B. Dyson,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(40 paras.)</w:t>
      </w:r>
    </w:p>
    <w:p>
      <w:pPr>
        <w:jc w:val="both"/>
        <w:rPr>
          <w:rFonts w:ascii="arial" w:eastAsia="arial" w:hAnsi="arial" w:cs="arial"/>
          <w:sz w:val="20"/>
          <w:lang w:val="en-US" w:eastAsia="en-US" w:bidi="ar-SA"/>
        </w:rPr>
      </w:pPr>
      <w:bookmarkStart w:id="64" w:name="Counsel_16"/>
      <w:bookmarkEnd w:id="6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6"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P.G. Guy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Corporation of the City of Port Alberni: D.C. McKay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A.V. Construction Co. Ltd. and Siegfried Steinke: R.A. Scoffield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5" w:name="Judgment_16"/>
      <w:bookmarkEnd w:id="65"/>
      <w:r>
        <w:pict>
          <v:line id="_x0000_s1087" style="position:absolute;z-index:2517186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I.</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6" w:name="R.D. WILSON J."/>
            <w:bookmarkEnd w:id="66"/>
            <w:r>
              <w:rPr>
                <w:rFonts w:ascii="arial" w:eastAsia="arial" w:hAnsi="arial" w:cs="arial"/>
                <w:b/>
                <w:color w:val="000000"/>
                <w:sz w:val="30"/>
                <w:lang w:val="en-US" w:eastAsia="en-US" w:bidi="ar-SA"/>
              </w:rPr>
              <w:t>R.D. WILSON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29 June 1976, Mr. and Ms. Shiner purchased a residential real property in Port Alberni, British Columbia. The dwelling house on the property had been newly constructed in the spring of 1976. It was built by the defendant A.V. Construction Co. Ltd. The defendant Steinke is a principal of that corporation. Title to the property was then held by the City of Port Alberni.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18 January 2002, Mr. and Ms. Shiner commenced this action. They claim monetary damages as a result of the failure of the building. That failure is said to have been caused by defective subsoil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plead s. 3 of the Limitation Act</w:t>
      </w:r>
      <w:bookmarkStart w:id="67" w:name="Backward_fnref_fnr-1_0"/>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67"/>
      <w:r>
        <w:rPr>
          <w:rFonts w:ascii="arial" w:eastAsia="arial" w:hAnsi="arial" w:cs="arial"/>
          <w:color w:val="000000"/>
          <w:sz w:val="20"/>
          <w:lang w:val="en-US" w:eastAsia="en-US" w:bidi="ar-SA"/>
        </w:rPr>
        <w:t xml:space="preserve"> and say that Mr. and Ms. Shiner's claim is statute barred. Mr. and Ms. Shiner say that the limitation period was postponed; and the time did not begin to run against them until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parties apply for a summary determination of the issue of postponement, pursuant to R. 18A of the Rules of Court.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Shiner describes the history, in her affidavit sworn 9 October 2003, as follows:</w:t>
      </w:r>
      <w:r>
        <w:rPr>
          <w:rFonts w:ascii="arial" w:eastAsia="arial" w:hAnsi="arial" w:cs="arial"/>
          <w:sz w:val="20"/>
          <w:lang w:val="en-US" w:eastAsia="en-US" w:bidi="ar-SA"/>
        </w:rPr>
        <w:cr/>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purchase the interior of the house was normal and the floors were level. In the following three years the front door did not close properly, the kitchen counter came away from the wall, the living room window did not close properly, the exterior stucco and interior drywall on the east wall cracked, the wall by the living room lifted slightly, and the foundation of the shed in the car port showed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October 1979, Mr. Steinke attended to inspect the property, at the request of Mr. and Ms. Shiner. Mr. Steinke advised them that he would do nothing about the damage to the house; because any "settlement" was the fault of the City of Port Alberni. Mr. Steinke informed Mr. and Ms. Shiner that he had identified the unsuitably of the fill material prior to construction of the home. In result, he required of the City of Port Alberni, that it fund the preparation of engineered plans, for the foundation and footings, for the proposed dwelling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Assistance from Mr. Steinke not forthcoming, Ms. Shiner then wrote to the Ministry of Consumer and Corporate Affairs with her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a result of information given to the Ministry, in her letter, the Ministry responded, in a letter dated October 26, 1979,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I can sympathize and see that you have a very serious problem, I am not in a position to provide you with any extensive advice, I would like you to consider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establish who had input into placing your house, and possibly a subdivision, on the property that it now sits;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establish what permits and inspections were required to begin construction;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and consider very seriously that your problems may not be resolved without hiring a lawyer to proceed in an action against the City of Port Alberni and also adjoining to that action, the responsibilities of the contractor, building inspector and engineer.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problem is serious enough that you should not hesitate in obtaining the services of a lawyer to see this matter through.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June 1980, Ms. Shiner had a telephone conversation with a Mrs. Culver of the Victoria Office of the Ombudsman. In response to that telephone conversation, the Ombudsman wrote to Ms. Shiner, in a letter dated June 30, 1980, saying,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You complained that the new house which you bought just over three years ago appeared to be sinking. You said that the contractor insisted the City was at fault, as the lot had been bought from the City and consisted of ash fill in an empty hole. The City had paid for an engineer to design the plans for your house, after the contractor complained about the lot. You said that you had been to a lawyer who said that you could not do anything about your problem, but that you were very concerned because of the extensive damage in your house.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My solicitor has also been consulted and he suggested that you might want to consider legal action against the contractor. In any case, you should beware of the Limitations Act, in case you are running out of time to take legal action.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early August 1980, Ms. Shiner consulted solicitors in Nanaimo. In preparation for that consultation, Ms. Shiner prepared a memorandum dated 4 August 1980. Among other things, Ms. Shiner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purchased a new house in June/76. Almost immediately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front door wouldn't shut.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counter moved out from wall.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cracks appeared around windows -- causing windows not to close properly.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bottom of dividing wall between living room and entrance began to lift.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outside wall in living room cracked badly. Gyproc buckling in living room inside wall.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basement very damp -- smells like mildew -- anything left on floor gets damp and moldy.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 room floor slants down in one corner -- believed to be where foundation has let go.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three years we thought house was settling --realized it was more serious when I saw water stains appear on wall in front hallway next to uneven door 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a result of that consultation, the solicitors reported to Ms. Shiner by letter dated 7 August 1980. The solicitors advised Ms. Shiner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would appear ... that you have a legal cause of action, i.e. a right to sue, in particular against the builder of the home. After more data becomes available to me, it may well be that the municipality ought to be sued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solicitors also advised Ms. Shiner of the problem presented by the Limitation Act, and the remedies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solicitors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other aspect of the case which I must draw to your attention is this: it will be necessary in this type of a case for you to retain the services of an engineer or a similar qualified person to investigate in depth the nature of the problem, to provide an opinion as to:</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work will be necessary to remedy the problem; and</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such remedial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we are doing here is essentially obtaining evidence which would presumably point to both the culpability of the builder and also provide the measure of damages which you have or will suffer as a result of the builder's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Finally, the solicitors requested a retainer of $1,500 before commencing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solicitors were not retained. Ms. Shiner explained the decision not to do so, at her examination for discovery,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153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that because you believed it was too much money to spend?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because we needed to weigh what the difference would be between going through the courts or doing the repairs ourselves. I needed to talk to my husband about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154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After you spoke with your husband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decided we would do the repairs on the house.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seek the advice of any other type of an expert, whether it be an engineer or otherwise, as to what would happen given you knew that the house was built on fill?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we did not.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156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come?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we thought the house had finished settling, that Mr. Steinke was a reputable builder and would have built the house the best he could, so we trusted that this was maybe just the initial settling of a new home, maybe more extreme because it was on land fill, but now it had stopped.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going to suggest to you that one of the reasons why you didn't retain Mr. Godfrey is because there was this concern that your action might be out of time, the limitation period had been expired?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think that was the biggest issue. I think the biggest issue was the cost of proceeding through the courts and the cost of doing the repairs to the house ourselves. The damage to the house -- the house had settled, so we needed to weigh what is the best for us at that time was to proceed, pay costs and possibly lose because of the time limit or just do the repairs ourselves and, you know, and just live with -- we had a problem and it's our responsibility now to fix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215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based on those considerations you decided not to commence an action?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is no evidence of the cost of repair in 1980.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Shiners then remained on the property, with no observable increased damage, until 1998. Ms. Shiner explains in her affidavit:</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Until 1998 the settlement seemed to stop; in 1998 the carport floor began to crack and has continued to deteriorate, the back door steps have sunk, the utility shed has sunk, coming away from the carport roof and the carport beams show stress at the roof joint.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Also, since 1998 the patio started, and has continued, to crack and sink and the fence alongside has buckled. After 1998 the interior floors became more out of level, the kitchen cupboards have come away from the wall, doors in the living and dining room do not work properly, the ceiling near the centre main beam in the house has cracked and the drywall in the living room appears to be coming off of the framing inside the wall. In addition all of the landscaping, brick and cement work is collapsing.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September 2001, Mr. and Ms. Shiner commissioned an investigation and report by Lewkowich Geotechnical Engineering Ltd. By a report dated 6 September 2001, Mr. Lewkowich opined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amount of settlement that the house has undergone is considered to be severe, and well in excess of what would be considered "normal" and "tolerable".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nature of the subsurface soil that we have inferred to be present here consists of a highly organic type of material. The use of this type of material is not suitable for supporting a residential structure, for reasons of high compressibility both in the short term and long term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Lewkowich's report was supplemented by a report from an industrial hygienist. In the opinion of that expert, incorporation of the type of fill material found on the Shiner lot is "inappropriate".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Those are the material facts. They are not in dispute. The parties are also agreed on the legal principles to be applied to those facts, although they are not in agreement on the conclusion to be drawn from the application of those principles to those facts. A determination that the limitation period had not been postponed would be determinative of this action. It is not argued that a summary determination would be unjust to any party. Accordingly, I proceed to resolve this issue summarily.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burden of proving that the running of time has been postponed is upon Mr. and Ms. Shiner</w:t>
      </w:r>
      <w:bookmarkStart w:id="68" w:name="Backward_fnref_fnr-2_0"/>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68"/>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do not contend that they did not know the identity of the prospective defendants in 1980. This condition does not appear to be controversial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argument is founded on s. 6(4)(a) and (b):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 until ... those facts within the plaintiff's means of knowledge are such that a reasonable person, knowing those facts and having taken the appropriate advice a reasonable person would seek on those facts, would regard those facts as showing that</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 have a reasonable prospect of success, and</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contend that "the cause of action" means the cause defined on the facts existing at September 2001, not the cause defined on the facts existing at August 1980.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cause of action, say the plaintiffs, in August 1980, was a Small Claims action for monetary damages for a "minor" failure "for the usual signs of new home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present action, goes the argument, is for a major failure of the structure; and includes claims against the City for breach of warranty of fitness, breach of a duty to ensure that the property was suitable, breach of duty to warn, breach of duty to ensure that the home was constructed in accordance with standards, and vicarious liability for the engineer's negligent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claim against the contractor is for breach of contract, breach of warranty, breach of contractual or tort duty to ensure the home was built in accordance with appropriate standards, and vicarious liability for the negligent work of the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am not persuaded on the facts that the failure presenting in August 1980 was "minor". The failures described by Ms. Shiner are not consistent with what Mr. Lewkowich described as "normal" and "tolerable" for anticipated settlement, in the ordinary course of events, for new home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Further, the causation alleged by the plaintiffs at paragraph 11 of their statement of claim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fill placed on the property by the City was unsuitable and has since decomposed and settled, causing the Building to subside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is not suggested that anything new was added to the subsurface since the home was built. The opinions of Mr. Lewkowich and the industrial hygienist would have defined the same conditions in 1980 as they did in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Shiners were advised by their solicitors to engage the services of an expert in August 1980. It would have been reasonable for them to have done so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Continuing failure of the structure, in the circumstances of this case, does not, by itself, postpone the running of the limitation period. The cause of action pleaded in this proceeding is the same cause of action which would have presented in 1980</w:t>
      </w:r>
      <w:bookmarkStart w:id="69" w:name="Backward_fnref_fnr-3"/>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69"/>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their argument on s. 6(4)(b), the plaintiffs rely on the majority judgment in Novak v. Bond</w:t>
      </w:r>
      <w:bookmarkStart w:id="70" w:name="Backward_fnref_fnr-4"/>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70"/>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facts in Novak, supra, as taken from the headnote, were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allegedly misdiagnosed a lump on the plaintiff's breast as a benign condition from October 1989 until October 1990 when a specialist diagnosed breast cancer, performed a partial radical mastectomy, and discovered that the cancer had spread to most of the plaintiff's lymph nodes. After recovering from a year of illness and debilitating cancer treatment, the plaintiff considered suing the defendant and discussed the matter with her parish priest. She decided not to sue at the time, preferring to concentrate on maintaining her health and a positive belief that she had been cured. The cancer recurred four years later, this time spreading to the spine, liver and lung.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She then commenced her action. The issue for determination in the Supreme Court of Canada was the interpretation of s. 6(4)(b) of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Chief Justice McLachlin, writing for the majority, described the approach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restrictive subjective/objective approach, that asks when a reasonable person would hold that the plaintiff could bring an action, taking into account the plaintiff's "important and substantial interests" ...</w:t>
      </w:r>
      <w:bookmarkStart w:id="71" w:name="Backward_fnref_fnr-5"/>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71"/>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And, more particularly: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reasonable person would only consider that the plaintiff could not have brought an action at the time the right to do so first arose if the plaintiff's own interests and circumstances were serious, significant, and compelling. Purely tactical considerations have no place in this analysis</w:t>
      </w:r>
      <w:bookmarkStart w:id="72" w:name="Backward_fnref_fnr-6"/>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72"/>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interests and circumstances urged in this case, by the plaintiffs, are that they were a young couple faced with a choice between the uncertainties of litigation, with its attendant costs, and the repair of what, to them, presented as minor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am not persuaded that those are serious, significant, or compelling reasons for the delay in pursuing the remedies available to them in 1980.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result, I find that the limitation period for the bringing of this action has expired. Accordingly,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WILSON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88" style="position:absolute;z-index:251755520"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73" w:name="Forward_fnref_fnr-1_0"/>
      <w:hyperlink w:anchor="Backward_fnref_fnr-1" w:history="1">
        <w:r>
          <w:rPr>
            <w:rFonts w:ascii="arial" w:eastAsia="arial" w:hAnsi="arial" w:cs="arial"/>
            <w:b/>
            <w:color w:val="BE161D"/>
            <w:sz w:val="18"/>
            <w:shd w:val="clear" w:color="auto" w:fill="FFFFFF"/>
            <w:lang w:val="en-US" w:eastAsia="en-US" w:bidi="ar-SA"/>
          </w:rPr>
          <w:t>1</w:t>
        </w:r>
      </w:hyperlink>
      <w:bookmarkEnd w:id="73"/>
      <w:r>
        <w:rPr>
          <w:rFonts w:ascii="arial" w:eastAsia="arial" w:hAnsi="arial" w:cs="arial"/>
          <w:sz w:val="20"/>
          <w:lang w:val="en-US" w:eastAsia="en-US" w:bidi="ar-SA"/>
        </w:rPr>
        <w:tab/>
      </w:r>
      <w:hyperlink r:id="rId150" w:history="1">
        <w:r>
          <w:rPr>
            <w:rFonts w:ascii="arial" w:eastAsia="arial" w:hAnsi="arial" w:cs="arial"/>
            <w:i/>
            <w:color w:val="0077CC"/>
            <w:sz w:val="18"/>
            <w:u w:val="single"/>
            <w:shd w:val="clear" w:color="auto" w:fill="FFFFFF"/>
            <w:lang w:val="en-US" w:eastAsia="en-US" w:bidi="ar-SA"/>
          </w:rPr>
          <w:t>R.S.B.C. 1996, c. 266</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74" w:name="Forward_fnref_fnr-2_0"/>
      <w:hyperlink w:anchor="Backward_fnref_fnr-2" w:history="1">
        <w:r>
          <w:rPr>
            <w:rFonts w:ascii="arial" w:eastAsia="arial" w:hAnsi="arial" w:cs="arial"/>
            <w:b/>
            <w:color w:val="BE161D"/>
            <w:sz w:val="18"/>
            <w:shd w:val="clear" w:color="auto" w:fill="FFFFFF"/>
            <w:lang w:val="en-US" w:eastAsia="en-US" w:bidi="ar-SA"/>
          </w:rPr>
          <w:t>2</w:t>
        </w:r>
      </w:hyperlink>
      <w:bookmarkEnd w:id="74"/>
      <w:r>
        <w:rPr>
          <w:rFonts w:ascii="arial" w:eastAsia="arial" w:hAnsi="arial" w:cs="arial"/>
          <w:sz w:val="20"/>
          <w:lang w:val="en-US" w:eastAsia="en-US" w:bidi="ar-SA"/>
        </w:rPr>
        <w:tab/>
      </w:r>
      <w:r>
        <w:rPr>
          <w:rFonts w:ascii="arial" w:eastAsia="arial" w:hAnsi="arial" w:cs="arial"/>
          <w:color w:val="6D6E71"/>
          <w:sz w:val="18"/>
          <w:lang w:val="en-US" w:eastAsia="en-US" w:bidi="ar-SA"/>
        </w:rPr>
        <w:t>Limitation Act, s. 6(6).</w:t>
      </w:r>
    </w:p>
    <w:p>
      <w:pPr>
        <w:spacing w:before="120" w:after="20" w:line="240" w:lineRule="atLeast"/>
        <w:ind w:left="720" w:hanging="360"/>
        <w:jc w:val="both"/>
        <w:rPr>
          <w:rFonts w:ascii="arial" w:eastAsia="arial" w:hAnsi="arial" w:cs="arial"/>
          <w:sz w:val="20"/>
          <w:lang w:val="en-US" w:eastAsia="en-US" w:bidi="ar-SA"/>
        </w:rPr>
      </w:pPr>
      <w:bookmarkStart w:id="75"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75"/>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Levitt v. Carr </w:t>
      </w:r>
      <w:hyperlink r:id="rId407" w:history="1">
        <w:r>
          <w:rPr>
            <w:rFonts w:ascii="arial" w:eastAsia="arial" w:hAnsi="arial" w:cs="arial"/>
            <w:i/>
            <w:color w:val="0077CC"/>
            <w:sz w:val="18"/>
            <w:u w:val="single"/>
            <w:shd w:val="clear" w:color="auto" w:fill="FFFFFF"/>
            <w:lang w:val="en-US" w:eastAsia="en-US" w:bidi="ar-SA"/>
          </w:rPr>
          <w:t>(1992), 66 B.C.L.R. (2d) 58</w:t>
        </w:r>
      </w:hyperlink>
      <w:r>
        <w:rPr>
          <w:rFonts w:ascii="arial" w:eastAsia="arial" w:hAnsi="arial" w:cs="arial"/>
          <w:color w:val="6D6E71"/>
          <w:sz w:val="18"/>
          <w:lang w:val="en-US" w:eastAsia="en-US" w:bidi="ar-SA"/>
        </w:rPr>
        <w:t xml:space="preserve"> (B.C.C.A.), applied in Hughes v. Proline Management Ltd. et al, </w:t>
      </w:r>
      <w:hyperlink r:id="rId408" w:history="1">
        <w:r>
          <w:rPr>
            <w:rFonts w:ascii="arial" w:eastAsia="arial" w:hAnsi="arial" w:cs="arial"/>
            <w:i/>
            <w:color w:val="0077CC"/>
            <w:sz w:val="18"/>
            <w:u w:val="single"/>
            <w:shd w:val="clear" w:color="auto" w:fill="FFFFFF"/>
            <w:lang w:val="en-US" w:eastAsia="en-US" w:bidi="ar-SA"/>
          </w:rPr>
          <w:t>[1996] B.C.J. No. 1669</w:t>
        </w:r>
      </w:hyperlink>
      <w:r>
        <w:rPr>
          <w:rFonts w:ascii="arial" w:eastAsia="arial" w:hAnsi="arial" w:cs="arial"/>
          <w:color w:val="6D6E71"/>
          <w:sz w:val="18"/>
          <w:lang w:val="en-US" w:eastAsia="en-US" w:bidi="ar-SA"/>
        </w:rPr>
        <w:t xml:space="preserve"> (B.C.S.C.) and Craig v. I.C.B.C. et al, </w:t>
      </w:r>
      <w:hyperlink r:id="rId409" w:history="1">
        <w:r>
          <w:rPr>
            <w:rFonts w:ascii="arial" w:eastAsia="arial" w:hAnsi="arial" w:cs="arial"/>
            <w:i/>
            <w:color w:val="0077CC"/>
            <w:sz w:val="18"/>
            <w:u w:val="single"/>
            <w:shd w:val="clear" w:color="auto" w:fill="FFFFFF"/>
            <w:lang w:val="en-US" w:eastAsia="en-US" w:bidi="ar-SA"/>
          </w:rPr>
          <w:t>[2003] B.C.J. No. 2787</w:t>
        </w:r>
      </w:hyperlink>
      <w:r>
        <w:rPr>
          <w:rFonts w:ascii="arial" w:eastAsia="arial" w:hAnsi="arial" w:cs="arial"/>
          <w:color w:val="6D6E71"/>
          <w:sz w:val="18"/>
          <w:lang w:val="en-US" w:eastAsia="en-US" w:bidi="ar-SA"/>
        </w:rPr>
        <w:t xml:space="preserve">, </w:t>
      </w:r>
      <w:hyperlink r:id="rId409" w:history="1">
        <w:r>
          <w:rPr>
            <w:rFonts w:ascii="arial" w:eastAsia="arial" w:hAnsi="arial" w:cs="arial"/>
            <w:i/>
            <w:color w:val="0077CC"/>
            <w:sz w:val="18"/>
            <w:u w:val="single"/>
            <w:shd w:val="clear" w:color="auto" w:fill="FFFFFF"/>
            <w:lang w:val="en-US" w:eastAsia="en-US" w:bidi="ar-SA"/>
          </w:rPr>
          <w:t>2003 BCSC 1856</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76" w:name="Forward_fnref_fnr-4"/>
      <w:hyperlink w:anchor="Backward_fnref_fnr-4" w:history="1">
        <w:r>
          <w:rPr>
            <w:rFonts w:ascii="arial" w:eastAsia="arial" w:hAnsi="arial" w:cs="arial"/>
            <w:b/>
            <w:color w:val="BE161D"/>
            <w:sz w:val="18"/>
            <w:shd w:val="clear" w:color="auto" w:fill="FFFFFF"/>
            <w:lang w:val="en-US" w:eastAsia="en-US" w:bidi="ar-SA"/>
          </w:rPr>
          <w:t>4</w:t>
        </w:r>
      </w:hyperlink>
      <w:bookmarkEnd w:id="76"/>
      <w:r>
        <w:rPr>
          <w:rFonts w:ascii="arial" w:eastAsia="arial" w:hAnsi="arial" w:cs="arial"/>
          <w:sz w:val="20"/>
          <w:lang w:val="en-US" w:eastAsia="en-US" w:bidi="ar-SA"/>
        </w:rPr>
        <w:tab/>
      </w:r>
      <w:hyperlink r:id="rId410" w:history="1">
        <w:r>
          <w:rPr>
            <w:rFonts w:ascii="arial" w:eastAsia="arial" w:hAnsi="arial" w:cs="arial"/>
            <w:i/>
            <w:color w:val="0077CC"/>
            <w:sz w:val="18"/>
            <w:u w:val="single"/>
            <w:shd w:val="clear" w:color="auto" w:fill="FFFFFF"/>
            <w:lang w:val="en-US" w:eastAsia="en-US" w:bidi="ar-SA"/>
          </w:rPr>
          <w:t>[1999] 1 S.C.R. 808</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77" w:name="Forward_fnref_fnr-5"/>
      <w:hyperlink w:anchor="Backward_fnref_fnr-5" w:history="1">
        <w:r>
          <w:rPr>
            <w:rFonts w:ascii="arial" w:eastAsia="arial" w:hAnsi="arial" w:cs="arial"/>
            <w:b/>
            <w:color w:val="BE161D"/>
            <w:sz w:val="18"/>
            <w:shd w:val="clear" w:color="auto" w:fill="FFFFFF"/>
            <w:lang w:val="en-US" w:eastAsia="en-US" w:bidi="ar-SA"/>
          </w:rPr>
          <w:t>5</w:t>
        </w:r>
      </w:hyperlink>
      <w:bookmarkEnd w:id="77"/>
      <w:r>
        <w:rPr>
          <w:rFonts w:ascii="arial" w:eastAsia="arial" w:hAnsi="arial" w:cs="arial"/>
          <w:sz w:val="20"/>
          <w:lang w:val="en-US" w:eastAsia="en-US" w:bidi="ar-SA"/>
        </w:rPr>
        <w:tab/>
      </w:r>
      <w:r>
        <w:rPr>
          <w:rFonts w:ascii="arial" w:eastAsia="arial" w:hAnsi="arial" w:cs="arial"/>
          <w:color w:val="6D6E71"/>
          <w:sz w:val="18"/>
          <w:lang w:val="en-US" w:eastAsia="en-US" w:bidi="ar-SA"/>
        </w:rPr>
        <w:t>Ibid, at paragraph 38.</w:t>
      </w:r>
    </w:p>
    <w:p>
      <w:pPr>
        <w:spacing w:before="120" w:after="20" w:line="240" w:lineRule="atLeast"/>
        <w:ind w:left="720" w:hanging="360"/>
        <w:jc w:val="both"/>
        <w:rPr>
          <w:rFonts w:ascii="arial" w:eastAsia="arial" w:hAnsi="arial" w:cs="arial"/>
          <w:sz w:val="20"/>
          <w:lang w:val="en-US" w:eastAsia="en-US" w:bidi="ar-SA"/>
        </w:rPr>
      </w:pPr>
      <w:bookmarkStart w:id="78" w:name="Forward_fnref_fnr-6"/>
      <w:hyperlink w:anchor="Backward_fnref_fnr-6" w:history="1">
        <w:r>
          <w:rPr>
            <w:rFonts w:ascii="arial" w:eastAsia="arial" w:hAnsi="arial" w:cs="arial"/>
            <w:b/>
            <w:color w:val="BE161D"/>
            <w:sz w:val="18"/>
            <w:shd w:val="clear" w:color="auto" w:fill="FFFFFF"/>
            <w:lang w:val="en-US" w:eastAsia="en-US" w:bidi="ar-SA"/>
          </w:rPr>
          <w:t>6</w:t>
        </w:r>
      </w:hyperlink>
      <w:bookmarkEnd w:id="78"/>
      <w:r>
        <w:rPr>
          <w:rFonts w:ascii="arial" w:eastAsia="arial" w:hAnsi="arial" w:cs="arial"/>
          <w:sz w:val="20"/>
          <w:lang w:val="en-US" w:eastAsia="en-US" w:bidi="ar-SA"/>
        </w:rPr>
        <w:tab/>
      </w:r>
      <w:r>
        <w:rPr>
          <w:rFonts w:ascii="arial" w:eastAsia="arial" w:hAnsi="arial" w:cs="arial"/>
          <w:color w:val="6D6E71"/>
          <w:sz w:val="18"/>
          <w:lang w:val="en-US" w:eastAsia="en-US" w:bidi="ar-SA"/>
        </w:rPr>
        <w:t>Ibid, at paragraph 81.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9" style="position:absolute;z-index:2517749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Slater Vecchio LLP v. Arvanitis, [2020] B.C.J. No. 439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Sharma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4,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18,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S195495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439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385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Slater Vecchio LLP, Plaintiff, and Vicky Arvanitis,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(76 paras.)</w:t>
      </w:r>
    </w:p>
    <w:p>
      <w:pPr>
        <w:jc w:val="both"/>
        <w:rPr>
          <w:rFonts w:ascii="arial" w:eastAsia="arial" w:hAnsi="arial" w:cs="arial"/>
          <w:sz w:val="20"/>
          <w:lang w:val="en-US" w:eastAsia="en-US" w:bidi="ar-SA"/>
        </w:rPr>
      </w:pPr>
      <w:bookmarkStart w:id="79" w:name="Counsel_17"/>
      <w:bookmarkEnd w:id="7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0"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D.K. Georgetti.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E. Kornfeld.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0" w:name="Judgment_17"/>
      <w:bookmarkEnd w:id="80"/>
      <w:r>
        <w:pict>
          <v:line id="_x0000_s1091" style="position:absolute;z-index:2517196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1" w:name="N. SHARMA J._0"/>
            <w:bookmarkEnd w:id="81"/>
            <w:r>
              <w:rPr>
                <w:rFonts w:ascii="arial" w:eastAsia="arial" w:hAnsi="arial" w:cs="arial"/>
                <w:b/>
                <w:color w:val="000000"/>
                <w:sz w:val="30"/>
                <w:lang w:val="en-US" w:eastAsia="en-US" w:bidi="ar-SA"/>
              </w:rPr>
              <w:t>N. SHARMA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Theses are my reasons relating to the plaintiff's application, filed November 7, 2019, seeking, among other things, a declaration that the defendant is in contempt of court. I outline below the background to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TO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 Vicky Arvanitis sued the plaintiff law firm Slater Vecchio LLP (the "Applicant") which had previously represented her with regard to a motor vehicle action. She sued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her claim was dismissed: </w:t>
      </w:r>
      <w:hyperlink r:id="rId418" w:history="1">
        <w:r>
          <w:rPr>
            <w:rFonts w:ascii="arial" w:eastAsia="arial" w:hAnsi="arial" w:cs="arial"/>
            <w:i/>
            <w:color w:val="0077CC"/>
            <w:sz w:val="20"/>
            <w:u w:val="single"/>
            <w:shd w:val="clear" w:color="auto" w:fill="FFFFFF"/>
            <w:lang w:val="en-US" w:eastAsia="en-US" w:bidi="ar-SA"/>
          </w:rPr>
          <w:t>2016 BCSC 1612</w:t>
        </w:r>
      </w:hyperlink>
      <w:r>
        <w:rPr>
          <w:rFonts w:ascii="arial" w:eastAsia="arial" w:hAnsi="arial" w:cs="arial"/>
          <w:color w:val="000000"/>
          <w:sz w:val="20"/>
          <w:lang w:val="en-US" w:eastAsia="en-US" w:bidi="ar-SA"/>
        </w:rPr>
        <w:t xml:space="preserve">. The decision on costs came later: </w:t>
      </w:r>
      <w:hyperlink r:id="rId419" w:history="1">
        <w:r>
          <w:rPr>
            <w:rFonts w:ascii="arial" w:eastAsia="arial" w:hAnsi="arial" w:cs="arial"/>
            <w:i/>
            <w:color w:val="0077CC"/>
            <w:sz w:val="20"/>
            <w:u w:val="single"/>
            <w:shd w:val="clear" w:color="auto" w:fill="FFFFFF"/>
            <w:lang w:val="en-US" w:eastAsia="en-US" w:bidi="ar-SA"/>
          </w:rPr>
          <w:t>2017 BCSC 155</w:t>
        </w:r>
      </w:hyperlink>
      <w:r>
        <w:rPr>
          <w:rFonts w:ascii="arial" w:eastAsia="arial" w:hAnsi="arial" w:cs="arial"/>
          <w:color w:val="000000"/>
          <w:sz w:val="20"/>
          <w:lang w:val="en-US" w:eastAsia="en-US" w:bidi="ar-SA"/>
        </w:rPr>
        <w:t>. The trial judge awarded costs in favour of the Applicant, but accepted its submission to limit that award to the amount Ms. Arvanitis had posted for security ($8,000).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Neither decision was appealed.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May 10, 2019, the Applicant filed a claim in defamation against Ms. Arvanitis seeking both damages and an injunction. She filed a response and counterclaim on May 21,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May 24, 2019, the Applicant filed a notice of application seeking an interim injunction relating to the allegations made in the civil claim. It also filed a response to the counterclaim on May 29, 2019. On June 6, 2019, the Applicant filed an application to dismiss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Applicant set down the application for an interim injunction for hearing on June 18, 2019. On June 10, 2019, Ms. Arvanitis brought, without notice to the Applicant, an application to adjourn the June 18 hearing. The adjournment application was itself adjourned to June 14, 2019 (by Justice Grauer), but when it was heard, Justice Ker dismissed it: </w:t>
      </w:r>
      <w:hyperlink r:id="rId420" w:history="1">
        <w:r>
          <w:rPr>
            <w:rFonts w:ascii="arial" w:eastAsia="arial" w:hAnsi="arial" w:cs="arial"/>
            <w:i/>
            <w:color w:val="0077CC"/>
            <w:sz w:val="20"/>
            <w:u w:val="single"/>
            <w:shd w:val="clear" w:color="auto" w:fill="FFFFFF"/>
            <w:lang w:val="en-US" w:eastAsia="en-US" w:bidi="ar-SA"/>
          </w:rPr>
          <w:t>2019 BCSC 1289</w:t>
        </w:r>
      </w:hyperlink>
      <w:r>
        <w:rPr>
          <w:rFonts w:ascii="arial" w:eastAsia="arial" w:hAnsi="arial" w:cs="arial"/>
          <w:color w:val="000000"/>
          <w:sz w:val="20"/>
          <w:lang w:val="en-US" w:eastAsia="en-US" w:bidi="ar-SA"/>
        </w:rPr>
        <w:t>. In her decision, Justice Ker explained the background to Ms. Arvanitis's application for an adjournment: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Counsel for the plaintiff wrote to the defendant on April 30, 2019, advising that he had been retained by the plaintiff regarding the alleged defamatory publications by her on the Internet and formally demanding that the publications cease and be removed. The defendant's response was that she was on disability, had no assets, and that "you all can go and fuck yourselves". She also advised that she had more websites coming and that "there will be nothing you lying bastards can do about it". She has since started posting on YouTube.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By email dated May 1, 2019, plaintiff's counsel responded by advising he had instructions to commence legal proceedings seeking an injunction and asked regarding the hearing of the application, "Please advise which of May 21 to 24 or 27 to 31 is best for you." He added, "I urge you, in the strongest possible terms to seek legal advice as this is a serious matter." The defendant's response of that same day was that she was not intimidated by the plaintiff's counsel's threats and "feel free to waste your time taking me to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After further uncooperative emails from the defendant, plaintiff's counsel wrote to the defendant on May 10, advising that he proposed filing his client's application materials the next week, with a view to scheduling the hearing for sometime during the first two weeks of June, and asked, "If there are any dates during that period which are inconvenient for you or if you have other scheduling concerns, please advise." He again urged the defendant to seek legal advice.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Upon being advised of the hearing date, the defendant immediately responded that she was not available on June 18 and was away until September 17.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Plaintiff's counsel proposed a compromise on the basis that the application would be postponed if the defendant was willing to remove the allegedly defamatory content pending the hearing. The defendant's response to plaintiff's counsel query of when the defendant was leaving was, "It's none of your business."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Plaintiff's counsel responded that same day, advising that he would be proceeding with the application on June 18. The defendant responded that she would be seeking an adjournment until December. The defendant advises that she needs this long?term adjournment to either retain counsel or get herself up to speed on the law to represent herself.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Despite seeking a lengthy adjournment, the plaintiff says the defendant has significantly escalated her defamatory campaign since being served with the injunction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The plaintiff asserts the defendant has made it very clear that she continues to escalate matters. As just one example, on June 3, 2019, the defendant stated, "Clearly, the word is getting out. I have contacted the news, as well. Would you like to add that to your "defamation" list?"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In all, plaintiff's counsel has made approximately one dozen requests to the defendant for a date for the hearing of the applications. Ultimately, plaintiff's counsel advised that he was available on any date except June 10, 2019. The defendant then set down an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application to adjourn the June 18, 2019, hearing date, returnable on June 10. Plaintiff's counsel, coincidentally, was in chambers that day when the defendant's application was called. Mr. Justice Grauer adjourned the application to today's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On June 18, 2019, Justice Duncan heard the application for an interim injunction, which she granted, on June 20, 2019, in the following terms: </w:t>
      </w:r>
      <w:hyperlink r:id="rId421" w:history="1">
        <w:r>
          <w:rPr>
            <w:rFonts w:ascii="arial" w:eastAsia="arial" w:hAnsi="arial" w:cs="arial"/>
            <w:i/>
            <w:color w:val="0077CC"/>
            <w:sz w:val="20"/>
            <w:u w:val="single"/>
            <w:shd w:val="clear" w:color="auto" w:fill="FFFFFF"/>
            <w:lang w:val="en-US" w:eastAsia="en-US" w:bidi="ar-SA"/>
          </w:rPr>
          <w:t>2019 BCSC 1156</w:t>
        </w:r>
      </w:hyperlink>
      <w:r>
        <w:rPr>
          <w:rFonts w:ascii="arial" w:eastAsia="arial" w:hAnsi="arial" w:cs="arial"/>
          <w:color w:val="000000"/>
          <w:sz w:val="20"/>
          <w:lang w:val="en-US" w:eastAsia="en-US" w:bidi="ar-SA"/>
        </w:rPr>
        <w:t xml:space="preserve"> at para. 29:</w:t>
      </w:r>
      <w:r>
        <w:rPr>
          <w:rFonts w:ascii="arial" w:eastAsia="arial" w:hAnsi="arial" w:cs="arial"/>
          <w:sz w:val="20"/>
          <w:lang w:val="en-US" w:eastAsia="en-US" w:bidi="ar-SA"/>
        </w:rPr>
        <w:cr/>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Until further order of the Court, Ms. Arvanitis shall immediately delete or remove all statements and content, which she has published or caused to be published in any online forum including any social media platform, which contain direct or indirect reference to:</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current or former partners, employees, or family members of the plaintiff; and</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current or former clients of the plaintiff or family members thereof.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are collectively the "Protected Parties".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is hereby prohibited, on an interim basis, from publishing or causing to be published any statements or content in any online forum, including social media, which contain direct or indirect reference to the Protected Parties; directly or indirectly having contact with the Protected Parties except through plaintiff's counsel; directing, encouraging, or assisting any other person from engaging in conduct which the defendant is prohibited from engaging with by way of this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granting the injunction, Justice Duncan held that the statements in question were in her view "manifestly defamatory; that is, defamatory on their face" (at para. 24). As to the balance of convenience, she held that greater prejudice would be visited upon the Applicant if the injunction were refused pending a final determination on the merits. In part, she based that on Ms. Arvanitis's statements that she was judgment proof and has no assets (at para. 27). Lastly, Justice Duncan awarded costs in the sum of $1,000 against Ms. Arvanitis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conclusion of that hearing, the remaining relief sought in the application, including to strike the counterclaim, was scheduled to be heard on August 15,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Applicant came to the view that Ms. Arvanitis had breached the interim injunction granted by Justice Duncan, so on June 25, 2019, it filed an application seeking among other things, a finding of contempt. It set that application down for hearing on July 12, 2019, but Ms. Arvanitis did not appear. A bench warrant was issued and she turned herself in to the Sheriffs at the Vancouver Law Courts the next day and was placed in cells and released the same day (the equivalent of one day's incarceration).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July 17, 2019, the Applicant filed an application seeking to strike the response to the civil claim, and seeking judgment in its favour. It also sought orders against a few companies seeking production of documents and information relating to websites on which the disputed postings appeared.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Justice Groves heard the application for contempt for Ms. Arvanitis's breach of the interim injunction on July 22, 2019 (the one originally scheduled for July 12, 2019). In reasons delivered that day, he found Ms. Arvanitis in contempt. A sentencing hearing was scheduled for October 4,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July 30, 2019, the Applicant was successful in having its July 17, 2019 application for summary judgment, among other things, set down to be heard on August 15, 2019, together with the application to strike the counterclaim. Those two applications were addressed as one and came before me for hearing. I delivered reasons that day granting most of the 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One of the orders granted was for production of all correspondence that the defendant had exchanged with the persons that she knew or had reason to believe were former or current clients of the Applicant (the "Production 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within seven (7) days [Ms. Arvanitis] shall provide to counsel for the [Applicant], copies of all correspondence she has exchanged with persons she knows, or has reason to believe, to be current or former clients of the [Applicant], including but not limited to emails and messages exchanged through social media or other messaging services from January 1, 2018 to the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para. 56 of the August 15 judgment, indexed as 2020 BCSC 2369, I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remedy is different than usual, but I find it is justified in this case because the plaintiff is unable to get relief from defamation from damages. It has reasonably asked that with regard to their former or current clients, which is the most direct source of their reputation, that they get these documents in lieu of damages, and I am granting that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adjourned the application to prohibit Ms. Arvanitis from instituting proceedings against counsel for the Applicant, but gave counsel liberty to re-apply on two days' notice to Ms. Arvanitis.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October 4, 2019, Justice Groves heard submissions on sentencing relating to Ms. Arvanitis's contempt of the interim injunction, and he rendered his decision that day. A few passages from that judgment are helpful to the issues before me, including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But let me say this: No one, in my experience, goes through life completely unscathed, and no one is not negatively affected by what they perceive, at least, to be the actions of others. But there are other realities to life which come into play when one considers how you deal with difficulties or how you deal with things when people, at least in your own mind, have done you wrong. We, as individuals, only have one life to live. We only go around the planet once. You have a choice to make as an individual. You can let the difficulties caused you, or you think have been caused you by others, ruin your life and act out, or you can move on or try to move 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Sometimes it is difficult to move on, but always it is the better thing to move on. Focusing on the negative, acting out against those who you have perceived have done you wrong does not do anything, other than enhance the feeling of being wronged.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Ms. Arvanitis, I perceive at this stage, is someone who has viewed that her life has been ruined, as she has said, but she is not making her life easier or was not making her life easier by the actions that she took which gave rise to the allegations of defamation, which gave rise to the interim injunction, and which gave rise to her breach of Madam Justice Duncan's 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I do not necessarily believe that anything I say today will cause Ms. Arvanitis, who has very strong opinions about this matter, to look at things differently, but I would urge her, in as strong language as I can, that life is difficult and life is short, and you only have so much time to spend on the planet, and you should try to make the most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Justice Groves then turned to a consideration of the legal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Contempt is a serious matter for the following reasons. We are all fortunate to live in a country that is governed by the rule of law. There are several principles associated with the rule of law. One principle is that all persons are to be treated equally under the law. All persons are to have an opportunity to be heard by an independent tribunal or court when it is alleged that they have not, either in a criminal or in a civil way, acted responsibly in regards to what the law is. Finally, the rules that govern our society, our laws, apply equally to everyone. We are fortunate in Canada to live in a democracy where the rule of law applies, where everyone is treated equally under the law, where everyone is expected to abide by the law, and where everyone who is aggrieved has an opportunity to have a legal determination of their level of aggrievement.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Those who breach court orders unfortunately show a disrespect to the rule of law, which is the foundation of our civil society and our democracy. They act, whether intentionally or otherwise, as if the law does not apply to them when they disobey court orders. Contempt is the only remedy available to the courts to enforce its ruling and to ensure that people respect the rules and respect the law. If persons collectively chose to disobey court orders, then society would break down. We would lose the security of living in a peaceful society and in a democratic society. If persons simply chose to disobey laws or court orders that they did not want to follow, our democratic institutions would be threatened, our courts would be of no effect, and freedom would be 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After noting that he had indications that the defendant had made substantial efforts to comply with Madam Justice Duncan's order, Justice Groves turned to sentencing and made the following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In terms of promoting a sense of responsibility in the offender, I acknowledge, as does Mr. Georgetti in his submissions, that Ms. Arvanitis has taken most, if not all, of the steps necessary under Madam Justice Duncan's order now to be in compliance with it. But the thing that has to happen here is to send a message; send a message to persons who may think that court orders only have to be complied with if you want to; to send a message to people who are tempted to disobey court orders and, as such, perilously place society on the path towards a society where the rule of law does not apply and peaceful individuals cannot coexist with each other. A message has to be sent to persons who would wilfully disobey court orders that there are consequences. The consequences here, however, are the most modest possible.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I am satisfied that the sentence suggested by Mr. Georgetti is an appropriate one. In that regard, on the 22nd of June, 2019, in response to advice she had received that a warrant had been issued for her failure to attend in court on a contempt application, Ms. Arvanitis turned herself in to the sheriffs at 800 Smithe Street, Vancouver, on the morning of the 22nd of July, 2019. She remained in the cells, I understand, until such time as her case was called in Courtroom 31. After her case was called in Courtroom 31, she was released from custody. She has essentially spent one day in jail already and I am sentencing her in regards to her contempt to what is known as time served. Her sentence is simply the time that she has already spent in jail.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In terms of costs, it is clear from my review of the case law over the lunch that when someone is found in contempt, that it is appropriate for the court to order special costs, and special costs are essentially the actual costs incurred by the person who had to enforce the court order by way of hiring a lawyer and having them attend. The modest amount suggested by Mr. Georgetti, I do not doubt, is not anywhere near the bill that Slater Vecchio LLP will get for Mr. Georgetti's attendance before Madam Justice Duncan, before me on the 22nd of July, and before me today for the full day. It is, in fact, very similar to what the costs would be if I were simply awarding costs on Scale B of our tariff.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September 18, 2019, the Applicant filed an application seeking a declaration that Ms. Arvanitis comply with the Production Order. That application was heard and the order granted on October 1, 2019 (the "October 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November 7, 2019, the Applicant filed an application seeking a declaration that the defendant had breached the Production Order and the October Order and, on that basis, they sought a declaration that she be found guilty of contempt of court (the "Contempt Application"). The Applicant seeks as a sentence for contempt a term of imprisonment of 14 days. It also seeks special costs in the amount of $2,500.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Contempt Application came before me on November 21, 2019. In all previous proceedings in this action, Ms. Arvanitis had represented herself but she had counsel representing her with regard to the Contempt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Rather than decide the Contempt Application that day, I gave Ms. Arvanitis the opportunity to present evidence by way of affidavit to be delivered within two weeks about her compliance with the Production Order and the October Order. Accordingly, I adjourned paragraphs 1, 2, 3 and 5 of the Contempt Application. The parties were to set the matter down for a hearing, if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Counsel for the Applicant also sought on November 21, 2019 an order prohibiting Ms. Arvanitis from filing proceedings against him, and his law firm, its partners or employees, which I granted. In the August 15 decision, I had specifically given counsel leave to return to seek that order on no more than two days' notice and I stated that the grounds for him to bring that application were not high: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I am going to give [Ms. Arvanitis] one chance to prove everybody wrong. I am not going to grant that order. What I am going to do is adjourn it, and give leave to Mr. Georgetti to come back in front of me on short notice at any time if, in fact, there is a suit brought against him or his law firm or any employees by the defendant. So para. 4(b) in the draft order handed up is adjourned. I find seeking that relief is premature. [Ms. Arvanitis] said to me that she does not foresee why she would bring a suit against Mr. Georgetti or his law firm related to his conduct in this litigation, and I want to give her a chance to show us that she can stick to her word.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However, if something more happens that leads you to believe, Mr. Georgetti, that the time has come for that issue to be decided, you have permission to come before me on no more than two days' notice to [Ms. Arvanitis] to get a quick hearing before me under a request to appear to seek to get that order. And, I am seized of that because it is part of this application before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With regard to the order, I am granting adjournment of the relief sought in para. 4(b) relating to extending the declaration of vexatious litigant status to actions started by [Ms. Arvanitis] against Mr. Georgetti and/or any member of his firm, the grounds upon which he can come back before me is not a high standard. I am saying it has to meet no other standard, except Mr. Georgetti's belief that she may pursue litigation. I do recognize it is a low standard, but, in all the circumstances, I find it appropriate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granting the order on November 21, 2019, indexed at </w:t>
      </w:r>
      <w:hyperlink r:id="rId422" w:history="1">
        <w:r>
          <w:rPr>
            <w:rFonts w:ascii="arial" w:eastAsia="arial" w:hAnsi="arial" w:cs="arial"/>
            <w:i/>
            <w:color w:val="0077CC"/>
            <w:sz w:val="20"/>
            <w:u w:val="single"/>
            <w:shd w:val="clear" w:color="auto" w:fill="FFFFFF"/>
            <w:lang w:val="en-US" w:eastAsia="en-US" w:bidi="ar-SA"/>
          </w:rPr>
          <w:t>2019 BCSC 2370</w:t>
        </w:r>
      </w:hyperlink>
      <w:r>
        <w:rPr>
          <w:rFonts w:ascii="arial" w:eastAsia="arial" w:hAnsi="arial" w:cs="arial"/>
          <w:color w:val="000000"/>
          <w:sz w:val="20"/>
          <w:lang w:val="en-US" w:eastAsia="en-US" w:bidi="ar-SA"/>
        </w:rPr>
        <w:t>, I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Mr. Georgetti has provided me with evidence, specifically communication Ms. Arvanitis has had with him and/or with others that raises the spectre of litigation. There has been still allegation of harassment and abuse relating to what has happened in these proceedings that she appears at one time to have been pursuing. I am concerned by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I am [granting the order prohibiting the institution of proceedings against Mr. Georgetti or his law firm or its employees] because, as I have said in earlier rulings, the court commends Mr. Georgetti and his law firm's conduct in this matter, which has been appropriately and even exemplary given the nature of the material I have reviewed in a number of proceedings in this litigation. I intentionally laid a low standard for Mr. Georgetti to seek the Orders I previously adjourned. Despite material I have seen which suggests he had cause to pursue this earlier, he did not seek the Orders immediately. He has now adduced sufficient evidence that satisfies me that it is appropriate to grant the order at this time, and I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ended my November 21 judgment with the following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I do hope, Ms. Arvanitis, that you can move on. I cannot imagine what it is like to be in your position. I do not know. What I do know and what I do see is it is not good for you to keep continuing as you have in the past. There may be other ways you can deal with this issue, but so far, in the courts, things have not gone in your favour. I would suggest that you find some other way to deal with these issues. It is not going to get better for you, I am afraid. I am very worried about that prospect. So, I do hope that you can bring yourself into compliance and we can avoid sending you to jail.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remaining matters from the Contempt Application were originally set for hearing on December 17, 2019, but the court was unavailable and they were re-set to February 4, 2020.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Court of Appeal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reasons indexed at </w:t>
      </w:r>
      <w:hyperlink r:id="rId423" w:history="1">
        <w:r>
          <w:rPr>
            <w:rFonts w:ascii="arial" w:eastAsia="arial" w:hAnsi="arial" w:cs="arial"/>
            <w:i/>
            <w:color w:val="0077CC"/>
            <w:sz w:val="20"/>
            <w:u w:val="single"/>
            <w:shd w:val="clear" w:color="auto" w:fill="FFFFFF"/>
            <w:lang w:val="en-US" w:eastAsia="en-US" w:bidi="ar-SA"/>
          </w:rPr>
          <w:t>2019 BCCA 481</w:t>
        </w:r>
      </w:hyperlink>
      <w:r>
        <w:rPr>
          <w:rFonts w:ascii="arial" w:eastAsia="arial" w:hAnsi="arial" w:cs="arial"/>
          <w:color w:val="000000"/>
          <w:sz w:val="20"/>
          <w:lang w:val="en-US" w:eastAsia="en-US" w:bidi="ar-SA"/>
        </w:rPr>
        <w:t>, Madam Justice Dickson (in chambers) dismissed Ms. Arvanitis's application for an extension of time to appeal the order granting an interim injunction, the bench warrant issued on July 12, 2019 and the August 15 order generally (the Production Order being a part thereof). Justice Dickson dismissed the applications on the basis that they were bound to fail (at para. 19). By consent, the parties adjourned generally the application brought by the Applicant to have the Court of Appeal declare Ms. Arvanitis a vexatious litigant in its court (at para.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court has the inherent jurisdiction to punish for contempt, but that power is also addressed in Rules 13-2, 22-7, 22-8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The power to punish for contempt is essential in order to uphold the rule of law, the court's authority and the integrity of its process: </w:t>
      </w:r>
      <w:r>
        <w:rPr>
          <w:rFonts w:ascii="arial" w:eastAsia="arial" w:hAnsi="arial" w:cs="arial"/>
          <w:i/>
          <w:color w:val="000000"/>
          <w:sz w:val="20"/>
          <w:lang w:val="en-US" w:eastAsia="en-US" w:bidi="ar-SA"/>
        </w:rPr>
        <w:t>Transportation Lease Systems Inc. v. Virdi</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2009 BCSC 695</w:t>
        </w:r>
      </w:hyperlink>
      <w:r>
        <w:rPr>
          <w:rFonts w:ascii="arial" w:eastAsia="arial" w:hAnsi="arial" w:cs="arial"/>
          <w:color w:val="000000"/>
          <w:sz w:val="20"/>
          <w:lang w:val="en-US" w:eastAsia="en-US" w:bidi="ar-SA"/>
        </w:rPr>
        <w:t xml:space="preserve"> at para. 16, citing </w:t>
      </w:r>
      <w:r>
        <w:rPr>
          <w:rFonts w:ascii="arial" w:eastAsia="arial" w:hAnsi="arial" w:cs="arial"/>
          <w:i/>
          <w:color w:val="000000"/>
          <w:sz w:val="20"/>
          <w:lang w:val="en-US" w:eastAsia="en-US" w:bidi="ar-SA"/>
        </w:rPr>
        <w:t>United Nurses of Alberta v. Alberta (Attorney General)</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[1992] 1 S.C.R. 901</w:t>
        </w:r>
      </w:hyperlink>
      <w:r>
        <w:rPr>
          <w:rFonts w:ascii="arial" w:eastAsia="arial" w:hAnsi="arial" w:cs="arial"/>
          <w:color w:val="000000"/>
          <w:sz w:val="20"/>
          <w:lang w:val="en-US" w:eastAsia="en-US" w:bidi="ar-SA"/>
        </w:rPr>
        <w:t xml:space="preserve"> at 931. Contempt of court is committed where a person knowingly breaches or fails to comply with an order of the court: </w:t>
      </w:r>
      <w:r>
        <w:rPr>
          <w:rFonts w:ascii="arial" w:eastAsia="arial" w:hAnsi="arial" w:cs="arial"/>
          <w:i/>
          <w:color w:val="000000"/>
          <w:sz w:val="20"/>
          <w:lang w:val="en-US" w:eastAsia="en-US" w:bidi="ar-SA"/>
        </w:rPr>
        <w:t>North Vancouver (District) v. Sorrenti</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2004 BCCA 316</w:t>
        </w:r>
      </w:hyperlink>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Sorrenti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Supreme Court of Canada has confirmed that contempt of court is not a mere enforcement power and should not be something resorted to at first instance: </w:t>
      </w:r>
      <w:r>
        <w:rPr>
          <w:rFonts w:ascii="arial" w:eastAsia="arial" w:hAnsi="arial" w:cs="arial"/>
          <w:i/>
          <w:color w:val="000000"/>
          <w:sz w:val="20"/>
          <w:lang w:val="en-US" w:eastAsia="en-US" w:bidi="ar-SA"/>
        </w:rPr>
        <w:t>Carey v. Laiken</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2015 SCC 17</w:t>
        </w:r>
      </w:hyperlink>
      <w:r>
        <w:rPr>
          <w:rFonts w:ascii="arial" w:eastAsia="arial" w:hAnsi="arial" w:cs="arial"/>
          <w:color w:val="000000"/>
          <w:sz w:val="20"/>
          <w:lang w:val="en-US" w:eastAsia="en-US" w:bidi="ar-SA"/>
        </w:rPr>
        <w:t xml:space="preserve"> at para. 36. In the same paragraph the Court also noted that the power is meant to be used cautiously and with great restraint and that it is a discretionary power and should not be viewed as a routine mechanism to obtain compliance, (citing </w:t>
      </w:r>
      <w:r>
        <w:rPr>
          <w:rFonts w:ascii="arial" w:eastAsia="arial" w:hAnsi="arial" w:cs="arial"/>
          <w:i/>
          <w:color w:val="000000"/>
          <w:sz w:val="20"/>
          <w:lang w:val="en-US" w:eastAsia="en-US" w:bidi="ar-SA"/>
        </w:rPr>
        <w:t>Hefkey v. Hefkey</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2013 ONCA 44</w:t>
        </w:r>
      </w:hyperlink>
      <w:r>
        <w:rPr>
          <w:rFonts w:ascii="arial" w:eastAsia="arial" w:hAnsi="arial" w:cs="arial"/>
          <w:color w:val="000000"/>
          <w:sz w:val="20"/>
          <w:lang w:val="en-US" w:eastAsia="en-US" w:bidi="ar-SA"/>
        </w:rPr>
        <w:t xml:space="preserve"> at para. 3; </w:t>
      </w:r>
      <w:r>
        <w:rPr>
          <w:rFonts w:ascii="arial" w:eastAsia="arial" w:hAnsi="arial" w:cs="arial"/>
          <w:i/>
          <w:color w:val="000000"/>
          <w:sz w:val="20"/>
          <w:lang w:val="en-US" w:eastAsia="en-US" w:bidi="ar-SA"/>
        </w:rPr>
        <w:t>TG Industries Ltd. v. Clarke Inc., et al.</w:t>
      </w:r>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2001 NSCA 105</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B.C.G.E.U. v. British Columbia (Attorney General)</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[1988] 2 S.C.R. 214</w:t>
        </w:r>
      </w:hyperlink>
      <w:r>
        <w:rPr>
          <w:rFonts w:ascii="arial" w:eastAsia="arial" w:hAnsi="arial" w:cs="arial"/>
          <w:color w:val="000000"/>
          <w:sz w:val="20"/>
          <w:lang w:val="en-US" w:eastAsia="en-US" w:bidi="ar-SA"/>
        </w:rPr>
        <w:t xml:space="preserve"> at 234, Chief Justice Dickson described contempt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 legal context the phrase is much broader than the common meaning of "contempt" might suggest and embraces "where a person, whether a party to a proceeding or not, does any act which may tend to hinder the course of justice or show disrespect to the court's authority", "interfering with the business of the court on the part of a person who has no right to do so", "obstructing or attempting to obstruct the officers of the Court on their way to their duties" - See </w:t>
      </w:r>
      <w:r>
        <w:rPr>
          <w:rFonts w:ascii="arial" w:eastAsia="arial" w:hAnsi="arial" w:cs="arial"/>
          <w:i/>
          <w:color w:val="000000"/>
          <w:sz w:val="20"/>
          <w:lang w:val="en-US" w:eastAsia="en-US" w:bidi="ar-SA"/>
        </w:rPr>
        <w:t>Jowitt's Dictionary of English Law</w:t>
      </w:r>
      <w:r>
        <w:rPr>
          <w:rFonts w:ascii="arial" w:eastAsia="arial" w:hAnsi="arial" w:cs="arial"/>
          <w:color w:val="000000"/>
          <w:sz w:val="20"/>
          <w:lang w:val="en-US" w:eastAsia="en-US" w:bidi="ar-SA"/>
        </w:rPr>
        <w:t>, vol. 1, 2nd ed., at p. 441.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order to qualify as contempt, noncompliance with the court order must have been intentional rather than accidental or unintentional. However, a court can infer intention from the circumstances: </w:t>
      </w:r>
      <w:r>
        <w:rPr>
          <w:rFonts w:ascii="arial" w:eastAsia="arial" w:hAnsi="arial" w:cs="arial"/>
          <w:i/>
          <w:color w:val="000000"/>
          <w:sz w:val="20"/>
          <w:lang w:val="en-US" w:eastAsia="en-US" w:bidi="ar-SA"/>
        </w:rPr>
        <w:t>Sorrenti</w:t>
      </w:r>
      <w:r>
        <w:rPr>
          <w:rFonts w:ascii="arial" w:eastAsia="arial" w:hAnsi="arial" w:cs="arial"/>
          <w:color w:val="000000"/>
          <w:sz w:val="20"/>
          <w:lang w:val="en-US" w:eastAsia="en-US" w:bidi="ar-SA"/>
        </w:rPr>
        <w:t xml:space="preserve">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Lastly, contempt may be civil or criminal, but there is no dispute in this case that the allegations concern civil contempt. Although it is civil in nature, a proceeding for civil contempt is quasi-criminal. The following elements must be proven beyond a reasonable doubt in order for there to be a finding of contempt (</w:t>
      </w:r>
      <w:r>
        <w:rPr>
          <w:rFonts w:ascii="arial" w:eastAsia="arial" w:hAnsi="arial" w:cs="arial"/>
          <w:i/>
          <w:color w:val="000000"/>
          <w:sz w:val="20"/>
          <w:lang w:val="en-US" w:eastAsia="en-US" w:bidi="ar-SA"/>
        </w:rPr>
        <w:t>Carey</w:t>
      </w:r>
      <w:r>
        <w:rPr>
          <w:rFonts w:ascii="arial" w:eastAsia="arial" w:hAnsi="arial" w:cs="arial"/>
          <w:color w:val="000000"/>
          <w:sz w:val="20"/>
          <w:lang w:val="en-US" w:eastAsia="en-US" w:bidi="ar-SA"/>
        </w:rPr>
        <w:t xml:space="preserve"> at para. 32):</w:t>
      </w:r>
      <w:r>
        <w:rPr>
          <w:rFonts w:ascii="arial" w:eastAsia="arial" w:hAnsi="arial" w:cs="arial"/>
          <w:sz w:val="20"/>
          <w:lang w:val="en-US" w:eastAsia="en-US" w:bidi="ar-SA"/>
        </w:rPr>
        <w:cr/>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court order that clearly and unequivocally says what should and should not be done (</w:t>
      </w:r>
      <w:r>
        <w:rPr>
          <w:rFonts w:ascii="arial" w:eastAsia="arial" w:hAnsi="arial" w:cs="arial"/>
          <w:i/>
          <w:color w:val="000000"/>
          <w:sz w:val="20"/>
          <w:lang w:val="en-US" w:eastAsia="en-US" w:bidi="ar-SA"/>
        </w:rPr>
        <w:t>Carey</w:t>
      </w:r>
      <w:r>
        <w:rPr>
          <w:rFonts w:ascii="arial" w:eastAsia="arial" w:hAnsi="arial" w:cs="arial"/>
          <w:color w:val="000000"/>
          <w:sz w:val="20"/>
          <w:lang w:val="en-US" w:eastAsia="en-US" w:bidi="ar-SA"/>
        </w:rPr>
        <w:t xml:space="preserve"> at para. 33);</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Actual knowledge of the court order by the alleged contemnor (</w:t>
      </w:r>
      <w:r>
        <w:rPr>
          <w:rFonts w:ascii="arial" w:eastAsia="arial" w:hAnsi="arial" w:cs="arial"/>
          <w:i/>
          <w:color w:val="000000"/>
          <w:sz w:val="20"/>
          <w:lang w:val="en-US" w:eastAsia="en-US" w:bidi="ar-SA"/>
        </w:rPr>
        <w:t>Carey</w:t>
      </w:r>
      <w:r>
        <w:rPr>
          <w:rFonts w:ascii="arial" w:eastAsia="arial" w:hAnsi="arial" w:cs="arial"/>
          <w:color w:val="000000"/>
          <w:sz w:val="20"/>
          <w:lang w:val="en-US" w:eastAsia="en-US" w:bidi="ar-SA"/>
        </w:rPr>
        <w:t xml:space="preserve"> at para. 34); and,</w:t>
      </w:r>
    </w:p>
    <w:p>
      <w:pPr>
        <w:numPr>
          <w:numId w:val="8"/>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intentional commission of an act that the order prohibits or intentional omission of an act that the order compels (</w:t>
      </w:r>
      <w:r>
        <w:rPr>
          <w:rFonts w:ascii="arial" w:eastAsia="arial" w:hAnsi="arial" w:cs="arial"/>
          <w:i/>
          <w:color w:val="000000"/>
          <w:sz w:val="20"/>
          <w:lang w:val="en-US" w:eastAsia="en-US" w:bidi="ar-SA"/>
        </w:rPr>
        <w:t>Carey</w:t>
      </w:r>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terms of proving an intentional breach of a court order, the court looks at whether the person had the intention to commit the act itself, not the disobedience. In other words, it is not necessary to make a finding that the person intended to disobey in the sense that they were choosing not to comply. It is enough if a person's action were deliberate and amount to a breach: </w:t>
      </w:r>
      <w:r>
        <w:rPr>
          <w:rFonts w:ascii="arial" w:eastAsia="arial" w:hAnsi="arial" w:cs="arial"/>
          <w:i/>
          <w:color w:val="000000"/>
          <w:sz w:val="20"/>
          <w:lang w:val="en-US" w:eastAsia="en-US" w:bidi="ar-SA"/>
        </w:rPr>
        <w:t>United Nurses of Alberta</w:t>
      </w:r>
      <w:r>
        <w:rPr>
          <w:rFonts w:ascii="arial" w:eastAsia="arial" w:hAnsi="arial" w:cs="arial"/>
          <w:color w:val="000000"/>
          <w:sz w:val="20"/>
          <w:lang w:val="en-US" w:eastAsia="en-US" w:bidi="ar-SA"/>
        </w:rPr>
        <w:t xml:space="preserve"> at 931.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is simply the intention to do the act which in fact was prohibited by the order, or in this case, the intention not to do an act that was mandatorily ordered: </w:t>
      </w:r>
      <w:r>
        <w:rPr>
          <w:rFonts w:ascii="arial" w:eastAsia="arial" w:hAnsi="arial" w:cs="arial"/>
          <w:i/>
          <w:color w:val="000000"/>
          <w:sz w:val="20"/>
          <w:lang w:val="en-US" w:eastAsia="en-US" w:bidi="ar-SA"/>
        </w:rPr>
        <w:t>Carey</w:t>
      </w:r>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It is important to note that there are a number of defences that are often raised, but cannot relieve a person from a finding of contempt. One is to attack the original order because that would amount to an impermissible collateral attack. In </w:t>
      </w:r>
      <w:r>
        <w:rPr>
          <w:rFonts w:ascii="arial" w:eastAsia="arial" w:hAnsi="arial" w:cs="arial"/>
          <w:i/>
          <w:color w:val="000000"/>
          <w:sz w:val="20"/>
          <w:lang w:val="en-US" w:eastAsia="en-US" w:bidi="ar-SA"/>
        </w:rPr>
        <w:t>Silver Rill Corn Ltd. v. Island View Golf Centre Ltd.</w:t>
      </w:r>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2007 BCSC 865</w:t>
        </w:r>
      </w:hyperlink>
      <w:r>
        <w:rPr>
          <w:rFonts w:ascii="arial" w:eastAsia="arial" w:hAnsi="arial" w:cs="arial"/>
          <w:color w:val="000000"/>
          <w:sz w:val="20"/>
          <w:lang w:val="en-US" w:eastAsia="en-US" w:bidi="ar-SA"/>
        </w:rPr>
        <w:t xml:space="preserve"> at paras. 26-33, the court held that it is not a defence to civil contempt for the person to establish that they took reasonable efforts to comply unless the order itself makes that defence available by referring to due diligence. As stated in </w:t>
      </w:r>
      <w:r>
        <w:rPr>
          <w:rFonts w:ascii="arial" w:eastAsia="arial" w:hAnsi="arial" w:cs="arial"/>
          <w:i/>
          <w:color w:val="000000"/>
          <w:sz w:val="20"/>
          <w:lang w:val="en-US" w:eastAsia="en-US" w:bidi="ar-SA"/>
        </w:rPr>
        <w:t>Luft v. Ball</w:t>
      </w:r>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2013 BCSC 81</w:t>
        </w:r>
      </w:hyperlink>
      <w:r>
        <w:rPr>
          <w:rFonts w:ascii="arial" w:eastAsia="arial" w:hAnsi="arial" w:cs="arial"/>
          <w:color w:val="000000"/>
          <w:sz w:val="20"/>
          <w:lang w:val="en-US" w:eastAsia="en-US" w:bidi="ar-SA"/>
        </w:rPr>
        <w:t xml:space="preserve"> at para. 29, a party who has breached an order of the court cannot escape a finding of contempt for that failure to comply simply by asserting that it took all reasonable steps to avoid breaching the order short of complete compliance.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Because there is the potential for a custodial sentence, the principles of fundamental justice and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guarantees apply to contempt proceedings. That means that a person has a right to counsel, but that does not mean state-funded counsel. Instead, a person must be given a reasonable opportunity to obtain and instruct counsel. This issue does not arise because Ms. Arvanitis does have counsel representing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December 5, 2019, as permitted by the court's comments on November 21, 2019, Ms. Arvanitis filed an affidavit purporting to explain steps she has taken to comply with both the Production Order and the October Order. The contents of that affidavit may be relevant to her state of mind regarding the non-compliance with the court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Applicant submits Ms. Arvanitis's affidavit does not assist her position. It contends the affidavit supports its position that Ms. Arvanitis is defiant in her non-compliance with the Production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affidavit consists of 14 paragraphs, portions of which contain information irrelevant to the legal issues before me (specifically paras. 8, 9, 10 and 13, including exhibits G, H, I and 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With regard to an email account in her name, Ms. Arvanitis deposed:</w:t>
      </w:r>
      <w:r>
        <w:rPr>
          <w:rFonts w:ascii="arial" w:eastAsia="arial" w:hAnsi="arial" w:cs="arial"/>
          <w:sz w:val="20"/>
          <w:lang w:val="en-US" w:eastAsia="en-US" w:bidi="ar-SA"/>
        </w:rPr>
        <w:cr/>
      </w:r>
    </w:p>
    <w:p>
      <w:pPr>
        <w:numPr>
          <w:numId w:val="9"/>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paragraph 2, she attached as exhibit A screen shots of the inbox of the account as of November 30, 2019;</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paragraph 3, she attached as exhibit B printouts of screen shots from "sent" box from the same account;</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paragraph 7, she attached as exhibit F printouts of screen shots from the "trash bin" as of November 30, 2019 on the same account.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paragraph 4, she attached as an exhibit screen shots of attempts she made to recover previously deleted emails of the same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With regard to her Facebook account, Ms. Arvanitis deposed at paragraph 5 that she deleted her Facebook account in her belief she needed to do that to comply with an order to remove all postings. She deposed she did not believe she could re-activate a deleted Facebook account but that around November 26, 2019, she did so successfully. She attached as exhibit D print-outs from her Facebook account that contain messages that can be interpreted as being consistent with the account previously having been inactive. She deposed while the account has been successfully re-activated, messages sent through Facebook are no longer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At paragraph 6, Ms. Arvanitis deposed that she included screen shots of some text messages and a few of those are messages exchanged between her and three individuals whom I understand are the Applicant's former clients. Exhibit E also contains copies of letters from the same individuals which Ms. Arvanitis deposed "are the letters of support I had referred to", from which I infer she means references to letters she made in her statements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At paragraph 14, Ms. Arvanitis discloses names of three former clients she has spoken to (they are the same individuals who wrote the letters referred to above), as well as an additional person with whom she had contact through Facebook.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She also deposed: "I have had no contact with anyone since I was ordered not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Applicant's Submissions on the December 5, 2019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Applicant submits exhibits A and B, and portions of the affidavit's narrative support its position for a number of reasons. The Applicant prepared a booklet (which I accepted as an </w:t>
      </w:r>
      <w:r>
        <w:rPr>
          <w:rFonts w:ascii="arial" w:eastAsia="arial" w:hAnsi="arial" w:cs="arial"/>
          <w:i/>
          <w:color w:val="000000"/>
          <w:sz w:val="20"/>
          <w:lang w:val="en-US" w:eastAsia="en-US" w:bidi="ar-SA"/>
        </w:rPr>
        <w:t>aide memoire</w:t>
      </w:r>
      <w:r>
        <w:rPr>
          <w:rFonts w:ascii="arial" w:eastAsia="arial" w:hAnsi="arial" w:cs="arial"/>
          <w:color w:val="000000"/>
          <w:sz w:val="20"/>
          <w:lang w:val="en-US" w:eastAsia="en-US" w:bidi="ar-SA"/>
        </w:rPr>
        <w:t>) which re-arranged the pages in exhibits A and B in reverse chronological order. The booklet identified about 24 pages (of a total of about 113 pages) which are duplications. The Applicant submits the duplication together with other factors, the court can infer Ms. Arvanitis intended to mislead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Applicant also submits the redactions support its position. Ms. Arvanitis deposed she redacted "legal conversations". Among other things, the Applicant points out Ms. Arvanitis did not have counsel representing her until November 2019. That does not foreclose the possibility she had contacted people seeking legal advice, but the Applicant submits that inference should not be 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Applicant submits the dates of the redactions are significant. He points out that it is just around the time of the original application for an injunction when the defendant stated to the court that she had correspondence with a number of clients. Both Justice Ker and Justice Duncan found that Ms. Arvanitis was in correspondence with former clients based on the material and/or Ms. Arvanitis's statements before them. Yet the printout from her emails does not show any of that correspondence. The Applicant submits the court can infer the redactions are not for the purpose of protecting legal privilege, but in fact identify the correspondence sought by the Production Order. The booklet also identifies examples of redactions being inconsistently applied based on comparing some of the duplicate pages.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Applicant also submits the affidavit contains statements inconsistent with Ms. Arvanitis's previous statements to the court. On August 15, 2019, Ms. Arvanitis stated, in part, that the correspondence she had with the former clients were people who had become friends and her support group. That does not logically fit with her claim that prior to knowing she would be asked to turn that correspondence over she deleted that correspondence.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Moreover, the Applicant contends that in communications to counsel as well as in affidavits and submissions to the court, Ms. Arvanitis made dozens of references to her communications, including emails, with current or former clients of the plaintiff. He submits therefore the reference to deleted emails or accounts before the litigation started must be wrong. For instance, at paragraph 4 she states that emails she had with one of the former clients were deleted in January or February before this litigation had started. She also stated that she deleted conversations on Facebook before the litigation was started.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Lastly, the Applicant submits the screen shots are insufficient to constitute compliance because she was ordered to produce the correspondence, which it submits meant printing the emails or reproducing them onto a storage device.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Applicant's position is that the deficiencies it identified in the affidavit, together with the lack of correspondence being sent to it by Ms. Arvanitis, confirm she remains non-compliant with the Production Order. Its position is that there should be no dispute that Ms. Arvanitis did not comply with the Production Order or the October Order because she did not turn over any correspondence to the Applicant within two weeks. It also submits her affidavit is misleading and is therefore itself a further example of Ms. Arvanitis's contempt for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Although not stated in terms of "purging her contempt", on November 21, 2019, the court afforded Ms. Arvanitis the opportunity to bring evidence as to what she had done to comply with the Production Order. The December 5 affidavit is her attempt to do so, and its interpretation is key to my findings in this case. Ms. Arvanitis submitted she has done "everything she could" to comply with the Production Order, and there is no other correspondence that still exists between her and former clients of the Applicant.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Applicant submits the court can find, based on the material before it, that Ms. Arvanitis's claim that she has deleted all the correspondence and cannot comply is not credible. It asserts that Ms. Arvanitis essentially changed her story from not wanting to turn over the names or correspondence, to one of being unable to comply because she had deleted everything. It points out that if it was really true that she had deleted everything to comply (presumably) with the interim injunction, she could have made that point on August 15, 2019, before the Production Order was granted. However, no mention was made at that time about email accounts or Facebook accounts being deleted.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Applicant submits the failure to mention deletion of the accounts supports an inference that the correspondence existed at that time and Ms. Arvanitis deleted them later with the intent of avoiding compliance. If true, the Applicant is correct that would not amount to a defence for contempt: </w:t>
      </w:r>
      <w:r>
        <w:rPr>
          <w:rFonts w:ascii="arial" w:eastAsia="arial" w:hAnsi="arial" w:cs="arial"/>
          <w:i/>
          <w:color w:val="000000"/>
          <w:sz w:val="20"/>
          <w:lang w:val="en-US" w:eastAsia="en-US" w:bidi="ar-SA"/>
        </w:rPr>
        <w:t>Carey</w:t>
      </w:r>
      <w:r>
        <w:rPr>
          <w:rFonts w:ascii="arial" w:eastAsia="arial" w:hAnsi="arial" w:cs="arial"/>
          <w:color w:val="000000"/>
          <w:sz w:val="20"/>
          <w:lang w:val="en-US" w:eastAsia="en-US" w:bidi="ar-SA"/>
        </w:rPr>
        <w:t xml:space="preserve">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Applicant also points out that the court must have been satisfied that the documents existed when it granted the Production Order otherwise there would be need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That line of reasoning does have logical appeal. However, the situation is more nuanced if one looks to both the wording of the interim injunction (issued June 20, 2019, and made permanent on August 15, 2019) and the Production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interim injunction required Ms. Arvanitis to "immediately delete or remove all statements and content, which she has published or caused to be published </w:t>
      </w:r>
      <w:r>
        <w:rPr>
          <w:rFonts w:ascii="arial" w:eastAsia="arial" w:hAnsi="arial" w:cs="arial"/>
          <w:color w:val="000000"/>
          <w:sz w:val="20"/>
          <w:u w:val="single"/>
          <w:lang w:val="en-US" w:eastAsia="en-US" w:bidi="ar-SA"/>
        </w:rPr>
        <w:t>in any online forum including any social media platform</w:t>
      </w:r>
      <w:r>
        <w:rPr>
          <w:rFonts w:ascii="arial" w:eastAsia="arial" w:hAnsi="arial" w:cs="arial"/>
          <w:color w:val="000000"/>
          <w:sz w:val="20"/>
          <w:lang w:val="en-US" w:eastAsia="en-US" w:bidi="ar-SA"/>
        </w:rPr>
        <w:t xml:space="preserve">, which contain direct or indirect reference to" the Applicant or its clients (emphasis added). The Production Order requires her to produce to the Applicant's counsel "all correspondence she has exchanged with persons she knows, or has reason to believe, to be current or former clients of the [Applicant], including but not limited to emails and </w:t>
      </w:r>
      <w:r>
        <w:rPr>
          <w:rFonts w:ascii="arial" w:eastAsia="arial" w:hAnsi="arial" w:cs="arial"/>
          <w:color w:val="000000"/>
          <w:sz w:val="20"/>
          <w:u w:val="single"/>
          <w:lang w:val="en-US" w:eastAsia="en-US" w:bidi="ar-SA"/>
        </w:rPr>
        <w:t>messages exchanged through social media or other messaging services</w:t>
      </w:r>
      <w:r>
        <w:rPr>
          <w:rFonts w:ascii="arial" w:eastAsia="arial" w:hAnsi="arial" w:cs="arial"/>
          <w:color w:val="000000"/>
          <w:sz w:val="20"/>
          <w:lang w:val="en-US" w:eastAsia="en-US" w:bidi="ar-SA"/>
        </w:rPr>
        <w:t xml:space="preserve"> from January 1, 2018 to the present"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Accordingly, it is possible based on the wording of the orders, that by complying with the injunction, Ms. Arvanitis would have deleted correspondence, making it impossible for her to later comply with the Production Order. If true, then the ratio cited above from </w:t>
      </w:r>
      <w:r>
        <w:rPr>
          <w:rFonts w:ascii="arial" w:eastAsia="arial" w:hAnsi="arial" w:cs="arial"/>
          <w:i/>
          <w:color w:val="000000"/>
          <w:sz w:val="20"/>
          <w:lang w:val="en-US" w:eastAsia="en-US" w:bidi="ar-SA"/>
        </w:rPr>
        <w:t>Carey</w:t>
      </w:r>
      <w:r>
        <w:rPr>
          <w:rFonts w:ascii="arial" w:eastAsia="arial" w:hAnsi="arial" w:cs="arial"/>
          <w:color w:val="000000"/>
          <w:sz w:val="20"/>
          <w:lang w:val="en-US" w:eastAsia="en-US" w:bidi="ar-SA"/>
        </w:rPr>
        <w:t xml:space="preserve"> at para. 41 (para. 54, above) may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Applicant also submits that Ms. Arvanitis's claims that she deleted Facebook and emails "before the litigation started" are on their face untruthful because of her prior statements made to the court (see above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However, it is possible that Ms. Arvanitis's reference to "this litigation" in her December 5, 2019 affidavit meant the contempt application, which was filed November 21, 2019. Notwithstanding the background I have outlined earlier in this judgment, it is possible that in her mind the contempt proceedings are separate and apart from the underlying action. For that reason, I am not persuaded beyond a reasonable doubt that her claim she deleted all correspondence before "this litigation" started is untruthful.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agree with the Applicant that the extent to which Ms. Arvanitis has redacted information from her email accounts is suspicious. I find it most probable that one of the inconsistent redactions to be consistent with the Applicant's position that the redaction was not made for the purpose of protecting privilege. However, it is at least possible that the duplication and inconsistent redactions identified in the booklet illustrate a careless attitude toward preparation of the affidavit. I am mindful that Ms. Arvanitis prepared the affidavit, including the exhibits, without the benefit of legal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also note that Ms. Arvanitis has included in exhibit E correspondence she had with three former clients. She deposed that these are the letters of support she referred to in her statements in court. That production is in compliance with the Production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also find that the messages from Facebook after she reactivated her account can be read as being consistent with her claim that she deleted or deactivated her Facebook account for at least a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She claimed no messages were re-instated. The court is unaware whether upon re-activation of a Facebook account, postings and messages are also reinstated. Therefore, I have no basis one way or another to assess Ms. Arvanitis's claim on that point. Overall, however, I have a reasonable doubt whether the affidavit is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For all those reasons, I do have a reasonable doubt as to whether Ms. Arvanitis's affidavit was misleading, much less deliberately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Applicant also urged me to view the Production Order in light of the larger context of the underlying action. The action was for defamation, but damages were not sought because Ms. Arvanitis has apparently been granted indigent status in this Court, and stated she is judgment-proof. Counsel also pointed out that Ms. Arvanitis has failed to pay any cost awards against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As noted in para. 56 of the August 15 judgment (see above, para. 15), the court recognized the Production Order was unusual, but found it was appropriate to attempt to redress some of the harm from the defamation. In that context, the Applicants submits non-compliance with the Production Order takes on enhanced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However, the Applicant's primary relief from the defamation remains the permanent injunction. The defamation is caused by the publication of the comments. The purpose of the Production Order was to aid the Applicant in knowing which clients or former clients it may want to contact to counter the likely defamatory statements made to them by Ms. Arvanitis. This would aid the law firm in rehabilitating damage to its reputation with former or current clients who were in direct contact with Ms. Arvanitis. While important, the order is ancillary the primary relief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Contempt is primarily a matter between a litigant and the court. While the underlying litigation between Ms. Arvanitis and the Applicant is the foundation of the application for contempt, the focus is on the impact deliberate disobedience has on the integrity of the court process and more generally, public confidence in the court system and the administration of justice. The court will only resort to contempt when satisfied beyond a reasonable doubt that the alleged contemnor intentionally breached a court order, and in doing so, the dignity of the court's process has been damaged. In other words, not every breach of a court order is contemptuous.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To be clear, I find the Applicant's submissions raise a real concern about the veracity of Ms. Arvanitis's claim that the correspondence no longer exists. It is also possible that the Applicant is correct that she deleted the accounts in full knowledge that would breach the court's order. It is also possible she has not deleted anything and her affidavit is untruthful.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However, taking into account everything, and having particular regard to the overlap in the wording of the injunction and Production Order, I am not convinced beyond a reasonable doubt that Ms. Arvanitis's non-compliance was contemptuous.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Applicant is correct that someone cannot avoid a contempt finding if they have created a situation where compliance with the order in question is impossible. However, as I have noted, the alleged impossibility in this case could have arisen from Ms. Arvanitis's compliance with the interim injunction. That possibility amounts to reasonable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However, I want to be very clear: I am not making a finding that what Ms. Arvanitis has deposed in her affidavit or stated in court is true. Nor are my conclusions any indication that the Applicant did not have a reasonable and legitimate basis to pursue a finding of contempt. My conclusions rest completely on there being a reasonable doubt in my mind about her guilt. Nor would I want anything in this judgment to be taken as vindication of any of the claims Ms. Arvanitis continues to make in this Court regarding the Applicant or its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must add I am very concerned to see in the December 6, 2019 affidavit filed on behalf of the Applicant evidence that raises the possibility that Ms. Arvanitis may have breached the injunction with comments she posted on the Law Society's website. However, that issue is not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For all those reasons, I dismiss the application for contempt in relation to the Production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Although the Applicant was not successful, I have emphasized that they had legitimate grounds to seek the contempt ruling. I have very real concerns about Ms. Arvanitis's recent on-line activity, and note her affidavit contained a lot of irrelevant content. In light of all the foregoing, I exercise my discretion and order that each party bear their own costs in relation to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SHARMA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2" style="position:absolute;z-index:251756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Sophie's Gold &amp; Gift Shop Ltd. v. Lloyd's Underwriters, Lloyd's, London, [2001] I.L.R. para. G-1476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Insurance Law Reporter Cases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Scarth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August 28, 2001.</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2001</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[2001] I.L.R. para. G-1476</w:t>
      </w:r>
    </w:p>
    <w:p>
      <w:pPr>
        <w:spacing w:before="120" w:line="260" w:lineRule="atLeast"/>
        <w:rPr>
          <w:lang w:val="en-US" w:eastAsia="en-US" w:bidi="ar-SA"/>
        </w:rPr>
      </w:pPr>
      <w:r>
        <w:rPr>
          <w:rFonts w:ascii="arial" w:eastAsia="arial" w:hAnsi="arial" w:cs="arial"/>
          <w:color w:val="000000"/>
          <w:sz w:val="20"/>
          <w:lang w:val="en-US" w:eastAsia="en-US" w:bidi="ar-SA"/>
        </w:rPr>
        <w:t>Sophie's Gold &amp; Gift Shop Ltd. v. Lloyd's Underwriters, Lloyd's, London</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93" style="position:absolute;z-index:25168076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82" w:name="Keywords_2"/>
      <w:bookmarkEnd w:id="82"/>
      <w:r>
        <w:rPr>
          <w:rFonts w:ascii="arial" w:eastAsia="arial" w:hAnsi="arial" w:cs="arial"/>
          <w:b/>
          <w:color w:val="000000"/>
          <w:sz w:val="20"/>
          <w:lang w:val="en-US" w:eastAsia="en-US" w:bidi="ar-SA"/>
        </w:rPr>
        <w:t>Insurance agent — Restriction in coverage in jeweller's block insurance policy — Plaintiff knew of restriction, but was not informed that claim would be denied if restriction was not satisfied — Agent negligent in failing to properly inform insured — Agent liable for 20 per cent of plaintiff's loss.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83" w:name="Case Summary_3"/>
            <w:bookmarkEnd w:id="83"/>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an action for damages in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negligent misrepresentation or breach of fiduciary duty. The plaintiff carried on a retail jewellery business. Her daughter was employed in the business, but was out of the store on an errand when the store was robbed of $95,000 worth of jewellery. The plaintiff was covered by a jeweller's block insurance policy, but the plaintiff's claim was denied because the policy contained an exclusion for loss unless at least two employees were in attendance at the store if the theft occurred when the store was open for business. This two-person restriction had been added to the plaintiff's policy in 1993. The agent told the plaintiff that it was important to have two employees on the premises at all times, and the plaintiff assured him that there were two employees. The plaintiff was sent a confirmation of insurance that spelled out the two-person restriction, but she could not recall having read it. </w:t>
            </w:r>
            <w:r>
              <w:rPr>
                <w:lang w:val="en-US" w:eastAsia="en-US" w:bidi="ar-SA"/>
              </w:rPr>
              <w:cr/>
            </w:r>
          </w:p>
          <w:p>
            <w:pPr>
              <w:spacing w:before="120" w:line="260" w:lineRule="atLeast"/>
              <w:ind w:left="240"/>
              <w:jc w:val="both"/>
              <w:rPr>
                <w:lang w:val="en-US" w:eastAsia="en-US" w:bidi="ar-SA"/>
              </w:rPr>
            </w:pPr>
            <w:bookmarkStart w:id="84" w:name="Holdings of Court_2"/>
            <w:bookmarkEnd w:id="84"/>
            <w:r>
              <w:rPr>
                <w:rFonts w:ascii="arial" w:eastAsia="arial" w:hAnsi="arial" w:cs="arial"/>
                <w:color w:val="000000"/>
                <w:sz w:val="20"/>
                <w:lang w:val="en-US" w:eastAsia="en-US" w:bidi="ar-SA"/>
              </w:rPr>
              <w:t>HELD: The plaintiff was partially successful.</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Court found that the plaintiff's premises had been "open for business" when the theft occurred, even though the store could only be entered if the door was buzzed open. The plaintiff had been serving a customer at the time, and had admitted the thief to the store, thinking he was a telephone repairman.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plaintiff had known of the two-person restriction, and had made efforts to comply with it. The agent had told the plaintiff that it was important to have two employees in the store, but the plaintiff had not been told that failure to comply with the restriction would be a breach of the policy that would result in denial of a claim. The addition of the restriction in 1993 was a significant change in the policy, and the defendants should have informed the plaintiff of its effect. They were negligent in failing to do so. By far the greater portion of the blame lay with the plaintiff, however, and only 20 per cent of the liability for the loss was attributed to the defendants. </w:t>
            </w:r>
            <w:r>
              <w:rPr>
                <w:lang w:val="en-US" w:eastAsia="en-US" w:bidi="ar-SA"/>
              </w:rPr>
              <w:cr/>
            </w:r>
          </w:p>
          <w:p>
            <w:pPr>
              <w:rPr>
                <w:lang w:val="en-US" w:eastAsia="en-US" w:bidi="ar-SA"/>
              </w:rPr>
            </w:pPr>
          </w:p>
        </w:tc>
      </w:tr>
    </w:tbl>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207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Starko Estate v. Harbour Cove Investment Corp., [2009] B.C.J. No. 2130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District Registrar K.S. Sainty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13, 14 and 30,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29,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S065593, S066769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2130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1473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52 E.T.R. (3d) 101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2883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182 A.C.W.S. (3d) 496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Re: The Estate of Elizabeth Starko, Deceased Between Michael Harold Starko, Executor of the Will and Trustee of the Estate of Elizabeth Starko, Deceased, Plaintiff, and Harbour Cove Investment Corp. and Charles Willard Hall, Defendants And between Charles Willard Hall, Executor of the Will and Trustee of the Estate of Elizabeth Starko, Deceased, Plaintiff, and Michael Harold Starko, Julia Hall by her Litigation Guardian Mary Ruth Hall, Alyssa Hall, Elizabeth Hall, Zachary Starko, Emma Starko and Maria Starko by their Litigation Guardian Michael Starko, Leah Meinhardt, Michael Meinhardt, Mary Ruth Hall,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(159 paras.)</w:t>
      </w:r>
    </w:p>
    <w:p>
      <w:pPr>
        <w:jc w:val="both"/>
        <w:rPr>
          <w:rFonts w:ascii="arial" w:eastAsia="arial" w:hAnsi="arial" w:cs="arial"/>
          <w:sz w:val="20"/>
          <w:lang w:val="en-US" w:eastAsia="en-US" w:bidi="ar-SA"/>
        </w:rPr>
      </w:pPr>
      <w:bookmarkStart w:id="85" w:name="Counsel_18"/>
      <w:bookmarkEnd w:id="8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5"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Charles Willard Hall: K.A. Kuntz.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Michael Starko and the Starko Defendants: M.S. Kerwin.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6" w:name="Judgment_18"/>
      <w:bookmarkEnd w:id="86"/>
      <w:r>
        <w:pict>
          <v:line id="_x0000_s1096" style="position:absolute;z-index:251721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Decision</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7" w:name="DISTRICT REGISTRAR K.S. SAINTY"/>
            <w:bookmarkEnd w:id="87"/>
            <w:r>
              <w:rPr>
                <w:rFonts w:ascii="arial" w:eastAsia="arial" w:hAnsi="arial" w:cs="arial"/>
                <w:b/>
                <w:color w:val="000000"/>
                <w:sz w:val="30"/>
                <w:lang w:val="en-US" w:eastAsia="en-US" w:bidi="ar-SA"/>
              </w:rPr>
              <w:t>DISTRICT REGISTRAR K.S. SAINTY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matter concerns an assessment of the special costs to be paid out of the estate (the "Estate") of Elizabeth Starko, deceased (the "deceased" or "Mrs. Starko") to her two children, Charles Hall and Michael Starko in conjunction with two actions in this Court that were settled in November 2009. (For ease of reference, in these reasons I will refer to Charles Hall and Michael Starko as "Charles" and "Michael" respectively, although I intend no disrespect to them by using their first names.</w:t>
      </w:r>
      <w:bookmarkStart w:id="88" w:name="Backward_fnref_fnr-1_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88"/>
      <w:r>
        <w:rPr>
          <w:rFonts w:ascii="arial" w:eastAsia="arial" w:hAnsi="arial" w:cs="arial"/>
          <w:color w:val="000000"/>
          <w:sz w:val="20"/>
          <w:lang w:val="en-US" w:eastAsia="en-US" w:bidi="ar-SA"/>
        </w:rPr>
        <w:t>) A term of the settlement of the two actions was that the parties would be paid their special costs for both actions out of their mother's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Mrs. Starko died in October 2005. She was 83 years of age. At the time of her death, the main asset in the Estate was Mrs. Starko's condominium located at 1450 Pennyfarthing Drive in Vancouver (the "Condo") worth approximately $800,000. Apart from the Condo, the balance of the Estate was made up of modest assets: bank accounts, savings bonds, household goods and furniture worth approximately $30,000 (sufficient to pay the funeral expenses and some specific cash bequests to approximately 6 named beneficiaries (the deceased's grandchildren)). Charles has resided in the Condo since his mother's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Following Mrs. Starko's death a dispute arose between Charles and Michael as to their mother's last Will. Charles put forward a document (dated June 15, 2005) (the "2005 Will") pursuant to which Charles would be entitled to nearly all of his mother's Estate, including a 100 percent interest in the Condo. Charles and Michael were co-executors of that 2005 Will. Although Michael was named as a residual beneficiary, as almost all of the value in the Estate was in the Condo, the effect of the 2005 Will was that Michael received virtually nothing from his mother's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was advised during the hearing that Charles had been his mother's financial "planner" for a number of years. (He is, I understand, an accountant.) I was also told that Michael knew very little about his mother's assets or her estate plans but he was, apparently, extremely surprised to learn that under the 2005 Will, not only had he been effectively disinherited, but that Charles' first wife, Mary Ruth Hall ("Mary") also was to receive nothing from Mrs. Starko's Estate. Apparently Mary had enjoyed a very close relationship with her (former) mother-in-law even after she and Charles divorced. Mrs. Starko's earlier wills all provided for Mary to receive a portion of Mrs. Starko's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Michael sought legal advice and retained Borden Ladner Gervais LLP ("BLG") to advise him regarding his mother's Estate. BLG undertook some investigations and, based on those investigations, advised Michael that that 2005 Will represented a significant departure from Mrs. Starko's earlier estate plans. Michael therefore took the position that the 2005 Will was invalid and that Mrs. Starko's prior will (executed in December 2000) (the "2000 Will") should be admitted to probate. That 2000 Will divided the Condo between Charles (62.5%), Michael (25%) and Mary (12.5%). Michael and Charles were named as co-executors in the 2000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Prior to executing the 2000 Will, Mrs. Starko had reviewed and updated her will regularly, including in April 1987, December 1989 and May 1994. Each of these prior wills was prepared by Gordon MacRae, QC (formerly a partner at Douglas Symes &amp; Brissenden and now with Legacy Tax &amp; Trust Lawyers ("Legacy")). Legacy also prepared both the 2000 and the 2005 Wills, although no one from that firm witnessed Mrs. Starko's signature on them. Mrs. Starko executed the 2000 Will at the office of Les Ames, a solicitor with his own practice who was a friend of both Charles and Mrs. Starko. Les Ames also witnessed the 2005 Will, along with Mrs. Starko's caregiver, a Ms Zalamea.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each instance, Mrs Starko's instructions regarding her will were communicated to Legacy through Charles. Drafts were prepared and sent to Charles to review with his mother. Charles then relayed changes to the wills to Legacy who made them and then sent the wills to Charles to arrange for execution by Mrs. Starko.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Michael was not attacking the 2005 Will on the basis of Mrs. Starko's testamentary capacity but on the basis that she did not know or approve of the contents of that 2005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To further complicate matters, in or about February 2005, Mrs. Starko transferred the Condo into joint tenancy with Charles. That transfer was done by a lawyer named Anne Adrian who came to the Condo to witness Mrs. Starko's signature on the transfer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the date of death, two mortgages were registered against title to the Condo: a first mortgage in favour of Laurentian Trust of Canada Inc. in the amount of approximately $200,000 and a second mortgage in favour of Toronto Dominion Bank in the approximate amount of $90,000. At the hearing the parties referred to these two mortgages as the "Ambrose Mortgage" and the "TD Mortgage" respectively. I will do the same in this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Michael did not believe that the Ambrose Mortgage and the TD Mortgage were valid debts of the Estate. He took the position that those mortgages ought to be paid, not by the Estate, but rather by a corporation controlled by Charles known as Harbour Cove Investment Corp. ("Harbour Cove").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Shortly after his mother died, Charles registered a third mortgage in favour of CIBC in the principal amount of $200,000 against title to the Condo (the "CIBC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 total of three actions were commenced in respect of the Estate, although the special costs of only two of them are at issue in this proceeding. Those three actions are:</w:t>
      </w:r>
      <w:r>
        <w:rPr>
          <w:rFonts w:ascii="arial" w:eastAsia="arial" w:hAnsi="arial" w:cs="arial"/>
          <w:sz w:val="20"/>
          <w:lang w:val="en-US" w:eastAsia="en-US" w:bidi="ar-SA"/>
        </w:rPr>
        <w:cr/>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Michael Starko and Michael Starko, Executor of the Will of the Deceased v. Charles Hall</w:t>
      </w:r>
      <w:r>
        <w:rPr>
          <w:rFonts w:ascii="arial" w:eastAsia="arial" w:hAnsi="arial" w:cs="arial"/>
          <w:color w:val="000000"/>
          <w:sz w:val="20"/>
          <w:lang w:val="en-US" w:eastAsia="en-US" w:bidi="ar-SA"/>
        </w:rPr>
        <w:t>, Vancouver Registry No. S055904 (the "Resulting Trust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action Michael, as co-executor, sued Charles in his personal capacity seeking a declaration that the Condo was held by Charles in trust for Mrs. Starko's Estate and that the payment of the CIBC Mortgage was the responsibility of Charles, not the Estate.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letter from Charles' solicitors (Bull Housser &amp; Tupper LLP ("BHT")) to BLG dated June 21, 2006, confirmed that Charles was the person responsible for paying the CIBC Mortgage.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letter also confirmed that the transfer of the Condo into joint tenancy was "for the purpose of saving probate fees and was subject to a trust".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Michael abandoned the Resulting Trust Action in October 2007. The legal fees from that action are not recoverable from the Estate.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Michael Starko, Executor of the Will of the Deceased v. Harbour Cove and Charles Hall</w:t>
      </w:r>
      <w:r>
        <w:rPr>
          <w:rFonts w:ascii="arial" w:eastAsia="arial" w:hAnsi="arial" w:cs="arial"/>
          <w:color w:val="000000"/>
          <w:sz w:val="20"/>
          <w:lang w:val="en-US" w:eastAsia="en-US" w:bidi="ar-SA"/>
        </w:rPr>
        <w:t>, Vancouver Registry No. S065593 (the "Mortgage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Michael commenced this action in August 2006 seeking a declaration that the Estate was not liable for payment of either the Ambrose Mortgage or the TD Mortgage but that Charles or Harbour Cove were, instead, the primary debtors.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defending this action, Charles intended to rely on mortgage documents signed by Mrs. Starko which indicated that she, not Harbour Cove, obtained the mortgages in her personal capacity as well as Mrs. Starko's written acknowledgement that she was the primary debtor in respect of both the Ambrose and the TD Mortgages.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support his claims, Michael intended to rely on pleadings filed in Charles' matrimonial proceedings with his second wife (Linda Meinhardt) in which the mortgages were characterised as being loans owed by Harbour Cove.</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Charles Hall, Executor of the Estate of the Deceased v. Starko and others</w:t>
      </w:r>
      <w:r>
        <w:rPr>
          <w:rFonts w:ascii="arial" w:eastAsia="arial" w:hAnsi="arial" w:cs="arial"/>
          <w:color w:val="000000"/>
          <w:sz w:val="20"/>
          <w:lang w:val="en-US" w:eastAsia="en-US" w:bidi="ar-SA"/>
        </w:rPr>
        <w:t>, Vancouver Registry No. S066769 (the "Proof in Solemn Form Action" or the "Probate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action was commenced by Charles, in his capacity as a co-executor of Mrs. Starko's Estate, and was brought to prove the 2005 Will in solemn form. Charles commenced this action because Michael refused to accept that Mrs. Starko knew and approved the contents of the 2005 Will when she signed it and because Michael filed a caveat preventing probate of any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the eve of the trial of the Proof in Solemn Form Action, the parties reached an agreement to settle that action and the Mortgage Action. The terms of that settlement provided (among other things) that:</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would proceed to prove the 2000 Will in solemn form;</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would file a consent dismissal in the Mortgage Action;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would consent to waive probate of the 2000 Will;</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Charles would assume responsibility for the Ambrose Mortgage and the Estate would pay the TD Mortgage. Charles, Michael and Mary would be responsible for paying the remaining balance due under the TD Mortgage from their proportionate shares of the Estate;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Charles would retain ownership of the Condo but would make periodic payments to Michael and Mary to buy out their respective shares of the Condo which were agreed at Charles 62.5%, Michael 25% and Mary 12.5% (in accordance with the 2000 Will). Final payment is to be completed by June 2010. No interest is to accrue on the amount owing;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Charles' and Michael's special costs of the Mortgage Action and the Probate Action will be paid from the Estate in an amount to be determined by agreement or, failing agreement, as assessed by a registrar. The special costs will be paid by the Estate in proportion to the beneficiaries' respective shares in the Condo.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the hearing I heard from the following witnesses: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Gary J. Wilson, a partner at BLG and the head of that firm's "wealth management group";</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Scott Kerwin, also a partner at BLG (although a senior associate at that firm when the file came to BLG). Mr. Kerwin also acted as counsel for Michael at the hearing;</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Jane Milton, a partner with BHT who was the solicitor in charge of matters for Charles at that law firm;</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Robert Carrothers, a lawyer with Legacy who did work from time to time for Mrs. Starko and Charles;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Kimberly-Anne Kuntz, a partner (since January 2008) with BHT who worked on Charles' matters with Ms Milton and who also acted as counsel for Charles at the hearing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do not intend to recite in great depth all of the evidence I heard during the three days this matter was before me. I will, however, provide a basic summary of each of the witnesses' testimony.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 MR. WILSON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Wilson confirmed his status as a partner with BLG and the head of that firm's wealth management group. He first became involved with this matter when Michael contacted him in 2005 shortly after Mrs. Starko's death and upon Michael's learning that he had been left nothing in the 2005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Wilson testified that his review of the documents Michael found in the Condo, including a draft of the 2005 Will, led him to have some suspicions as to whether Mrs. Starko had reviewed and approved of the contents of that Will. This was particularly the case as his review disclosed that the first 8 pages of the draft 2005 Will had been removed, notes made on them and then they appeared to have been re-stapled to the draft. None of the handwritten changes noted on those 8 pages were incorporated into the executed 2005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Wilson did a title search on the Condo and found that the CIBC Mortgage was registered against title to that Condo "within a day or two" of Mrs. Starko's death. To ensure no further dealings were possible with the Condo, Michael gave him instructions to commence the Resulting Trust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Wilson then contacted Mr. Carrothers (at Legacy) and apparently told Mr. Carrothers that Legacy ought not to act for the Estate since they drafted the 2005 Will which appeared to be "suspicious".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Wilson prepared a list of questions for Mr. Carrothers which were sent to him for response relating to the circumstances surrounding the drafting and execution of the 2005 Will. Based on Mr. Carrothers' responses, Mr. Wilson formed the opinion that Legacy acted, not for Mrs. Starko in respect of her estate matters, but rather on instructions from Charles in planning his issues with respect to his mother's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Legacy ceased acting for Charles in or about April 2006 after which Ms Milton started acting for Charles (in April 2006). Mr. Wilson and Ms Milton had a number of discussions regarding matters. When it became clear to Mr. Wilson that the matter would proceed to litigation, he delegated matters to Mr. Kerwin, a litigator at BLG.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Wilson said that, in his view, having reviewed a number of documents and considering the circumstances of the making of the 2005 Will, the sole issue between the parties was Charles' credibility as there was no evidence, other than that of Charles, as to the reasons for the (as he saw it) drastic changes by Mrs. Starko in the terms of her 2005 Will (when compared to the 2000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Wilson also said that his suspicions were further aroused because Charles put forth several (differing) theories as to why his mother had effectively "disinherited" Michael and Mary:</w:t>
      </w:r>
      <w:r>
        <w:rPr>
          <w:rFonts w:ascii="arial" w:eastAsia="arial" w:hAnsi="arial" w:cs="arial"/>
          <w:sz w:val="20"/>
          <w:lang w:val="en-US" w:eastAsia="en-US" w:bidi="ar-SA"/>
        </w:rPr>
        <w:cr/>
      </w:r>
    </w:p>
    <w:p>
      <w:pPr>
        <w:numPr>
          <w:numId w:val="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"evening up theory"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theory Charles apparently alleged that as Michael inherited a reasonably substantial sum of money from his father Mrs Starko wanted to be sure that Charles was dealt with equally and giving him the Condo achieved that goal.</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"homeless theory"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theory, Charles suggested that Mrs. Starko left him the Condo to provide him with a home as, after the breakdown of his marriage to Linda Meinhardt, he was left with no residence. Mr. Walker said this theory made little sense as the 2005 Will directed that the Condo be sold and the proceeds be given to Charles.</w:t>
      </w:r>
    </w:p>
    <w:p>
      <w:pPr>
        <w:numPr>
          <w:numId w:val="8"/>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"secret trust theory"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his examination for discovery, Charles apparently suggested that his mother had not disinherited Mary but rather knew that Charles would "take care of Mary" upon receipt of his mother's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Wilson said that each of these theories had to be fully investigated for a number of reasons and to determine a number of things:</w:t>
      </w:r>
      <w:r>
        <w:rPr>
          <w:rFonts w:ascii="arial" w:eastAsia="arial" w:hAnsi="arial" w:cs="arial"/>
          <w:sz w:val="20"/>
          <w:lang w:val="en-US" w:eastAsia="en-US" w:bidi="ar-SA"/>
        </w:rPr>
        <w:cr/>
      </w:r>
    </w:p>
    <w:p>
      <w:pPr>
        <w:numPr>
          <w:numId w:val="9"/>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any basis on which Charles' testimony about any one of these theories might be found to be credible?</w:t>
      </w:r>
    </w:p>
    <w:p>
      <w:pPr>
        <w:numPr>
          <w:numId w:val="9"/>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How much had Michael inherited from his own father?</w:t>
      </w:r>
    </w:p>
    <w:p>
      <w:pPr>
        <w:numPr>
          <w:numId w:val="9"/>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Harbour Cove had to be investigated to determine to what extent Charles was (and had been) in charge of his mother's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Once the investigations were completed, the pleadings in the Proof in Solemn Form Action were amended to claim undue influence as, accordingly to Mr. Wilson, once BLG determined the extent to which Mrs. Starko relied on Charles and considering how the 2005 Will came into being, there was no credible basis for why the 2005 Will represented such a stark departure from Mrs. Starko's previous wills, including the 2000 Will. The amendment to include this allegation was carefully considered as counsel knew, in alleging undue influence, that their client was being exposed to a special costs claim against him were he not successful in the end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Wilson also confirmed that he was the lawyer responsible for setting the client's fees and that some substantial reductions were taken from the time recorded to the matters to the actual fees charged. In particular, for the year 2008, the time recorded to the file was $103,935. The client was actually billed $85,000 in fees for BLG's work during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July 23, 2008, Mr. Wilson sent a lengthy letter to Ms Milton and Ms Kuntz setting out BLG's analysis of the Probate Action noting similarities to a recent decision of this court (</w:t>
      </w:r>
      <w:r>
        <w:rPr>
          <w:rFonts w:ascii="arial" w:eastAsia="arial" w:hAnsi="arial" w:cs="arial"/>
          <w:i/>
          <w:color w:val="000000"/>
          <w:sz w:val="20"/>
          <w:lang w:val="en-US" w:eastAsia="en-US" w:bidi="ar-SA"/>
        </w:rPr>
        <w:t>Lowery v. Falconer</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(2008), 39 E.T.R. (3d) 188</w:t>
        </w:r>
      </w:hyperlink>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2008 BCSC 516</w:t>
        </w:r>
      </w:hyperlink>
      <w:r>
        <w:rPr>
          <w:rFonts w:ascii="arial" w:eastAsia="arial" w:hAnsi="arial" w:cs="arial"/>
          <w:color w:val="000000"/>
          <w:sz w:val="20"/>
          <w:lang w:val="en-US" w:eastAsia="en-US" w:bidi="ar-SA"/>
        </w:rPr>
        <w:t>). In the last paragraph of that letter, Mr. Wilson opines: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certain that the Court will find the 2005 Will to be invalid. If your client insists on taking this matter to trial, despite the evidence we have outlined above and the case law that we have cited, in particular the </w:t>
      </w:r>
      <w:r>
        <w:rPr>
          <w:rFonts w:ascii="arial" w:eastAsia="arial" w:hAnsi="arial" w:cs="arial"/>
          <w:i/>
          <w:color w:val="000000"/>
          <w:sz w:val="20"/>
          <w:lang w:val="en-US" w:eastAsia="en-US" w:bidi="ar-SA"/>
        </w:rPr>
        <w:t>Lowery v. Falconer</w:t>
      </w:r>
      <w:r>
        <w:rPr>
          <w:rFonts w:ascii="arial" w:eastAsia="arial" w:hAnsi="arial" w:cs="arial"/>
          <w:color w:val="000000"/>
          <w:sz w:val="20"/>
          <w:lang w:val="en-US" w:eastAsia="en-US" w:bidi="ar-SA"/>
        </w:rPr>
        <w:t xml:space="preserve"> case, we will bring this letter to the attention of the Court in our submissions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cross-examination Mr. Wilson admitted that he advised Michael he could expect to recover his costs of the Probate Action from the Estate (unless they were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cross-examination Mr. Wilson was also questioned about the mediation held June 23, 2007 with a Mr. Shapiro as the mediator. He confirmed that initially both he and Mr. Kerwin attended the mediation, although Mr. Wilson left soon after it started (which apparently precipitated some sharp remarks from Mr. Shapiro). Mr. Wilson also confirmed that, early on in the mediation, he disclosed to Charles (and his counsel) that Michael intended to amend the pleadings in the Probate Action to allege undue influence on Charles' part in relation to his mother's affairs.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MR. KERWIN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Kerwin confirmed Mr. Wilson's evidence of how BLG perceived the matters and particularly the 2005 Will. He confirmed that initially his tasks were limited but, as the matters progressed (specifically, when the Probate Action was commenced) his involvement increased significantly, especially related to document discovery and review (once documents were disclosed). Mr. Kerwin testified that he spent a great deal of time researching and reviewing documents including documents he gathered from third parties (such as Legacy and in relation to Charles' and Linda Meinhardt's matrimonial action). Mr. Kerwin said that the materials he received and reviewed from Legacy "deflated" Charles "evening up"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preparation for the mediation, Mr. Kerwin commenced drafting a rough chronology of events (which document Mr. Kerwin said was the start of putting the pieces together for an eventual trial of the Probate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Kerwin spoke to some of the expected trial witnesses, including Les Ames and Linda Meinhardt, Charles' ex-wife. Mr. Kerwin said that Mr. Ames' evidence did not dissuade him from his suspicions of Charles. He also confirmed that his reason for speaking to Ms Meinhardt was to gain information about her knowledge of Charles' relationship with his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After the mediation, the initial trial dates were adjourned and Mr. Kerwin amended the Probate Action pleadings to allege undue influence and breach of fiduciary duty. Mr. Kerwin also prepared materials for an application seeking an order that Charles be "passed over" as an executor.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Kerwin used the week of August 13, 2007 (originally scheduled for trial) to prepare for and conduct examinations for discovery. He testified that he spent some three days preparing for Charles' examination for discovery as, in his view, Charles' credibility was crucial and had to be tested during the examinations. Because of this it was imperative for Mr. Kerwin to understand the documents and the information contained therein. Mr. Kerwin, an articled student and a legal assistant all attended the examinations. Although the time for the articled student was not billed, the time for the legal assistant was. Mr. Kerwin said this was necessary as she had prepared the lists of documents and could assist with documents at the examination, take notes and act as a second pair of eyes.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Shortly before the examinations were to commence, Charles produced five boxes of documents to BHT. BHT advised Mr. Kerwin that those documents had been produced and suggested that the discoveries be postponed pending counsel's review and listing of those documents. Mr. Kerwin wished the discoveries to proceed and went ahead with them. After two days, the examinations were adjourned and later continued for one further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Following the August 2007 discovery, Mr. Kerwin drafted a notice to admit in the Probate Action based on some admissions made by Charles at that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Matters were apparently less active for the balance of 2007 although some settlement efforts were made. The trial was reset for November 2008. Mr. Kerwin said that, to be sure Michael could properly put forward his claim of undue influence, he tasked an articled student at BLG to do some research into the issues and elements of proof required for such a claim. That student apparently recorded some 41 hours to that research. I was also told that the findings were valuable, especially in relation to (possibly) proving a form of "subtle undue influence".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Beginning in April 2008, Mr. Kerwin started work on a more comprehensive (formal) chronology of events to hand up at trial. In the end Mr. Kerwin spent some (at least) 60 hours on the chronology. On cross-examination, Mr. Kerwin said that that document was intended to assist him to prepare for Charles' examination for discovery, as well as to be a trial document (to be handed to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October 2008 trial preparation began in earnest. Michael was becoming concerned that, even if he was successful in the Probate Action, Charles might still want to continue the Mortgage Action. Ms Kuntz sent over her draft of an agreed statement of facts. Mr. Kerwin took that document and redrafted it to include much of his chronology. After some "back and forth" he and Ms Kuntz agreed on a statement of facts to be put forward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2008, some 12 timekeepers, including Messrs Kerwin and Wilson, two other partners at BLG, four students, plus two law clerks/paralegals recorded time to these matters. The remaining two timekeepers were "word processing" and "library".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 series of offers to settle went back and forth very shortly before trial. On the Friday before the Monday the trial was scheduled to commence the parties agreed on the basic terms of a settlement. Some time was then spent ironing out the actual terms of the settlement and reducing it to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Kerwin said that his theory of the case was that 20 years of financial planning (done by Charles in respect of Mrs. Starko's financial affairs) resulted in undue influence but, to prove such undue influence, the history of those 20 years of financial planning was an essential part of Michael's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During his testimony, Mr. Kerwin said that one of the reasons for pursuing the Mortgage Action was Charles' insistence that, even if the 2005 Will were admitted to probate, the Estate would remain liable for the TD and Ambrose Mortgages, thus resulting in the specific legatees (Mrs Starko's grandchildren) receiving nothing from the Estate.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MS MILTON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Milton was the senior lawyer at BHT in charge of Charles' matters. She commenced the Probate Action after receiving some information from Mr. Wilson. It was her opinion (early on in the process) that because of the small amount in issue (she says it was around $300,000 - 3/8th of the value of the Condo) the parties ought to try and settle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Milton sought the mediation (by filing the notice to mediate). She testified that she has had really good success with mediation in estate matters in the past and that mediation can play a very important role especially where, as here, a limited amount is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She prepared and filed a mediation brief and met with Charles to prepare for the mediation. The mediation was set for a Saturday. Ms Milton testified that, immediately following the opening statements, Mr. Wilson advised of Michael's position (that the 2000 Will was the valid one) and that, if there was no agreement on that, Michael intended to change his pleadings to allege undue influence.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Milton saw that as making it impossible to "get to yes" at the mediation. Ms. Milton testified that at the mediation Charles moved from his position but Michael appeared unwilling to budge. Ms Milton also noted that Mr. Wilson's departure from the mediation not long after it started created a difficult atmosphere and did not promote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Milton spoke to some witnesses including Ms Adrian and Mrs. Starko's doctor, the latter of whom could only provide information regarding Mrs. Starko's strength of character but could not enlighten Ms Milton about his patient's estate plans as she never discussed them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Because of the requests from BLG for some 20 years of documents, Ms Milton spent a considerable amount of time reviewing the large number of documents Charles provided. She found this process difficult as there were a number of documents, many of which were not relevant for the purposes of any of the Actions, but which had to be reviewed and considered. Although a student was asked to prepare the lists of documents, much oversight was necessary. Ms Milton's recollection was that she wrote off the time recorded to this task by the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After the examinations for discovery (which were conducted by Ms Kuntz) at Charles' request, Ms Milton met with him to review the transcript, the file in general, the issues raised and his evidence in respect of those issues. They discussed the process going forward but, from then on, the file was handled almost exclusively by Ms Kuntz who had a much lower hourly rate and good knowledge of the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cross-examination Ms Milton confirmed that, in her experience, cases of undue influence require knowledge of the facts. She did say, however, that as counsel she would never allege undue influence without having conducted an examination for discovery and confirming the necessary evidence to proceed with such a claim. (Here the allegation was made before the discoveries had been conducted.)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Milton's theory of matters was that Mrs. Starko's various changes to her wills were evidence of an "evening up" process in that, over time, Michael's share of the Estate had been reduced and, in 2005, when Charles' marriage to Linda Meinhardt broke down and he lost his home, Mrs. Starko decided to give Charles the Condo. Nothing in her doing that was, in Ms Milton's view, inconsistent with her gradual (over time) erosion of Michael's inheritance.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far as the transfer of the Condo into joint tenancy, Ms Milton said it was always her understanding that Charles held the Condo in trust for the Estate but that the transfer was done to save on probate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for Charles' position with respect to the TD and Ambrose Mortgages, Ms Milton testified that it was never the case that even if Charles was successful in probating the 2005 Will the TD and Ambrose Mortgages would remain liabilities of the Estate and erode the specific bequests to Mrs. Starko's grandchildren. If the 2005 Will were probated, Charles would take the Condo subject to both of those Mortgages.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MR. CARROTHERS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As I noted above, Mr. Carrothers was the lawyer with Legacy who drafted both the 2000 and 2005 Wills. He testified that, throughout his dealings with Mrs. Starko, she directed him to take his instructions from Charles, but that he (Carrothers) always kept some direct communication with Mrs Starko.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When Mrs. Starko died, Mr. Carrothers met with each of Michael and Charles. He commenced the "normal" procedure to prove the 2005 Will and responded to the writ filed by Michael to commence the Resulting Trust Action. He had some discussions with Mr. Wilson, Mr. Ames and Ms Adrian. Once the matter became litigious, Mr. Carrothers brought Ms Dardi (now Dardi, J) in to assist with the litigation side of things. Once it became clear to him that matters would not settle easily, Mr. Carrothers (Legacy) resigned as counsel, rather than have their continuing to act be a matter of dispute.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MS KUNTZ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Kuntz became involved with the Actions when Ms Milton asked her to assist with them (in or about May 2006). Her initial work involved:</w:t>
      </w:r>
      <w:r>
        <w:rPr>
          <w:rFonts w:ascii="arial" w:eastAsia="arial" w:hAnsi="arial" w:cs="arial"/>
          <w:sz w:val="20"/>
          <w:lang w:val="en-US" w:eastAsia="en-US" w:bidi="ar-SA"/>
        </w:rPr>
        <w:cr/>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getting up to speed on the facts. She interviewed some of Mrs. Starko's friends to get an idea of who she was and to confirm her capacity; and</w:t>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dealing with Mr. Wilson regarding the documents found in the Condo.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Once it became clear that Michael would not accept the 2005 Will as valid, Ms Kuntz became more involved in matters, specifically arranging for service of the Probate Action and in relation to on-going document discovery (which she said took a great deal of her time as so many documents were asked to be provided, many of which were, in her view, merely historical in nature and not probative of matters at issue). She contacted the care giver who was the second witness (Mr. Ames was the first) for the 2005 Will to confirm that the formalities of execution had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Kuntz spoke with Mr. Carrothers and Ms Adrian. Ms Adrian apparently told her that Mrs. Starko confirmed to her (Adrian) that she wanted Charles to have 100 percent of the Condo. Mr. Carrothers advised that the transfer of the Condo to Charles (even in the face of the joint tenancy) was added to the 2005 Will because of the possibility that the transfer of the Condo into joint tenancy created a resulting trust. Because of this, it was decided that Charles would sign a declaration of trust and that the 2005 Will would include the bequest to Charles of a 100 percent interest in the Condo.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Kuntz met with Charles and discussed the possibility of mediation with him. On Charles' instructions, she prepared and served the notice to mediate on BLG.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Kuntz prepared a mediation brief but did not attend at the mediation as Ms Milton felt it was not necessary that two lawyers attend (and bill Charles for their time in attending).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After the mediation failed, Ms Kuntz prepared Charles for his examination for discovery and attended with him. Following the discovery she collected the many, many documents required to respond to the requests made at that examination. She also reviewed with Charles the several boxes of documents he provided shortly before the August 2007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Kuntz discussed settlement with Charles, particularly (she said) in light of the mounting legal fees. She commenced work on a settlement proposal which proposal needed, in her view, to encompass both the Mortgage Action and the Proof in Solemn Form Action. She prepared an agreed statement of facts. She received the extensive revised agreed statement of facts from Mr. Kerwin. She met with Ms Adrian and Mr. Carrothers to prepare them as trial witnesses. Ms Kuntz had an articled student prepare a "table of wills" showing a history of several of Mrs. Starko's wills and the shares that Charles, Michael and Mary received under each will. Ms Kuntz testified that that table showed a gradual whittling down of Michael's and Mary's respective shares and strongly supported the "evening up" theory. She began trial preparation in earnest in September 2008 when it seemed settlement was not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Kuntz used two student (one of whom later became an associate) to assist in her trial preparation and to research the issue of "knowledge and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Ms Kuntz's view the biggest stumbling block for settlement was the "obscene" amount of legal fees both Charles and Michael had incurred in defending and/or prosecuting 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Finally, the Actions were settled (on the eve of trial) on the basis that each party's special costs would be paid out of the Estate either by agreement or, failing agreement, after assessment by a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BILLS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Each of Charles and Michael is claiming as his special costs the actual legal fees and disbursements charged to him by his counsel (Charles by both Legacy and BHT and Michael by BLG).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Michael seeks $173,500 in special costs for the Probate Action and $45,500 in special costs for the Mortgage Action. Those costs may be further broken down:</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97" type="#_x0000_t75" style="width:432.06pt;height:119.27pt">
            <v:imagedata r:id="rId448"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his submissions, Charles says that he seeks special costs totalling $117,744.65, including:</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$114,091.41 for accounts rendered to him by BHT</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$103,707 for the Proof in Solemn Claim Action;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$10,384.41 for the Mortgage Action, plus</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$3,653.24 charged to him by Legacy.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Although Ms Kuntz provided a "Breakdown of BHT LLP Fees Per Action" (the "Breakdown") as well as a "Summary of BHT Invoices", no distinction was made between the amounts claimed for fees, disbursements and taxes. Nor, in fact, was the arithmetic correct on the "Breakdown" document in that the totals in that document do not equate to the total fees, disbursements and taxes billed. In addition, the amounts noted as attributable to each of the three actions for each invoice do not add up to the amounts set out on the bottom of the Breakdown. This made my task a great deal more onerous than it ought to have been and I spent the better part of a day reviewing each invoice, comparing it to the Breakdown and coming up with amounts attributed to each of fees, disbursements and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My calculations follow:</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98" type="#_x0000_t75" style="width:362.3pt;height:586.58pt">
            <v:imagedata r:id="rId449"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As noted, these numbers do not equate to the numbers in the Breakdown noted as sought for the special costs. The largest difference is between the costs sought in the Mortgage Action and the sum of the amounts attributed to that Action as set out on the Breakdown (a difference of $3,046.96).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will assume that Ms Kuntz made errors in the addition on the Breakdown and will consider the special costs requested to be the amounts I have come up with from my own calculations: $13,431.37 for the Mortgage Action and $103,424.54 for the Proof in Solemn Form Action, inclusive of fees, disbursements and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Special costs are assessed in accordance with the provisions of Rules 57(3) and (4)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which provide:</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court orders that costs be assessed as special costs, the registrar shall allow those fees that the registrar considers were proper or reasonably necessary to conduct the proceeding to which the fees relate, and, in exercising that discretion, the registrar shall consider all of the circumstances, including</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proceeding and the difficulty or the novelty of the issues involved,</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skill, specialized knowledge and responsibility required of the solicitor,</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 in the proceeding,</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reasonably expended in conducting the proceeding,</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any party that tended to shorten, or to unnecessarily lengthen, the duration of the proceeding,</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proceeding to the party whose bill is being assessed, and the result obtained, and</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benefit to the party whose bill is being assessed of the services rendered by the solicitor.</w:t>
      </w:r>
    </w:p>
    <w:p>
      <w:pPr>
        <w:numPr>
          <w:numId w:val="1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determining the fees that are to be allowed on an assessment under sub rule (1) or (3), the registrar must</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which expenses and disbursements have been necessarily or properly incurred in the conduct of the proceeding, and</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allow a reasonable amount for those expenses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 should also note that, to some extent, special costs in estate litigation differ somewhat from other types of litigation where special costs ordered paid are by one party to another for conduct that is scandalous, outrageous, misbehaviour or "deserving of reproof or rebuke": see </w:t>
      </w:r>
      <w:r>
        <w:rPr>
          <w:rFonts w:ascii="arial" w:eastAsia="arial" w:hAnsi="arial" w:cs="arial"/>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(1994), 9 B.C.L.R. (3d) 242</w:t>
        </w:r>
      </w:hyperlink>
      <w:r>
        <w:rPr>
          <w:rFonts w:ascii="arial" w:eastAsia="arial" w:hAnsi="arial" w:cs="arial"/>
          <w:color w:val="000000"/>
          <w:sz w:val="20"/>
          <w:lang w:val="en-US" w:eastAsia="en-US" w:bidi="ar-SA"/>
        </w:rPr>
        <w:t xml:space="preserve"> (B.C.C.A.) and </w:t>
      </w:r>
      <w:r>
        <w:rPr>
          <w:rFonts w:ascii="arial" w:eastAsia="arial" w:hAnsi="arial" w:cs="arial"/>
          <w:i/>
          <w:color w:val="000000"/>
          <w:sz w:val="20"/>
          <w:lang w:val="en-US" w:eastAsia="en-US" w:bidi="ar-SA"/>
        </w:rPr>
        <w:t>Leung v. Leung</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(1993), 77 B.C.L.R. (2d) 314</w:t>
        </w:r>
      </w:hyperlink>
      <w:r>
        <w:rPr>
          <w:rFonts w:ascii="arial" w:eastAsia="arial" w:hAnsi="arial" w:cs="arial"/>
          <w:color w:val="000000"/>
          <w:sz w:val="20"/>
          <w:lang w:val="en-US" w:eastAsia="en-US" w:bidi="ar-SA"/>
        </w:rPr>
        <w:t>.). In general executors are entitled to full indemnification for their legal costs, provided such executor has not pursued unnecessary or wasteful litigation. Here, the "award" of special costs is based on a settlement of the matter, not any judicial determination that any one party "misconducted"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Further, neither of the parties here is being held fully responsible for the other's special costs as all of the special costs will be paid out of the Estate and, because of the settlement, are a proper expense of the Estate. Due to the terms of the settlement reached, Michael will effectively be paying 25% of the special costs award that he receives and Charles will be paying 62.5%.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assessing the costs here I must also keep in mind that an assessment of special costs is objective rather than subjective in nature: see </w:t>
      </w:r>
      <w:r>
        <w:rPr>
          <w:rFonts w:ascii="arial" w:eastAsia="arial" w:hAnsi="arial" w:cs="arial"/>
          <w:i/>
          <w:color w:val="000000"/>
          <w:sz w:val="20"/>
          <w:lang w:val="en-US" w:eastAsia="en-US" w:bidi="ar-SA"/>
        </w:rPr>
        <w:t>Bradshaw Const. Ltd. v. Bank of N.S.</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(1991), 54 B.C.L.R. (2d) 309</w:t>
        </w:r>
      </w:hyperlink>
      <w:r>
        <w:rPr>
          <w:rFonts w:ascii="arial" w:eastAsia="arial" w:hAnsi="arial" w:cs="arial"/>
          <w:color w:val="000000"/>
          <w:sz w:val="20"/>
          <w:lang w:val="en-US" w:eastAsia="en-US" w:bidi="ar-SA"/>
        </w:rPr>
        <w:t xml:space="preserve">, affirmed on the issue of costs </w:t>
      </w:r>
      <w:hyperlink r:id="rId452" w:history="1">
        <w:r>
          <w:rPr>
            <w:rFonts w:ascii="arial" w:eastAsia="arial" w:hAnsi="arial" w:cs="arial"/>
            <w:i/>
            <w:color w:val="0077CC"/>
            <w:sz w:val="20"/>
            <w:u w:val="single"/>
            <w:shd w:val="clear" w:color="auto" w:fill="FFFFFF"/>
            <w:lang w:val="en-US" w:eastAsia="en-US" w:bidi="ar-SA"/>
          </w:rPr>
          <w:t>(1993), 73 B.C.L.R. (2d) 212</w:t>
        </w:r>
      </w:hyperlink>
      <w:r>
        <w:rPr>
          <w:rFonts w:ascii="arial" w:eastAsia="arial" w:hAnsi="arial" w:cs="arial"/>
          <w:color w:val="000000"/>
          <w:sz w:val="20"/>
          <w:lang w:val="en-US" w:eastAsia="en-US" w:bidi="ar-SA"/>
        </w:rPr>
        <w:t xml:space="preserve"> (C.A.). In other words, special costs are intended to represent the fees that a reasonable client would pay a reasonably competent solicitor for performing the work described in the bill, not the fees that a particular client would pay to his specific lawyer to do the work described in that lawyer's account to his own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Court of Appeal for this province has observed (in </w:t>
      </w:r>
      <w:r>
        <w:rPr>
          <w:rFonts w:ascii="arial" w:eastAsia="arial" w:hAnsi="arial" w:cs="arial"/>
          <w:i/>
          <w:color w:val="000000"/>
          <w:sz w:val="20"/>
          <w:lang w:val="en-US" w:eastAsia="en-US" w:bidi="ar-SA"/>
        </w:rPr>
        <w:t>Lee (Guardian ad litem of) v. Richmond Hospital Society</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(2005), 37 B.C.L.R. (4th) 291</w:t>
        </w:r>
      </w:hyperlink>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2005 BCCA 107</w:t>
        </w:r>
      </w:hyperlink>
      <w:r>
        <w:rPr>
          <w:rFonts w:ascii="arial" w:eastAsia="arial" w:hAnsi="arial" w:cs="arial"/>
          <w:color w:val="000000"/>
          <w:sz w:val="20"/>
          <w:lang w:val="en-US" w:eastAsia="en-US" w:bidi="ar-SA"/>
        </w:rPr>
        <w:t xml:space="preserve"> (at para.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provision for special costs in Rule 57(3) is "intended to enable the court to indemnify, where appropriate, fully, or at least substantially, a party for the costs to which he or she has been put": see </w:t>
      </w:r>
      <w:r>
        <w:rPr>
          <w:rFonts w:ascii="arial" w:eastAsia="arial" w:hAnsi="arial" w:cs="arial"/>
          <w:i/>
          <w:color w:val="000000"/>
          <w:sz w:val="20"/>
          <w:lang w:val="en-US" w:eastAsia="en-US" w:bidi="ar-SA"/>
        </w:rPr>
        <w:t>Everywoman's Health Center Society (1988) v. Bridges</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(1991), 54 B.C.L.R. (2d) 294</w:t>
        </w:r>
      </w:hyperlink>
      <w:r>
        <w:rPr>
          <w:rFonts w:ascii="arial" w:eastAsia="arial" w:hAnsi="arial" w:cs="arial"/>
          <w:color w:val="000000"/>
          <w:sz w:val="20"/>
          <w:lang w:val="en-US" w:eastAsia="en-US" w:bidi="ar-SA"/>
        </w:rPr>
        <w:t xml:space="preserve"> at 297. There is no requirement that special costs be "modest"; rather, the requirement is that they be "proper or reasonably necessary" having regard to all of the circumstances and the factors enumerated in Rule 57(3).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Sarkodee-Adoo v. Sarkodee-Adoo,</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[2003] B.C.J. No. 1458</w:t>
        </w:r>
      </w:hyperlink>
      <w:r>
        <w:rPr>
          <w:rFonts w:ascii="arial" w:eastAsia="arial" w:hAnsi="arial" w:cs="arial"/>
          <w:color w:val="000000"/>
          <w:sz w:val="20"/>
          <w:lang w:val="en-US" w:eastAsia="en-US" w:bidi="ar-SA"/>
        </w:rPr>
        <w:t xml:space="preserve"> (S.C.) Master Doolan (sitting as a registrar) stated the overriding principles to be applied in an assessment of special costs to be (at para.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that on an assessment of a special costs bill, the master or registrar must consider and apply case law (without abrogating quasi judicial discretion), his or her special knowledge and experience and, above all and most importantly, "all factors essential to justice and fair play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Those factors may include the risks associated with taking the case, the nature of the client, the client's ability to pay and the success of the retainer: </w:t>
      </w:r>
      <w:r>
        <w:rPr>
          <w:rFonts w:ascii="arial" w:eastAsia="arial" w:hAnsi="arial" w:cs="arial"/>
          <w:i/>
          <w:color w:val="000000"/>
          <w:sz w:val="20"/>
          <w:lang w:val="en-US" w:eastAsia="en-US" w:bidi="ar-SA"/>
        </w:rPr>
        <w:t>Rampling v. Nootebas,</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[2003] B.C.J. No. 2523</w:t>
        </w:r>
      </w:hyperlink>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2003 BCSC 1655</w:t>
        </w:r>
      </w:hyperlink>
      <w:r>
        <w:rPr>
          <w:rFonts w:ascii="arial" w:eastAsia="arial" w:hAnsi="arial" w:cs="arial"/>
          <w:color w:val="000000"/>
          <w:sz w:val="20"/>
          <w:lang w:val="en-US" w:eastAsia="en-US" w:bidi="ar-SA"/>
        </w:rPr>
        <w:t xml:space="preserve"> (Registrar) at para. 42. As well, some consideration may be given to the amount charged in proportion to the amount recovered: </w:t>
      </w:r>
      <w:r>
        <w:rPr>
          <w:rFonts w:ascii="arial" w:eastAsia="arial" w:hAnsi="arial" w:cs="arial"/>
          <w:i/>
          <w:color w:val="000000"/>
          <w:sz w:val="20"/>
          <w:lang w:val="en-US" w:eastAsia="en-US" w:bidi="ar-SA"/>
        </w:rPr>
        <w:t>Sarkodee-Adoo v. Sarkodee-Adoo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My task therefore is to apply my special skill, knowledge and experience to the matter and to determine: What were the "proper or reasonably necessary" costs each of these parties was put to in defending or prosecuting the Mortgage Action and the Proof in Solemn Form Action, considered objectively?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parties have differing opinions on many of the factors enumerated. Most specifically Michael claims:</w:t>
      </w:r>
      <w:r>
        <w:rPr>
          <w:rFonts w:ascii="arial" w:eastAsia="arial" w:hAnsi="arial" w:cs="arial"/>
          <w:sz w:val="20"/>
          <w:lang w:val="en-US" w:eastAsia="en-US" w:bidi="ar-SA"/>
        </w:rPr>
        <w:cr/>
      </w:r>
    </w:p>
    <w:p>
      <w:pPr>
        <w:numPr>
          <w:numId w:val="19"/>
        </w:numPr>
        <w:tabs>
          <w:tab w:val="num" w:pos="1120"/>
          <w:tab w:val="clear" w:pos="29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Actions were exceedingly complex, particularly in relation to the fact gathering and in relation to Charles' shifting tactics, strategies and the inconsistent theories propounded by Charles in relation to the 2005 Will and its contents;</w:t>
      </w:r>
    </w:p>
    <w:p>
      <w:pPr>
        <w:numPr>
          <w:numId w:val="19"/>
        </w:numPr>
        <w:tabs>
          <w:tab w:val="num" w:pos="1120"/>
          <w:tab w:val="clear" w:pos="29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results achieved were a complete victory for Michael as:</w:t>
      </w:r>
    </w:p>
    <w:p>
      <w:pPr>
        <w:numPr>
          <w:numId w:val="20"/>
        </w:numPr>
        <w:tabs>
          <w:tab w:val="num" w:pos="1480"/>
          <w:tab w:val="clear" w:pos="292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Mortgage Action, Michael "thwarted" Charles' attempts to have the Estate pay for nearly $300,000 of Harbour Cove's debts;</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Probate Action, Michael ensured that his mother's intentions - contained in the 2000 Will - would be respected; and</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Michael personally obtained a large financial benefit both in the fact of his becoming a beneficiary of his mother's Estate, as well as by receiving his special costs of both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contrast, Charles submits:</w:t>
      </w:r>
      <w:r>
        <w:rPr>
          <w:rFonts w:ascii="arial" w:eastAsia="arial" w:hAnsi="arial" w:cs="arial"/>
          <w:sz w:val="20"/>
          <w:lang w:val="en-US" w:eastAsia="en-US" w:bidi="ar-SA"/>
        </w:rPr>
        <w:cr/>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Actions were relatively straightforward in that</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Mortgage Action, there is settled law regarding the liability for mortgages charged against property that is inherited by a beneficiary. No evidence was adduced in that proceedings and only a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defence was filed; and</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Proof in Solemn Form Action involved straightforward issues related to whether Mrs. Starko knew and appreciated the contents of the 2005 Will. Unnecessary complications were added by Michael's counsel, not by Charles nor because of any positions he took in that Action.</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in fact, no "results" achieved as such in that the matters were settled, not litigated. As well, it cannot be said that there was any "successful result" for the Estate (which is the party responsible for paying the costs) as the costs of pursuing these actions were of no benefit to the Estate as the Estate funds will (once the costs are assessed and paid) be depleted by far more than the amounts in issue in both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should note here that it seemed to me throughout the hearing that Mr. Kerwin was asking me to assume that Michael would have been the "victor" had the matter proceeded to trial. Many of Mr. Kerwin's submissions related to what he termed as "unreasonable and unsupported claims" made by Charles. He also claimed that "Michael was entirely successful in the two actions". In my view, that cannot be said to have been the case. The Actions did not proceed to trial so no trial "result" was obtained. It is not appropriate for me to assume or opine on the possible trial results. That is not the function of a registrar on an assessment of costs. What I must do is decide (and here I agree with Michael's counsel): What were the fees and disbursements that were proper or reasonably necessary to conduct the proceeding to which they relate?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ASSESSMENT OF THE PARTIES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 will deal with each factor I must consider (as enumerated in Rule 57(3)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separately.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complexity of the proceeding and the difficulty or the novelty of the issues involved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&gt; The Mortgage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Kerwin submits that Michael commenced the Mortgage Action in his capacity as an executor of the Estate due to Charles' position that the Estate should be responsible for some nearly $300,000 in mortgages. He says that Michael had a fiduciary duty as an Executor to maximize the size of the Estate for the beneficiaries and it would have been a breach of his duty as an executor to pay invalid debts.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Most of the costs for the Mortgage Action were incurred between March 2006 and the unsuccessful mediation in June 2007. After that time, the Mortgage Action was largely dormant as the Probate Action became the primary focus, although BLG tried to add components of the Mortgage Action to the Probate Action through pleadings amendments and inducing facts in the agreed statement of facts that related, more appropriately, to the Mortgage Action not the Probate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general, the legal issues related to the Mortgage Action were not complicated. Ms Kuntz submitted that the issues in the Mortgage Action were only of import if the 2005 Will was found to be invalid as, if Charles received the Condo (as was the case under the 2005 Will), he would be responsible for the TD and Ambrose Mortgages, not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There were some complexities associated with the Mortgage Action, mostly related to fact gathering and, on BLG's part, understanding the loan structure that had been created for Harbour Cove and Meinhardt Fine Foods. There was a further complication in that Charles' position (that the TD Mortgage and the Ambrose Mortgage were debts of the Estate) appeared to be contrary to his position in his matrimonial litigation with Linda Meinhardt.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&gt; The Probate/Proof In Solemn Form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parties differ in their characterisations of this action. Ms Kuntz submits that this action involved straightforward issues regarding whether Mrs. Starko knew and appreciated the contents of the 2005 Will. The issue at trial would be whether there were "suspicious circumstances" surrounding the making of the 2005 Will. According to Ms Kuntz, the only issue would be whether Charles (through the witnesses he intended to call at trial) could rebut the presumption of an invalid will were Michael able to establish the requisite "suspicious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Kerwin, on the other hand submits that Michael had the onus of proving undue influence, a "notoriously difficult case to meet, as it is somewhat akin to an allegation of fraud"</w:t>
      </w:r>
      <w:bookmarkStart w:id="89" w:name="Backward_fnref_fnr-2_1"/>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89"/>
      <w:r>
        <w:rPr>
          <w:rFonts w:ascii="arial" w:eastAsia="arial" w:hAnsi="arial" w:cs="arial"/>
          <w:color w:val="000000"/>
          <w:sz w:val="20"/>
          <w:lang w:val="en-US" w:eastAsia="en-US" w:bidi="ar-SA"/>
        </w:rPr>
        <w:t>. Mr. Kerwin further submits that the type of undue influence being alleged was complex and novel as it was based upon a more subtle form of coercion being exercised by Charles on his mother. Because of this, Mr. Kerwin submits</w:t>
      </w:r>
      <w:bookmarkStart w:id="90" w:name="Backward_fnref_fnr-3_0"/>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90"/>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Starko Defendants had a steep hill to climb in order to prove undue influence. From the moment that BLG advised that the pleadings would be amended to allege undue influence, Bull Housser made it clear that Charles would seek an award of special costs against the Starko Defendants. BLG therefore needed to be thorough in its preparation and development of this theory. The full picture of Charles's control of his mother's financial affairs, dating back to the 1980s, needed to be examined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Contrary to the objections being made by Charles at this stage in the litigation, the Probate Action was never a "simple" case about whether Mrs. Starko properly executed a Will in June 2005. The factual and legal issues were very complex, particularly as they related to undue influence. Michael had never been involved in his mother's financial affairs, and was unaware of the various Wills that she had executed since 1987. He was starting from scratch, and relied upon the skills of his counsel. In contrast Charles had been intimately involved with Mrs. Starko's financial affairs for over 20 years. Charles delivered three lists of documents, which amounted to 110 pages in length, and contained over 12,000 pages of records. Charles already had all of this information. Michael incurred significant legal costs in understanding the case that he had to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There is no doubt that BLG feels this was an extremely complex matter that required their full attention and skills. Much of the complications relate to the case that Michael had to meet. I have no doubt that BLG wanted to ensure that they could mount an appropriate case and that they put their full resources behind finding the evidence and understanding the law related to "undue influence" and "knowledge and approval".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The skill, specialized knowledge and responsibility required of the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Although not specifically referred to in either party's submissions, I acknowledge that all counsel involved in these matters are experienced practitioners with some specialized knowledge of estates and estate litigation.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The amount involved in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Each party has characterised the amount at stake in quite different fashions.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&gt; The Mortgage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Kuntz submits that the amount at stake in this Action was some $72,500. Specifically, in Charles' Closing Submissions (at page 4) she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Had Michael succeeded in the Proof in Solemn Form Action, he would have then had to proceed with the Mortgage Action - the second phase of litigation - to confirm that the value of his 2/8 share in the Condo was not going to be devalued by the Mortgages.</w:t>
      </w:r>
    </w:p>
    <w:p>
      <w:pPr>
        <w:numPr>
          <w:numId w:val="2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Michael was 100% successful in the Mortgage Action, the value of Michael's share in the Condominium may have increased from $122,500 (2/8 of the Condominium with mortgages) to $195,000 (2/8 of the Condominium without mortgages), a difference of $72,500. This was the amount at stake for Michael in the Mortgage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Michael had spent at least $45,535.01 on investigations and steps related to the advancement of the Mortgage Action up to the date of settlement, although no trial date had been set, document discovery was not complete, and examinations for discovery had not yet been scheduled.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Not surprisingly, Mr. Kerwin has a different view. He submits (at para. 188-90 of Michael's Closing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part of the settlement reached in November 2008, Charles agreed that the [Ambrose] Mortgage would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be treated as a debt of the estate, and would be discharged in its entirety by Harbour Cove. In regards to the TD Trust Mortgage, the principal amount owing under this mortgage was approximately $75,000 in November 2008 (down from $91,000 at the time of Mrs. Starko's death in October 2005). Michael agreed to a settlement whereby he would pay 25% of this remaining amount, and Charles would be responsible for the other 75%. (Accordingly, Mary Hall's 12.5% share of the Condo would not be affected by this mortgage). By doing so, the estate would save the costs of a Rule 18A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Michael, in his capacity s Executor, therefore achieved a tremendous success in the Mortgage Action. Charles's attempt to have the estate pay for nearly $300,000 in Harbour Cove's debts was thwarted. The value of the main asset passing through Mrs. Starko's last Will would have been reduced by nearly 40%. Pursuant to the settlement, the estate would only be liable for $75,000 of the TD Trust Mortgage, and Charles would be paying for 75% of that amount. The "benefit" to the estate was therefore obvious. Mary's 12.5% share of the Condo would not be affected at all by the mortgages thereby respecting Mrs. Starko's long-held wish that Mary be provided for in her Will. The legacies to the six grandchildren would also be preserved. Accordingly, it was not "disproportionate" to incur $45,500 in legal costs to avoid the estate paying nearly $300,000 in (invalid) debts.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Michael's personal "benefit" from the Mortgage Action was also substantial. His 25% share of the Condo would now only be reduced by $18,750 due to the TD Trust Mortgage (25% of $75,000), which is a far smaller amount than the $72,500 (25% of $291,000) that would have been taken off his share of the Condo if Charles's position about the mortgages had been accepted in April 2006.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&gt; The Probate/Proof In Solemn Form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This action involved a dispute between two wills - the 2000 Will and the 2005 Will - specifically in relation to the distribution of the Condo. At the time of Mrs. Starko's death, the Condo was worth approximately $780,000. Under the 2000 Will, Michael received a 2/8 share of the Condo (or some $195,000, without accounting for the TD and Ambrose Mortgages). Had the TD and Ambrose Mortgages been declared valid, Michael's share of the Condo would have been reduced by around $70,000 being 2/8 of the mortgage balances, leaving him with a claim for around $125,000.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The time reasonably expended in conducting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&gt; BLG's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Charles submits (from "Closing Submission of Charles Hall", at pp. 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substantial difference between the fees incurred by Michael versus the fees incurred by Charles is an indication that the amounts spent by Michael were excessive, unreasonable, and unnecessary. Conversely, Charles submits the amounts he spent are an indication that Michael could have pursued his claims in a more cost effective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While it is true that I must base my decision as to Michael's special costs on the factors set out in Rule 57(3) of the Supreme Court Rules, I may also consider "all of the circumstances" including the amounts charged by BHT to their client. I may take those fees as some evidence of the fees "proper or reasonably necessary to conduct the proceeding to which the fees relate" (see </w:t>
      </w:r>
      <w:r>
        <w:rPr>
          <w:rFonts w:ascii="arial" w:eastAsia="arial" w:hAnsi="arial" w:cs="arial"/>
          <w:i/>
          <w:color w:val="000000"/>
          <w:sz w:val="20"/>
          <w:lang w:val="en-US" w:eastAsia="en-US" w:bidi="ar-SA"/>
        </w:rPr>
        <w:t>Rampling v. Nootebas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 should not, however, place too much emphasis on those fees as the work done by opposing parties is often very different. Here, as Michael had no knowledge of his mother's financial affairs, he was starting from scratch in building his case. As always, in making my decision I must remember: What are the reasonable fees a reasonable client would pay a reasonable solicitor for the work done that was done in respect of that reasonable client's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pre-bills record the time spent by the various individuals on the file. Some write-offs were taken along the way, mostly for time expended by juniors or students on research and some in relation to the time spent by Mr. Kerwin in preparing his chronology. Otherwise, the fees are solely the product of the hours expended times the hourly rates of the individual time recorders. It has been held (</w:t>
      </w:r>
      <w:r>
        <w:rPr>
          <w:rFonts w:ascii="arial" w:eastAsia="arial" w:hAnsi="arial" w:cs="arial"/>
          <w:i/>
          <w:color w:val="000000"/>
          <w:sz w:val="20"/>
          <w:lang w:val="en-US" w:eastAsia="en-US" w:bidi="ar-SA"/>
        </w:rPr>
        <w:t>Re Solicitor</w:t>
      </w:r>
      <w:r>
        <w:rPr>
          <w:rFonts w:ascii="arial" w:eastAsia="arial" w:hAnsi="arial" w:cs="arial"/>
          <w:color w:val="000000"/>
          <w:sz w:val="20"/>
          <w:lang w:val="en-US" w:eastAsia="en-US" w:bidi="ar-SA"/>
        </w:rPr>
        <w:t xml:space="preserve">, </w:t>
      </w:r>
      <w:hyperlink r:id="rId457" w:history="1">
        <w:r>
          <w:rPr>
            <w:rFonts w:ascii="arial" w:eastAsia="arial" w:hAnsi="arial" w:cs="arial"/>
            <w:i/>
            <w:color w:val="0077CC"/>
            <w:sz w:val="20"/>
            <w:u w:val="single"/>
            <w:shd w:val="clear" w:color="auto" w:fill="FFFFFF"/>
            <w:lang w:val="en-US" w:eastAsia="en-US" w:bidi="ar-SA"/>
          </w:rPr>
          <w:t>[1971] 3 O.R. 470</w:t>
        </w:r>
      </w:hyperlink>
      <w:r>
        <w:rPr>
          <w:rFonts w:ascii="arial" w:eastAsia="arial" w:hAnsi="arial" w:cs="arial"/>
          <w:color w:val="000000"/>
          <w:sz w:val="20"/>
          <w:lang w:val="en-US" w:eastAsia="en-US" w:bidi="ar-SA"/>
        </w:rPr>
        <w:t xml:space="preserve"> (S.C.) at p. 472) that that method alone does not necessarily result in a reasonable fee. Here I must consider "all of the circumstances", not simply the result when multiplying hours times hourly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Although I do not doubt the veracity of the time spent, I find it on a whole to be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Firstly, there are several instances of interoffice conferences (particularly between Mr. Wilson and Mr. Kerwin) for which both counsel billed their time. This practice of billing for these interoffice conferences is commented upon in </w:t>
      </w:r>
      <w:r>
        <w:rPr>
          <w:rFonts w:ascii="arial" w:eastAsia="arial" w:hAnsi="arial" w:cs="arial"/>
          <w:i/>
          <w:color w:val="000000"/>
          <w:sz w:val="20"/>
          <w:lang w:val="en-US" w:eastAsia="en-US" w:bidi="ar-SA"/>
        </w:rPr>
        <w:t>Shrum Liddle &amp; Hebenton (Re),</w:t>
      </w: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[1990] B.C.J. No. 78</w:t>
        </w:r>
      </w:hyperlink>
      <w:r>
        <w:rPr>
          <w:rFonts w:ascii="arial" w:eastAsia="arial" w:hAnsi="arial" w:cs="arial"/>
          <w:color w:val="000000"/>
          <w:sz w:val="20"/>
          <w:lang w:val="en-US" w:eastAsia="en-US" w:bidi="ar-SA"/>
        </w:rPr>
        <w:t xml:space="preserve"> (Registrar) at page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habit of lawyers to discuss files amongst themselves is one that is commendable. What cannot be commended is the fact that the client often gets charged for these interoffice conferences. The result frequently in this case is that the client was charged both by Mr. Shatford and by some other members of the first for the same conference. This practise is not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Although that comment was made in the context of a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review, it has even greater application to this assessment as here I am conducting an objective assessment of the proper and necessary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My review of the bills discloses that Mr. Kerwin and a J. Narwal spent a considerable amount of time conducting research on the issues of knowledge and approval, undue influence, and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estate matters. Some of that research is then discussed with Mr. Wilson or, in the case of J. Narwal, with Mr. Kerwin. In my view, it is reasonable to assume that a lawyer specializing in estate matters should have quick answers to many questions in the area in which he practices and such a large amount of research ought not to have been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Some $18,000 in fees were billed ($10,000 allocated to the Probate Action and $8,000 to the Mortgage Action) for the preparation and attendance at the mediation, including Mr. Wilson who billed 2.5 hours, despite leaving shortly after the mediation commenced, a fact upon which the mediator commented negatively.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An extra-ordinary amount was billed to "document discovery" - some $22,750 in fees - for the seven month period October 2006 to May 2007. While I agree that this file was document intensive at least insofar as Michael was concerned (his counsel insisted on disclosure of large numbers of documents going back many, many years), the fees recorded to this phase of the litigation are greater than one might expect, viewing the matter objectively.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During the period July 2007 through September 2007, some settlement proposals were exchanged (in </w:t>
      </w:r>
      <w:r>
        <w:rPr>
          <w:rFonts w:ascii="arial" w:eastAsia="arial" w:hAnsi="arial" w:cs="arial"/>
          <w:i/>
          <w:color w:val="000000"/>
          <w:sz w:val="20"/>
          <w:lang w:val="en-US" w:eastAsia="en-US" w:bidi="ar-SA"/>
        </w:rPr>
        <w:t>Calderbank</w:t>
      </w:r>
      <w:r>
        <w:rPr>
          <w:rFonts w:ascii="arial" w:eastAsia="arial" w:hAnsi="arial" w:cs="arial"/>
          <w:color w:val="000000"/>
          <w:sz w:val="20"/>
          <w:lang w:val="en-US" w:eastAsia="en-US" w:bidi="ar-SA"/>
        </w:rPr>
        <w:t xml:space="preserve"> form) and, as well, Charles was examined for discovery over a two day period (August 14 and 15). During this period, Michael's legal costs were $35,000, of which BLG attributed approximately $33,000 to the Probate Action, including $27,500 in fees. Again, I find these fees (based on hours times hourly rate) to be excessive when viewed on an objective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As I have noted above, Mr. Kerwin testified that he spent in excess of 60 hours preparing the chronology (parts of which were eventually turned into the Agreed Statement of Facts). While some of that time was written off, in my view it was excessive.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above are just some examples which, in my view, are reflective of the excessive amount of time spent on this matter without any reasonable justification. While some time was written-off, this did not result in a substantial reduction to the bills.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pause here to state that my comments are not intended to question the integrity of Mr. Wilson, Mr. Kerwin or other BLG staff involved in this file. I do not suggest that Michael was in any way deliberately overbilled or even necessarily overbilled. Mr. Kerwin advised that in the beginning Michael received regular accounts for the work being done and in 2008 after it was agreed that billings would stop until the matter was settled Mr. Kerwin met with Michael (in June) and reviewed a "WIP [work in progress] report" with him so Michael knew the costs of the litigation. On a subjective basis, it appears that Michael was content with the work (and costs of such work) done for him by BLG. Nevertheless, I do believe the high legal fees were a barrier to settlement.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&gt; BHT's Time/The Legacy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Michael's primary objection in relation to this factor relates to duplication of Legacy's bills (for the period of October 2005 to February 2006) and time incurred by BHT as, from the outset, BLG took the position that Legacy could not act for Charles in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his Closing Submissions (at para. 215) Mr. Kerwin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Bull Housser's invoices also reveal some inefficiencies. The main concern involves the need for Bull Housser to call upon a large number of associates in the fall of 2008 to make last minute preparations for the trial. If work had been performed earlier in the file, the costs of trial preparation would have been reduced. These fees were not reduced at all by Bull Housser; in contrast, BLG reduced its bill for 2008 by over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general, I found there to be little duplication on the BHT accounts. Ms Milton did not record her time for meeting with Ms Kuntz although she did supervise her work throughout the matter. As for the allegation of too much time spent in trial preparation I reviewed the BHT accounts with particular attention to the December 22, 2008 account (which related to the trial preparation). The vast majority of the time on that account was recorded by Ms Kuntz. A. Frisby and T. Newnham collectively recorded $6,759 of time to the matter - very minimal in light of the $38,173 recorded by Ms Kuntz. Further the work done by A. Frisby and T. Newnham is the type of work appropriately delegated to juniors (such as research, preparation of the "wills list" (described above) and gathering of cases for a book of authorities).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The conduct of any party that tended to shorten, or to unnecessarily lengthen, the duration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Michael alleges that several actions taken by Charles unnecessarily lengthened the duration of the proceeding and, as a result, Charles' special costs ought to be reduced significantly due to this factor. Michael's specific concerns are (and I am paraphrasing</w:t>
      </w:r>
      <w:bookmarkStart w:id="91" w:name="Backward_fnref_fnr-4_0"/>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91"/>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Charles put forward competing and contradictory theories to explain why Mrs. Starko made changes to the 2005 Will, including during his examination for discovery and those competing theories increased the costs of the litigation exponentially;</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Charles initial position in respect of the transfer to him (as a joint tenant) of the Condo was contradictory to his position in the Resulting Trust Action;</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lengthy supplemental list of documents was produced immediately prior to Charles' scheduled examination for discovery (August 2007);</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settlement proposals put forward by Charles were unreasonable;</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Charles continued to press forward with the litigation even when it ought to have been clear (after the decision in </w:t>
      </w:r>
      <w:r>
        <w:rPr>
          <w:rFonts w:ascii="arial" w:eastAsia="arial" w:hAnsi="arial" w:cs="arial"/>
          <w:i/>
          <w:color w:val="000000"/>
          <w:sz w:val="20"/>
          <w:lang w:val="en-US" w:eastAsia="en-US" w:bidi="ar-SA"/>
        </w:rPr>
        <w:t>Lowery v. Falconer</w:t>
      </w:r>
      <w:r>
        <w:rPr>
          <w:rFonts w:ascii="arial" w:eastAsia="arial" w:hAnsi="arial" w:cs="arial"/>
          <w:color w:val="000000"/>
          <w:sz w:val="20"/>
          <w:lang w:val="en-US" w:eastAsia="en-US" w:bidi="ar-SA"/>
        </w:rPr>
        <w:t>) that his position was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response, Charles argues:</w:t>
      </w:r>
      <w:r>
        <w:rPr>
          <w:rFonts w:ascii="arial" w:eastAsia="arial" w:hAnsi="arial" w:cs="arial"/>
          <w:sz w:val="20"/>
          <w:lang w:val="en-US" w:eastAsia="en-US" w:bidi="ar-SA"/>
        </w:rPr>
        <w:cr/>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Charles "theories" were propounded at various times as some explanation for his mother's actions, although Charles did not know, for certain, why the changes were made. Nor were the "theories" inconsistent with the facts:</w:t>
      </w:r>
    </w:p>
    <w:p>
      <w:pPr>
        <w:numPr>
          <w:numId w:val="3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respect of the "evening up" theory, Michael did receive a large inheritance from his father's estate;</w:t>
      </w:r>
    </w:p>
    <w:p>
      <w:pPr>
        <w:numPr>
          <w:numId w:val="3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respect of the "homeless theory", after the breakdown of his marriage to Linda Meinhardt, Charles was left without a home to reside in;</w:t>
      </w:r>
    </w:p>
    <w:p>
      <w:pPr>
        <w:numPr>
          <w:numId w:val="3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As regards the "secret trust" theory, Mrs. Starko had given Mary some money over the last few years and Charles (who knew about it) would take that into account in ensuring Mary got a share of Mrs. Starko's Estate;</w:t>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Resulting Trust Action was not vigorously pursued and was discontinued early on;</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Ms Kuntz suggested (in fact strongly urged) that the examinations be adjourned so that she could have time to review and list the documents and to allow Mr. Kerwin an opportunity to review them before proceeding with the examination for discovery;</w:t>
      </w:r>
    </w:p>
    <w:p>
      <w:pPr>
        <w:numPr>
          <w:numId w:val="3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Michael submissions amount to asking me to assume that Michael would have been entirely successful had the matter proceeded to trial. I ought not, Ms Kuntz argues, to make that determination. It is equally likely that Charles would have been successful and to award costs to Michael on the basis of his "success" is inappropriate.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On the other hand, Charles claims that Michael's conduct (and that of his counsel) unreasonably lengthened the duration of the proceeding due to</w:t>
      </w:r>
      <w:bookmarkStart w:id="92" w:name="Backward_fnref_fnr-5_0"/>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92"/>
      <w:r>
        <w:rPr>
          <w:rFonts w:ascii="arial" w:eastAsia="arial" w:hAnsi="arial" w:cs="arial"/>
          <w:color w:val="000000"/>
          <w:sz w:val="20"/>
          <w:lang w:val="en-US" w:eastAsia="en-US" w:bidi="ar-SA"/>
        </w:rPr>
        <w:t xml:space="preserve"> (and I am paraphrasing):</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lengthy discovery process; specifically delving into Charles' involvement with his mother's financial affairs from the 1980's up to her death in 2005;</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Refusal to adjourn Charles' examination for discovery to review documents and then, once the documents were reviewed by Michael's counsel, conducting a further day of (unnecessary) examinations some ten months after the documents were disclosed;</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Not mediating in good faith; specifically by:</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start of the mediation, raising the intention to amend the pleadings to include a claim of undue influence;</w:t>
      </w:r>
    </w:p>
    <w:p>
      <w:pPr>
        <w:numPr>
          <w:numId w:val="44"/>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Mr. Wilson leaving the examination for discovery shortly after it commenced.</w:t>
      </w:r>
    </w:p>
    <w:p>
      <w:pPr>
        <w:numPr>
          <w:numId w:val="4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Amending the pleadings at the last minute (both in respect of the undue influence claims and adding mortgage related provisions in the Probate Action) less than two weeks before the scheduled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As for these various allegations, I find that:</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Charles' "theories" of the case did make for more work on BLG's part but I do not believe they were put forward as anything other than an attempt to provide some reasonable basis for Mrs. Starko's actions in dividing her Estate as she did under the 2005 Will;</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BLG's insistence on reviewing many, many, many years of history did lengthen matters as it created much more far-reaching discovery (of documents and of Charles' himself) than would normally be the case. That being said, I cannot fault BLG who were simply trying to put together their client's best case based on historical data);</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Kerwin ought to have agreed to adjourn the examinations for discovery once Charles produced such a large number of additional documents, however, I cannot say that adjourning the discoveries would (necessarily) have made the process any shorter;</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Announcing the intention to amend the pleading to include the undue influence claim at the commencement of the mediation cannot have been helpful in reaching a settlement.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 The importance of the proceeding to the party whose bill is being assessed, and the result obtained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 The benefit to the party whose bill is being assessed of the services rendered by the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will deal with these two factors together as they overlap each other and the parties' submissions made no real distinction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As I have noted above, Michael's view is that he enjoyed substantial success in both actions whereas Charles experienced a "resounding defeat".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Conversely, Charles argues that, given the high (potential) liability of the Estate for each party's special costs, any argument that either party achieved a "successful result" is unsustainable. Charles also submits that the costs of pursuing the Actions were of no benefit to the Estate since the estate funds will (once the special costs are determined and paid) be depleted by far more than the amounts in issue in both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Clearly it was important to both Charles and Michael that their mother's wishes be observed (as each of them understood and believed her wishes to be). It was important to Michael that the 2000 Will be found to be valid. It was equally important to Charles that it be the 2005 Will that was admitted to probate and held to be valid. I believe that each of Michael and Charles firmly believed the Will he was propounding to be Mrs. Starko's true will, representing her true intentions.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As for results, in my view, the "result" that was achieved was a settlement of both Actions on the eve of trial of the Probate Action. I cannot (and will not) find that Michael, in any way "defeated" Charles. What happened was that Charles wished to avoid the costs of a trial and agreed to settle. A large barrier to settlement was the so-called "outrageous" legal fees (collectively) incurred by the brothers.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analysis of the benefit should not be based solely on the results achieved but rather determined in the entire context of the matter. There are three "parties" here: the Estate; Charles; and Michael, each of whom could be said to have "benefitted" in some fashion from the work done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Firstly, clearly the settlement benefitted the Estate, in general, in that it avoided the costs of a trial being paid out of its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From an objective standpoint, both parties benefitted from their respective counsel's services in that a settlement was reached. Subjectively each might consider the other's fees to be excessive or outrageous but that is not a factor that I might consider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Charles also benefitted in that he did not have to go through a trial at which serious allegations of misconduct would be levied at him. In addition, he retained the Condo and, although he will have to pay Michael and Mary for their shares, it was agreed that payment could be made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Michael benefitted from his counsel's work in that he received a share of the Condo, subject only to one (the TD)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MICHAEL'S SPECIAL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 Mortgage</w:t>
      </w:r>
      <w:r>
        <w:rPr>
          <w:rFonts w:ascii="arial" w:eastAsia="arial" w:hAnsi="arial" w:cs="arial"/>
          <w:color w:val="000000"/>
          <w:sz w:val="20"/>
          <w:lang w:val="en-US" w:eastAsia="en-US" w:bidi="ar-SA"/>
        </w:rPr>
        <w:t xml:space="preser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his submissions, Charles says (at p.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far more than the $45,535.01 in fees allocated to the Mortgage Action was actually spent by Michael in pursuit of that action, and that substantial amounts have been mis-identified as costs related to the Proof in Solemn Form action, such as:</w:t>
      </w:r>
    </w:p>
    <w:p>
      <w:pPr>
        <w:numPr>
          <w:numId w:val="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Charles's Examination for Discovery</w:t>
      </w:r>
    </w:p>
    <w:p>
      <w:pPr>
        <w:numPr>
          <w:numId w:val="4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 Discovery in the Proof in Solemn Form Action</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chronology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Charles then submits that if I accept the above proposition I ought to take a further, substantial, reduction in Charles' special costs claim in the Mortgage Action because:</w:t>
      </w:r>
      <w:r>
        <w:rPr>
          <w:rFonts w:ascii="arial" w:eastAsia="arial" w:hAnsi="arial" w:cs="arial"/>
          <w:sz w:val="20"/>
          <w:lang w:val="en-US" w:eastAsia="en-US" w:bidi="ar-SA"/>
        </w:rPr>
        <w:cr/>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fees spent were disproportionate to the amounts at stake;</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amounts spent were excessive for an action that was nowhere near trial and effectively "dormant" for the last year of the dispute between the parties;</w:t>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addition of mortgage-related issues in the context of the probate action had the effect of unnecessarily complicating and prolonging each stage of the Proof in Solemn Form Action, which should have focussed solely on issues relating to the validity of a will; and</w:t>
      </w:r>
    </w:p>
    <w:p>
      <w:pPr>
        <w:numPr>
          <w:numId w:val="53"/>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not "proper or reasonably necessary" to spend substantial sums on an action that was contingent on the outcome of the Proof in Solemn Form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Michael effectively submits that his special costs ought to be allowed at an amount equivalent to his legal bills. In support of that proposition Mr. Kerwin notes that, in estate litigation, trustees and personal representative of an estate (executors and administrators) are usually entitled to full indemnification for their legal costs. This exemption he claims is based on the principle (enumerated in </w:t>
      </w:r>
      <w:r>
        <w:rPr>
          <w:rFonts w:ascii="arial" w:eastAsia="arial" w:hAnsi="arial" w:cs="arial"/>
          <w:i/>
          <w:color w:val="000000"/>
          <w:sz w:val="20"/>
          <w:lang w:val="en-US" w:eastAsia="en-US" w:bidi="ar-SA"/>
        </w:rPr>
        <w:t>Royal Trust Corporation of Canada v. Clarke</w:t>
      </w:r>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(1989), 35 B.C.L.R. (2d) 82</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Re Kemp Estate; Strain v. Kemp</w:t>
      </w:r>
      <w:r>
        <w:rPr>
          <w:rFonts w:ascii="arial" w:eastAsia="arial" w:hAnsi="arial" w:cs="arial"/>
          <w:color w:val="000000"/>
          <w:sz w:val="20"/>
          <w:lang w:val="en-US" w:eastAsia="en-US" w:bidi="ar-SA"/>
        </w:rPr>
        <w:t xml:space="preserve"> </w:t>
      </w:r>
      <w:hyperlink r:id="rId460" w:history="1">
        <w:r>
          <w:rPr>
            <w:rFonts w:ascii="arial" w:eastAsia="arial" w:hAnsi="arial" w:cs="arial"/>
            <w:i/>
            <w:color w:val="0077CC"/>
            <w:sz w:val="20"/>
            <w:u w:val="single"/>
            <w:shd w:val="clear" w:color="auto" w:fill="FFFFFF"/>
            <w:lang w:val="en-US" w:eastAsia="en-US" w:bidi="ar-SA"/>
          </w:rPr>
          <w:t>(2006), 22 E.T.R. (3d) 105</w:t>
        </w:r>
      </w:hyperlink>
      <w:r>
        <w:rPr>
          <w:rFonts w:ascii="arial" w:eastAsia="arial" w:hAnsi="arial" w:cs="arial"/>
          <w:color w:val="000000"/>
          <w:sz w:val="20"/>
          <w:lang w:val="en-US" w:eastAsia="en-US" w:bidi="ar-SA"/>
        </w:rPr>
        <w:t xml:space="preserve">, </w:t>
      </w:r>
      <w:hyperlink r:id="rId460" w:history="1">
        <w:r>
          <w:rPr>
            <w:rFonts w:ascii="arial" w:eastAsia="arial" w:hAnsi="arial" w:cs="arial"/>
            <w:i/>
            <w:color w:val="0077CC"/>
            <w:sz w:val="20"/>
            <w:u w:val="single"/>
            <w:shd w:val="clear" w:color="auto" w:fill="FFFFFF"/>
            <w:lang w:val="en-US" w:eastAsia="en-US" w:bidi="ar-SA"/>
          </w:rPr>
          <w:t>2006 BCSC 58</w:t>
        </w:r>
      </w:hyperlink>
      <w:r>
        <w:rPr>
          <w:rFonts w:ascii="arial" w:eastAsia="arial" w:hAnsi="arial" w:cs="arial"/>
          <w:color w:val="000000"/>
          <w:sz w:val="20"/>
          <w:lang w:val="en-US" w:eastAsia="en-US" w:bidi="ar-SA"/>
        </w:rPr>
        <w:t>) that trustees are entitled to recover their out-of-pocket expenses incurred in the discharge of their duties under the trust so long as such expenses were "not improperly incurred" and that, only in situations in which a trustee pursued unnecessary or wasteful litigation, would such indemnification be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my view, the Mortgage Action ought to have been relatively straightforward. Further, I agree with Ms Kuntz that there were attempts to bring mortgage issues into the Proof in Solemn Form Action and that ought not to have happened. The Mortgage Action ought to have been "put on hold" pending the outcome of the Probate Action as, if the 2005 Will had been found to be valid, the most likely scenario (and that which is supported in law) is that Charles would receive his interest in the Condo subject to the TD and Ambrose Mortgages. Accordingly, there was little to do until such time as the Probate Action was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also note here that BLG did not apportion much time to the Resulting Trust Action, unlike BHT who apportioned one-third of Charles' legal costs to that action. The evidence indicates that certainly in the early stages of their retainer much time was spent on the Resulting Trust Action and some of the time BLG attributed to the Mortgage Action in this hearing ought, more appropriately, to have been attributed to the Resulting Trust Action instead.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Applying the factors set out in Rule 57(3) to the evidence before me, as regards the work done for Michael's by BLG, the fees that were reasonably necessary and proper to conduct the Mortgage Action viewed on an objective basis is the sum of $20,000, plus taxes (GST of 5% = $1,000 and PST of 7% = $1,400), plus disbursements of $1,723.01</w:t>
      </w:r>
      <w:bookmarkStart w:id="93" w:name="Backward_fnref_fnr-6_0"/>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93"/>
      <w:r>
        <w:rPr>
          <w:rFonts w:ascii="arial" w:eastAsia="arial" w:hAnsi="arial" w:cs="arial"/>
          <w:color w:val="000000"/>
          <w:sz w:val="20"/>
          <w:lang w:val="en-US" w:eastAsia="en-US" w:bidi="ar-SA"/>
        </w:rPr>
        <w:t xml:space="preserve"> for total special costs of $24,123.01. I am not aware (based on the submissions provided to me) which of the disbursements attract tax and which do not. As the parties have agreed that disbursements are not in issue, I will leave it to them to sort out the taxes applicable to the amount I have allowed.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B. Probate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Charles suggests that in determining the special costs hereunder I should consider the words of Gray, J in </w:t>
      </w:r>
      <w:r>
        <w:rPr>
          <w:rFonts w:ascii="arial" w:eastAsia="arial" w:hAnsi="arial" w:cs="arial"/>
          <w:i/>
          <w:color w:val="000000"/>
          <w:sz w:val="20"/>
          <w:lang w:val="en-US" w:eastAsia="en-US" w:bidi="ar-SA"/>
        </w:rPr>
        <w:t>Woodward v. Grant</w:t>
      </w:r>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2007 BCSC 1549</w:t>
        </w:r>
      </w:hyperlink>
      <w:r>
        <w:rPr>
          <w:rFonts w:ascii="arial" w:eastAsia="arial" w:hAnsi="arial" w:cs="arial"/>
          <w:color w:val="000000"/>
          <w:sz w:val="20"/>
          <w:lang w:val="en-US" w:eastAsia="en-US" w:bidi="ar-SA"/>
        </w:rPr>
        <w:t>, wherein Her Ladyship says (at para. 16-17):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trend towards the general rule that costs should follow the event is likely, in part, a recognition of the significant costs that can be incurred in litigation and that consideration of costs can assist in achieving settlement. Providing that an unsuccessful party can recover its costs from an estate would discourage that party from taking into account the legal costs of proceeding when considering settlement. As a result, awarding costs from the estate could encourage probate litigation and discourage settlement. It would defeat the testator's intentions to the extent that the costs reduced the size of the estate available for distribution.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costs should follow the event unless the court orders otherwise, exercising its discretion judicially.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agree. It is important that persons involved in estate litigation exercise prudence in pursuing particularly difficult actions and that they do not assume that their costs will automatically be paid (at a full indemnity basis) from the assets of an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Michael seeks special costs far in excess of his share in the Condo. Charles submits that Michael's costs ought to be capped by the value of that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do not agree with that submission. In my view, a "result" that might be considered is the fact that a term of the settlement was that the Estate pay Michael's special costs "to be assessed". His "recovery" therefore is not simply limited to receiving his (25%) share of the Condo, but also includes the fact that his special costs of pursuing the Probate Action are to be paid out of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As I have noted above, Michael seeks special costs (fees portion only) of $146,000 in respect of the Probate Action. Applying the factors set out in Rule 57(3) to the evidence before me, the reasonable amount of the fees that were necessarily and properly incurred by Michael in conducting the Probate Action is the sum of $100,000, plus taxes (GST of 5% = $5,000 and PST of 7% = $7,000), plus disbursements of $9,182.46 for total special costs of $121,182.46. As with the disbursements in respect of the Mortgage Action, I am not aware which of the disbursements agreed to be paid in the Probate Action attract tax and which do not. As the parties have agreed that disbursements are not in issue, I will leave it to them to sort out the taxes applicable to the amount I have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CHARLES' SPECIAL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 The Legacy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One account rendered by Legacy to Charles was included as part of Charles' claim for special costs. No distinction was made in the submissions as to whether payment of that account was sought as part of the special costs of the Mortgage Action or of the Proof in Solemn Form Action. I will therefore treat it as a claim all on its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Kerwin submits that nothing should be paid in respect of this account as, firstly, Legacy should not have acted as counsel for Charles as to do so would be a clear conflict in that Legacy was the author of the 2005 Will. Secondly, much of the time recorded on the Legacy account relates, not to either the Mortgage or Probate Actions, but rather to the Resulting Trust Action. In large part, I agree with Mr. Kerwin's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my view, Legacy ought to have ceased acting the moment the spectre of a challenge to the 2005 Will was raised which I find on the evidence to be mid- to late-November 2005. In addition, some of the time recorded to these matters (certainly much of it before the end of November) related to receiving and considering the writ of summons filed to commence the Resulting Trust Action. However, some of that time certainly related to initial discussions about probating the 2005 Will (which it was perfectly appropriate for Legacy to consider until it became clear that the matter would proceed to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account introduced as evidence in the hearing (Exhibit 11) covers the period from November 5 to December 19, 2005. It contains some 14 time entries for the period November 5 to November 30. I do not have a pre-bill (or any breakdown) from which I can determine the actual amount of fees attributable to the work done during that time period. I also cannot determine which of the entries relate to the Resulting Trust Action (as some of them must), which relate to dealing with issues relating to probating the 2005 Will and which relate to the Mortgage Action (the second action started).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However, rather than request additional evidence on the issues I have noted with this account, I will perform a "rough and ready" calculation of the amount I believe ought to be paid from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amount actually billed on that account is $6,653.24 (made up of fees ($5,760), disbursements ($84.40) and taxes ($977.64)). A $3,000 retainer was paid on account leaving a balance due of $3,653.24 (the amount Charles seeks as special costs in respect of this account). On a "rough and ready basis", it is reasonable for me to say that approximately one-quarter of the amount billed represents the fees and disbursements "proper or reasonably necessary" to deal with matters related to the Mortgage Action and the Probate Action and for which Charles ought to be reimbursed. Accordingly, Charles should recover the sum of $1,663.31 from the Estate as special costs in relation to the Legacy account.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B. Mortgage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As I have noted earlier in the Breakdown and in his submissions Charles seeks a total of $10,384.41 (inclusive of fees, disbursements and taxes) in special costs for the Mortgage Action. I calculate the amount attributable to that Action to be somewhat higher - $13,431.37 - broken down into $10,904.58 in fees, $1,395.36 in taxes on those fees, plus disbursements and taxes of $1,069.98 and $64.45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As disbursements are not in issue in this hearing, I will allow as part of Charles' special costs for the Mortgage Action the disbursements attributable to that Action ($1,069.98, plus taxes on those disbursements of $61.45, for total disbursements of $1,131.43).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As regards the fees portion of Charles' special costs for the Mortgage Action, I am satisfied, on the evidence before me and applying the factors set out in Rule 57(3)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that Charles' fees reasonably necessary and proper to conduct the Mortgage Action is the sum of $10,500 and I will allow that amount (plus taxes - GST of $525 and PST of $735) as the fees portion of Charles' special costs in respect of the Mortgage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Accordingly, I assess Charles' special costs for the Mortgage Action to be the sum of $12,891.43.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 Proof in Solemn Form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As I noted above, although in his submissions Charles seeks $103,707 for his special costs in respect of this Action, that amount is slightly higher than the amount I have calculated is attributable to this Action. I calculate the special costs award sought as $103,424.54 ($86,530.12 in fees and $10,735.56 in taxes on such fees, plus disbursements and taxes on disbursements of $5,874.50 and $284.35 respectively). Again, disbursements were not in issue before me and I award them as claimed in the amount of $6,158.85. As for the fees portion, in my view, the $86,530.12 attributable to fees is higher than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have awarded Michael special costs (fees portion) of $100,000 in respect of the Proof in Solemn Form Action. Because of his lack of awareness of his mother's financial affairs, Michael's counsel had to spend some time simply investigating many of the issues. Accordingly, in my view, Michael's costs should be higher than his brother's in relation to the Proof in Solemn Form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Considering the evidence and applying the factors set out in Rule 57(3)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the fees reasonably necessary and proper for Charles to conduct the Proof in Solemn Form Action is the sum of $75,000, plus GST of $3,750 and PST of $5,250 for total special costs of $84,000, plus disbursements attributable to this action ($6,158.85) resulting in total special costs of $90,158.85.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COSTS OF THIS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Both parties have asked for their special costs of the hearing before me. In general, the costs of a hearing to assess special costs are themselves to be assessed as special costs (unless a party has presented an "egregious bill" for review: see </w:t>
      </w:r>
      <w:r>
        <w:rPr>
          <w:rFonts w:ascii="arial" w:eastAsia="arial" w:hAnsi="arial" w:cs="arial"/>
          <w:i/>
          <w:color w:val="000000"/>
          <w:sz w:val="20"/>
          <w:lang w:val="en-US" w:eastAsia="en-US" w:bidi="ar-SA"/>
        </w:rPr>
        <w:t>Szpradowski (Guardian ad litem) v. Szpradowski Estate</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[1992] B.C.J. No. 2536</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Sarkodee-Adoo v. Sarkodee-Adoo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It is reasonable to set an amount for those special costs now, rather than have the parties re-attend to provide additional evidence and submissions on what the special costs of the special costs assessment might be. This will then avoid the inevitable next application to assess the special costs of the assessment of the special costs of the special costs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Interclaim Holdings Ltd. v. Down</w:t>
      </w:r>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[2002] B.C.J. No. 2575</w:t>
        </w:r>
      </w:hyperlink>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2002 BCCA 632</w:t>
        </w:r>
      </w:hyperlink>
      <w:r>
        <w:rPr>
          <w:rFonts w:ascii="arial" w:eastAsia="arial" w:hAnsi="arial" w:cs="arial"/>
          <w:color w:val="000000"/>
          <w:sz w:val="20"/>
          <w:lang w:val="en-US" w:eastAsia="en-US" w:bidi="ar-SA"/>
        </w:rPr>
        <w:t xml:space="preserve">, Southin, JA, in assessing what I say is the equivalent of special costs under s. 197(2) of the </w:t>
      </w:r>
      <w:r>
        <w:rPr>
          <w:rFonts w:ascii="arial" w:eastAsia="arial" w:hAnsi="arial" w:cs="arial"/>
          <w:i/>
          <w:color w:val="000000"/>
          <w:sz w:val="20"/>
          <w:lang w:val="en-US" w:eastAsia="en-US" w:bidi="ar-SA"/>
        </w:rPr>
        <w:t>Bankruptcy and Insolvency Act</w:t>
      </w:r>
      <w:r>
        <w:rPr>
          <w:rFonts w:ascii="arial" w:eastAsia="arial" w:hAnsi="arial" w:cs="arial"/>
          <w:color w:val="000000"/>
          <w:sz w:val="20"/>
          <w:lang w:val="en-US" w:eastAsia="en-US" w:bidi="ar-SA"/>
        </w:rPr>
        <w:t>, says:</w:t>
      </w:r>
      <w:r>
        <w:rPr>
          <w:rFonts w:ascii="arial" w:eastAsia="arial" w:hAnsi="arial" w:cs="arial"/>
          <w:sz w:val="20"/>
          <w:lang w:val="en-US" w:eastAsia="en-US" w:bidi="ar-SA"/>
        </w:rPr>
        <w:cr/>
      </w:r>
    </w:p>
    <w:p>
      <w:pPr>
        <w:numPr>
          <w:numId w:val="54"/>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Taking it all in all, I consider that justice will be done in this case if this Court adopts the rough and ready old-fashioned method of determining the sum to be awarded under s. 197(2) at a sum per half day, which sum will cover also a reasonable award for preparation, but not including in those days those spent arguing the issue of champerty before Brenner J. Five thousand dollars per half day or less seems right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I employed a similar approach in </w:t>
      </w:r>
      <w:r>
        <w:rPr>
          <w:rFonts w:ascii="arial" w:eastAsia="arial" w:hAnsi="arial" w:cs="arial"/>
          <w:i/>
          <w:color w:val="000000"/>
          <w:sz w:val="20"/>
          <w:lang w:val="en-US" w:eastAsia="en-US" w:bidi="ar-SA"/>
        </w:rPr>
        <w:t>Law Society of British Columbia v. Hanson</w:t>
      </w:r>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[2006] B.C.J. No. 3435</w:t>
        </w:r>
      </w:hyperlink>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2006 BCSC 1993</w:t>
        </w:r>
      </w:hyperlink>
      <w:r>
        <w:rPr>
          <w:rFonts w:ascii="arial" w:eastAsia="arial" w:hAnsi="arial" w:cs="arial"/>
          <w:color w:val="000000"/>
          <w:sz w:val="20"/>
          <w:lang w:val="en-US" w:eastAsia="en-US" w:bidi="ar-SA"/>
        </w:rPr>
        <w:t>, wherein, in assessing the special costs of a special costs application, I awarded the Plaintiff the sum of $3,000 for a half day's attendance, including preparation. Specifically, I said:</w:t>
      </w:r>
      <w:r>
        <w:rPr>
          <w:rFonts w:ascii="arial" w:eastAsia="arial" w:hAnsi="arial" w:cs="arial"/>
          <w:sz w:val="20"/>
          <w:lang w:val="en-US" w:eastAsia="en-US" w:bidi="ar-SA"/>
        </w:rPr>
        <w:cr/>
      </w:r>
    </w:p>
    <w:p>
      <w:pPr>
        <w:numPr>
          <w:numId w:val="5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 the question that I have to, again, decide is: what would have been reasonable for preparation for and attendance here today? The amount claimed is $3,070. I am going to say that $3,000 is reasonable. I think we are certainly on the right track. We have been here half a day. There would have been preparation that was required. There was other documentation. There was an outline. There was a threshold issue, a legal issue that had to be dealt with, being the application of </w:t>
      </w:r>
      <w:r>
        <w:rPr>
          <w:rFonts w:ascii="arial" w:eastAsia="arial" w:hAnsi="arial" w:cs="arial"/>
          <w:i/>
          <w:color w:val="000000"/>
          <w:sz w:val="20"/>
          <w:lang w:val="en-US" w:eastAsia="en-US" w:bidi="ar-SA"/>
        </w:rPr>
        <w:t>Denovan v. Lee</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[1991] B.C.J. No. 3460</w:t>
        </w:r>
      </w:hyperlink>
      <w:r>
        <w:rPr>
          <w:rFonts w:ascii="arial" w:eastAsia="arial" w:hAnsi="arial" w:cs="arial"/>
          <w:color w:val="000000"/>
          <w:sz w:val="20"/>
          <w:lang w:val="en-US" w:eastAsia="en-US" w:bidi="ar-SA"/>
        </w:rPr>
        <w:t>, supra. This was not a simple, straightforward assessment of special costs where one comes, puts forward one's bills, testifies with respect to that and then a decision is made. So I think on that basis, $3,000 is reasonable, which is a little bit higher than I might have thought "usual". There is not as much preparation, of course, with respect to an attendance before the registrar, but, in any event I am awarding $3,000, plus the applicable taxes, as the cost of this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This assessment was not a simple assessment of special costs. That it was not is confirmed by the number of witnesses, the extensive arguments received and the sheer length of the hearing. In considering how the Rule 57(3) factors apply to this hearing, I say:</w:t>
      </w:r>
      <w:r>
        <w:rPr>
          <w:rFonts w:ascii="arial" w:eastAsia="arial" w:hAnsi="arial" w:cs="arial"/>
          <w:sz w:val="20"/>
          <w:lang w:val="en-US" w:eastAsia="en-US" w:bidi="ar-SA"/>
        </w:rPr>
        <w:cr/>
      </w:r>
    </w:p>
    <w:p>
      <w:pPr>
        <w:numPr>
          <w:numId w:val="5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novel or complex legal principles involved in the actual assessment of the special costs;</w:t>
      </w:r>
    </w:p>
    <w:p>
      <w:pPr>
        <w:numPr>
          <w:numId w:val="5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Mr. Kerwin and Ms Kuntz are reasonably experienced counsel (although more of an intermediate vintage);</w:t>
      </w:r>
    </w:p>
    <w:p>
      <w:pPr>
        <w:numPr>
          <w:numId w:val="5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special costs sought by both parties were not insignificant;</w:t>
      </w:r>
    </w:p>
    <w:p>
      <w:pPr>
        <w:numPr>
          <w:numId w:val="5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do not have any direct evidence of the time expended by each counsel in his/her preparation but I do know that the matter occupied some three full days of court time. Both counsel prepared written submissions. Mr. Kerwin's were extremely extensive but, for the most part, the information contained therein was information in the chronology. In addition, much of the submissions related to what he would have argued had the matter proceeded to trial and (in his opinion) the likely result. As I have noted earlier, that is not for me to determine. This matter was settled (for the reasons it settled) and it is not for me to assume that one party achieved an extraordinarily good (or bad) result;</w:t>
      </w:r>
    </w:p>
    <w:p>
      <w:pPr>
        <w:numPr>
          <w:numId w:val="5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counsel proceeded with dispatch as regards this matter, as far as I am aware;</w:t>
      </w:r>
    </w:p>
    <w:p>
      <w:pPr>
        <w:numPr>
          <w:numId w:val="5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outcome of this matter was likely of great importance to both parties as the value of his share of the Estate will be reduced (proportionately) based on my decisions. I cannot say that either party enjoyed a particularly good or bad result;</w:t>
      </w:r>
    </w:p>
    <w:p>
      <w:pPr>
        <w:numPr>
          <w:numId w:val="5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parties were well represented by their respective solicitors.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In my view, each party should receive the same amount of special costs of this hearing as the same effort ought to have gone into matters and counsel are of a similar level with similar hourly rates. As at December 2008, Ms Kuntz' hourly rate was $295 per hour and Mr. Kerwin's was $290. In </w:t>
      </w:r>
      <w:r>
        <w:rPr>
          <w:rFonts w:ascii="arial" w:eastAsia="arial" w:hAnsi="arial" w:cs="arial"/>
          <w:i/>
          <w:color w:val="000000"/>
          <w:sz w:val="20"/>
          <w:lang w:val="en-US" w:eastAsia="en-US" w:bidi="ar-SA"/>
        </w:rPr>
        <w:t>Law Society v. Hansen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 awarded (as the special costs of the special costs hearing) the sum of $3,000 for a half day hearing, including preparation. That translates to $6,000 for each day of hearing, inclusive of preparation. However here it should not have been necessary to expend an equivalent amount of time preparing for this hearing as attending to it. Employing a "rough and ready" method of determining the fees, I say that each counsel ought to have spent approximately 36 hours on preparing for and attending at this hearing (roughly 8 hours per day for each day in Court plus a day and a half (12 hours) on preparation). I would allow those hours at $300 each hour, resulting in special costs of this assessment of special costs of $10,800, plus taxes (GST of $540 and PST of $756) for a total of $12,096.00.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As for disbursements, each party should be reimbursed filing fees of $52 (for the Appointment), plus an additional $150 to cover his photocopying and other incidental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Accordingly, I assess each party's special costs of this special costs assessment to be $12,298.00.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DISTRICT REGISTRAR K.S. SAINTY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99" style="position:absolute;z-index:251757568"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94" w:name="Forward_fnref_fnr-1_1"/>
      <w:hyperlink w:anchor="Backward_fnref_fnr-1" w:history="1">
        <w:r>
          <w:rPr>
            <w:rFonts w:ascii="arial" w:eastAsia="arial" w:hAnsi="arial" w:cs="arial"/>
            <w:b/>
            <w:color w:val="BE161D"/>
            <w:sz w:val="18"/>
            <w:shd w:val="clear" w:color="auto" w:fill="FFFFFF"/>
            <w:lang w:val="en-US" w:eastAsia="en-US" w:bidi="ar-SA"/>
          </w:rPr>
          <w:t>1</w:t>
        </w:r>
      </w:hyperlink>
      <w:bookmarkEnd w:id="94"/>
      <w:r>
        <w:rPr>
          <w:rFonts w:ascii="arial" w:eastAsia="arial" w:hAnsi="arial" w:cs="arial"/>
          <w:sz w:val="20"/>
          <w:lang w:val="en-US" w:eastAsia="en-US" w:bidi="ar-SA"/>
        </w:rPr>
        <w:tab/>
      </w:r>
      <w:r>
        <w:rPr>
          <w:rFonts w:ascii="arial" w:eastAsia="arial" w:hAnsi="arial" w:cs="arial"/>
          <w:color w:val="6D6E71"/>
          <w:sz w:val="18"/>
          <w:lang w:val="en-US" w:eastAsia="en-US" w:bidi="ar-SA"/>
        </w:rPr>
        <w:t>Reference was also made in this matter and in the submissions to the "Starko Defendants". Those "Starko Defendants" consist of Michael plus the deceased's grandchildren (specific legatees under her wills) and Mary Hall, Charles' first wife, all of whom are named as defendants in the Probate Action (defined below). All references to "Michael" in these reasons include those other Starko Defendants where the context so requires.</w:t>
      </w:r>
    </w:p>
    <w:p>
      <w:pPr>
        <w:spacing w:before="120" w:after="20" w:line="240" w:lineRule="atLeast"/>
        <w:ind w:left="720" w:hanging="360"/>
        <w:jc w:val="both"/>
        <w:rPr>
          <w:rFonts w:ascii="arial" w:eastAsia="arial" w:hAnsi="arial" w:cs="arial"/>
          <w:sz w:val="20"/>
          <w:lang w:val="en-US" w:eastAsia="en-US" w:bidi="ar-SA"/>
        </w:rPr>
      </w:pPr>
      <w:bookmarkStart w:id="95" w:name="Forward_fnref_fnr-2_1"/>
      <w:hyperlink w:anchor="Backward_fnref_fnr-2" w:history="1">
        <w:r>
          <w:rPr>
            <w:rFonts w:ascii="arial" w:eastAsia="arial" w:hAnsi="arial" w:cs="arial"/>
            <w:b/>
            <w:color w:val="BE161D"/>
            <w:sz w:val="18"/>
            <w:shd w:val="clear" w:color="auto" w:fill="FFFFFF"/>
            <w:lang w:val="en-US" w:eastAsia="en-US" w:bidi="ar-SA"/>
          </w:rPr>
          <w:t>2</w:t>
        </w:r>
      </w:hyperlink>
      <w:bookmarkEnd w:id="95"/>
      <w:r>
        <w:rPr>
          <w:rFonts w:ascii="arial" w:eastAsia="arial" w:hAnsi="arial" w:cs="arial"/>
          <w:sz w:val="20"/>
          <w:lang w:val="en-US" w:eastAsia="en-US" w:bidi="ar-SA"/>
        </w:rPr>
        <w:tab/>
      </w:r>
      <w:r>
        <w:rPr>
          <w:rFonts w:ascii="arial" w:eastAsia="arial" w:hAnsi="arial" w:cs="arial"/>
          <w:color w:val="6D6E71"/>
          <w:sz w:val="18"/>
          <w:lang w:val="en-US" w:eastAsia="en-US" w:bidi="ar-SA"/>
        </w:rPr>
        <w:t>Written Submissions of Michael Starko and the Starko Defendants dated July 30, 2009 ("Michael's Closing Submissions"), at para. 201.</w:t>
      </w:r>
    </w:p>
    <w:p>
      <w:pPr>
        <w:spacing w:before="120" w:after="20" w:line="240" w:lineRule="atLeast"/>
        <w:ind w:left="720" w:hanging="360"/>
        <w:jc w:val="both"/>
        <w:rPr>
          <w:rFonts w:ascii="arial" w:eastAsia="arial" w:hAnsi="arial" w:cs="arial"/>
          <w:sz w:val="20"/>
          <w:lang w:val="en-US" w:eastAsia="en-US" w:bidi="ar-SA"/>
        </w:rPr>
      </w:pPr>
      <w:bookmarkStart w:id="96" w:name="Forward_fnref_fnr-3_0"/>
      <w:hyperlink w:anchor="Backward_fnref_fnr-3" w:history="1">
        <w:r>
          <w:rPr>
            <w:rFonts w:ascii="arial" w:eastAsia="arial" w:hAnsi="arial" w:cs="arial"/>
            <w:b/>
            <w:color w:val="BE161D"/>
            <w:sz w:val="18"/>
            <w:shd w:val="clear" w:color="auto" w:fill="FFFFFF"/>
            <w:lang w:val="en-US" w:eastAsia="en-US" w:bidi="ar-SA"/>
          </w:rPr>
          <w:t>3</w:t>
        </w:r>
      </w:hyperlink>
      <w:bookmarkEnd w:id="96"/>
      <w:r>
        <w:rPr>
          <w:rFonts w:ascii="arial" w:eastAsia="arial" w:hAnsi="arial" w:cs="arial"/>
          <w:sz w:val="20"/>
          <w:lang w:val="en-US" w:eastAsia="en-US" w:bidi="ar-SA"/>
        </w:rPr>
        <w:tab/>
      </w:r>
      <w:r>
        <w:rPr>
          <w:rFonts w:ascii="arial" w:eastAsia="arial" w:hAnsi="arial" w:cs="arial"/>
          <w:color w:val="6D6E71"/>
          <w:sz w:val="18"/>
          <w:lang w:val="en-US" w:eastAsia="en-US" w:bidi="ar-SA"/>
        </w:rPr>
        <w:t>Michael's Closing Submissions, at para. 205-6.</w:t>
      </w:r>
    </w:p>
    <w:p>
      <w:pPr>
        <w:spacing w:before="120" w:after="20" w:line="240" w:lineRule="atLeast"/>
        <w:ind w:left="720" w:hanging="360"/>
        <w:jc w:val="both"/>
        <w:rPr>
          <w:rFonts w:ascii="arial" w:eastAsia="arial" w:hAnsi="arial" w:cs="arial"/>
          <w:sz w:val="20"/>
          <w:lang w:val="en-US" w:eastAsia="en-US" w:bidi="ar-SA"/>
        </w:rPr>
      </w:pPr>
      <w:bookmarkStart w:id="97" w:name="Forward_fnref_fnr-4_0"/>
      <w:hyperlink w:anchor="Backward_fnref_fnr-4" w:history="1">
        <w:r>
          <w:rPr>
            <w:rFonts w:ascii="arial" w:eastAsia="arial" w:hAnsi="arial" w:cs="arial"/>
            <w:b/>
            <w:color w:val="BE161D"/>
            <w:sz w:val="18"/>
            <w:shd w:val="clear" w:color="auto" w:fill="FFFFFF"/>
            <w:lang w:val="en-US" w:eastAsia="en-US" w:bidi="ar-SA"/>
          </w:rPr>
          <w:t>4</w:t>
        </w:r>
      </w:hyperlink>
      <w:bookmarkEnd w:id="97"/>
      <w:r>
        <w:rPr>
          <w:rFonts w:ascii="arial" w:eastAsia="arial" w:hAnsi="arial" w:cs="arial"/>
          <w:sz w:val="20"/>
          <w:lang w:val="en-US" w:eastAsia="en-US" w:bidi="ar-SA"/>
        </w:rPr>
        <w:tab/>
      </w:r>
      <w:r>
        <w:rPr>
          <w:rFonts w:ascii="arial" w:eastAsia="arial" w:hAnsi="arial" w:cs="arial"/>
          <w:color w:val="6D6E71"/>
          <w:sz w:val="18"/>
          <w:lang w:val="en-US" w:eastAsia="en-US" w:bidi="ar-SA"/>
        </w:rPr>
        <w:t>from para. 216 of Michael's Written Submissions</w:t>
      </w:r>
    </w:p>
    <w:p>
      <w:pPr>
        <w:spacing w:before="120" w:after="20" w:line="240" w:lineRule="atLeast"/>
        <w:ind w:left="720" w:hanging="360"/>
        <w:jc w:val="both"/>
        <w:rPr>
          <w:rFonts w:ascii="arial" w:eastAsia="arial" w:hAnsi="arial" w:cs="arial"/>
          <w:sz w:val="20"/>
          <w:lang w:val="en-US" w:eastAsia="en-US" w:bidi="ar-SA"/>
        </w:rPr>
      </w:pPr>
      <w:bookmarkStart w:id="98" w:name="Forward_fnref_fnr-5_0"/>
      <w:hyperlink w:anchor="Backward_fnref_fnr-5" w:history="1">
        <w:r>
          <w:rPr>
            <w:rFonts w:ascii="arial" w:eastAsia="arial" w:hAnsi="arial" w:cs="arial"/>
            <w:b/>
            <w:color w:val="BE161D"/>
            <w:sz w:val="18"/>
            <w:shd w:val="clear" w:color="auto" w:fill="FFFFFF"/>
            <w:lang w:val="en-US" w:eastAsia="en-US" w:bidi="ar-SA"/>
          </w:rPr>
          <w:t>5</w:t>
        </w:r>
      </w:hyperlink>
      <w:bookmarkEnd w:id="98"/>
      <w:r>
        <w:rPr>
          <w:rFonts w:ascii="arial" w:eastAsia="arial" w:hAnsi="arial" w:cs="arial"/>
          <w:sz w:val="20"/>
          <w:lang w:val="en-US" w:eastAsia="en-US" w:bidi="ar-SA"/>
        </w:rPr>
        <w:tab/>
      </w:r>
      <w:r>
        <w:rPr>
          <w:rFonts w:ascii="arial" w:eastAsia="arial" w:hAnsi="arial" w:cs="arial"/>
          <w:color w:val="6D6E71"/>
          <w:sz w:val="18"/>
          <w:lang w:val="en-US" w:eastAsia="en-US" w:bidi="ar-SA"/>
        </w:rPr>
        <w:t>from Closing Submission of Charles Hall, at pp. 4-5</w:t>
      </w:r>
    </w:p>
    <w:p>
      <w:pPr>
        <w:spacing w:before="120" w:after="20" w:line="240" w:lineRule="atLeast"/>
        <w:ind w:left="720" w:hanging="360"/>
        <w:jc w:val="both"/>
        <w:rPr>
          <w:rFonts w:ascii="arial" w:eastAsia="arial" w:hAnsi="arial" w:cs="arial"/>
          <w:sz w:val="20"/>
          <w:lang w:val="en-US" w:eastAsia="en-US" w:bidi="ar-SA"/>
        </w:rPr>
      </w:pPr>
      <w:bookmarkStart w:id="99" w:name="Forward_fnref_fnr-6_0"/>
      <w:hyperlink w:anchor="Backward_fnref_fnr-6" w:history="1">
        <w:r>
          <w:rPr>
            <w:rFonts w:ascii="arial" w:eastAsia="arial" w:hAnsi="arial" w:cs="arial"/>
            <w:b/>
            <w:color w:val="BE161D"/>
            <w:sz w:val="18"/>
            <w:shd w:val="clear" w:color="auto" w:fill="FFFFFF"/>
            <w:lang w:val="en-US" w:eastAsia="en-US" w:bidi="ar-SA"/>
          </w:rPr>
          <w:t>6</w:t>
        </w:r>
      </w:hyperlink>
      <w:bookmarkEnd w:id="99"/>
      <w:r>
        <w:rPr>
          <w:rFonts w:ascii="arial" w:eastAsia="arial" w:hAnsi="arial" w:cs="arial"/>
          <w:sz w:val="20"/>
          <w:lang w:val="en-US" w:eastAsia="en-US" w:bidi="ar-SA"/>
        </w:rPr>
        <w:tab/>
      </w:r>
      <w:r>
        <w:rPr>
          <w:rFonts w:ascii="arial" w:eastAsia="arial" w:hAnsi="arial" w:cs="arial"/>
          <w:color w:val="6D6E71"/>
          <w:sz w:val="18"/>
          <w:lang w:val="en-US" w:eastAsia="en-US" w:bidi="ar-SA"/>
        </w:rPr>
        <w:t>Disbursements were not in issue in this hearing and I will simply award the amount of disbursements claimed.</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0" style="position:absolute;z-index:251776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6"/>
          <w:headerReference w:type="default" r:id="rId467"/>
          <w:footerReference w:type="even" r:id="rId468"/>
          <w:footerReference w:type="default" r:id="rId469"/>
          <w:headerReference w:type="first" r:id="rId470"/>
          <w:footerReference w:type="first" r:id="rId4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72" w:history="1">
        <w:r>
          <w:rPr>
            <w:rFonts w:ascii="arial" w:eastAsia="arial" w:hAnsi="arial" w:cs="arial"/>
            <w:b/>
            <w:bCs/>
            <w:i/>
            <w:color w:val="0077CC"/>
            <w:kern w:val="32"/>
            <w:sz w:val="28"/>
            <w:szCs w:val="32"/>
            <w:u w:val="single"/>
            <w:shd w:val="clear" w:color="auto" w:fill="FFFFFF"/>
            <w:lang w:val="en-US" w:eastAsia="en-US" w:bidi="ar-SA"/>
          </w:rPr>
          <w:t>Stewart v. Vancouver (City) Police Department, [2009] B.C.J. No. 2802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S.F. Kelleher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June 24-25, 2009.</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July 3, 2009.</w:t>
      </w:r>
    </w:p>
    <w:p>
      <w:pPr>
        <w:spacing w:before="120" w:line="260" w:lineRule="atLeast"/>
        <w:jc w:val="center"/>
        <w:rPr>
          <w:lang w:val="en-US" w:eastAsia="en-US" w:bidi="ar-SA"/>
        </w:rPr>
      </w:pPr>
      <w:r>
        <w:rPr>
          <w:rFonts w:ascii="arial" w:eastAsia="arial" w:hAnsi="arial" w:cs="arial"/>
          <w:color w:val="000000"/>
          <w:sz w:val="20"/>
          <w:lang w:val="en-US" w:eastAsia="en-US" w:bidi="ar-SA"/>
        </w:rPr>
        <w:t>Docket: S064560</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[2009] B.C.J. No. 2802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2009 BCSC 1877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191 A.C.W.S. (3d) 1308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2009 CarswellBC 3800</w:t>
      </w:r>
    </w:p>
    <w:p>
      <w:pPr>
        <w:spacing w:before="120" w:line="260" w:lineRule="atLeast"/>
        <w:rPr>
          <w:lang w:val="en-US" w:eastAsia="en-US" w:bidi="ar-SA"/>
        </w:rPr>
      </w:pPr>
      <w:r>
        <w:rPr>
          <w:rFonts w:ascii="arial" w:eastAsia="arial" w:hAnsi="arial" w:cs="arial"/>
          <w:color w:val="000000"/>
          <w:sz w:val="20"/>
          <w:lang w:val="en-US" w:eastAsia="en-US" w:bidi="ar-SA"/>
        </w:rPr>
        <w:t>Between Clay Ronald Stewart, Plaintiff, and Vancouver Police Department, City of Vancouver, Pacific Institute, Christopher Hunter, Dr. Ian Postnikoff, Dr. Linda Grasswick,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(47 paras.)</w:t>
      </w:r>
    </w:p>
    <w:p>
      <w:pPr>
        <w:spacing w:line="240" w:lineRule="atLeast"/>
        <w:jc w:val="both"/>
        <w:rPr>
          <w:lang w:val="en-US" w:eastAsia="en-US" w:bidi="ar-SA"/>
        </w:rPr>
      </w:pPr>
      <w:r>
        <w:rPr>
          <w:lang w:val="en-US" w:eastAsia="en-US" w:bidi="ar-SA"/>
        </w:rPr>
        <w:br/>
      </w:r>
      <w:r>
        <w:rPr>
          <w:rFonts w:ascii="arial" w:eastAsia="arial" w:hAnsi="arial" w:cs="arial"/>
          <w:color w:val="000000"/>
          <w:sz w:val="18"/>
          <w:lang w:val="en-US" w:eastAsia="en-US" w:bidi="ar-SA"/>
        </w:rPr>
        <w:t xml:space="preserve">[Editor's note: Supplementary reasons for judgment were released September 29, 2010. See </w:t>
      </w:r>
      <w:hyperlink r:id="rId473" w:history="1">
        <w:r>
          <w:rPr>
            <w:rFonts w:ascii="arial" w:eastAsia="arial" w:hAnsi="arial" w:cs="arial"/>
            <w:i/>
            <w:color w:val="0077CC"/>
            <w:sz w:val="18"/>
            <w:u w:val="single"/>
            <w:shd w:val="clear" w:color="auto" w:fill="FFFFFF"/>
            <w:lang w:val="en-US" w:eastAsia="en-US" w:bidi="ar-SA"/>
          </w:rPr>
          <w:t>[2010] B.C.J. No. 1909</w:t>
        </w:r>
      </w:hyperlink>
      <w:r>
        <w:rPr>
          <w:rFonts w:ascii="arial" w:eastAsia="arial" w:hAnsi="arial" w:cs="arial"/>
          <w:color w:val="000000"/>
          <w:sz w:val="18"/>
          <w:lang w:val="en-US" w:eastAsia="en-US" w:bidi="ar-SA"/>
        </w:rPr>
        <w:t>.]</w:t>
      </w:r>
      <w:r>
        <w:rPr>
          <w:lang w:val="en-US" w:eastAsia="en-US" w:bidi="ar-SA"/>
        </w:rPr>
        <w:cr/>
      </w:r>
    </w:p>
    <w:p>
      <w:pPr>
        <w:keepNext/>
        <w:spacing w:before="240" w:line="340" w:lineRule="atLeast"/>
        <w:rPr>
          <w:lang w:val="en-US" w:eastAsia="en-US" w:bidi="ar-SA"/>
        </w:rPr>
      </w:pPr>
      <w:bookmarkStart w:id="100" w:name="Counsel_19"/>
      <w:bookmarkEnd w:id="100"/>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01" style="position:absolute;z-index:25168281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The Plaintiff, Appearing on his own Behalf: C.R. Stewart.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Doctors: J.D. Meadows.</w:t>
      </w:r>
      <w:r>
        <w:rPr>
          <w:lang w:val="en-US" w:eastAsia="en-US" w:bidi="ar-SA"/>
        </w:rPr>
        <w:cr/>
      </w:r>
    </w:p>
    <w:p>
      <w:pPr>
        <w:spacing w:after="240"/>
        <w:rPr>
          <w:lang w:val="en-US" w:eastAsia="en-US" w:bidi="ar-SA"/>
        </w:rPr>
      </w:pPr>
      <w:bookmarkStart w:id="101" w:name="Judgment_19"/>
      <w:bookmarkEnd w:id="101"/>
      <w:r>
        <w:pict>
          <v:line id="_x0000_s1102" style="position:absolute;z-index:25172275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02" w:name="S.F. KELLEHER J. (orally)"/>
            <w:bookmarkEnd w:id="102"/>
            <w:r>
              <w:rPr>
                <w:rFonts w:ascii="arial" w:eastAsia="arial" w:hAnsi="arial" w:cs="arial"/>
                <w:b/>
                <w:color w:val="000000"/>
                <w:sz w:val="30"/>
                <w:lang w:val="en-US" w:eastAsia="en-US" w:bidi="ar-SA"/>
              </w:rPr>
              <w:t>S.F. KELLEHER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under Rule 18(A)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by three of the defendants, Dr. Christopher Hunter, Dr. Linda Grasswick and Dr. Ian Postnikoff. They seek an order that Mr. Stewart's action be dismissed as against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plaintiff's claim against Dr. Postnikoff and Dr. Grasswick is that they improperly certified him under the </w:t>
      </w:r>
      <w:r>
        <w:rPr>
          <w:rFonts w:ascii="arial" w:eastAsia="arial" w:hAnsi="arial" w:cs="arial"/>
          <w:i/>
          <w:color w:val="000000"/>
          <w:sz w:val="20"/>
          <w:lang w:val="en-US" w:eastAsia="en-US" w:bidi="ar-SA"/>
        </w:rPr>
        <w:t>Mental Health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288</w:t>
      </w:r>
      <w:r>
        <w:rPr>
          <w:rFonts w:ascii="arial" w:eastAsia="arial" w:hAnsi="arial" w:cs="arial"/>
          <w:color w:val="000000"/>
          <w:sz w:val="20"/>
          <w:lang w:val="en-US" w:eastAsia="en-US" w:bidi="ar-SA"/>
        </w:rPr>
        <w:t>, and treated him for a mental disorder without his consent.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claim against Dr. Hunter is that he was negligent in his treatment of the plaintiff in an overseeing the care provided to him while he was at the Regional Treatment Centre ("RTC").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position of the defendant doctors is that they were not negligent with respect to any of the care and treatment.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at the time were psychiatrists at the Regional Treatment Centre. This is a facility which treats inmates at federal institutions who have psychiatric or psychological difficulties. The plaintiff was serving a three and one-half year sentence at Kent Institution. In the course of his incarceration, he was referred on three different occasions to the Regional Treatment Centre for treatment. This is where the defendants interacted with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has a long criminal history. He also has a history of drug abuse.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May 2003, staff members at Kent Institution felt that the plaintiff needed psychiatric intervention. He had become preoccupied with preventing a nuclear holocaust. He had also been on a six-day hunger strike trying to convince staff to circulate a bulletin indicating that sexual assault charges against him had been stayed.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June 6, 2003, the plaintiff signed a Consent to Treatment form. It stated that the plaintiff consented to undertake treatment deemed necessary by the staff at the RTC. Dr. Hunter conducted a consultation with the plaintiff on June 6, 2003. The plaintiff told him he was clairvoyant and had dreams and visions which could predict the future. Dr. Hunter's diagnosis is that the plaintiff was suffering from a psychotic episode attributable to either schizophrenia, a drug induced psychosis, or a delusional disorder. He was treated voluntarily with an anti-psychotic medication. During this period of medication, the plaintiff was less hostile and irritable.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On July 29, 2003, another psychiatrist, Dr. Au, interviewed the plaintiff. Dr. Au concluded the plaintiff was showing acute psychotic symptoms including paranoid delusions. He was provided with some anti-anxiety medication. Dr. Au referred the plaintiff to Dr. Postnikoff to determine whether the plaintiff was certifiable under the </w:t>
      </w:r>
      <w:r>
        <w:rPr>
          <w:rFonts w:ascii="arial" w:eastAsia="arial" w:hAnsi="arial" w:cs="arial"/>
          <w:i/>
          <w:color w:val="000000"/>
          <w:sz w:val="20"/>
          <w:lang w:val="en-US" w:eastAsia="en-US" w:bidi="ar-SA"/>
        </w:rPr>
        <w:t>Mental Health Act</w:t>
      </w:r>
      <w:r>
        <w:rPr>
          <w:rFonts w:ascii="arial" w:eastAsia="arial" w:hAnsi="arial" w:cs="arial"/>
          <w:color w:val="000000"/>
          <w:sz w:val="20"/>
          <w:lang w:val="en-US" w:eastAsia="en-US" w:bidi="ar-SA"/>
        </w:rPr>
        <w:t>. During the initial interview with Dr. Postnikoff on July 29, 2003, the plaintiff admitted he became very angry and agitated to the point of acting out with physical violence when ridiculed or confronted by others. He suggested persons he had attacked in the past were to blame for the attacks because they provoked him. He was obsessed with the staying of the sexual assault charges. He also spent many hours a day in his cell preparing documents relating to the appeal of his conviction and sentence. Dr. Postnikoff said he was unable to determine whether the plaintiff's thought process was delusional or "over-valued ideas". He was of the opinion that anti-psychotic or anti-obsessional medication would be helpful in ameliorating those obsessions, beliefs, and behaviours. The plaintiff told Dr. Postnikoff he was prepared to take anti-psychotic medication and to remain at the RTC. Dr. Postnikoff concluded that the circumstances did not warrant certification at that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stayed at the RTC until August 8, 2003. He was released on parole at that time. Dr. Au felt that the plaintiff would need psychiatric monitoring in the community on his release. Dr. Hunter was also concerned about the plaintiff's safety and the safety of the public upon his release because of his irritability and agitation and his lack of insight into his mental condition, as well as his history of aggression.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was not released for long. His parole was revoked the following day because of an altercation in which he became involved.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September 19, 2003, the plaintiff signed a Consent to Treatment form again. He was admitted to the RTC and stayed there until May 19, 2004. On September 22, 2003, Dr. Au noted that the plaintiff's mental condition had deteriorated. He was observed as having no insight into his delusional beliefs and was diagnosed by Dr. Au as having paranoid schizophrenia and a personality disorder.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October 6, 2003, Dr. Postnikoff interviewed the plaintiff. This was done at the request of Dr. Au for the purpose of determining whether the plaintiff was certifiable. Dr. Au was concerned about the plaintiff's mental health and felt that treatment was needed to prevent further deterioration. Dr. Postnikoff came to the view there was clear evidence of a thought disorder, paranoid delusions, and ideas of reference.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examining the plaintiff, Dr. Postnikoff came to the conclusion that the plaintiff was suffering from paranoid schizophrenia. He came to the view it was no longer appropriate for the plaintiff to remain as a voluntary patient.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were further difficulties on October 12, 2003. Another psychiatrist, Linda Healey, reported that the plaintiff refused treatment and had no insight into his condition. Dr. Healey certified him on that date.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October 14, 2003, Dr. Au interviewed the plaintiff. He noted that the plaintiff continued to have delusional beliefs about a nuclear holocaust, was hostile and angry, and displayed no insight into his condition. He also had difficulty controlling his anger. Dr. Au certified the plaintiff and treated him with anti-anxiety and anti-psychotic medication.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May 19, 2004, the plaintiff was released from custody. Dr. Hunter diagnosed him at this time as having chronic paranoid schizophrenia and a personality disorder together with a differential diagnosis of delusional disorder and psychotic disorder. He was given anti-psychotic medication.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Three months after his release the plaintiff's parole was apparently suspended again. He requested re-admission to the RTC. Dr. Hunter noted the plaintiff was preoccupied with a nuclear holocaust and exhibited symptoms of grandiosity.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August 18, 2004, the plaintiff signed a voluntary Consent to Treatment form.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August 25, 2004, the plaintiff was again interviewed by Dr. Hunter. Dr. Hunter concluded that the plaintiff had schizophrenia rather than a delusional disorder because of the degree of disorganization and deterioration. Dr. Hunter suspected that the plaintiff had not been taking the medication which had been prescribed.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September 29, 2004, another psychiatrist, the defendant Dr. Linda Grasswick, interviewed the plaintiff. Dr. Hunter was away at the time. She found the plaintiff hostile and irritable and concluded he was psychotic with illogical grandiose delusions.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warrant expired on October 9, 2004. He made it clear to Dr. Grasswick that he was not going to take the medication when his warrant expired. Her conclusion was that he had paranoid schizophrenia. Her differential diagnosis was schizo-affective disorder, bipolar type.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Dr. Grasswick certified the plaintiff under the </w:t>
      </w:r>
      <w:r>
        <w:rPr>
          <w:rFonts w:ascii="arial" w:eastAsia="arial" w:hAnsi="arial" w:cs="arial"/>
          <w:i/>
          <w:color w:val="000000"/>
          <w:sz w:val="20"/>
          <w:lang w:val="en-US" w:eastAsia="en-US" w:bidi="ar-SA"/>
        </w:rPr>
        <w:t>Mental Health Act</w:t>
      </w:r>
      <w:r>
        <w:rPr>
          <w:rFonts w:ascii="arial" w:eastAsia="arial" w:hAnsi="arial" w:cs="arial"/>
          <w:color w:val="000000"/>
          <w:sz w:val="20"/>
          <w:lang w:val="en-US" w:eastAsia="en-US" w:bidi="ar-SA"/>
        </w:rPr>
        <w:t>. She placed him on an increased dose of anti-psychotic medication.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She then requested Dr. Postnikoff to examine the plaintiff to determine whether it was his opinion that it was appropriate to fill out a second certificate. This would certify the plaintiff beyond a 48-hour period. Dr. Postnikoff did certify the plaintiff on September 29, 2004. He was of the view that the plaintiff had a disorder of the mind, namely schizophrenia or schizo-affective disorder, that was impairing his ability to react appropriately to his environment and to associate with others.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September 30, 2004, Dr. Postnikoff met with the plaintiff. The plaintiff told him that he was not taking his medication. Dr. Postnikoff felt the plaintiff needed treatment in a designated facility to ensure that he would take the medication and to prevent further deterioration. He had concerns about the plaintiff's safety. He did not think it appropriate that the plaintiff remain as a voluntary patient.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early October 2004, Dr. Hunter contacted various hospitals to try and arrange admission of the plaintiff following his warrant expiry on October 9, 2004. He contacted several facilities but did not have success.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the meantime, the plaintiff applied for a Review Panel. The plaintiff appeared before a Review Panel on October 18, 2004. The Review Panel's determination reads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Mr. Stewart is diagnosed as suffering from schizophrenia. This is his second instance of psychiatric admission at the Regional Treatment Centre since 2003. Prior to that time, there appears to be no history of any diagnosis of psychiatric illness although Mr. Stewart told us he saw a psychologist when he was a child. He denies that he has schizophrenia. Evidence was placed before us that suggested that Mr. Stewart suffers from grandiose delusional thinking. He had visions through dreams of an Armageddon scenario involving Vancouver as well as other similar visions and seems to think that he has a role to play in rescuing society from these disasters. When challenged by the psychiatric staff about them, he has occasionally become hostile and irritable though this appears to have been verbally only. There is no evidence that he has ever physically challenged anyone in the context of his delusional thinking. There is no evidence that he has verbally challenged anyone other than his treating psychiatrists. While in hospital he has been non-compliant with medication for [illegible] and has told the staff that if discharged he will not take his medication.</w:t>
      </w:r>
    </w:p>
    <w:p>
      <w:pPr>
        <w:spacing w:before="120" w:line="260" w:lineRule="atLeast"/>
        <w:ind w:left="720"/>
        <w:rPr>
          <w:lang w:val="en-US" w:eastAsia="en-US" w:bidi="ar-SA"/>
        </w:rPr>
      </w:pPr>
      <w:r>
        <w:rPr>
          <w:rFonts w:ascii="arial" w:eastAsia="arial" w:hAnsi="arial" w:cs="arial"/>
          <w:color w:val="000000"/>
          <w:sz w:val="20"/>
          <w:lang w:val="en-US" w:eastAsia="en-US" w:bidi="ar-SA"/>
        </w:rPr>
        <w:t>Though he appears to have been pre-occupied with pursuing a legal appeal and has spent a great deal of time working on it during his hospitalization and has also incorporated some apparently delusional thinking in his work on the appeal, we are not satisfied that he is currently seriously impaired by his delusional thinking. We are not sure on the evidence before us that he has ever been.</w:t>
      </w:r>
    </w:p>
    <w:p>
      <w:pPr>
        <w:spacing w:before="120" w:line="260" w:lineRule="atLeast"/>
        <w:ind w:left="720"/>
        <w:rPr>
          <w:lang w:val="en-US" w:eastAsia="en-US" w:bidi="ar-SA"/>
        </w:rPr>
      </w:pPr>
      <w:r>
        <w:rPr>
          <w:rFonts w:ascii="arial" w:eastAsia="arial" w:hAnsi="arial" w:cs="arial"/>
          <w:color w:val="000000"/>
          <w:sz w:val="20"/>
          <w:lang w:val="en-US" w:eastAsia="en-US" w:bidi="ar-SA"/>
        </w:rPr>
        <w:t>Dr. Hunter conceded to the Panel that he did not believe Mr. Stewart is now currently seriously impaired by a metal disorder but suggested that if discharged he would likely be immediately non-compliant and would deteriorate imminently and substantially in his medical condition.</w:t>
      </w:r>
    </w:p>
    <w:p>
      <w:pPr>
        <w:spacing w:before="120" w:line="260" w:lineRule="atLeast"/>
        <w:ind w:left="720"/>
        <w:rPr>
          <w:lang w:val="en-US" w:eastAsia="en-US" w:bidi="ar-SA"/>
        </w:rPr>
      </w:pPr>
      <w:r>
        <w:rPr>
          <w:rFonts w:ascii="arial" w:eastAsia="arial" w:hAnsi="arial" w:cs="arial"/>
          <w:color w:val="000000"/>
          <w:sz w:val="20"/>
          <w:lang w:val="en-US" w:eastAsia="en-US" w:bidi="ar-SA"/>
        </w:rPr>
        <w:t>Though we agree that Mr. Stewart will likely become non-compliant on discharge, we do not have before us clear and cogent evidence that any deterioration in his mental condition that might follow would likely be both substantial and imminent.</w:t>
      </w:r>
    </w:p>
    <w:p>
      <w:pPr>
        <w:spacing w:before="120" w:line="260" w:lineRule="atLeast"/>
        <w:ind w:left="720"/>
        <w:rPr>
          <w:lang w:val="en-US" w:eastAsia="en-US" w:bidi="ar-SA"/>
        </w:rPr>
      </w:pPr>
      <w:r>
        <w:rPr>
          <w:rFonts w:ascii="arial" w:eastAsia="arial" w:hAnsi="arial" w:cs="arial"/>
          <w:color w:val="000000"/>
          <w:sz w:val="20"/>
          <w:lang w:val="en-US" w:eastAsia="en-US" w:bidi="ar-SA"/>
        </w:rPr>
        <w:t>We do not feel that the facility has proved to the requisite standard all four criteria to justify continued involuntary detention under the Mental Health Act. In closing, whilst we note Mr. Stewart has a criminal history involving offences of violence, there is no evidence to suggest that mental illness played any part in these.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following day, October 19, 2004, Mr. Stewart was discharged. On the same day, the Vancouver Police Department issued the public warning about the plaintiff noting concern that he would re-offend.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plaintiff's parole officer recommended that the Crown make an application for an order under s. 810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Such an order would set out a number of conditions for the plaintiff to abide by as part of his parole. At the request of Crown counsel, Dr. Hunter testified at the hearing that had no other involvement in the s. 810 proceedings.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Crown was not successful in the s. 810 proceedings.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Honourable Judge Weitzel of the Provincial Court gave judgment on February 10, 2005. Judge Weitzel noted that the Review Panel did not uphold the certification and the plaintiff was released. The plaintiff has obtained employment, obtained a place to live, and has abstained from the use of drugs. Judge Weitzel noted the fact that the warning issued by the Vancouver Police Department came from the Sex Offence Squad, High Risk Offender Unit, brings an inference the plaintiff is a high risk sexual offender that, the learned judge said, may have "fuelled the fire" causing him anger regarding how he was treated in the institution. The judge concluded that the Crown had not shown there were reasonable grounds for the fear that Mr. Stewart would commit a serious personal offence. He therefore dismissed the Crown's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is no evidence that the doctors were involved in the preparation of the public warning or bringing information about the plaintiff to the attention of the Vancouver Police Department.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This is an application for judgment by the defendants under Rule 18A. As such, it is not sufficient for Mr. Stewart simply to raise a triable issue. Rather, the plaintiff in a case like this is required to produce evidence as at any trial: see </w:t>
      </w:r>
      <w:r>
        <w:rPr>
          <w:rFonts w:ascii="arial" w:eastAsia="arial" w:hAnsi="arial" w:cs="arial"/>
          <w:i/>
          <w:color w:val="000000"/>
          <w:sz w:val="20"/>
          <w:lang w:val="en-US" w:eastAsia="en-US" w:bidi="ar-SA"/>
        </w:rPr>
        <w:t>Steeves v. Air Canada</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[1996] B.C.J. No. 2879</w:t>
        </w:r>
      </w:hyperlink>
      <w:r>
        <w:rPr>
          <w:rFonts w:ascii="arial" w:eastAsia="arial" w:hAnsi="arial" w:cs="arial"/>
          <w:color w:val="000000"/>
          <w:sz w:val="20"/>
          <w:lang w:val="en-US" w:eastAsia="en-US" w:bidi="ar-SA"/>
        </w:rPr>
        <w:t xml:space="preserve"> (S.C.). Normally in an action against physicians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malpractice, the plaintiff is required to present evidence from experts in that field to support the allegations.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Here, Dr. Roy O'Shaughnessy, an experienced forensic psychiatrist, has prepared expert opinions which support the care provided by the defendants. He has expressed the view that Dr. Hunter acted within the standard of care in his assessment of the plaintiff and in treating him with anti-psychotic medication. According to Dr. O'Shaughnessy, there is nothing to suggest that Dr. Hunter acted negligently or that his care was inadequate. Dr. O'Shaughnessy notes that the plaintiff appeared to respond positively to the anti-psychotic medication. According to Dr. O'Shaughnessy, in light of the plaintiff's lack of insight into his condition and his refusal to take medication, it was appropriate to treat him in a hospital with anti-psychotic medications.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O'Shaughnessy is supportive of Dr. Postnikoff's care as well. He expressed the opinion that it is within the standard of care of other psychiatrists practicing in this type of setting. Dr. Postnikoff was familiar with the plaintiff's history of mental illness as well as criminal history. His eventual decision to certify the plaintiff was appropriate given the plaintiff's refusal to take medication and his lack of insight into his condition. The conclusion that he posed a significant risk to himself and others was the judgment call which Dr. Postnikoff was entitled to make.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O'Shaughnessy also considered Dr. Grasswick's conduct. His opinion was that it was within the standard of care and that she followed the appropriate certification process.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has submitted three letters from his psychiatrist, Dr. Vaclav Hyrman. The first letter is dated January 19, 2005. In it, Dr. Hyrman says that he was of the view the plaintiff was suffering from anti-social personality. There is no reference to the standard of care of the defendants. A second letter is dated January 19, 2005 and was addressed to Mr. Stewart's legal counsel. It said the plaintiff was not showing signs of psychosis at that time and he felt the plaintiff had a personality disorder with grandiose ideation. Again, there was no reference to the defendant doctors.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 third letter is dated May 1, 2009. Again, Dr. Hyrman opines the plaintiff was suffering from a delusional disorder. There is no reference to the defendant doctors.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These letters from Dr. Hyrman do not assist the plaintiff. There is no comment in the letters on the care that the defendant doctors provided to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conduct of doctors is judged in cases like the present based on the standard of an ordinary, average practitioner in the same field. The burden on the plaintiff is to show that the defendant doctor fell below the standard of care and to provide evidence to support the allegations: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127 D.L.R. (4th) 577</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is not open to me to make findings of a breach of the standard of care except on the basis of expert opinion evidence to support the findings. Here, there is no such evidence. That is to say, the plaintiff has not shown that these physicians failed to meet the standard of care expected of an ordinary and competent psychiatrist in similar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 am satisfied that Dr. Grasswick and Dr. Postnikoff met the requirements of the </w:t>
      </w:r>
      <w:r>
        <w:rPr>
          <w:rFonts w:ascii="arial" w:eastAsia="arial" w:hAnsi="arial" w:cs="arial"/>
          <w:i/>
          <w:color w:val="000000"/>
          <w:sz w:val="20"/>
          <w:lang w:val="en-US" w:eastAsia="en-US" w:bidi="ar-SA"/>
        </w:rPr>
        <w:t>Mental Health Act</w:t>
      </w:r>
      <w:r>
        <w:rPr>
          <w:rFonts w:ascii="arial" w:eastAsia="arial" w:hAnsi="arial" w:cs="arial"/>
          <w:color w:val="000000"/>
          <w:sz w:val="20"/>
          <w:lang w:val="en-US" w:eastAsia="en-US" w:bidi="ar-SA"/>
        </w:rPr>
        <w:t xml:space="preserve"> and the standard of care of a psychiatrist in such a setting when they certified the plaintiff. Dr. Grasswick concluded that the plaintiff had a mental disorder which impaired his ability to react appropriately to his environment and that he required care, supervision and treatment through a designated facility and was not suitable to be admitted as a voluntary patient. She took into account the fact the plaintiff had not been compliant with taking his medication, that he was having grandiose delusions, and that there had been a decline in his mental state and that he lacked insight into his condition.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Dr. Postnikoff did not certify the plaintiff the first time he was invited to do so. It was on Dr. Postnikoff's third involvement on September 29, 2004, that he concluded the plaintiff had a disorder of the mind which required aggressive pharmaco-therapy and that the plaintiff was certifiable. He reviewed the material completed by Dr. Grasswick and discussed the matter with Dr. Healey. He took into account the fact the plaintiff had not been compliant in taking his medication. His mental state had declined. He had no insight into his condition and he was having grandiose delusions. I am satisfied that he had sufficient information in order to make this determination: see </w:t>
      </w:r>
      <w:r>
        <w:rPr>
          <w:rFonts w:ascii="arial" w:eastAsia="arial" w:hAnsi="arial" w:cs="arial"/>
          <w:i/>
          <w:color w:val="000000"/>
          <w:sz w:val="20"/>
          <w:lang w:val="en-US" w:eastAsia="en-US" w:bidi="ar-SA"/>
        </w:rPr>
        <w:t>Mullins v. Levy</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2005 BCSC 1217</w:t>
        </w:r>
      </w:hyperlink>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258 D.L.R. (4th) 460</w:t>
        </w:r>
      </w:hyperlink>
      <w:r>
        <w:rPr>
          <w:rFonts w:ascii="arial" w:eastAsia="arial" w:hAnsi="arial" w:cs="arial"/>
          <w:color w:val="000000"/>
          <w:sz w:val="20"/>
          <w:lang w:val="en-US" w:eastAsia="en-US" w:bidi="ar-SA"/>
        </w:rPr>
        <w:t xml:space="preserve">, reversed in part: </w:t>
      </w:r>
      <w:hyperlink r:id="rId478" w:history="1">
        <w:r>
          <w:rPr>
            <w:rFonts w:ascii="arial" w:eastAsia="arial" w:hAnsi="arial" w:cs="arial"/>
            <w:i/>
            <w:color w:val="0077CC"/>
            <w:sz w:val="20"/>
            <w:u w:val="single"/>
            <w:shd w:val="clear" w:color="auto" w:fill="FFFFFF"/>
            <w:lang w:val="en-US" w:eastAsia="en-US" w:bidi="ar-SA"/>
          </w:rPr>
          <w:t>2009 BCCA 6</w:t>
        </w:r>
      </w:hyperlink>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304 D.L.R. (4th) 64</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accept Dr. O'Shaughnessy's opinion that Dr. Postnikoff met the standard of care in certifying the patient.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has not been established that Dr. Hunter or Dr. Grasswick breached the requisite standard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Finally, there is no evidence that the defendant doctors were responsible for the issuance of the public warning by the Vancouver Police Department or that they relayed any information to the police.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the circumstances, the plaintiff's action insofar as the three defendant doctors are concerned, must be dismissed.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S.F. KELLEHER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58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9"/>
          <w:headerReference w:type="default" r:id="rId480"/>
          <w:footerReference w:type="even" r:id="rId481"/>
          <w:footerReference w:type="default" r:id="rId482"/>
          <w:headerReference w:type="first" r:id="rId483"/>
          <w:footerReference w:type="first" r:id="rId48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5" w:history="1">
        <w:r>
          <w:rPr>
            <w:rFonts w:ascii="arial" w:eastAsia="arial" w:hAnsi="arial" w:cs="arial"/>
            <w:b/>
            <w:bCs/>
            <w:i/>
            <w:color w:val="0077CC"/>
            <w:kern w:val="32"/>
            <w:sz w:val="28"/>
            <w:szCs w:val="32"/>
            <w:u w:val="single"/>
            <w:shd w:val="clear" w:color="auto" w:fill="FFFFFF"/>
            <w:lang w:val="en-US" w:eastAsia="en-US" w:bidi="ar-SA"/>
          </w:rPr>
          <w:t>Stuart v. Hugh, [2011] B.C.J. No. 627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F.E. Verhoeven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14-18 and 22-23,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February 24,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S86763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627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426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 A.C.W.S. (3d) 904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807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Duncan George Stuart, Plaintiff, and Richard Hugh and The Board of School Trustees of School District No. 36,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(59 paras.)</w:t>
      </w:r>
    </w:p>
    <w:p>
      <w:pPr>
        <w:jc w:val="both"/>
        <w:rPr>
          <w:rFonts w:ascii="arial" w:eastAsia="arial" w:hAnsi="arial" w:cs="arial"/>
          <w:sz w:val="20"/>
          <w:lang w:val="en-US" w:eastAsia="en-US" w:bidi="ar-SA"/>
        </w:rPr>
      </w:pPr>
      <w:bookmarkStart w:id="103" w:name="Counsel_20"/>
      <w:bookmarkEnd w:id="10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4"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Sutherland.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 Baynham,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4" w:name="Judgment_20"/>
      <w:bookmarkEnd w:id="104"/>
      <w:r>
        <w:pict>
          <v:line id="_x0000_s1105" style="position:absolute;z-index:2517237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5" w:name="F.E. VERHOEVEN J. (orally)"/>
            <w:bookmarkEnd w:id="105"/>
            <w:r>
              <w:rPr>
                <w:rFonts w:ascii="arial" w:eastAsia="arial" w:hAnsi="arial" w:cs="arial"/>
                <w:b/>
                <w:color w:val="000000"/>
                <w:sz w:val="30"/>
                <w:lang w:val="en-US" w:eastAsia="en-US" w:bidi="ar-SA"/>
              </w:rPr>
              <w:t>F.E. VERHOEVEN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are my reasons with respect to two rulings that I heard during the course of the trial and upon which I reserved judgment. I will first deal with the defendants' application regarding the remoteness of damage claimed, and I will then turn to the defendants' application regarding the issue of probability of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Remoteness of Damage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sues in this action for damages for slander. The trial was heard with a jury. The trial ended yesterday with a verdict in favour of the defendants. During the course of the trial the defendants brought an application to limit the damage claims the jury would be called upon to decide. The defendants argued that the plaintiff's claims for damages arising out of an altercation with a police officer is too remote, as a question of law, to be left with the jury to decide, as a question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received written argument from the parties. I decided to leave the question for the jury to decide as a question of fact and to reserve the decision with respect to the question of law. Both parties were at liberty to apply to make further submissions. The decision of the jury has resulted in the dismissal of the case. Both parties have indicated that they do not wish to make further submissions on the application. I have decided to render the decision notwithstanding that the result is apparently moot, only against the possibility of an appeal of the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Mr. Stuart, was an English teacher at Princess Margaret Secondary School in Surrey, British Columbia. In January 2002 he went on a medical disability as a result of a mental illness, diagnosed as a bipolar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Stuart was having some difficulties coping in the spring of 2002 as a result of the mental illness. On June 17, 2002 he attended the school near to the time of the final bell. He acknowledges that he created a disturbance at the school. He was charged with creating a disturbance and pleaded guilty. During the course of Mr. Stuart's attendance at the school, and as a result of the disturbance that he was causing, the Surrey RCMP were called. An RCMP officer, Constable Singh, spoke to the defendant, Richard Hugh, upon Constable Singh's arrival at the school. Richard Hugh was a Vice-Principal of the school at the time. Mr. Hugh asked Constable Singh to remove Mr. Stuart from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Shortly after speaking with Mr. Hugh, Constable Singh approached Mr. Stuart. Mr. Stuart was agitated, aggressive, and uncooperative with Constable Singh. Constable Singh attempted to handcuff Mr. Stuart with the intention of removing him from the school premises. There was an altercation between them. There was a physical fight. Constable Singh suffered a concussion for which he was subsequently treated. During the course of the altercation Constable Singh deployed his conducted energy weapon (Taser) once or twice upon Mr. Stuart. Other officers arrived as back-up for Constable Singh. Mr. Stuart was arrested and held overnight in custody before being released.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alleges that in the conversation between Mr. Hugh and Constable Singh, upon Constable Singh's arrival at the school, Mr. Hugh made slanderous comments about Mr. Stuart which caused Constable Singh to seek to apply force to Mr. Stuart in order to remove him from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argues that Constable Singh's notebook entry concerning his conversation with Mr. Hugh upon arrival reflects accurately what Mr. Hugh stated to Constable Singh. The notebook entry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15:03 [i.e. 3:03 p.m.] MBR [Member] 1023 at PMS [Princess Margaret Secondary] -- spoke with vice principal - he advises that ex-teacher-has been suspended due to misconduct with student - has been at school and he is not suppose to be on premises - he has something in his hand and u/k [unknown] what it is - wants him off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alleges that the words underlined in the extract from the notebook exhibited as Appendix A to the statement of claim, which are, "Spoke with Vice-Principal - he advises that ex-teacher - has been suspended due to misconduct with student - has been at school and he is not suppose to be on premises," were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does not allege that Mr. Hugh was not entitled to say to the officer that he wanted Mr. Stuart "off the premises" as a Vice-Principal and in the circumstances then pertaining. Mr. Stuart does not say that the words "wants him off the premises" were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alleges that as a form of special damage the defamatory words spoken led to Constable Singh's forcible restraint of the plaintiff and the plaintiff's bodily injury that resulted. The plaintiff pleads the special damage in this way in paragraph 7 of the statement of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statements of the defendant, Hugh, the plaintiff was forcibly restrained by Constable Singh and suffered serious bodily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During the course of the pre-charge conference, after the close of evidence, the questions to be put to the jury were refined and narrowed so as to make it clear that the issue for the jury would be to decide whether, as a matter of causation on a "but for" test, the defamatory nature of the words spoken caused Constable Singh to use force to restrain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questions left for the jury were as follows:</w:t>
      </w:r>
      <w:r>
        <w:rPr>
          <w:rFonts w:ascii="arial" w:eastAsia="arial" w:hAnsi="arial" w:cs="arial"/>
          <w:sz w:val="20"/>
          <w:lang w:val="en-US" w:eastAsia="en-US" w:bidi="ar-SA"/>
        </w:rPr>
        <w:cr/>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Richard Hugh say the following words to Constable Singh:</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Ex-teacher has been suspended due to misconduct with student - has been at school and he is not suppose to be on premises.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question 1 is yes, would the words be understood in a defamatory sense by persons of ordinary reason in the position of Constable Singh?</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answers to question 1 and question 2 are yes, did Richard Hugh speak the words with malice?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answers to questions 1, 2, and 3 are yes, did the defamatory nature of the words cause Constable Singh to use force to restrain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Thus in order to reach the fourth question, the jury was required first to decide whether the words as pleaded were spoken, whether they were defamatory and whether they were spoken maliciously. Only then would the jury decide whether "the </w:t>
      </w:r>
      <w:r>
        <w:rPr>
          <w:rFonts w:ascii="arial" w:eastAsia="arial" w:hAnsi="arial" w:cs="arial"/>
          <w:color w:val="000000"/>
          <w:sz w:val="20"/>
          <w:u w:val="single"/>
          <w:lang w:val="en-US" w:eastAsia="en-US" w:bidi="ar-SA"/>
        </w:rPr>
        <w:t>defamatory nature</w:t>
      </w:r>
      <w:r>
        <w:rPr>
          <w:rFonts w:ascii="arial" w:eastAsia="arial" w:hAnsi="arial" w:cs="arial"/>
          <w:color w:val="000000"/>
          <w:sz w:val="20"/>
          <w:lang w:val="en-US" w:eastAsia="en-US" w:bidi="ar-SA"/>
        </w:rPr>
        <w:t xml:space="preserve"> of the words caused Constable Singh to use force to restrain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trial, Constable Singh was unable to say that his notes were a verbatim record of what was said to him. He had received information from several sources. He had little actual recollection remaining as to what he had been told on the day in question, nearly nine years ago. The jury answered "no" to the first question. Thus, they decided that the plaintiff failed to prove on a balance of probabilities that the defendant, Richard Hugh, said the words alleged to Constable Singh. As a result, the jury did not need to decide whether the plaintiff had suffered the special damage claimed.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defendants argue that the question of whether damages claimed are properly connected to the alleged defamation is a question of law. For that proposition they rely on </w:t>
      </w:r>
      <w:r>
        <w:rPr>
          <w:rFonts w:ascii="arial" w:eastAsia="arial" w:hAnsi="arial" w:cs="arial"/>
          <w:i/>
          <w:color w:val="000000"/>
          <w:sz w:val="20"/>
          <w:lang w:val="en-US" w:eastAsia="en-US" w:bidi="ar-SA"/>
        </w:rPr>
        <w:t>Gatley on Libel and Slander</w:t>
      </w:r>
      <w:r>
        <w:rPr>
          <w:rFonts w:ascii="arial" w:eastAsia="arial" w:hAnsi="arial" w:cs="arial"/>
          <w:color w:val="000000"/>
          <w:sz w:val="20"/>
          <w:lang w:val="en-US" w:eastAsia="en-US" w:bidi="ar-SA"/>
        </w:rPr>
        <w:t>, 8th Edition (1981; Sweet and Maxwell) at 215: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 question of law for the judge whether any damage proved constitutes special damage, and if it does, whether such special damage was the natural and probable result of the words complained of, or is too remote.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11th Edition of </w:t>
      </w:r>
      <w:r>
        <w:rPr>
          <w:rFonts w:ascii="arial" w:eastAsia="arial" w:hAnsi="arial" w:cs="arial"/>
          <w:i/>
          <w:color w:val="000000"/>
          <w:sz w:val="20"/>
          <w:lang w:val="en-US" w:eastAsia="en-US" w:bidi="ar-SA"/>
        </w:rPr>
        <w:t>Gatley on Libel and Slander</w:t>
      </w:r>
      <w:r>
        <w:rPr>
          <w:rFonts w:ascii="arial" w:eastAsia="arial" w:hAnsi="arial" w:cs="arial"/>
          <w:color w:val="000000"/>
          <w:sz w:val="20"/>
          <w:lang w:val="en-US" w:eastAsia="en-US" w:bidi="ar-SA"/>
        </w:rPr>
        <w:t>, 2008, is substantially to the same effect. The relevant commentary is at Section 36.10 at page 1248 and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special damage has to be proved it is a question of law for the judge whether any damage proved constitutes special damage, and if it does, whether such special damage was the natural and probable result of the words complained of or is too remote. It is a question of fact for the jury what (if any) damage has been proved, and also, whether such damage did or did not result from the publication of the words complained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defendants also relied upon the decision in </w:t>
      </w:r>
      <w:r>
        <w:rPr>
          <w:rFonts w:ascii="arial" w:eastAsia="arial" w:hAnsi="arial" w:cs="arial"/>
          <w:i/>
          <w:color w:val="000000"/>
          <w:sz w:val="20"/>
          <w:lang w:val="en-US" w:eastAsia="en-US" w:bidi="ar-SA"/>
        </w:rPr>
        <w:t>Merkoff v. Pawluk</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[1931] 1 W.W.R. 669</w:t>
        </w:r>
      </w:hyperlink>
      <w:r>
        <w:rPr>
          <w:rFonts w:ascii="arial" w:eastAsia="arial" w:hAnsi="arial" w:cs="arial"/>
          <w:color w:val="000000"/>
          <w:sz w:val="20"/>
          <w:lang w:val="en-US" w:eastAsia="en-US" w:bidi="ar-SA"/>
        </w:rPr>
        <w:t xml:space="preserve"> (Alberta Supreme Court) in relation to the question of remoteness in an action for slander. There the court applied the test of whether the special damage was the "natural and probable result of the publication of the words complained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their written application the defendants submitted that they expected the evidence to show that the altercation between Mr. Stuart and Constable Singh was neither connected to the words spoken by Richard Hugh, nor to the words alleged to have been spoken to him, and that the altercation resulted from Mr. Stuart's aggressive, erratic and non-compliant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plaintiff agreed that the issue of remoteness of damage is a question of law for the trial judge, but argued that the test for remoteness as reflected in the commentary in </w:t>
      </w:r>
      <w:r>
        <w:rPr>
          <w:rFonts w:ascii="arial" w:eastAsia="arial" w:hAnsi="arial" w:cs="arial"/>
          <w:i/>
          <w:color w:val="000000"/>
          <w:sz w:val="20"/>
          <w:lang w:val="en-US" w:eastAsia="en-US" w:bidi="ar-SA"/>
        </w:rPr>
        <w:t>Gatley</w:t>
      </w:r>
      <w:r>
        <w:rPr>
          <w:rFonts w:ascii="arial" w:eastAsia="arial" w:hAnsi="arial" w:cs="arial"/>
          <w:color w:val="000000"/>
          <w:sz w:val="20"/>
          <w:lang w:val="en-US" w:eastAsia="en-US" w:bidi="ar-SA"/>
        </w:rPr>
        <w:t xml:space="preserve"> and in the authorities relied upon by the defendants is not the appropriate legal test for remoteness. The plaintiff argued that the test for remoteness, as a matter of law, has evolved. The plaintiff cites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That was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There, McLachlin CJC for the court, observed as follows at paragraph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remoteness inquiry asks whether "the harm [is] too unrelated to the wrongful conduct to hold the defendant fairly liable" (</w:t>
      </w:r>
      <w:r>
        <w:rPr>
          <w:rFonts w:ascii="arial" w:eastAsia="arial" w:hAnsi="arial" w:cs="arial"/>
          <w:i/>
          <w:color w:val="000000"/>
          <w:sz w:val="20"/>
          <w:lang w:val="en-US" w:eastAsia="en-US" w:bidi="ar-SA"/>
        </w:rPr>
        <w:t>Linden and Feldthusen</w:t>
      </w:r>
      <w:r>
        <w:rPr>
          <w:rFonts w:ascii="arial" w:eastAsia="arial" w:hAnsi="arial" w:cs="arial"/>
          <w:color w:val="000000"/>
          <w:sz w:val="20"/>
          <w:lang w:val="en-US" w:eastAsia="en-US" w:bidi="ar-SA"/>
        </w:rPr>
        <w:t xml:space="preserve">, at p. 360). Since </w:t>
      </w:r>
      <w:r>
        <w:rPr>
          <w:rFonts w:ascii="arial" w:eastAsia="arial" w:hAnsi="arial" w:cs="arial"/>
          <w:i/>
          <w:color w:val="000000"/>
          <w:sz w:val="20"/>
          <w:lang w:val="en-US" w:eastAsia="en-US" w:bidi="ar-SA"/>
        </w:rPr>
        <w:t>The Wagon Mound (No. 1)</w:t>
      </w:r>
      <w:r>
        <w:rPr>
          <w:rFonts w:ascii="arial" w:eastAsia="arial" w:hAnsi="arial" w:cs="arial"/>
          <w:color w:val="000000"/>
          <w:sz w:val="20"/>
          <w:lang w:val="en-US" w:eastAsia="en-US" w:bidi="ar-SA"/>
        </w:rPr>
        <w:t>, the principle has been that "it is the foresight of the reasonable man which alone can determine responsibility" (</w:t>
      </w:r>
      <w:r>
        <w:rPr>
          <w:rFonts w:ascii="arial" w:eastAsia="arial" w:hAnsi="arial" w:cs="arial"/>
          <w:i/>
          <w:color w:val="000000"/>
          <w:sz w:val="20"/>
          <w:lang w:val="en-US" w:eastAsia="en-US" w:bidi="ar-SA"/>
        </w:rPr>
        <w:t>Overseas Tankship (U.K.) Ltd. v. Morts Dock &amp; Engineering Co.</w:t>
      </w:r>
      <w:r>
        <w:rPr>
          <w:rFonts w:ascii="arial" w:eastAsia="arial" w:hAnsi="arial" w:cs="arial"/>
          <w:color w:val="000000"/>
          <w:sz w:val="20"/>
          <w:lang w:val="en-US" w:eastAsia="en-US" w:bidi="ar-SA"/>
        </w:rPr>
        <w:t>, [1961] A.C. 388 (P.C.), at p. 424).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McLachlin CJC further comments at paragraph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The degree of probability that would satisfy the reasonable foreseeability requirement was described in </w:t>
      </w:r>
      <w:r>
        <w:rPr>
          <w:rFonts w:ascii="arial" w:eastAsia="arial" w:hAnsi="arial" w:cs="arial"/>
          <w:i/>
          <w:color w:val="000000"/>
          <w:sz w:val="20"/>
          <w:lang w:val="en-US" w:eastAsia="en-US" w:bidi="ar-SA"/>
        </w:rPr>
        <w:t>The Wagon Mound (No. 2</w:t>
      </w:r>
      <w:r>
        <w:rPr>
          <w:rFonts w:ascii="arial" w:eastAsia="arial" w:hAnsi="arial" w:cs="arial"/>
          <w:color w:val="000000"/>
          <w:sz w:val="20"/>
          <w:lang w:val="en-US" w:eastAsia="en-US" w:bidi="ar-SA"/>
        </w:rPr>
        <w:t>) as a "real risk", i.e. "one which would occur to the mind of a reasonable man in the position of the defendan[t] . . . and which he would not brush aside as far-fetched." (</w:t>
      </w:r>
      <w:r>
        <w:rPr>
          <w:rFonts w:ascii="arial" w:eastAsia="arial" w:hAnsi="arial" w:cs="arial"/>
          <w:i/>
          <w:color w:val="000000"/>
          <w:sz w:val="20"/>
          <w:lang w:val="en-US" w:eastAsia="en-US" w:bidi="ar-SA"/>
        </w:rPr>
        <w:t>Overseas Tankship (U.K.) [page 121] Ltd. v. Miller Steamship Co. Pty.,</w:t>
      </w:r>
      <w:r>
        <w:rPr>
          <w:rFonts w:ascii="arial" w:eastAsia="arial" w:hAnsi="arial" w:cs="arial"/>
          <w:color w:val="000000"/>
          <w:sz w:val="20"/>
          <w:lang w:val="en-US" w:eastAsia="en-US" w:bidi="ar-SA"/>
        </w:rPr>
        <w:t xml:space="preserve"> [1967] A.C. 617 (P.C.), at pl. 643).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On this basis the plaintiff argues that the appropriate test is not a "natural and probable result" as set out in </w:t>
      </w:r>
      <w:r>
        <w:rPr>
          <w:rFonts w:ascii="arial" w:eastAsia="arial" w:hAnsi="arial" w:cs="arial"/>
          <w:i/>
          <w:color w:val="000000"/>
          <w:sz w:val="20"/>
          <w:lang w:val="en-US" w:eastAsia="en-US" w:bidi="ar-SA"/>
        </w:rPr>
        <w:t>Gatley</w:t>
      </w:r>
      <w:r>
        <w:rPr>
          <w:rFonts w:ascii="arial" w:eastAsia="arial" w:hAnsi="arial" w:cs="arial"/>
          <w:color w:val="000000"/>
          <w:sz w:val="20"/>
          <w:lang w:val="en-US" w:eastAsia="en-US" w:bidi="ar-SA"/>
        </w:rPr>
        <w:t>. The appropriate test is "real risk," or "one which would occur to the mind of a reasonable man in the position of the defendant and which he would not brush aside as far-fetched."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my view, the test of "natural and probable result" as a legal test for remoteness of damage sets the bar too high. That test is very similar to the test for factual causation, which is for the jury. I adopt the test set out in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arising from </w:t>
      </w:r>
      <w:r>
        <w:rPr>
          <w:rFonts w:ascii="arial" w:eastAsia="arial" w:hAnsi="arial" w:cs="arial"/>
          <w:i/>
          <w:color w:val="000000"/>
          <w:sz w:val="20"/>
          <w:lang w:val="en-US" w:eastAsia="en-US" w:bidi="ar-SA"/>
        </w:rPr>
        <w:t>The Wagon Mound (No. 2)</w:t>
      </w:r>
      <w:r>
        <w:rPr>
          <w:rFonts w:ascii="arial" w:eastAsia="arial" w:hAnsi="arial" w:cs="arial"/>
          <w:color w:val="000000"/>
          <w:sz w:val="20"/>
          <w:lang w:val="en-US" w:eastAsia="en-US" w:bidi="ar-SA"/>
        </w:rPr>
        <w:t>. The degree of reasonable foreseeability required in order to satisfy the test for remoteness is that of "real risk" or, in other words, "one which would occur to the mind of a reasonable man in the position of the defendant and which he would not brush aside as farfetched."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his argument to the jury, counsel for the plaintiff, Mr. Sutherland, argued that the meaning of the words pleaded in and of themselves, and in the context, would reasonably be understood to mean:</w:t>
      </w:r>
      <w:r>
        <w:rPr>
          <w:rFonts w:ascii="arial" w:eastAsia="arial" w:hAnsi="arial" w:cs="arial"/>
          <w:sz w:val="20"/>
          <w:lang w:val="en-US" w:eastAsia="en-US" w:bidi="ar-SA"/>
        </w:rPr>
        <w:cr/>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was some rule, or peace bond, or court order that Duncan Stuart was not allowed on the school property;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Duncan Stuart had been asked to leave the school premises, but refused, in breach of the rule, or peace bond, or court order, as the case may be, and in breach of the valid demand of the school's administration;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Duncan Stuart was suspended as a teacher due to misconduct with a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would have been for the jury to determine whether the words themselves, or as they may be reasonably understood, would carry such meanings.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jury were instructed that the finding of causation was required to be made by them on a "but for" basis. The jury was charged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[100] If the first three questions on the </w:t>
      </w:r>
      <w:r>
        <w:rPr>
          <w:rFonts w:ascii="arial" w:eastAsia="arial" w:hAnsi="arial" w:cs="arial"/>
          <w:i/>
          <w:color w:val="000000"/>
          <w:sz w:val="20"/>
          <w:lang w:val="en-US" w:eastAsia="en-US" w:bidi="ar-SA"/>
        </w:rPr>
        <w:t>Questions For The Jury</w:t>
      </w:r>
      <w:r>
        <w:rPr>
          <w:rFonts w:ascii="arial" w:eastAsia="arial" w:hAnsi="arial" w:cs="arial"/>
          <w:color w:val="000000"/>
          <w:sz w:val="20"/>
          <w:lang w:val="en-US" w:eastAsia="en-US" w:bidi="ar-SA"/>
        </w:rPr>
        <w:t xml:space="preserve"> sheet are all decided in favour of the plaintiff, then the fourth question you are asked to decide is whether the </w:t>
      </w:r>
      <w:r>
        <w:rPr>
          <w:rFonts w:ascii="arial" w:eastAsia="arial" w:hAnsi="arial" w:cs="arial"/>
          <w:i/>
          <w:color w:val="000000"/>
          <w:sz w:val="20"/>
          <w:lang w:val="en-US" w:eastAsia="en-US" w:bidi="ar-SA"/>
        </w:rPr>
        <w:t>defamatory nature</w:t>
      </w:r>
      <w:r>
        <w:rPr>
          <w:rFonts w:ascii="arial" w:eastAsia="arial" w:hAnsi="arial" w:cs="arial"/>
          <w:color w:val="000000"/>
          <w:sz w:val="20"/>
          <w:lang w:val="en-US" w:eastAsia="en-US" w:bidi="ar-SA"/>
        </w:rPr>
        <w:t xml:space="preserve"> of the words spoken by the defendant caused Constable Singh to use force to restrain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[101] What is alleged by the plaintiff is that it was the defamatory nature of the words spoken to Constable Singh that caused Constable Singh to use force to restrain Mr. Stuart. It is alleged that if Mr. Hugh had not defamed Mr. Stuart by making the statement that Mr. Stuart alleges that he made, Constable Singh would not have used force to restrain him. Once again, this must be proven by the plaintiff on a balance of probabilities. Is it more probable than not, that if Mr. Hugh had not spoken the defamatory words to Constable Singh, Constable Singh would not have applied force to restrain Mr. Stuart?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[102] It is not sufficient for the plaintiff to prove only that Mr. Hugh speaking with Constable Singh caused the use of force by Constable Singh. In order to decide the question in favour of the plaintiff, you must be satisfied on a balance of probabilities that but for the defamatory nature of the statement, Constable Singh would not have applied force to restrain Mr. Stuart.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[103] You should decide this question on all of the evidence and in all of the circumstances of the case. Here are some things you should probably consider in deciding this question:</w:t>
      </w:r>
    </w:p>
    <w:p>
      <w:pPr>
        <w:numPr>
          <w:numId w:val="6"/>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led to the use of force by Constable Singh?</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Constable Singh have acted any differently had Mr. Hugh not spoken the defamatory words, but had spoken only truthful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Thus, the factual causation issue was to be left with the jury. The legal remoteness issue remained with me as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Gatley</w:t>
      </w:r>
      <w:r>
        <w:rPr>
          <w:rFonts w:ascii="arial" w:eastAsia="arial" w:hAnsi="arial" w:cs="arial"/>
          <w:color w:val="000000"/>
          <w:sz w:val="20"/>
          <w:lang w:val="en-US" w:eastAsia="en-US" w:bidi="ar-SA"/>
        </w:rPr>
        <w:t xml:space="preserve"> cites the decision of the English Court of Appeal in </w:t>
      </w:r>
      <w:r>
        <w:rPr>
          <w:rFonts w:ascii="arial" w:eastAsia="arial" w:hAnsi="arial" w:cs="arial"/>
          <w:i/>
          <w:color w:val="000000"/>
          <w:sz w:val="20"/>
          <w:lang w:val="en-US" w:eastAsia="en-US" w:bidi="ar-SA"/>
        </w:rPr>
        <w:t>Speake v. Hughes,</w:t>
      </w:r>
      <w:r>
        <w:rPr>
          <w:rFonts w:ascii="arial" w:eastAsia="arial" w:hAnsi="arial" w:cs="arial"/>
          <w:color w:val="000000"/>
          <w:sz w:val="20"/>
          <w:lang w:val="en-US" w:eastAsia="en-US" w:bidi="ar-SA"/>
        </w:rPr>
        <w:t xml:space="preserve"> [1904] 1 K.B. 138. The defendant was a landlord who slandered the plaintiff to his employer by stating that the plaintiff had skipped out of the premises and defaulted on payment of rent. As a consequence of the slander, the plaintiff was fired by his employer. The words spoken were taken to mean that the plaintiff had fraudulently and clandestinely departed from the landlord's premises with intent to evade payment of the rent, and had evaded payment of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Court of Appeal affirmed the decision of first instance to dismiss the case on a non-suit. Master of the Rolls Collins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might, I think, fairly be taken to have contemplated that as a result of those words the plaintiff's employers would exercise some pressure upon him to pay the rent owing to the defendant. But that, instead of doing that, the plaintiff's employers should, on the words being repeated to them, thereupon proceed to dismiss him, does not appear to me in point of law to be a natural consequence of the words spoken or the one which the defendant can reasonably be taken to have contemplated when he spoke them. That being so, I think the chain of causality between the words spoken and the alleged damage breaks down and is therefore no special damage upon which the plaintiff can rely in order to establish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nature of the slander was such that proof of special damage was required in order to be actionable.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Lord Justice Matthew agreed, adding,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cannot, I think, be contended that the words alleged to have been spoken in this case can be actionable per se: and the special damage alleged is not such as, in my opinion, can be regarded as a natural consequence of the words spoken. The defendant might reasonably be supposed to have contemplated, when he spoke the words, that the plaintiff's employers would remonstrate him on the subject, but not that they would dismiss him from their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general terms, it is not inconceivable that a peace officer, attending a scene in response to a 911 emergency call concerning the conduct of an individual at the scene, who is materially misinformed about the individual to whom the call relates, could respond differently than he would otherwise, based upon the information received. It is not far-fetched to suggest that Police Officer could potentially approach the individual in question more aggressively, forcefully, and with less deference than he might otherwise. Whether the probability of resulting aggression is too far-fetched or unlikely to occur to the mind of a reasonable person must depend upon the circumstances and the evidence 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Here, Constable Singh responded to a 911 call. Prior to his arrival, he had received some information from dispatch via radio transmission. He learned that the teacher in question was not supposed to be at the school. He learned that there was also a driving complaint associated with the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portion of the notes of Constable Singh just prior to the portion that I have already referred to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MBR [member] dispatched to a report of male - disgruntled teacher who was refusing to leave PMS High School - has something in his hand - unknown what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my view, the evidence supports that Constable Singh received the information in this entry prior to the conversation with Mr. Hugh. Therefore Constable Singh already had been told that Mr. Stuart was "disgruntled" and "refusing to leave" and "had something in his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After speaking with Mr. Hugh, Constable Singh approached the plaintiff, Mr. Stuart. As I have noted, the altercation ensued upon Constable Singh's efforts to handcuff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From the perspective of Constable Singh, the significant portion of the discussion with the Vice-Principal, Richard Hugh, upon arrival was, in terms of what happened afterwards, "wants him off the premises." The plaintiff does not allege that those words, or that request from Mr. Hugh, were defamatory. The plaintiff acknowledges that he was causing a disturbance at the school, and that the school administration and others had every right to call for police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When Mr. Hugh, as Vice-Principal, told Constable Singh that he wanted the plaintiff "off the premises", it would have been reasonable for Mr. Hugh to conclude that some degree of force might be required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However the question is whether a reasonable person in the shoes of the defendant ought to realize that the further allegedly defamatory words "ex-teacher - had been suspended due to misconduct with student - has been at school and is not suppose to be on the premises" could even conceivably result in the use of force by Constable Singh to restrain the plaintiff, when that would not otherwise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There was no testimony from Constable Singh that these additional words made any difference whatsoever to what ensued, and in particular, to his decision, ultimately, to attempt to apply force to Mr. Stuart by attempting to handcuff him. It is in my view far-fetched and unreasonable to suggest that the additional defamatory words would make any material difference to Constable Singh's decision-making, his conduct, or the events that ensued. It would have been unreasonable for the defendant to so consider. It is not at all reasonably foreseeable that the allegedly defamatory words could make such a difference that violence might ensue, where it otherwise would not have,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conclude, therefore, that the claim for damages in respect of the use of force by Constable Singh is too remote as a matter of law, and ought not to have been left with the jury for decision. As I have indicated, the jury did not find it necessary to decide the issue,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Probability of Malice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have set out the nature of the case and background facts in the ruling just given regarding remoteness of damage. Therefore I need not repeat myself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Following the close of evidence and before the charge to the jury, the defendants applied for rulings that the slanderous words pleaded were spoken on an occasion of qualified privilege, and that there was insufficient evidence to demonstrate a probability of malice which would overcome the qualified privilege; therefore, there was no case to go to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an oral ruling delivered February 18, 2011, I decided that the occasion on which the words were spoken was one of qualified privilege. However I reserved my decision on the question of probability of malice. In the result, I allowed the malice issue to go to the jury for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I explained in my ruling just given, the jury decided that the plaintiff failed to prove that the words alleged were spoken. Accordingly, they were not required to decide the malice issue. Therefore, this ruling is apparently moot. Once again, I render it only against the possibility of an appeal.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defendants argue that before the case goes to the jury, the trial judge must decide whether the plaintiff has adduced sufficient evidence to raise a probability of malice. They argue that the plaintiff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defendants rely upon the following commentary from the text </w:t>
      </w:r>
      <w:r>
        <w:rPr>
          <w:rFonts w:ascii="arial" w:eastAsia="arial" w:hAnsi="arial" w:cs="arial"/>
          <w:i/>
          <w:color w:val="000000"/>
          <w:sz w:val="20"/>
          <w:lang w:val="en-US" w:eastAsia="en-US" w:bidi="ar-SA"/>
        </w:rPr>
        <w:t>Canadian Libel and Slander Actions</w:t>
      </w:r>
      <w:r>
        <w:rPr>
          <w:rFonts w:ascii="arial" w:eastAsia="arial" w:hAnsi="arial" w:cs="arial"/>
          <w:color w:val="000000"/>
          <w:sz w:val="20"/>
          <w:lang w:val="en-US" w:eastAsia="en-US" w:bidi="ar-SA"/>
        </w:rPr>
        <w:t>, (2004, Irwin Law), by McConchie and Potts, at page 831: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exercising the function of the gatekeeper, the question for the judge is whether there is sufficient evidence to raise the probability of malice. Where express malice is in issue the trial judge is required to undertake an advanced screening of the weight of the evidence and to determine whether there is sufficient evidence to raise the probability of malice before the case is submitted to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defendants also cite </w:t>
      </w:r>
      <w:r>
        <w:rPr>
          <w:rFonts w:ascii="arial" w:eastAsia="arial" w:hAnsi="arial" w:cs="arial"/>
          <w:i/>
          <w:color w:val="000000"/>
          <w:sz w:val="20"/>
          <w:lang w:val="en-US" w:eastAsia="en-US" w:bidi="ar-SA"/>
        </w:rPr>
        <w:t>Gatley on Libel and Slander</w:t>
      </w:r>
      <w:r>
        <w:rPr>
          <w:rFonts w:ascii="arial" w:eastAsia="arial" w:hAnsi="arial" w:cs="arial"/>
          <w:color w:val="000000"/>
          <w:sz w:val="20"/>
          <w:lang w:val="en-US" w:eastAsia="en-US" w:bidi="ar-SA"/>
        </w:rPr>
        <w:t>, 8th ed. (1981: Sweet and Maxwell) at para. 1502, to a somewhat similar effect: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there is no evidence, or not more than a scintilla of evidence of malice, or if the evidence adduced is equally consistent with either its existence of non-existence, the judge must not allow the case to go to the jury, and if he does so and the jury find a verdict for the plaintiff, the Court of Appeal will set aside the verdict and order judgment be entered for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the quote from </w:t>
      </w:r>
      <w:r>
        <w:rPr>
          <w:rFonts w:ascii="arial" w:eastAsia="arial" w:hAnsi="arial" w:cs="arial"/>
          <w:i/>
          <w:color w:val="000000"/>
          <w:sz w:val="20"/>
          <w:lang w:val="en-US" w:eastAsia="en-US" w:bidi="ar-SA"/>
        </w:rPr>
        <w:t>Gatley</w:t>
      </w:r>
      <w:r>
        <w:rPr>
          <w:rFonts w:ascii="arial" w:eastAsia="arial" w:hAnsi="arial" w:cs="arial"/>
          <w:color w:val="000000"/>
          <w:sz w:val="20"/>
          <w:lang w:val="en-US" w:eastAsia="en-US" w:bidi="ar-SA"/>
        </w:rPr>
        <w:t xml:space="preserve"> there is some ambiguity as to whether the test is "not more than a </w:t>
      </w:r>
      <w:r>
        <w:rPr>
          <w:rFonts w:ascii="arial" w:eastAsia="arial" w:hAnsi="arial" w:cs="arial"/>
          <w:i/>
          <w:color w:val="000000"/>
          <w:sz w:val="20"/>
          <w:lang w:val="en-US" w:eastAsia="en-US" w:bidi="ar-SA"/>
        </w:rPr>
        <w:t>scintilla</w:t>
      </w:r>
      <w:r>
        <w:rPr>
          <w:rFonts w:ascii="arial" w:eastAsia="arial" w:hAnsi="arial" w:cs="arial"/>
          <w:color w:val="000000"/>
          <w:sz w:val="20"/>
          <w:lang w:val="en-US" w:eastAsia="en-US" w:bidi="ar-SA"/>
        </w:rPr>
        <w:t xml:space="preserve"> of evidence", or alternatively, whether the test is "evidence adduced is equally consistent with either its existence or non-existence." These tests are obviously quite different from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However, the question is definitively resolved by the decision of the Supreme Court of Canada in </w:t>
      </w:r>
      <w:r>
        <w:rPr>
          <w:rFonts w:ascii="arial" w:eastAsia="arial" w:hAnsi="arial" w:cs="arial"/>
          <w:i/>
          <w:color w:val="000000"/>
          <w:sz w:val="20"/>
          <w:lang w:val="en-US" w:eastAsia="en-US" w:bidi="ar-SA"/>
        </w:rPr>
        <w:t>Davies &amp; Davies Ltd. v. Kott</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[1979] 2 S.C.R. 686</w:t>
        </w:r>
      </w:hyperlink>
      <w:r>
        <w:rPr>
          <w:rFonts w:ascii="arial" w:eastAsia="arial" w:hAnsi="arial" w:cs="arial"/>
          <w:color w:val="000000"/>
          <w:sz w:val="20"/>
          <w:lang w:val="en-US" w:eastAsia="en-US" w:bidi="ar-SA"/>
        </w:rPr>
        <w:t>. There, McIntyre J., for the court, contrasted the role of the trial judge in cases of this nature to the ordinary role of the trial judge in cases tried with a judge and jury.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a judge and a jury in dealing with issues of fact is generally clear and well established. Ordinarily a judge sitting with a jury is not concerned with the weight of evidence. If he concludes that there has been adduced admissible evidence going in proof of the fact in issue, he must leave it to the jury. It is then the function of the jury upon weighing the evidence to accord it such effect as it may consider appropriate. This rule while one of general utility must be modified in a case of this kind. Where words are spoken on occasion of qualified privilege, the question of malice should not be put to the jury unless the trial judge is of the opinion that the evidence adduced raises a probability of its existence.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rule rests upon the proposition that the privilege of which the defendant has the benefit creates a presumption against malice.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defamatory words alleged by the plaintiff, again, are as follows, "ex-teacher has been suspended due to misconduct with student - has been at school and he is not suppose to be on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 Mr. Hugh, denied saying the words pleaded. The jury decided that the plaintiff had failed to prove that Mr. Hugh said those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three substantial elements of the words as pleaded that were at issue were:</w:t>
      </w:r>
      <w:r>
        <w:rPr>
          <w:rFonts w:ascii="arial" w:eastAsia="arial" w:hAnsi="arial" w:cs="arial"/>
          <w:sz w:val="20"/>
          <w:lang w:val="en-US" w:eastAsia="en-US" w:bidi="ar-SA"/>
        </w:rPr>
        <w:cr/>
      </w:r>
    </w:p>
    <w:p>
      <w:pPr>
        <w:numPr>
          <w:numId w:val="8"/>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"ex-teacher";</w:t>
      </w:r>
    </w:p>
    <w:p>
      <w:pPr>
        <w:numPr>
          <w:numId w:val="8"/>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"suspended due to misconduct with student"; and</w:t>
      </w:r>
    </w:p>
    <w:p>
      <w:pPr>
        <w:numPr>
          <w:numId w:val="8"/>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not suppose [sic] to be on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Hugh testified that he knew the plaintiff was not an "ex-teacher". He remained a teacher, although he was on a long-term medical leave. He acknowledged knowing that Mr. Stuart had not been "suspended". He had merely been provided with a letter of warning in relation to inappropriate behaviour with a student. He also testified that he knew that Mr. Stuart was entitled to be on the school premises, therefore, there was no truth to the statement "he is not suppose to be on the premises." On his behalf it was argued that it would make little sense for Mr. Hugh to have said such things, as he knew them to be false and he had no personal animosity or ulterior motive.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It was exclusively for the jury to find whether the plaintiff had proven that Mr. Hugh spoke the words alleged. They did not so find. But the ruling I make must be predicated on the assumption that the jury concludes that the plaintiff has proven that the statement alleged is made, and on the further assumption that the jury decides the statement is defamatory. The jury does not reach the question of malice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definition of malice is found in </w:t>
      </w:r>
      <w:r>
        <w:rPr>
          <w:rFonts w:ascii="arial" w:eastAsia="arial" w:hAnsi="arial" w:cs="arial"/>
          <w:i/>
          <w:color w:val="000000"/>
          <w:sz w:val="20"/>
          <w:lang w:val="en-US" w:eastAsia="en-US" w:bidi="ar-SA"/>
        </w:rPr>
        <w:t>Canadian Libel and Slander Actions</w:t>
      </w:r>
      <w:r>
        <w:rPr>
          <w:rFonts w:ascii="arial" w:eastAsia="arial" w:hAnsi="arial" w:cs="arial"/>
          <w:color w:val="000000"/>
          <w:sz w:val="20"/>
          <w:lang w:val="en-US" w:eastAsia="en-US" w:bidi="ar-SA"/>
        </w:rPr>
        <w:t>, 2004: Irwin Law Inc., by McConchie and Potts, at page 299: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is actuated by express malice if he or she publishes defamatory expression while:</w:t>
      </w:r>
    </w:p>
    <w:p>
      <w:pPr>
        <w:numPr>
          <w:numId w:val="9"/>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knowing it is false;</w:t>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reckless indifference whether it is true or false;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dominant purpose of injuring the plaintiff because of spite or animosity;</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some other dominant purpose which is improper or indirect, or also, if the occasion is privileged, for a dominant purpose not related to the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learned authors go on to state at page 301: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Determining whether the defendant is actuated by express malice at the time of publication of the defamatory expression requires an inquiry into the state of mind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Knowledge of the falsity of the expression is a very strong basis to conclude that the speaker is motivated by a malicious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Hugh acknowledged that the words as pleaded would have been, to his knowledge, false. On the basis of Mr. Hugh's knowledge of the falsity of the words, and on the assumption of a jury verdict concluding that the words were in fact spoken, and on the further assumption that the jury would find that the words were in fact defamatory, then in a purely hypothetical sense I would conclude that there was a probability of malice. On that basis, the issue of malice was properly left with the jury. I emphasize, however, that the jury made no such findings. On the verdict of the jury, Mr. Hugh did not say the words alleged. There was no defamation and no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F.E. VERHOEVEN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6" style="position:absolute;z-index:251759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94" w:history="1">
        <w:r>
          <w:rPr>
            <w:rFonts w:ascii="arial" w:eastAsia="arial" w:hAnsi="arial" w:cs="arial"/>
            <w:b/>
            <w:bCs/>
            <w:i/>
            <w:color w:val="0077CC"/>
            <w:kern w:val="32"/>
            <w:sz w:val="28"/>
            <w:szCs w:val="32"/>
            <w:u w:val="single"/>
            <w:shd w:val="clear" w:color="auto" w:fill="FFFFFF"/>
            <w:lang w:val="en-US" w:eastAsia="en-US" w:bidi="ar-SA"/>
          </w:rPr>
          <w:t>Sull Estate v. Pengelly, [2019] B.C.J. No. 1756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P.G. Voith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19,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17,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S131897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1756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1565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49 E.T.R. (4th) 194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CarswellBC 2718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Tony Halvinder Sull in the name of and on behalf of Bonnie Manjinder Kaur Pengelly, in her capacity as executor of the Estate of Jeet Kaur Sull, Plaintiff, and Bonnie Manjinder Kaur Pengelly in her personal capacity and in her capacity as executor of the Estate of Jeet Kaur Sull, and David Jaswinder Sull,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(64 paras.)</w:t>
      </w:r>
    </w:p>
    <w:p>
      <w:pPr>
        <w:jc w:val="both"/>
        <w:rPr>
          <w:rFonts w:ascii="arial" w:eastAsia="arial" w:hAnsi="arial" w:cs="arial"/>
          <w:sz w:val="20"/>
          <w:lang w:val="en-US" w:eastAsia="en-US" w:bidi="ar-SA"/>
        </w:rPr>
      </w:pPr>
      <w:bookmarkStart w:id="106" w:name="Counsel_21"/>
      <w:bookmarkEnd w:id="10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7"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Tony M. 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on their own behalf: Bonnie M.K. Pengelly, David J. Sull.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7" w:name="Judgment_21"/>
      <w:bookmarkEnd w:id="107"/>
      <w:r>
        <w:pict>
          <v:line id="_x0000_s1108" style="position:absolute;z-index:2517248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THE COSTS ISSUE</w:t>
      </w:r>
      <w:r>
        <w:rPr>
          <w:rFonts w:ascii="arial" w:eastAsia="arial" w:hAnsi="arial" w:cs="arial"/>
          <w:sz w:val="20"/>
          <w:lang w:val="en-US" w:eastAsia="en-US" w:bidi="ar-SA"/>
        </w:rPr>
        <w:cr/>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Solicitor-and-Own-Client Costs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Jurisdiction</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Jurisdiction</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Double Costs</w:t>
      </w:r>
    </w:p>
    <w:p>
      <w:pPr>
        <w:numPr>
          <w:numId w:val="8"/>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Jurisdiction</w:t>
      </w:r>
    </w:p>
    <w:p>
      <w:pPr>
        <w:numPr>
          <w:numId w:val="9"/>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Factual Background</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1. Should the First Offer Have Reasonably been Accepted by Mrs. Pengelly</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2. The Relationship between the First Offer and the Judgment in the Reasons</w:t>
      </w:r>
      <w:r>
        <w:rPr>
          <w:rFonts w:ascii="arial" w:eastAsia="arial" w:hAnsi="arial" w:cs="arial"/>
          <w:sz w:val="20"/>
          <w:lang w:val="en-US" w:eastAsia="en-US" w:bidi="ar-SA"/>
        </w:rPr>
        <w:cr/>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INTEREST CALCULATIONS</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Pre-Judgment Interest</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Post-Judgment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 COSTS OF THIS APPLICATION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re Costs and Interest</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P.G. VOITH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1.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Mr. Sull, seeks the costs of the trial that took place between the parties, and in which he was successful, on one of various alternative bases. He also seeks awards of both compound pre-judgment and post-judgment interest against the Defendant Mrs. Pengelly.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had named his brother, David Sull ("David"), in the action but he discontinued that aspect of his claim before the conclusion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claim against Mrs. Pengelly was advanced under various causes of action and in respect of various forms of wrongdoing. The essence of the claim, however, was that Mrs. Pengelly had, using a power of attorney that had been granted to her by her mother (the "Deceased"), misappropriated a portion of her mother's assets while her mother was still alive and that she further, in her capacity as executrix under the Deceased's will (the "Will"), misappropriated additional assets. In particular she misappropriated the proceeds from the sale of the Deceased's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My Reasons for Judgment, in respect of these various claims, are indexed at </w:t>
      </w:r>
      <w:hyperlink r:id="rId495" w:history="1">
        <w:r>
          <w:rPr>
            <w:rFonts w:ascii="arial" w:eastAsia="arial" w:hAnsi="arial" w:cs="arial"/>
            <w:i/>
            <w:color w:val="0077CC"/>
            <w:sz w:val="20"/>
            <w:u w:val="single"/>
            <w:shd w:val="clear" w:color="auto" w:fill="FFFFFF"/>
            <w:lang w:val="en-US" w:eastAsia="en-US" w:bidi="ar-SA"/>
          </w:rPr>
          <w:t>2019 BCSC 575</w:t>
        </w:r>
      </w:hyperlink>
      <w:r>
        <w:rPr>
          <w:rFonts w:ascii="arial" w:eastAsia="arial" w:hAnsi="arial" w:cs="arial"/>
          <w:color w:val="000000"/>
          <w:sz w:val="20"/>
          <w:lang w:val="en-US" w:eastAsia="en-US" w:bidi="ar-SA"/>
        </w:rPr>
        <w:t xml:space="preserve"> (the "Reasons"). In the Reasons I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[153] Mrs. Pengelly's evidence was that she had no knowledge of what happened to any of these funds other than for perhaps a handful of expenses on her mother's Scotiabank Visa card. This $325,000 figure can be broken into six discrete categories: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Approximately $61,000 was withdrawn between August 19, 2008 and October 10, 2009 on the Deceased's G&amp;F line of credit. The first such withdrawal was for $30,000. Thereafter, there were 31 further withdrawals for amounts between $100 and $6,500. It is also relevant that, but for one online bill payment, each of these withdrawals were made by cheque. None of these cheques have been produced by Mrs. Pengelly.</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G&amp;F Balance History indicates that on November 4, 2009, seven separate online bill payments, totalling approximately $60,000, were made. Neither the Deceased nor David ever paid bills online. Defendants' Document 51 indicates that each of those payments was made on account of various outstanding credit card balances. None of these records have been produced by Mrs. Pengelly. It is to be remembered that it was in or about November 4, 2009 that the G&amp;F line of credit and Mortgage increased from $100,000 to $225,000.</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Approximately $92,000 was withdrawn from the G&amp;F line of credit in a one week period in November 2009. The G&amp;F Balance History indicates that on November 4, 2009, November 6, 2009, and November 13, 2009, the amounts of approximately $12,008.00, $30,006.00 and $50,006.00 respectively, for a total of approximately $92,020.00, were withdrawn from the G&amp;F line of credit. Those three withdrawals are also reflected on the November 1-30, 2009 G&amp;F Statement of Account. The specific documents that relate to these withdrawals have not been produced.</w:t>
      </w:r>
    </w:p>
    <w:p>
      <w:pPr>
        <w:numPr>
          <w:numId w:val="1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November 5, 2009 and March 8, 2011, when the G&amp;F Mortgage was discharged, fourteen further withdrawals, by way of cheque, in amounts between $100 and $1,000, were made from the G&amp;F line of credit. These withdrawals add up to $8,450. None of these cheques have been produced by Mrs. Pengelly.</w:t>
      </w:r>
    </w:p>
    <w:p>
      <w:pPr>
        <w:numPr>
          <w:numId w:val="18"/>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some unknown time, $75,000 was withdrawn under the Westminster Mortgage. That $75,000 reflects the approximate difference between the $225,000 amount that had been secured by the G&amp;F Mortgage before it was discharged on March 8, 2011, and the new $300,000 Westminster Mortgage. I have said that none of the documents that relate to the application for the Westminster Mortgage or to the disbursement of funds under that mortgage have been produced by Mrs. Pengelly.</w:t>
      </w:r>
    </w:p>
    <w:p>
      <w:pPr>
        <w:numPr>
          <w:numId w:val="19"/>
        </w:numPr>
        <w:tabs>
          <w:tab w:val="num" w:pos="1840"/>
          <w:tab w:val="clear" w:pos="292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dealt with the approximately $19,000 that was outstanding on the Deceased's Scotiabank Visa card at the time of her death, with the nature of some of the expenditures that made up that outstanding amount and with when the bulk of that debt was incurred.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[154] I am satisfied that Mrs. Pengelly is responsible for the misappropriation of the amounts in each of the first five of these categories of loss. These five categories of loss total $305,000. This conclusion is based on her status as a fiduciary under the POA, her failure to account and to provide any explanation of any sort for what happened with these funds and financial transactions, her lack of candor before the Court during this trial, her significant failure to produce relevant records, and her clear involvement in significant aspects of the Deceased's financial affairs in the years after the Deceased became physically disabled.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[155] I also do not consider that any useful purpose would be served by sending the matter to the Registrar for an accounting. The Deceased passed away more than seven years ago. Nothing in Mrs. Pengelly's conduct suggests that an accounting would provide the Registrar with any better or more precise information than I presently have. Furthermore, the amounts involved do not, on balance, warrant having the Plaintiff expend the further funds and suffer the further delay that would arise from a further hearing before the Registrar.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[158] The Will required, subject to certain specific exceptions, that the Estate of the Deceased be distributed equally between her three children. I have, for the reasons I have described, not accepted that the Property was gifted to Mrs. Pengelly or that the proceeds from its sale were to be distributed otherwise than in accordance with the terms of the Will. Thus, the $279,921.00 that remained, after proper expenses from the sale of the Property were deducted, plus the $305,000.00 that Mrs. Pengelly misappropriated, and that should have been available on an equal distribution of the Estate between the Plaintiff, Mrs. Pengelly and David, totals $584,921.00. One third of this $584,921.00 figure, that being the Plaintiff's entitlement under the Will, is $194,974.00. The Plaintiff, however, owed his mother, or her Estate, $10,000.00. One third of this amount would have come to him if the Deceased's Estate was properly distributed. Two thirds of the amount, or $6,667.00, would have gone to Mrs. Pengelly and David. The resulting calculation indicates that the balance owed to the Plaintiff is $188,307.00.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[159] Accordingly, the Defendant, Mrs. Pengelly, is to pay $188,307.00 to the Plaintiff. The Plaintiff also seeks compound interest on this award. Such an order is available under the Court's inherent jurisdiction, is consistent with the order made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 paras. 119-122, and is, I am satisfied, appropriate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Though Mrs. Pengelly had retained different counsel at earlier stages of the action she was self-represented at trial. This application was adjourned once so that Mrs. Pengelly could retain counsel. She did not do so and she was, accordingly, self-represented on this application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Mrs. Pengelly made virtually no submissions in relation to the various remedies or alternative orders that the Plaintiff sought. Her limited submissions were directed to an affidavit she filed which addressed her family's financial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THE COSTS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seeks either solicitor-and-own-client costs, or special costs, or double costs (from one of two alternative dates) or costs at Scale B. The jurisdiction for and object of each of these potential cost orders is different.</w:t>
      </w:r>
      <w:r>
        <w:rPr>
          <w:rFonts w:ascii="arial" w:eastAsia="arial" w:hAnsi="arial" w:cs="arial"/>
          <w:sz w:val="20"/>
          <w:lang w:val="en-US" w:eastAsia="en-US" w:bidi="ar-SA"/>
        </w:rPr>
        <w:cr/>
      </w:r>
    </w:p>
    <w:p>
      <w:pPr>
        <w:numPr>
          <w:numId w:val="20"/>
        </w:numPr>
        <w:tabs>
          <w:tab w:val="num" w:pos="1120"/>
          <w:tab w:val="clear" w:pos="29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Solicitor-and-Own-Client Costs</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addressing this issue I am not addressing the body of case law that enables an executor to recover their reasonable costs, including litigation costs, incurred in their capacity as the executor of an estate, from that estate. Instead I am addressing the ability of litigants to recover their litigation costs, on a full indemnity basis, from an opposing party. Full indemnity costs, known as solicitor-and-own-client costs, are distinct from solicitor-and-client costs (now called special costs). Whether this Court has the jurisdiction to make an award of solicitor-and-own-client costs, or full indemnity costs, in such circumstances has changed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Stiles v. B.C. (W.C.B.)</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(1989), 38 B.C.L.R. (2d) 307</w:t>
        </w:r>
      </w:hyperlink>
      <w:r>
        <w:rPr>
          <w:rFonts w:ascii="arial" w:eastAsia="arial" w:hAnsi="arial" w:cs="arial"/>
          <w:color w:val="000000"/>
          <w:sz w:val="20"/>
          <w:lang w:val="en-US" w:eastAsia="en-US" w:bidi="ar-SA"/>
        </w:rPr>
        <w:t xml:space="preserve"> (C.A.), Justice Lambert commented on the inherent jurisdiction of a Supreme Court judge to make cost awards and, at 310,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power of a Supreme Court judge to award costs stems from s. 3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which confirms that the judges of the Supreme Court have the inherent powers of a judge of a superior court of record. The power to award costs is governed by the laws in force in England before 1858 and by the enactments, including the Rules of Court, affecting costs made in British Columbia since 1858. Generally, the decisions on costs, including both whether to award costs, and, if awarded, how to calculate them, are decisions governed by a wide measure of discretion. See </w:t>
      </w:r>
      <w:r>
        <w:rPr>
          <w:rFonts w:ascii="arial" w:eastAsia="arial" w:hAnsi="arial" w:cs="arial"/>
          <w:i/>
          <w:color w:val="000000"/>
          <w:sz w:val="20"/>
          <w:lang w:val="en-US" w:eastAsia="en-US" w:bidi="ar-SA"/>
        </w:rPr>
        <w:t>Oasis Hotel Ltd. v. Zurich Ins. Co.</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28 B.C.L.R. 230</w:t>
        </w:r>
      </w:hyperlink>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[1981] 5 W.W.R. 24</w:t>
        </w:r>
      </w:hyperlink>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21 C.P.C. 260</w:t>
        </w:r>
      </w:hyperlink>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[1982] I.L.R. 1-1459</w:t>
        </w:r>
      </w:hyperlink>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124 D.L.R. (3d) 455</w:t>
        </w:r>
      </w:hyperlink>
      <w:r>
        <w:rPr>
          <w:rFonts w:ascii="arial" w:eastAsia="arial" w:hAnsi="arial" w:cs="arial"/>
          <w:color w:val="000000"/>
          <w:sz w:val="20"/>
          <w:lang w:val="en-US" w:eastAsia="en-US" w:bidi="ar-SA"/>
        </w:rPr>
        <w:t xml:space="preserve"> (C.A.). The discretion must be exercised judicially,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not arbitrarily or capriciously.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Oasis Hotel Ltd. v. Zurich Insurance Co.</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[1981] B.C.J. No. 690</w:t>
        </w:r>
      </w:hyperlink>
      <w:r>
        <w:rPr>
          <w:rFonts w:ascii="arial" w:eastAsia="arial" w:hAnsi="arial" w:cs="arial"/>
          <w:color w:val="000000"/>
          <w:sz w:val="20"/>
          <w:lang w:val="en-US" w:eastAsia="en-US" w:bidi="ar-SA"/>
        </w:rPr>
        <w:t xml:space="preserve"> (C.A.), took a broad view of a judge's discretion to award costs. </w:t>
      </w:r>
      <w:r>
        <w:rPr>
          <w:rFonts w:ascii="arial" w:eastAsia="arial" w:hAnsi="arial" w:cs="arial"/>
          <w:i/>
          <w:color w:val="000000"/>
          <w:sz w:val="20"/>
          <w:lang w:val="en-US" w:eastAsia="en-US" w:bidi="ar-SA"/>
        </w:rPr>
        <w:t>Oasis Hotel</w:t>
      </w:r>
      <w:r>
        <w:rPr>
          <w:rFonts w:ascii="arial" w:eastAsia="arial" w:hAnsi="arial" w:cs="arial"/>
          <w:color w:val="000000"/>
          <w:sz w:val="20"/>
          <w:lang w:val="en-US" w:eastAsia="en-US" w:bidi="ar-SA"/>
        </w:rPr>
        <w:t xml:space="preserve"> was cited subsequently by the Court of Appeal for the proposition that there is no jurisdictional bar preventing a judge from exercising their discretion to award costs: </w:t>
      </w:r>
      <w:r>
        <w:rPr>
          <w:rFonts w:ascii="arial" w:eastAsia="arial" w:hAnsi="arial" w:cs="arial"/>
          <w:i/>
          <w:color w:val="000000"/>
          <w:sz w:val="20"/>
          <w:lang w:val="en-US" w:eastAsia="en-US" w:bidi="ar-SA"/>
        </w:rPr>
        <w:t>Vorvis v. ICBC</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(1984), 53 B.C.L.R. 63</w:t>
        </w:r>
      </w:hyperlink>
      <w:r>
        <w:rPr>
          <w:rFonts w:ascii="arial" w:eastAsia="arial" w:hAnsi="arial" w:cs="arial"/>
          <w:color w:val="000000"/>
          <w:sz w:val="20"/>
          <w:lang w:val="en-US" w:eastAsia="en-US" w:bidi="ar-SA"/>
        </w:rPr>
        <w:t xml:space="preserve"> (C.A.) at 71. In </w:t>
      </w:r>
      <w:r>
        <w:rPr>
          <w:rFonts w:ascii="arial" w:eastAsia="arial" w:hAnsi="arial" w:cs="arial"/>
          <w:i/>
          <w:color w:val="000000"/>
          <w:sz w:val="20"/>
          <w:lang w:val="en-US" w:eastAsia="en-US" w:bidi="ar-SA"/>
        </w:rPr>
        <w:t>Glazewski v. Easterbrook</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2012 BCSC 1699</w:t>
        </w:r>
      </w:hyperlink>
      <w:r>
        <w:rPr>
          <w:rFonts w:ascii="arial" w:eastAsia="arial" w:hAnsi="arial" w:cs="arial"/>
          <w:color w:val="000000"/>
          <w:sz w:val="20"/>
          <w:lang w:val="en-US" w:eastAsia="en-US" w:bidi="ar-SA"/>
        </w:rPr>
        <w:t xml:space="preserve"> at para. 21, this was said to include solicitor-and-own-client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More recently, however, the Court of Appeal has said that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("SCCR") govern the law of costs, that there are only two categories of costs, and that a judge cannot impose cost sanctions, such as solicitor-and-own-client costs, that are not authorized by the SCCR: </w:t>
      </w:r>
      <w:r>
        <w:rPr>
          <w:rFonts w:ascii="arial" w:eastAsia="arial" w:hAnsi="arial" w:cs="arial"/>
          <w:i/>
          <w:color w:val="000000"/>
          <w:sz w:val="20"/>
          <w:lang w:val="en-US" w:eastAsia="en-US" w:bidi="ar-SA"/>
        </w:rPr>
        <w:t>Gichuru v. Smith</w:t>
      </w:r>
      <w:r>
        <w:rPr>
          <w:rFonts w:ascii="arial" w:eastAsia="arial" w:hAnsi="arial" w:cs="arial"/>
          <w:color w:val="000000"/>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2014 BCCA 414</w:t>
        </w:r>
      </w:hyperlink>
      <w:r>
        <w:rPr>
          <w:rFonts w:ascii="arial" w:eastAsia="arial" w:hAnsi="arial" w:cs="arial"/>
          <w:color w:val="000000"/>
          <w:sz w:val="20"/>
          <w:lang w:val="en-US" w:eastAsia="en-US" w:bidi="ar-SA"/>
        </w:rPr>
        <w:t xml:space="preserve"> at para. 84; </w:t>
      </w:r>
      <w:r>
        <w:rPr>
          <w:rFonts w:ascii="arial" w:eastAsia="arial" w:hAnsi="arial" w:cs="arial"/>
          <w:i/>
          <w:color w:val="000000"/>
          <w:sz w:val="20"/>
          <w:lang w:val="en-US" w:eastAsia="en-US" w:bidi="ar-SA"/>
        </w:rPr>
        <w:t>West Van Holdings Ltd. v. Economical Mutual Insurance Company</w:t>
      </w:r>
      <w:r>
        <w:rPr>
          <w:rFonts w:ascii="arial" w:eastAsia="arial" w:hAnsi="arial" w:cs="arial"/>
          <w:color w:val="000000"/>
          <w:sz w:val="20"/>
          <w:lang w:val="en-US" w:eastAsia="en-US" w:bidi="ar-SA"/>
        </w:rPr>
        <w:t xml:space="preserve">, </w:t>
      </w:r>
      <w:hyperlink r:id="rId502" w:history="1">
        <w:r>
          <w:rPr>
            <w:rFonts w:ascii="arial" w:eastAsia="arial" w:hAnsi="arial" w:cs="arial"/>
            <w:i/>
            <w:color w:val="0077CC"/>
            <w:sz w:val="20"/>
            <w:u w:val="single"/>
            <w:shd w:val="clear" w:color="auto" w:fill="FFFFFF"/>
            <w:lang w:val="en-US" w:eastAsia="en-US" w:bidi="ar-SA"/>
          </w:rPr>
          <w:t>2019 BCCA 110</w:t>
        </w:r>
      </w:hyperlink>
      <w:r>
        <w:rPr>
          <w:rFonts w:ascii="arial" w:eastAsia="arial" w:hAnsi="arial" w:cs="arial"/>
          <w:color w:val="000000"/>
          <w:sz w:val="20"/>
          <w:lang w:val="en-US" w:eastAsia="en-US" w:bidi="ar-SA"/>
        </w:rPr>
        <w:t xml:space="preserve"> at para. 95; </w:t>
      </w:r>
      <w:r>
        <w:rPr>
          <w:rFonts w:ascii="arial" w:eastAsia="arial" w:hAnsi="arial" w:cs="arial"/>
          <w:i/>
          <w:color w:val="000000"/>
          <w:sz w:val="20"/>
          <w:lang w:val="en-US" w:eastAsia="en-US" w:bidi="ar-SA"/>
        </w:rPr>
        <w:t>Kyle Estate v. Kyle</w:t>
      </w:r>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2017 BCCA 329</w:t>
        </w:r>
      </w:hyperlink>
      <w:r>
        <w:rPr>
          <w:rFonts w:ascii="arial" w:eastAsia="arial" w:hAnsi="arial" w:cs="arial"/>
          <w:color w:val="000000"/>
          <w:sz w:val="20"/>
          <w:lang w:val="en-US" w:eastAsia="en-US" w:bidi="ar-SA"/>
        </w:rPr>
        <w:t xml:space="preserve"> at para.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Since solicitor-and-own-client costs are not available under the SCCR, special costs are the appropriate vehicle for parties seeking indemnity. The main purpose of special costs is to deter misconduct: </w:t>
      </w:r>
      <w:r>
        <w:rPr>
          <w:rFonts w:ascii="arial" w:eastAsia="arial" w:hAnsi="arial" w:cs="arial"/>
          <w:i/>
          <w:color w:val="000000"/>
          <w:sz w:val="20"/>
          <w:lang w:val="en-US" w:eastAsia="en-US" w:bidi="ar-SA"/>
        </w:rPr>
        <w:t>West Van Holdings</w:t>
      </w:r>
      <w:r>
        <w:rPr>
          <w:rFonts w:ascii="arial" w:eastAsia="arial" w:hAnsi="arial" w:cs="arial"/>
          <w:color w:val="000000"/>
          <w:sz w:val="20"/>
          <w:lang w:val="en-US" w:eastAsia="en-US" w:bidi="ar-SA"/>
        </w:rPr>
        <w:t xml:space="preserve"> at para. 108. Nevertheless, in </w:t>
      </w:r>
      <w:r>
        <w:rPr>
          <w:rFonts w:ascii="arial" w:eastAsia="arial" w:hAnsi="arial" w:cs="arial"/>
          <w:i/>
          <w:color w:val="000000"/>
          <w:sz w:val="20"/>
          <w:lang w:val="en-US" w:eastAsia="en-US" w:bidi="ar-SA"/>
        </w:rPr>
        <w:t>Kyle Estate</w:t>
      </w:r>
      <w:r>
        <w:rPr>
          <w:rFonts w:ascii="arial" w:eastAsia="arial" w:hAnsi="arial" w:cs="arial"/>
          <w:color w:val="000000"/>
          <w:sz w:val="20"/>
          <w:lang w:val="en-US" w:eastAsia="en-US" w:bidi="ar-SA"/>
        </w:rPr>
        <w:t xml:space="preserve">, and in other judgments, the Court of Appeal has commented that special costs "are in the nature of indemnification ": see paras. 45-46. In this way and in light of </w:t>
      </w:r>
      <w:r>
        <w:rPr>
          <w:rFonts w:ascii="arial" w:eastAsia="arial" w:hAnsi="arial" w:cs="arial"/>
          <w:i/>
          <w:color w:val="000000"/>
          <w:sz w:val="20"/>
          <w:lang w:val="en-US" w:eastAsia="en-US" w:bidi="ar-SA"/>
        </w:rPr>
        <w:t>West Van Holdings</w:t>
      </w:r>
      <w:r>
        <w:rPr>
          <w:rFonts w:ascii="arial" w:eastAsia="arial" w:hAnsi="arial" w:cs="arial"/>
          <w:color w:val="000000"/>
          <w:sz w:val="20"/>
          <w:lang w:val="en-US" w:eastAsia="en-US" w:bidi="ar-SA"/>
        </w:rPr>
        <w:t>, special costs awards may be used as a vehicle for providing partial indemnity to a party in the proper circumstances.</w:t>
      </w:r>
      <w:r>
        <w:rPr>
          <w:rFonts w:ascii="arial" w:eastAsia="arial" w:hAnsi="arial" w:cs="arial"/>
          <w:sz w:val="20"/>
          <w:lang w:val="en-US" w:eastAsia="en-US" w:bidi="ar-SA"/>
        </w:rPr>
        <w:cr/>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Apart from any questions of jurisdiction, I do not, in any event, consider that an award of solicitor-and-own-client costs would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Lane, Re</w:t>
      </w:r>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(1984), 58 B.C.L.R. 261</w:t>
        </w:r>
      </w:hyperlink>
      <w:r>
        <w:rPr>
          <w:rFonts w:ascii="arial" w:eastAsia="arial" w:hAnsi="arial" w:cs="arial"/>
          <w:color w:val="000000"/>
          <w:sz w:val="20"/>
          <w:lang w:val="en-US" w:eastAsia="en-US" w:bidi="ar-SA"/>
        </w:rPr>
        <w:t xml:space="preserve"> (C.A.), Seaton J.A. addressed the issue of solicitor-and-own-client costs and, at 263,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My view is that if there is power to award solicitor-and-own-client costs it is a power that should not be exercised, or should only be exercised in the most extraordinary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Other cases had similarly observed that solicitor-and-own-client costs awards were only to be awarded in "extreme situations" such as circumstances where the conduct of a party constitutes an abuse of the court process (</w:t>
      </w:r>
      <w:r>
        <w:rPr>
          <w:rFonts w:ascii="arial" w:eastAsia="arial" w:hAnsi="arial" w:cs="arial"/>
          <w:i/>
          <w:color w:val="000000"/>
          <w:sz w:val="20"/>
          <w:lang w:val="en-US" w:eastAsia="en-US" w:bidi="ar-SA"/>
        </w:rPr>
        <w:t>ICBC v. Hoang</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2002 BCSC 1162</w:t>
        </w:r>
      </w:hyperlink>
      <w:r>
        <w:rPr>
          <w:rFonts w:ascii="arial" w:eastAsia="arial" w:hAnsi="arial" w:cs="arial"/>
          <w:color w:val="000000"/>
          <w:sz w:val="20"/>
          <w:lang w:val="en-US" w:eastAsia="en-US" w:bidi="ar-SA"/>
        </w:rPr>
        <w:t xml:space="preserve"> at para. 75) or where such conduct can be described as "contempt or fraud" perpetrated against the court (</w:t>
      </w:r>
      <w:r>
        <w:rPr>
          <w:rFonts w:ascii="arial" w:eastAsia="arial" w:hAnsi="arial" w:cs="arial"/>
          <w:i/>
          <w:color w:val="000000"/>
          <w:sz w:val="20"/>
          <w:lang w:val="en-US" w:eastAsia="en-US" w:bidi="ar-SA"/>
        </w:rPr>
        <w:t>Glazewski</w:t>
      </w:r>
      <w:r>
        <w:rPr>
          <w:rFonts w:ascii="arial" w:eastAsia="arial" w:hAnsi="arial" w:cs="arial"/>
          <w:color w:val="000000"/>
          <w:sz w:val="20"/>
          <w:lang w:val="en-US" w:eastAsia="en-US" w:bidi="ar-SA"/>
        </w:rPr>
        <w:t xml:space="preserve"> at para. 21; </w:t>
      </w:r>
      <w:r>
        <w:rPr>
          <w:rFonts w:ascii="arial" w:eastAsia="arial" w:hAnsi="arial" w:cs="arial"/>
          <w:i/>
          <w:color w:val="000000"/>
          <w:sz w:val="20"/>
          <w:lang w:val="en-US" w:eastAsia="en-US" w:bidi="ar-SA"/>
        </w:rPr>
        <w:t>Goss (Guardian of) v. Woodward</w:t>
      </w:r>
      <w:r>
        <w:rPr>
          <w:rFonts w:ascii="arial" w:eastAsia="arial" w:hAnsi="arial" w:cs="arial"/>
          <w:color w:val="000000"/>
          <w:sz w:val="20"/>
          <w:lang w:val="en-US" w:eastAsia="en-US" w:bidi="ar-SA"/>
        </w:rPr>
        <w:t xml:space="preserve">, </w:t>
      </w:r>
      <w:hyperlink r:id="rId506" w:history="1">
        <w:r>
          <w:rPr>
            <w:rFonts w:ascii="arial" w:eastAsia="arial" w:hAnsi="arial" w:cs="arial"/>
            <w:i/>
            <w:color w:val="0077CC"/>
            <w:sz w:val="20"/>
            <w:u w:val="single"/>
            <w:shd w:val="clear" w:color="auto" w:fill="FFFFFF"/>
            <w:lang w:val="en-US" w:eastAsia="en-US" w:bidi="ar-SA"/>
          </w:rPr>
          <w:t>(1991) 4 B.C.A.C. 115</w:t>
        </w:r>
      </w:hyperlink>
      <w:r>
        <w:rPr>
          <w:rFonts w:ascii="arial" w:eastAsia="arial" w:hAnsi="arial" w:cs="arial"/>
          <w:color w:val="000000"/>
          <w:sz w:val="20"/>
          <w:lang w:val="en-US" w:eastAsia="en-US" w:bidi="ar-SA"/>
        </w:rPr>
        <w:t xml:space="preserve"> at paras. 18-19; </w:t>
      </w:r>
      <w:r>
        <w:rPr>
          <w:rFonts w:ascii="arial" w:eastAsia="arial" w:hAnsi="arial" w:cs="arial"/>
          <w:i/>
          <w:color w:val="000000"/>
          <w:sz w:val="20"/>
          <w:lang w:val="en-US" w:eastAsia="en-US" w:bidi="ar-SA"/>
        </w:rPr>
        <w:t>Vorvis</w:t>
      </w:r>
      <w:r>
        <w:rPr>
          <w:rFonts w:ascii="arial" w:eastAsia="arial" w:hAnsi="arial" w:cs="arial"/>
          <w:color w:val="000000"/>
          <w:sz w:val="20"/>
          <w:lang w:val="en-US" w:eastAsia="en-US" w:bidi="ar-SA"/>
        </w:rPr>
        <w:t xml:space="preserve"> at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Vorvis</w:t>
      </w:r>
      <w:r>
        <w:rPr>
          <w:rFonts w:ascii="arial" w:eastAsia="arial" w:hAnsi="arial" w:cs="arial"/>
          <w:color w:val="000000"/>
          <w:sz w:val="20"/>
          <w:lang w:val="en-US" w:eastAsia="en-US" w:bidi="ar-SA"/>
        </w:rPr>
        <w:t>, all three judges agreed that solicitor-and-own-client costs were not appropriate on the facts of that case. Mr. Justice Anderson, who dissented in part but not on this point, said at 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appears to me that the learned trial judge awarded costs on a "solicitor and own client basis" to condemn the conduct of the defendant for its callous and harsh treatment of the plaintiff in the course of his employment. </w:t>
      </w:r>
      <w:r>
        <w:rPr>
          <w:rFonts w:ascii="arial" w:eastAsia="arial" w:hAnsi="arial" w:cs="arial"/>
          <w:color w:val="000000"/>
          <w:sz w:val="20"/>
          <w:u w:val="single"/>
          <w:lang w:val="en-US" w:eastAsia="en-US" w:bidi="ar-SA"/>
        </w:rPr>
        <w:t>While the trial judge was entitled to award a higher scale of costs based on the improper conduct of the litigation by the defendant, he could not compel the defendant to fully indemnify the plaintiff in respect of legal fees payable by him as a substitute for punitive damages</w:t>
      </w:r>
      <w:r>
        <w:rPr>
          <w:rFonts w:ascii="arial" w:eastAsia="arial" w:hAnsi="arial" w:cs="arial"/>
          <w:color w:val="000000"/>
          <w:sz w:val="20"/>
          <w:lang w:val="en-US" w:eastAsia="en-US" w:bidi="ar-SA"/>
        </w:rPr>
        <w:t xml:space="preserve">. The only alleged misconduct of the defendant in the conduct of the litigation was that it insisted in pursuing the groundless allegation that the appellant was incompetent up to and throughout the trial. Such misconduct may have provided grounds for awarding costs on a solicitor-and-client basis but did not justify awarding costs on a "solicitor and own client" basis. </w:t>
      </w:r>
      <w:r>
        <w:rPr>
          <w:rFonts w:ascii="arial" w:eastAsia="arial" w:hAnsi="arial" w:cs="arial"/>
          <w:color w:val="000000"/>
          <w:sz w:val="20"/>
          <w:u w:val="single"/>
          <w:lang w:val="en-US" w:eastAsia="en-US" w:bidi="ar-SA"/>
        </w:rPr>
        <w:t>While there may be cases where the conduct of the litigation has been so contemptuous or fraudulent that an award of costs on a "solicitor and own client" basis would be justified, this case does not fall into that category</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is nothing in the circumstances of this case that meets the standard that had been developed in these authorities. Specifically, Mrs. Pengelly's conduct did not constitute a "contempt or fraud" perpetrated against the court", or "an abuse of the court's process". Nor was her conduct in the nature of a "most extraordinary circumstance". Accordingly there is no basis for such a cost award.</w:t>
      </w:r>
      <w:r>
        <w:rPr>
          <w:rFonts w:ascii="arial" w:eastAsia="arial" w:hAnsi="arial" w:cs="arial"/>
          <w:sz w:val="20"/>
          <w:lang w:val="en-US" w:eastAsia="en-US" w:bidi="ar-SA"/>
        </w:rPr>
        <w:cr/>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Special Costs</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Rule 14-1(1)(b) of the SCCR codified the inherent jurisdiction of a Supreme Court judge to make an award of special costs: </w:t>
      </w:r>
      <w:r>
        <w:rPr>
          <w:rFonts w:ascii="arial" w:eastAsia="arial" w:hAnsi="arial" w:cs="arial"/>
          <w:i/>
          <w:color w:val="000000"/>
          <w:sz w:val="20"/>
          <w:lang w:val="en-US" w:eastAsia="en-US" w:bidi="ar-SA"/>
        </w:rPr>
        <w:t>MacLeod v. Harrington (Public Trustee of)</w:t>
      </w:r>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[1995] B.C.J. No. 2717</w:t>
        </w:r>
      </w:hyperlink>
      <w:r>
        <w:rPr>
          <w:rFonts w:ascii="arial" w:eastAsia="arial" w:hAnsi="arial" w:cs="arial"/>
          <w:color w:val="000000"/>
          <w:sz w:val="20"/>
          <w:lang w:val="en-US" w:eastAsia="en-US" w:bidi="ar-SA"/>
        </w:rPr>
        <w:t xml:space="preserve"> (C.A.) at paras. 215-218.</w:t>
      </w:r>
      <w:r>
        <w:rPr>
          <w:rFonts w:ascii="arial" w:eastAsia="arial" w:hAnsi="arial" w:cs="arial"/>
          <w:sz w:val="20"/>
          <w:lang w:val="en-US" w:eastAsia="en-US" w:bidi="ar-SA"/>
        </w:rPr>
        <w:cr/>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Smithies Holdings Inc. v. RCV Holdings Ltd.</w:t>
      </w:r>
      <w:r>
        <w:rPr>
          <w:rFonts w:ascii="arial" w:eastAsia="arial" w:hAnsi="arial" w:cs="arial"/>
          <w:color w:val="000000"/>
          <w:sz w:val="20"/>
          <w:lang w:val="en-US" w:eastAsia="en-US" w:bidi="ar-SA"/>
        </w:rPr>
        <w:t xml:space="preserve">, </w:t>
      </w:r>
      <w:hyperlink r:id="rId508" w:history="1">
        <w:r>
          <w:rPr>
            <w:rFonts w:ascii="arial" w:eastAsia="arial" w:hAnsi="arial" w:cs="arial"/>
            <w:i/>
            <w:color w:val="0077CC"/>
            <w:sz w:val="20"/>
            <w:u w:val="single"/>
            <w:shd w:val="clear" w:color="auto" w:fill="FFFFFF"/>
            <w:lang w:val="en-US" w:eastAsia="en-US" w:bidi="ar-SA"/>
          </w:rPr>
          <w:t>2017 BCCA 177</w:t>
        </w:r>
      </w:hyperlink>
      <w:r>
        <w:rPr>
          <w:rFonts w:ascii="arial" w:eastAsia="arial" w:hAnsi="arial" w:cs="arial"/>
          <w:color w:val="000000"/>
          <w:sz w:val="20"/>
          <w:lang w:val="en-US" w:eastAsia="en-US" w:bidi="ar-SA"/>
        </w:rPr>
        <w:t>, provided the following succinct summary that describes both when an award of special costs may be appropriate and the purpose that is served by such awards: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Special costs are typically awarded when there has been some form of reprehensible conduct on the part of one of the parties: </w:t>
      </w:r>
      <w:r>
        <w:rPr>
          <w:rFonts w:ascii="arial" w:eastAsia="arial" w:hAnsi="arial" w:cs="arial"/>
          <w:i/>
          <w:color w:val="000000"/>
          <w:sz w:val="20"/>
          <w:lang w:val="en-US" w:eastAsia="en-US" w:bidi="ar-SA"/>
        </w:rPr>
        <w:t>Young v. Young</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[1993] 4 SCR 3</w:t>
        </w:r>
      </w:hyperlink>
      <w:r>
        <w:rPr>
          <w:rFonts w:ascii="arial" w:eastAsia="arial" w:hAnsi="arial" w:cs="arial"/>
          <w:color w:val="000000"/>
          <w:sz w:val="20"/>
          <w:lang w:val="en-US" w:eastAsia="en-US" w:bidi="ar-SA"/>
        </w:rPr>
        <w:t xml:space="preserve"> at 134-138. Special costs are not compensatory; they are punitive: </w:t>
      </w:r>
      <w:r>
        <w:rPr>
          <w:rFonts w:ascii="arial" w:eastAsia="arial" w:hAnsi="arial" w:cs="arial"/>
          <w:i/>
          <w:color w:val="000000"/>
          <w:sz w:val="20"/>
          <w:lang w:val="en-US" w:eastAsia="en-US" w:bidi="ar-SA"/>
        </w:rPr>
        <w:t>Grewal v. Sandhu</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2012 BCCA 26</w:t>
        </w:r>
      </w:hyperlink>
      <w:r>
        <w:rPr>
          <w:rFonts w:ascii="arial" w:eastAsia="arial" w:hAnsi="arial" w:cs="arial"/>
          <w:color w:val="000000"/>
          <w:sz w:val="20"/>
          <w:lang w:val="en-US" w:eastAsia="en-US" w:bidi="ar-SA"/>
        </w:rPr>
        <w:t xml:space="preserve"> at para. 106. They are awarded when a court seeks to disassociate itself from some misconduct: </w:t>
      </w:r>
      <w:r>
        <w:rPr>
          <w:rFonts w:ascii="arial" w:eastAsia="arial" w:hAnsi="arial" w:cs="arial"/>
          <w:i/>
          <w:color w:val="000000"/>
          <w:sz w:val="20"/>
          <w:lang w:val="en-US" w:eastAsia="en-US" w:bidi="ar-SA"/>
        </w:rPr>
        <w:t>Fullerton v. Matsqui (District)</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(1992), 74 B.C.L.R. (2d) 311</w:t>
        </w:r>
      </w:hyperlink>
      <w:r>
        <w:rPr>
          <w:rFonts w:ascii="arial" w:eastAsia="arial" w:hAnsi="arial" w:cs="arial"/>
          <w:color w:val="000000"/>
          <w:sz w:val="20"/>
          <w:lang w:val="en-US" w:eastAsia="en-US" w:bidi="ar-SA"/>
        </w:rPr>
        <w:t xml:space="preserve"> (C.A.) at para. 23. There are circumstances where special costs may be ordered where there has been no wrongdoing: </w:t>
      </w:r>
      <w:r>
        <w:rPr>
          <w:rFonts w:ascii="arial" w:eastAsia="arial" w:hAnsi="arial" w:cs="arial"/>
          <w:i/>
          <w:color w:val="000000"/>
          <w:sz w:val="20"/>
          <w:lang w:val="en-US" w:eastAsia="en-US" w:bidi="ar-SA"/>
        </w:rPr>
        <w:t>Gichuru v. Smith</w:t>
      </w:r>
      <w:r>
        <w:rPr>
          <w:rFonts w:ascii="arial" w:eastAsia="arial" w:hAnsi="arial" w:cs="arial"/>
          <w:color w:val="000000"/>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2014 BCCA 414</w:t>
        </w:r>
      </w:hyperlink>
      <w:r>
        <w:rPr>
          <w:rFonts w:ascii="arial" w:eastAsia="arial" w:hAnsi="arial" w:cs="arial"/>
          <w:color w:val="000000"/>
          <w:sz w:val="20"/>
          <w:lang w:val="en-US" w:eastAsia="en-US" w:bidi="ar-SA"/>
        </w:rPr>
        <w:t xml:space="preserve"> at para. 90. These reasons are not concerned with such types of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The leading authority on special costs is this Court's decision in </w:t>
      </w:r>
      <w:r>
        <w:rPr>
          <w:rFonts w:ascii="arial" w:eastAsia="arial" w:hAnsi="arial" w:cs="arial"/>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(1994), 9 B.C.L.R. (3d) 242</w:t>
        </w:r>
      </w:hyperlink>
      <w:r>
        <w:rPr>
          <w:rFonts w:ascii="arial" w:eastAsia="arial" w:hAnsi="arial" w:cs="arial"/>
          <w:color w:val="000000"/>
          <w:sz w:val="20"/>
          <w:lang w:val="en-US" w:eastAsia="en-US" w:bidi="ar-SA"/>
        </w:rPr>
        <w:t xml:space="preserve"> (C.A.). There, Mr. Justice Lambert, writing for the Court, set out that the threshold for special cost awards is "reprehensible conduct". He noted the continuum of circumstances in which special costs could be awarded, ranging from "milder forms of misconduct deserving of reproof or rebuke" to "scandalous or outrageous conduct":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Having regard to the terminology adopted by Madam Justice McLachlin in </w:t>
      </w:r>
      <w:r>
        <w:rPr>
          <w:rFonts w:ascii="arial" w:eastAsia="arial" w:hAnsi="arial" w:cs="arial"/>
          <w:i/>
          <w:color w:val="000000"/>
          <w:sz w:val="20"/>
          <w:lang w:val="en-US" w:eastAsia="en-US" w:bidi="ar-SA"/>
        </w:rPr>
        <w:t>Young v. Young</w:t>
      </w:r>
      <w:r>
        <w:rPr>
          <w:rFonts w:ascii="arial" w:eastAsia="arial" w:hAnsi="arial" w:cs="arial"/>
          <w:color w:val="000000"/>
          <w:sz w:val="20"/>
          <w:lang w:val="en-US" w:eastAsia="en-US" w:bidi="ar-SA"/>
        </w:rPr>
        <w:t xml:space="preserve">, to the terminology adopted by Mr. Justice Cumming in </w:t>
      </w:r>
      <w:r>
        <w:rPr>
          <w:rFonts w:ascii="arial" w:eastAsia="arial" w:hAnsi="arial" w:cs="arial"/>
          <w:i/>
          <w:color w:val="000000"/>
          <w:sz w:val="20"/>
          <w:lang w:val="en-US" w:eastAsia="en-US" w:bidi="ar-SA"/>
        </w:rPr>
        <w:t>Fullerton v. Matsqui</w:t>
      </w:r>
      <w:r>
        <w:rPr>
          <w:rFonts w:ascii="arial" w:eastAsia="arial" w:hAnsi="arial" w:cs="arial"/>
          <w:color w:val="000000"/>
          <w:sz w:val="20"/>
          <w:lang w:val="en-US" w:eastAsia="en-US" w:bidi="ar-SA"/>
        </w:rPr>
        <w:t xml:space="preserve">, and to the application of the standard of "reprehensible conduct" by Chief Justice Esson in </w:t>
      </w:r>
      <w:r>
        <w:rPr>
          <w:rFonts w:ascii="arial" w:eastAsia="arial" w:hAnsi="arial" w:cs="arial"/>
          <w:i/>
          <w:color w:val="000000"/>
          <w:sz w:val="20"/>
          <w:lang w:val="en-US" w:eastAsia="en-US" w:bidi="ar-SA"/>
        </w:rPr>
        <w:t>Leung v. Leung</w:t>
      </w:r>
      <w:r>
        <w:rPr>
          <w:rFonts w:ascii="arial" w:eastAsia="arial" w:hAnsi="arial" w:cs="arial"/>
          <w:color w:val="000000"/>
          <w:sz w:val="20"/>
          <w:lang w:val="en-US" w:eastAsia="en-US" w:bidi="ar-SA"/>
        </w:rPr>
        <w:t xml:space="preserve"> in awarding special costs in circumstances where he had explicitly found that the conduct in question was neither scandalous nor outrageous, but could only be categorized as one of the "milder forms of misconduct" which could simply be said to be "deserving of reproof or rebuke", it is my opinion that the single standard for the awarding of special costs is that the conduct in question properly be categorized as "reprehensible". As Chief Justice Esson said in </w:t>
      </w:r>
      <w:r>
        <w:rPr>
          <w:rFonts w:ascii="arial" w:eastAsia="arial" w:hAnsi="arial" w:cs="arial"/>
          <w:i/>
          <w:color w:val="000000"/>
          <w:sz w:val="20"/>
          <w:lang w:val="en-US" w:eastAsia="en-US" w:bidi="ar-SA"/>
        </w:rPr>
        <w:t>Leung v. Leung</w:t>
      </w:r>
      <w:r>
        <w:rPr>
          <w:rFonts w:ascii="arial" w:eastAsia="arial" w:hAnsi="arial" w:cs="arial"/>
          <w:color w:val="000000"/>
          <w:sz w:val="20"/>
          <w:lang w:val="en-US" w:eastAsia="en-US" w:bidi="ar-SA"/>
        </w:rPr>
        <w:t>, the word reprehensible is a word of wide meaning. It encompasses scandalous or outrageous conduct but it also encompasses milder forms of misconduct deserving of reproof or rebuke. Accordingly, the standard represented by the word reprehensible, taken in that sense, must represent a general and all encompassing expression of the applicable standard for the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Furthermore, the "reprehensible conduct" that is considered by the Court, for the purposes of awarding special costs, must be conduct that occurs during the course of the litigation process: </w:t>
      </w:r>
      <w:r>
        <w:rPr>
          <w:rFonts w:ascii="arial" w:eastAsia="arial" w:hAnsi="arial" w:cs="arial"/>
          <w:i/>
          <w:color w:val="000000"/>
          <w:sz w:val="20"/>
          <w:lang w:val="en-US" w:eastAsia="en-US" w:bidi="ar-SA"/>
        </w:rPr>
        <w:t>Smithies</w:t>
      </w:r>
      <w:r>
        <w:rPr>
          <w:rFonts w:ascii="arial" w:eastAsia="arial" w:hAnsi="arial" w:cs="arial"/>
          <w:color w:val="000000"/>
          <w:sz w:val="20"/>
          <w:lang w:val="en-US" w:eastAsia="en-US" w:bidi="ar-SA"/>
        </w:rPr>
        <w:t xml:space="preserve"> at paras. 3 and 128. Mr. Justice Goepel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[131] As has been set out in many authorities reviewed here, pre-litigation conduct that gives rise to a cause of action will already be the subject of a damage award flowing from the objectionable conduct. Where a party's misconduct is so malicious, oppressive and high-handed that it offends the court's sense of decency, an award of punitive damages may also follow.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xml:space="preserve"> provides a principled structured framework for such awards.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[132] Special costs are an inherently unsatisfactory mechanism to punish pre-litigation conduct. Special costs are intended to punish reprehensible conduct which as per </w:t>
      </w:r>
      <w:r>
        <w:rPr>
          <w:rFonts w:ascii="arial" w:eastAsia="arial" w:hAnsi="arial" w:cs="arial"/>
          <w:i/>
          <w:color w:val="000000"/>
          <w:sz w:val="20"/>
          <w:lang w:val="en-US" w:eastAsia="en-US" w:bidi="ar-SA"/>
        </w:rPr>
        <w:t>Garcia</w:t>
      </w:r>
      <w:r>
        <w:rPr>
          <w:rFonts w:ascii="arial" w:eastAsia="arial" w:hAnsi="arial" w:cs="arial"/>
          <w:color w:val="000000"/>
          <w:sz w:val="20"/>
          <w:lang w:val="en-US" w:eastAsia="en-US" w:bidi="ar-SA"/>
        </w:rPr>
        <w:t xml:space="preserve"> includes scandalous or outrageous conduct as well as milder forms of misconduct deserving of reproof or rebuke. The case law has considered a range of pre-litigation conduct, including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fiduciary duty, fraud, misappropriation, deceit, sexual assault, failure to follow a constitutionally mandated process and murder. All such conduct could be said to be deserving of rebuke. Indeed, as noted in </w:t>
      </w:r>
      <w:r>
        <w:rPr>
          <w:rFonts w:ascii="arial" w:eastAsia="arial" w:hAnsi="arial" w:cs="arial"/>
          <w:i/>
          <w:color w:val="000000"/>
          <w:sz w:val="20"/>
          <w:lang w:val="en-US" w:eastAsia="en-US" w:bidi="ar-SA"/>
        </w:rPr>
        <w:t>Kongrecki</w:t>
      </w:r>
      <w:r>
        <w:rPr>
          <w:rFonts w:ascii="arial" w:eastAsia="arial" w:hAnsi="arial" w:cs="arial"/>
          <w:color w:val="000000"/>
          <w:sz w:val="20"/>
          <w:lang w:val="en-US" w:eastAsia="en-US" w:bidi="ar-SA"/>
        </w:rPr>
        <w:t>, almost every unsuccessful litigant is deserving of reproof or rebuke.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[133] Attempting to draw the line on a principled basis as to what pre-litigation conduct should be sanctioned by special costs and which should not is, as amply demonstrated by the case law, a near impossible task. It is also an unnecessary task as the law already provides appropriate relief and remedies for such conduct. In my respectful opinion, special costs should only be awarded to punish reprehensible conduct 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Grant v. Lowres</w:t>
      </w:r>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2018 BCCA 311</w:t>
        </w:r>
      </w:hyperlink>
      <w:r>
        <w:rPr>
          <w:rFonts w:ascii="arial" w:eastAsia="arial" w:hAnsi="arial" w:cs="arial"/>
          <w:color w:val="000000"/>
          <w:sz w:val="20"/>
          <w:lang w:val="en-US" w:eastAsia="en-US" w:bidi="ar-SA"/>
        </w:rPr>
        <w:t xml:space="preserve"> at para. 38; </w:t>
      </w:r>
      <w:r>
        <w:rPr>
          <w:rFonts w:ascii="arial" w:eastAsia="arial" w:hAnsi="arial" w:cs="arial"/>
          <w:i/>
          <w:color w:val="000000"/>
          <w:sz w:val="20"/>
          <w:lang w:val="en-US" w:eastAsia="en-US" w:bidi="ar-SA"/>
        </w:rPr>
        <w:t>Pellerin v. Dingwall</w:t>
      </w:r>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2018 BCCA 110</w:t>
        </w:r>
      </w:hyperlink>
      <w:r>
        <w:rPr>
          <w:rFonts w:ascii="arial" w:eastAsia="arial" w:hAnsi="arial" w:cs="arial"/>
          <w:color w:val="000000"/>
          <w:sz w:val="20"/>
          <w:lang w:val="en-US" w:eastAsia="en-US" w:bidi="ar-SA"/>
        </w:rPr>
        <w:t xml:space="preserve"> at paras. 51-52; </w:t>
      </w:r>
      <w:r>
        <w:rPr>
          <w:rFonts w:ascii="arial" w:eastAsia="arial" w:hAnsi="arial" w:cs="arial"/>
          <w:i/>
          <w:color w:val="000000"/>
          <w:sz w:val="20"/>
          <w:lang w:val="en-US" w:eastAsia="en-US" w:bidi="ar-SA"/>
        </w:rPr>
        <w:t>Nazerali v. Mitchell</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2018 BCCA 104</w:t>
        </w:r>
      </w:hyperlink>
      <w:r>
        <w:rPr>
          <w:rFonts w:ascii="arial" w:eastAsia="arial" w:hAnsi="arial" w:cs="arial"/>
          <w:color w:val="000000"/>
          <w:sz w:val="20"/>
          <w:lang w:val="en-US" w:eastAsia="en-US" w:bidi="ar-SA"/>
        </w:rPr>
        <w:t xml:space="preserve"> at para. 114.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Mayer v. Osborne Contracting Ltd.</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2011 BCSC 914</w:t>
        </w:r>
      </w:hyperlink>
      <w:r>
        <w:rPr>
          <w:rFonts w:ascii="arial" w:eastAsia="arial" w:hAnsi="arial" w:cs="arial"/>
          <w:color w:val="000000"/>
          <w:sz w:val="20"/>
          <w:lang w:val="en-US" w:eastAsia="en-US" w:bidi="ar-SA"/>
        </w:rPr>
        <w:t>, described, at para. 11, various circumstances in which special costs have been or may be ordered:</w:t>
      </w:r>
      <w:r>
        <w:rPr>
          <w:rFonts w:ascii="arial" w:eastAsia="arial" w:hAnsi="arial" w:cs="arial"/>
          <w:sz w:val="20"/>
          <w:lang w:val="en-US" w:eastAsia="en-US" w:bidi="ar-SA"/>
        </w:rPr>
        <w:cr/>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pursues a meritless claim and is reckless with regard to the truth;</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makes improper allegations of fraud, conspiracy, fraudulent misrepresentation, or breach of fiduciary duty;</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has displayed "reckless indifference" by not recognizing early on that its claim was manifestly deficient;</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made the resolution of an issue far more difficult than it should have been;</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who is in a financially superior position to the other brings proceedings, not with the reasonable expectation of a favourable outcome, but in the absence of merit in order to impose a financial burden on the opposing party;</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presents a case so weak that it is bound to fail, and continues to pursue its meritless claim after it is drawn to its attention that the claim is without merit;</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brings a proceeding for an improper motive;</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maintains unfounded allegations of fraud or dishonesty; and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pursues claims frivolously or without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For a summary of the case law that illustrates these various circumstances more fully, see </w:t>
      </w:r>
      <w:r>
        <w:rPr>
          <w:rFonts w:ascii="arial" w:eastAsia="arial" w:hAnsi="arial" w:cs="arial"/>
          <w:i/>
          <w:color w:val="000000"/>
          <w:sz w:val="20"/>
          <w:lang w:val="en-US" w:eastAsia="en-US" w:bidi="ar-SA"/>
        </w:rPr>
        <w:t>Westsea Construction Ltd. v. 0759553 B.C. Ltd.</w:t>
      </w:r>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2013 BCSC 1352</w:t>
        </w:r>
      </w:hyperlink>
      <w:r>
        <w:rPr>
          <w:rFonts w:ascii="arial" w:eastAsia="arial" w:hAnsi="arial" w:cs="arial"/>
          <w:color w:val="000000"/>
          <w:sz w:val="20"/>
          <w:lang w:val="en-US" w:eastAsia="en-US" w:bidi="ar-SA"/>
        </w:rPr>
        <w:t xml:space="preserve"> at paras. 38-87.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Madam Justice Gropper added to this list in </w:t>
      </w:r>
      <w:r>
        <w:rPr>
          <w:rFonts w:ascii="arial" w:eastAsia="arial" w:hAnsi="arial" w:cs="arial"/>
          <w:i/>
          <w:color w:val="000000"/>
          <w:sz w:val="20"/>
          <w:lang w:val="en-US" w:eastAsia="en-US" w:bidi="ar-SA"/>
        </w:rPr>
        <w:t>Westsea</w:t>
      </w:r>
      <w:r>
        <w:rPr>
          <w:rFonts w:ascii="arial" w:eastAsia="arial" w:hAnsi="arial" w:cs="arial"/>
          <w:color w:val="000000"/>
          <w:sz w:val="20"/>
          <w:lang w:val="en-US" w:eastAsia="en-US" w:bidi="ar-SA"/>
        </w:rPr>
        <w:t xml:space="preserve"> and highlighted decisions in which evidence was deliberately falsified and tendered at a proceeding to mislead the court (</w:t>
      </w:r>
      <w:r>
        <w:rPr>
          <w:rFonts w:ascii="arial" w:eastAsia="arial" w:hAnsi="arial" w:cs="arial"/>
          <w:i/>
          <w:color w:val="000000"/>
          <w:sz w:val="20"/>
          <w:lang w:val="en-US" w:eastAsia="en-US" w:bidi="ar-SA"/>
        </w:rPr>
        <w:t>Chudy v. Merchant Law Group</w:t>
      </w:r>
      <w:r>
        <w:rPr>
          <w:rFonts w:ascii="arial" w:eastAsia="arial" w:hAnsi="arial" w:cs="arial"/>
          <w:color w:val="000000"/>
          <w:sz w:val="20"/>
          <w:lang w:val="en-US" w:eastAsia="en-US" w:bidi="ar-SA"/>
        </w:rPr>
        <w:t xml:space="preserve">, </w:t>
      </w:r>
      <w:hyperlink r:id="rId514" w:history="1">
        <w:r>
          <w:rPr>
            <w:rFonts w:ascii="arial" w:eastAsia="arial" w:hAnsi="arial" w:cs="arial"/>
            <w:i/>
            <w:color w:val="0077CC"/>
            <w:sz w:val="20"/>
            <w:u w:val="single"/>
            <w:shd w:val="clear" w:color="auto" w:fill="FFFFFF"/>
            <w:lang w:val="en-US" w:eastAsia="en-US" w:bidi="ar-SA"/>
          </w:rPr>
          <w:t>2009 BCCA 93</w:t>
        </w:r>
      </w:hyperlink>
      <w:r>
        <w:rPr>
          <w:rFonts w:ascii="arial" w:eastAsia="arial" w:hAnsi="arial" w:cs="arial"/>
          <w:color w:val="000000"/>
          <w:sz w:val="20"/>
          <w:lang w:val="en-US" w:eastAsia="en-US" w:bidi="ar-SA"/>
        </w:rPr>
        <w:t xml:space="preserve"> at paras. 9-10), where contempt orders were made (</w:t>
      </w:r>
      <w:r>
        <w:rPr>
          <w:rFonts w:ascii="arial" w:eastAsia="arial" w:hAnsi="arial" w:cs="arial"/>
          <w:i/>
          <w:color w:val="000000"/>
          <w:sz w:val="20"/>
          <w:lang w:val="en-US" w:eastAsia="en-US" w:bidi="ar-SA"/>
        </w:rPr>
        <w:t>Telus Communications Inc. v. Telecommunications Workers Union</w:t>
      </w:r>
      <w:r>
        <w:rPr>
          <w:rFonts w:ascii="arial" w:eastAsia="arial" w:hAnsi="arial" w:cs="arial"/>
          <w:color w:val="000000"/>
          <w:sz w:val="20"/>
          <w:lang w:val="en-US" w:eastAsia="en-US" w:bidi="ar-SA"/>
        </w:rPr>
        <w:t xml:space="preserve">, </w:t>
      </w:r>
      <w:hyperlink r:id="rId515" w:history="1">
        <w:r>
          <w:rPr>
            <w:rFonts w:ascii="arial" w:eastAsia="arial" w:hAnsi="arial" w:cs="arial"/>
            <w:i/>
            <w:color w:val="0077CC"/>
            <w:sz w:val="20"/>
            <w:u w:val="single"/>
            <w:shd w:val="clear" w:color="auto" w:fill="FFFFFF"/>
            <w:lang w:val="en-US" w:eastAsia="en-US" w:bidi="ar-SA"/>
          </w:rPr>
          <w:t>2008 BCCA 144</w:t>
        </w:r>
      </w:hyperlink>
      <w:r>
        <w:rPr>
          <w:rFonts w:ascii="arial" w:eastAsia="arial" w:hAnsi="arial" w:cs="arial"/>
          <w:color w:val="000000"/>
          <w:sz w:val="20"/>
          <w:lang w:val="en-US" w:eastAsia="en-US" w:bidi="ar-SA"/>
        </w:rPr>
        <w:t xml:space="preserve"> at paras. 30-31), and where there were serious and repeated instances of sharp practice (</w:t>
      </w:r>
      <w:r>
        <w:rPr>
          <w:rFonts w:ascii="arial" w:eastAsia="arial" w:hAnsi="arial" w:cs="arial"/>
          <w:i/>
          <w:color w:val="000000"/>
          <w:sz w:val="20"/>
          <w:lang w:val="en-US" w:eastAsia="en-US" w:bidi="ar-SA"/>
        </w:rPr>
        <w:t>Johal v. Dosang</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(1998), 48 B.C.L.R. (3d) 236</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Grewal v. Nijjer</w:t>
      </w:r>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2011 BCCA 505</w:t>
        </w:r>
      </w:hyperlink>
      <w:r>
        <w:rPr>
          <w:rFonts w:ascii="arial" w:eastAsia="arial" w:hAnsi="arial" w:cs="arial"/>
          <w:color w:val="000000"/>
          <w:sz w:val="20"/>
          <w:lang w:val="en-US" w:eastAsia="en-US" w:bidi="ar-SA"/>
        </w:rPr>
        <w:t>) as further situations or factors that might justify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jurisprudence establishes that it is often a combination of factors, "no single one of which would necessarily have been sufficient in itself", that will support a finding that a party's conduct is reprehensible and deserving of a special costs award: </w:t>
      </w:r>
      <w:r>
        <w:rPr>
          <w:rFonts w:ascii="arial" w:eastAsia="arial" w:hAnsi="arial" w:cs="arial"/>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(1994), 9 B.C.L.R. (3d) 242</w:t>
        </w:r>
      </w:hyperlink>
      <w:r>
        <w:rPr>
          <w:rFonts w:ascii="arial" w:eastAsia="arial" w:hAnsi="arial" w:cs="arial"/>
          <w:color w:val="000000"/>
          <w:sz w:val="20"/>
          <w:lang w:val="en-US" w:eastAsia="en-US" w:bidi="ar-SA"/>
        </w:rPr>
        <w:t xml:space="preserve"> (C.A.)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Finally, Madam Justice Gropper, in </w:t>
      </w:r>
      <w:r>
        <w:rPr>
          <w:rFonts w:ascii="arial" w:eastAsia="arial" w:hAnsi="arial" w:cs="arial"/>
          <w:i/>
          <w:color w:val="000000"/>
          <w:sz w:val="20"/>
          <w:lang w:val="en-US" w:eastAsia="en-US" w:bidi="ar-SA"/>
        </w:rPr>
        <w:t>Westsea</w:t>
      </w:r>
      <w:r>
        <w:rPr>
          <w:rFonts w:ascii="arial" w:eastAsia="arial" w:hAnsi="arial" w:cs="arial"/>
          <w:color w:val="000000"/>
          <w:sz w:val="20"/>
          <w:lang w:val="en-US" w:eastAsia="en-US" w:bidi="ar-SA"/>
        </w:rPr>
        <w:t xml:space="preserve"> at para. 73, developed the following set of guidelines that are relevant to an award of special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undertaken a thorough review of the cases involving special costs. Having examined the authorities provided by both sides, it is apparent to me that the courts have been somewhat inconsistent in their determination of what amounts to reprehensible conduct and that those authorities must be reconciled. Based upon my review of the authorities, I have derived the following principles for awarding special costs:</w:t>
      </w:r>
    </w:p>
    <w:p>
      <w:pPr>
        <w:numPr>
          <w:numId w:val="3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exercise restraint in awarding specials costs;</w:t>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seeking special costs must demonstrate exceptional circumstances to justify a special costs order;</w:t>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simply because the legal concept of "reprehensibility" captures different kinds of misconduct does not mean that all forms of misconduct are encompassed by this term;</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reprehensibility will likely be found in circumstances where there is evidence of improper motive, abuse of the court's process, misleading the court and persistent breaches of the rules of professional conduct and the rules of court that prejudice the applicant;</w:t>
      </w:r>
    </w:p>
    <w:p>
      <w:pPr>
        <w:numPr>
          <w:numId w:val="3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 can be ordered against parties and non-parties alike; and</w:t>
      </w:r>
    </w:p>
    <w:p>
      <w:pPr>
        <w:numPr>
          <w:numId w:val="4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successful litigant is entitled to costs in accordance with the general rule that costs follow the event. Special costs are not awarded to a successful party as a "bonus" or further compensation for that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this case, counsel for the Plaintiff argued that it was i) Mrs. Pengelly's breach of the various fiduciary obligations she held as executor under her mother's will and as holder of the power of attorney that she had been granted by her mother, ii) her dishonesty at trial, and iii) her failure to produce relevant documents during the course of the proceedings, that, either individually or in combination, warranted an award of special costs. Counsel's emphasis on these latter two considerations is warranted as I made a series of findings, in the Reasons, in relation to Mrs. Pengelly's truthfulness; see, for example, paras. 54, 73, 75, 77, 87, and 154 of the Reasons. I also addressed Mrs. Pengelly's failure to disclose relevant documents and described that failure as "egregious"; see paras. 71, 95, and 98 of the Reasons. Accordingly, it is these two considerations, and the case law that is relevant to them, that I have focused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first consideration, Mrs. Pengelly's dishonesty in overseeing her mother's affairs and her breach of her various fiduciary duties, is directly addressed by the Court of Appeal's decision in </w:t>
      </w:r>
      <w:r>
        <w:rPr>
          <w:rFonts w:ascii="arial" w:eastAsia="arial" w:hAnsi="arial" w:cs="arial"/>
          <w:i/>
          <w:color w:val="000000"/>
          <w:sz w:val="20"/>
          <w:lang w:val="en-US" w:eastAsia="en-US" w:bidi="ar-SA"/>
        </w:rPr>
        <w:t>Kyle Estate</w:t>
      </w:r>
      <w:r>
        <w:rPr>
          <w:rFonts w:ascii="arial" w:eastAsia="arial" w:hAnsi="arial" w:cs="arial"/>
          <w:color w:val="000000"/>
          <w:sz w:val="20"/>
          <w:lang w:val="en-US" w:eastAsia="en-US" w:bidi="ar-SA"/>
        </w:rPr>
        <w:t>. In that case the trial judge had made an award of special costs on the basis of certain pre-litigation conduct as well as on account of the fact that the court was dealing with an executor who had acted dishonestly and in breach of his fiduciary obligations which, in turn, had given rise to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Madam Justice Saunders, for the Court, determined, however, that it was inappropriate to consider the defendant's pre-litigation conduct and that the other "reprehensible conduct" was the "very subject of the litigation and was a triable issue"; at paras. 45, 48 and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So too, in this case, the Plaintiff seeks to rely on the nature and seriousness of the claims that were advanced against Mrs. Pengelly as a basis for an award for special costs. The fact that the Plaintiff advanced a claim for breach of fiduciary obligation, or any other reason that pertains to the nature of the causes of action or claims at issue at trial, is a matter that is properly addressed in the result of the litigation. It can also, in appropriate circumstances, be addressed with an award of punitive damages. Such damages are aimed at punishing a litigant for their pre-litigation conduct: </w:t>
      </w:r>
      <w:r>
        <w:rPr>
          <w:rFonts w:ascii="arial" w:eastAsia="arial" w:hAnsi="arial" w:cs="arial"/>
          <w:i/>
          <w:color w:val="000000"/>
          <w:sz w:val="20"/>
          <w:lang w:val="en-US" w:eastAsia="en-US" w:bidi="ar-SA"/>
        </w:rPr>
        <w:t>Smithies</w:t>
      </w:r>
      <w:r>
        <w:rPr>
          <w:rFonts w:ascii="arial" w:eastAsia="arial" w:hAnsi="arial" w:cs="arial"/>
          <w:color w:val="000000"/>
          <w:sz w:val="20"/>
          <w:lang w:val="en-US" w:eastAsia="en-US" w:bidi="ar-SA"/>
        </w:rPr>
        <w:t xml:space="preserve"> at para. 131. Conversely, special costs are intended to punish a litigant for their conduct during the litigation itself. Accordingly I do not consider that this aspect of the Plaintiff's submissions can properly ground or contribute to the analysis of the special costs award he seeks.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Dishonest testimony alone is insufficient to warrant an award of special costs; something more egregious in the impugned conduct at issue is required. This would include, for example, multiple instances of deliberate lying designed to mislead the Court, forgery of documents, or the deliberate concoction of evidence to support a party's position: </w:t>
      </w:r>
      <w:r>
        <w:rPr>
          <w:rFonts w:ascii="arial" w:eastAsia="arial" w:hAnsi="arial" w:cs="arial"/>
          <w:i/>
          <w:color w:val="000000"/>
          <w:sz w:val="20"/>
          <w:lang w:val="en-US" w:eastAsia="en-US" w:bidi="ar-SA"/>
        </w:rPr>
        <w:t>Mayer</w:t>
      </w:r>
      <w:r>
        <w:rPr>
          <w:rFonts w:ascii="arial" w:eastAsia="arial" w:hAnsi="arial" w:cs="arial"/>
          <w:color w:val="000000"/>
          <w:sz w:val="20"/>
          <w:lang w:val="en-US" w:eastAsia="en-US" w:bidi="ar-SA"/>
        </w:rPr>
        <w:t xml:space="preserve"> at paras. 12-15. In </w:t>
      </w:r>
      <w:r>
        <w:rPr>
          <w:rFonts w:ascii="arial" w:eastAsia="arial" w:hAnsi="arial" w:cs="arial"/>
          <w:i/>
          <w:color w:val="000000"/>
          <w:sz w:val="20"/>
          <w:lang w:val="en-US" w:eastAsia="en-US" w:bidi="ar-SA"/>
        </w:rPr>
        <w:t>Grewal v. Sandhu</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2012 BCCA 26</w:t>
        </w:r>
      </w:hyperlink>
      <w:r>
        <w:rPr>
          <w:rFonts w:ascii="arial" w:eastAsia="arial" w:hAnsi="arial" w:cs="arial"/>
          <w:color w:val="000000"/>
          <w:sz w:val="20"/>
          <w:lang w:val="en-US" w:eastAsia="en-US" w:bidi="ar-SA"/>
        </w:rPr>
        <w:t>, the Court addressed a party's lack of candour and commented that lack of candour and efforts to conceal evidence were an insufficient basis, on their own, to make an award of special costs. If such an award could be made based on the acceptance or rejection of testimony, "instead of being an extraordinary measure, special costs could be imposed whenever credibility was in issue": paras. 103-107.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Whether the non-disclosure of relevant documents can meet the threshold required to make an award of special costs has been the subject of some debate. In </w:t>
      </w:r>
      <w:r>
        <w:rPr>
          <w:rFonts w:ascii="arial" w:eastAsia="arial" w:hAnsi="arial" w:cs="arial"/>
          <w:i/>
          <w:color w:val="000000"/>
          <w:sz w:val="20"/>
          <w:lang w:val="en-US" w:eastAsia="en-US" w:bidi="ar-SA"/>
        </w:rPr>
        <w:t>Leung v. Leung</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(1993), 77 B.C.L.R. (2d) 314</w:t>
        </w:r>
      </w:hyperlink>
      <w:r>
        <w:rPr>
          <w:rFonts w:ascii="arial" w:eastAsia="arial" w:hAnsi="arial" w:cs="arial"/>
          <w:color w:val="000000"/>
          <w:sz w:val="20"/>
          <w:lang w:val="en-US" w:eastAsia="en-US" w:bidi="ar-SA"/>
        </w:rPr>
        <w:t xml:space="preserve"> (S.C.), Chief Justice Esson concluded that Mr. Leung's conduct was not reprehensible: at para. 6. In arriving at this conclusion he observed that there had been no material non-disclosure or misrepresentation in the case: at para. 3. This might suggest that material non-disclosure can constitute reprehensible conduct, particularly if it makes the resolution of an issue more difficult and/or more expensive and/or causes delay in the resolution of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Fullerton v. Matsqui (District)</w:t>
      </w:r>
      <w:r>
        <w:rPr>
          <w:rFonts w:ascii="arial" w:eastAsia="arial" w:hAnsi="arial" w:cs="arial"/>
          <w:color w:val="000000"/>
          <w:sz w:val="20"/>
          <w:lang w:val="en-US" w:eastAsia="en-US" w:bidi="ar-SA"/>
        </w:rPr>
        <w:t xml:space="preserve">, </w:t>
      </w:r>
      <w:hyperlink r:id="rId518" w:history="1">
        <w:r>
          <w:rPr>
            <w:rFonts w:ascii="arial" w:eastAsia="arial" w:hAnsi="arial" w:cs="arial"/>
            <w:i/>
            <w:color w:val="0077CC"/>
            <w:sz w:val="20"/>
            <w:u w:val="single"/>
            <w:shd w:val="clear" w:color="auto" w:fill="FFFFFF"/>
            <w:lang w:val="en-US" w:eastAsia="en-US" w:bidi="ar-SA"/>
          </w:rPr>
          <w:t>[1992] B.C.J. No. 2969</w:t>
        </w:r>
      </w:hyperlink>
      <w:r>
        <w:rPr>
          <w:rFonts w:ascii="arial" w:eastAsia="arial" w:hAnsi="arial" w:cs="arial"/>
          <w:color w:val="000000"/>
          <w:sz w:val="20"/>
          <w:lang w:val="en-US" w:eastAsia="en-US" w:bidi="ar-SA"/>
        </w:rPr>
        <w:t xml:space="preserve"> (C.A.), the Court of Appeal considered "'deliberate non-disclosure' in the face of repeated public inquiries" to be at least one appropriate factor in an award of special costs: para. 12. In </w:t>
      </w:r>
      <w:r>
        <w:rPr>
          <w:rFonts w:ascii="arial" w:eastAsia="arial" w:hAnsi="arial" w:cs="arial"/>
          <w:i/>
          <w:color w:val="000000"/>
          <w:sz w:val="20"/>
          <w:lang w:val="en-US" w:eastAsia="en-US" w:bidi="ar-SA"/>
        </w:rPr>
        <w:t>Solex Developments Co. v. Taylor (District)</w:t>
      </w:r>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(1998), 60 B.C.L.R. (3d) 53</w:t>
        </w:r>
      </w:hyperlink>
      <w:r>
        <w:rPr>
          <w:rFonts w:ascii="arial" w:eastAsia="arial" w:hAnsi="arial" w:cs="arial"/>
          <w:color w:val="000000"/>
          <w:sz w:val="20"/>
          <w:lang w:val="en-US" w:eastAsia="en-US" w:bidi="ar-SA"/>
        </w:rPr>
        <w:t xml:space="preserve"> (C.A.), Madam Justice Southin also considered "material non-disclosure" to be a factor justifying an order of special costs: paras. 27-28. In </w:t>
      </w:r>
      <w:r>
        <w:rPr>
          <w:rFonts w:ascii="arial" w:eastAsia="arial" w:hAnsi="arial" w:cs="arial"/>
          <w:i/>
          <w:color w:val="000000"/>
          <w:sz w:val="20"/>
          <w:lang w:val="en-US" w:eastAsia="en-US" w:bidi="ar-SA"/>
        </w:rPr>
        <w:t>Westsea</w:t>
      </w:r>
      <w:r>
        <w:rPr>
          <w:rFonts w:ascii="arial" w:eastAsia="arial" w:hAnsi="arial" w:cs="arial"/>
          <w:color w:val="000000"/>
          <w:sz w:val="20"/>
          <w:lang w:val="en-US" w:eastAsia="en-US" w:bidi="ar-SA"/>
        </w:rPr>
        <w:t>, and in addressing whether a party's conduct warranted an award of special costs, Gropper J. considered delay, non-attendance at an examination for discovery, and deficient document production. She said, at para. 82: "These issues do not necessarily give rise to the inference of obstructive conduct ... Significantly, none of these alleged procedural deficiencies resulted in 'material non-disclosure'."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These various authorities suggest that non-disclosure of material documents, without more, may not be sufficient to ground an award of special costs. This conclusion is, of course, largely dependent on the circumstances of each case. Material non-disclosure, on its own, may warrant special costs particularly if the material non-disclosure is egregious, gives rise to delay, and is "obstructive" in its purpose and result. In other less extreme cases, non-disclosure will be only one of several factors that, together, justify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guidance from the various authorities I have referred to gives rise to the following conclusions:</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Westsea</w:t>
      </w:r>
      <w:r>
        <w:rPr>
          <w:rFonts w:ascii="arial" w:eastAsia="arial" w:hAnsi="arial" w:cs="arial"/>
          <w:color w:val="000000"/>
          <w:sz w:val="20"/>
          <w:lang w:val="en-US" w:eastAsia="en-US" w:bidi="ar-SA"/>
        </w:rPr>
        <w:t xml:space="preserve"> establishes that a court "must exercise restraint" in awarding special costs and that the party seeking such costs "must demonstrate exceptional circumstances": para. 73;</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Unfortunately a dishonest witness is not an extraordinary or exceptional circumstance. Though Mrs. Pengelly was not forthright I do not consider that her behaviour, or the extent of such behaviour, supports a special costs award;</w:t>
      </w:r>
    </w:p>
    <w:p>
      <w:pPr>
        <w:numPr>
          <w:numId w:val="4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stronger basis for the cost award that the Plaintiff seeks is Mrs. Pengelly's failure to produce relevant documents. That failure was egregious. Mrs. Pengelly was, however, self-represented both for a period of time prior to trial and at the trial itself. Though I considered that Mrs. Pengelly's status as a self-represented litigant did not excuse her from her obligation to produce relevant documents (Reasons at paras. 95-98) I consider that that status is relevant to whether her conduct warrants the Court's further rebuke and a cost award that is intended to be punitive.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Based on the foregoing considerations I do not consider that an award of special costs would be appropriate in the circumstances of this case.</w:t>
      </w:r>
      <w:r>
        <w:rPr>
          <w:rFonts w:ascii="arial" w:eastAsia="arial" w:hAnsi="arial" w:cs="arial"/>
          <w:sz w:val="20"/>
          <w:lang w:val="en-US" w:eastAsia="en-US" w:bidi="ar-SA"/>
        </w:rPr>
        <w:cr/>
      </w:r>
    </w:p>
    <w:p>
      <w:pPr>
        <w:numPr>
          <w:numId w:val="4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Double Costs</w:t>
      </w:r>
    </w:p>
    <w:p>
      <w:pPr>
        <w:numPr>
          <w:numId w:val="4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jurisdiction to make an award of double costs is found in Rule 9-1(5)(b) of the SCCR:</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proceeding in which an offer to settle has been made, the court may do one or more of the following:</w:t>
      </w:r>
    </w:p>
    <w:p>
      <w:pPr>
        <w:numPr>
          <w:numId w:val="4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double costs of all or some of the steps taken in the proceeding after the date of delivery or service of the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Rule 9-1(6) prescribes the considerations a court is to consider in weighing the appropriateness of an award of double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Considerations of court</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an order under subrule (5), the court may consider the following:</w:t>
      </w:r>
    </w:p>
    <w:p>
      <w:pPr>
        <w:numPr>
          <w:numId w:val="4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served or on any later date;</w:t>
      </w:r>
    </w:p>
    <w:p>
      <w:pPr>
        <w:numPr>
          <w:numId w:val="5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numPr>
          <w:numId w:val="5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5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 The 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sent a formal settlement offer to Mrs. Pengelly on January 3, 2017 (the "First Offer"). At that time David was not yet a defendant in the action. The First Offer was a detailed three-page letter that laid out the history of the dispute, the nature of the claims being advanced, and the basis for the settlement offer being made. The amount of the First Offer was $173,804.13 plus interest. That sum represented one-third of the proceeds of the Deceased's home after adjustments and expenses less a further $20,000, which represented amounts previously received by the Plaintiff. Mrs. Pengelly never responded to the First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sent a second formal settlement offer (the "Second Offer") to both Mrs. Pengelly and David on January 18, 2019. The Second Offer was delivered on the Friday afternoon prior to the start of the trial the following Monday. The Second Offer was a two-page letter which again explained, albeit briefly, the basis for the offer being made. That offer was again based on the sale proceeds of the Deceased's home less the deduction of various specifically described amounts. The settlement proposal was further discounted by approximately $50,000, to the all inclusive sum of $130,000, to prompt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Mrs. Pengelly rejected the Second Offer, within a half hour of its being made, on behalf of both herself and David. Her email concludes with the words "Best of luck on Monday, as you will need it". Mrs. Pengelly never made a settlement proposal or a counter-offer of any kind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Both the First Offer and the Second Offer complied with the formal requirements of Rule 9-1(1)(c).</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iii)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regime in Rule 9-1 can advance various important objects: see for example </w:t>
      </w:r>
      <w:r>
        <w:rPr>
          <w:rFonts w:ascii="arial" w:eastAsia="arial" w:hAnsi="arial" w:cs="arial"/>
          <w:i/>
          <w:color w:val="000000"/>
          <w:sz w:val="20"/>
          <w:lang w:val="en-US" w:eastAsia="en-US" w:bidi="ar-SA"/>
        </w:rPr>
        <w:t>Lakhani v. Elliott</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2010 BCSC 281</w:t>
        </w:r>
      </w:hyperlink>
      <w:r>
        <w:rPr>
          <w:rFonts w:ascii="arial" w:eastAsia="arial" w:hAnsi="arial" w:cs="arial"/>
          <w:color w:val="000000"/>
          <w:sz w:val="20"/>
          <w:lang w:val="en-US" w:eastAsia="en-US" w:bidi="ar-SA"/>
        </w:rPr>
        <w:t xml:space="preserve"> at paras.11-16; </w:t>
      </w:r>
      <w:r>
        <w:rPr>
          <w:rFonts w:ascii="arial" w:eastAsia="arial" w:hAnsi="arial" w:cs="arial"/>
          <w:i/>
          <w:color w:val="000000"/>
          <w:sz w:val="20"/>
          <w:lang w:val="en-US" w:eastAsia="en-US" w:bidi="ar-SA"/>
        </w:rPr>
        <w:t>Bailey v. Jang</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2008 BCSC 1372</w:t>
        </w:r>
      </w:hyperlink>
      <w:r>
        <w:rPr>
          <w:rFonts w:ascii="arial" w:eastAsia="arial" w:hAnsi="arial" w:cs="arial"/>
          <w:color w:val="000000"/>
          <w:sz w:val="20"/>
          <w:lang w:val="en-US" w:eastAsia="en-US" w:bidi="ar-SA"/>
        </w:rPr>
        <w:t xml:space="preserve"> at para. 10. Its dominant purpose, however, is to promote reasonable settlements and to attach some consequence to the failure of a party to accept a reasonable settlement: </w:t>
      </w:r>
      <w:r>
        <w:rPr>
          <w:rFonts w:ascii="arial" w:eastAsia="arial" w:hAnsi="arial" w:cs="arial"/>
          <w:i/>
          <w:color w:val="000000"/>
          <w:sz w:val="20"/>
          <w:lang w:val="en-US" w:eastAsia="en-US" w:bidi="ar-SA"/>
        </w:rPr>
        <w:t>Level One Construction Ltd. v. Burnham</w:t>
      </w:r>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2019 BCSC 548</w:t>
        </w:r>
      </w:hyperlink>
      <w:r>
        <w:rPr>
          <w:rFonts w:ascii="arial" w:eastAsia="arial" w:hAnsi="arial" w:cs="arial"/>
          <w:color w:val="000000"/>
          <w:sz w:val="20"/>
          <w:lang w:val="en-US" w:eastAsia="en-US" w:bidi="ar-SA"/>
        </w:rPr>
        <w:t xml:space="preserve"> at para. 14 and </w:t>
      </w:r>
      <w:r>
        <w:rPr>
          <w:rFonts w:ascii="arial" w:eastAsia="arial" w:hAnsi="arial" w:cs="arial"/>
          <w:i/>
          <w:color w:val="000000"/>
          <w:sz w:val="20"/>
          <w:lang w:val="en-US" w:eastAsia="en-US" w:bidi="ar-SA"/>
        </w:rPr>
        <w:t>Morris v. Robinson</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2019 BCSC 1467</w:t>
        </w:r>
      </w:hyperlink>
      <w:r>
        <w:rPr>
          <w:rFonts w:ascii="arial" w:eastAsia="arial" w:hAnsi="arial" w:cs="arial"/>
          <w:color w:val="000000"/>
          <w:sz w:val="20"/>
          <w:lang w:val="en-US" w:eastAsia="en-US" w:bidi="ar-SA"/>
        </w:rPr>
        <w:t xml:space="preserve"> at para. 38. This dominant purpose was expressed in </w:t>
      </w:r>
      <w:r>
        <w:rPr>
          <w:rFonts w:ascii="arial" w:eastAsia="arial" w:hAnsi="arial" w:cs="arial"/>
          <w:i/>
          <w:color w:val="000000"/>
          <w:sz w:val="20"/>
          <w:lang w:val="en-US" w:eastAsia="en-US" w:bidi="ar-SA"/>
        </w:rPr>
        <w:t>Catalyst Paper Corporation v. Companhia de Navegaçao Norsul</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2009 BCCA 16</w:t>
        </w:r>
      </w:hyperlink>
      <w:r>
        <w:rPr>
          <w:rFonts w:ascii="arial" w:eastAsia="arial" w:hAnsi="arial" w:cs="arial"/>
          <w:color w:val="000000"/>
          <w:sz w:val="20"/>
          <w:lang w:val="en-US" w:eastAsia="en-US" w:bidi="ar-SA"/>
        </w:rPr>
        <w:t>, where the Court, at para. 16,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to me that the trend of recent authorities is to the effect that the costs rules should be utilized to have a winnowing function in the litigation process. The costs rules require litigants to make careful assessments of the strength or lack thereof of their cases at commencement and throughout the course of litigation. The rules should discourage the continuance of doubtful cases or defences. This of course imposes burdens on counsel to carefully consider the strengths and weaknesses of particular fact situations. Such considerations should, among other things, encourage reasonable settlements.</w:t>
      </w:r>
    </w:p>
    <w:p>
      <w:pPr>
        <w:spacing w:before="120"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1. Should the First Offer Have Reasonably been Accepted by Mrs. Pengelly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answer to the foregoing question is not to be addressed with the benefit of hindsight: </w:t>
      </w:r>
      <w:r>
        <w:rPr>
          <w:rFonts w:ascii="arial" w:eastAsia="arial" w:hAnsi="arial" w:cs="arial"/>
          <w:i/>
          <w:color w:val="000000"/>
          <w:sz w:val="20"/>
          <w:lang w:val="en-US" w:eastAsia="en-US" w:bidi="ar-SA"/>
        </w:rPr>
        <w:t>Hartshorne v. Hartshorne</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2011 BCCA 29</w:t>
        </w:r>
      </w:hyperlink>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have focused on the First Offer, rather than the Second Offer, because that offer was extended to Mrs. Pengelly alone and because David's involvement in the Second Offer need not be addressed. Furthermore, the Second Offer was made to two self-represented litigants on the eve of trial. Some of the timing issues that are often considered within the context of Rule 9-1(6)(a), and that might be raised in the context of the Second Offer, are irrelevant to the First Offer. Finally, I am satisfied that it is the First Offer that more appropriately addresses the object of Rule 9-1 and its promotion of reasonable settlements.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am satisfied that the First Offer should have been accepted by Mrs. Pengelly. She would have been aware of her wrongdoing. She would also have been aware that she had no principled or legitimate basis on which to defend the Plaintiff's claim. This blunt statement reflects the reality of the trial that took place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Mrs. Pengelly sought to advance her defence with a single third-party witness and with almost no documents in a case that should be been, to a significant extent, document driven. Her defence relied, in the first instance, on the proposition that the Deceased had gifted her home to Mrs. Pengelly. There was virtually no admissible or reliable evidence that supported this assertion. Conversely, Mrs. Pengelly's claim was refuted by a significant body of evidence: Reasons at paras. 139-145.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second dominant aspect of Mrs. Pengelly's defence relied on the related and bare assertions that she knew nothing of what had happened to a significant part of her mother's assets and that she had nothing to do with the dissipation of those assets. In this regard it is relevant that the Deceased had, for a number of years, suffered from Parkinson's disease and that she had, in the last three years of her life, been largely housebound. It is also relevant that over a period of approximately 40 months, prior to when the Deceased passed away, an average of $8,000 per month was either being spent or taken from the credit cards, bank accounts, lines of credit or other sources that were owned by the Deceased: Reasons at para. 69. I concluded that Mrs. Pengelly's evidence was not honest and that it was inconsistent with the limited objective record before the Court.</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2. The Relationship between the First Offer and the Judgment in the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First Offer, as of the date it was made inclusive of interest, exceeds the amount I awarded the Plaintiff.</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3. The Relative Financial Circumstances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is limited evidence of the Plaintiff's financial circumstances. There was some evidence at trial that when he sought to do some renovations on his home, after his mother's death, he had to borrow money to do so and that he was relying on his interest from the Deceased's estate to repay that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Mrs. Pengelly filed an Affidavit in which she described the equity that she and her husband hold in their home as well as some of the debt that they carry. I expect and accept that an award of double costs will cause her some financial hardship. This is, however, of Mrs. Pengelly's making. Quite apart from her improper conduct in relation to her mother's assets and estate, she could have and should have accepted the First Offer and thereby avoided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Furthermore, I have reviewed the various draft Bill of Costs that counsel for the Plaintiff has proposed. The Bill of Costs from the date of the First Offer, at double costs, is approximately $12,000 more than that Bill of Costs at Scale B. I do not consider that that amount, in this case, engages Rule 9-1(6)(c) in any meaningful way.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4. Additional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Mrs. Pengelly asserted that I ought to consider that David lives in a laneway home on their property. David has some form of mental disability or impairment that was not identified at trial and that I addressed at paras. 29-34 of the Reasons. I do not consider this persuasive. To the extent Mrs. Pengelly's, and in turn David's circumstances, are affected this arises from the findings and orders I made at trial. Their circumstances are, again, not meaningfully affected by this aspect of the Plaintiff's current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return to where I started. The dominant object that animates Rule 9-1(5)(b) is the promotion of reasonable settlements. Mrs. Pengelly's failure to respond to the First Offer, and her open disdain for the Second Offer, are the very behaviours that Rule 9-1(5)(b) is intended to address. The First Offer represented a reasonable settlement. The factors within Rule 9-1(6), individually and in combination, support the double cost award that the Plaintiff seeks. Accordingly I order that Mrs. Pengelly pay the Plaintiff double costs from the date after when the First Offer was made and costs, at Scale B, prior to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the Court of Appeal observed that a court should not fix special costs except in exceptional circumstances. That condition has been extended to party-and-party costs and to awards of double costs: see </w:t>
      </w:r>
      <w:r>
        <w:rPr>
          <w:rFonts w:ascii="arial" w:eastAsia="arial" w:hAnsi="arial" w:cs="arial"/>
          <w:i/>
          <w:color w:val="000000"/>
          <w:sz w:val="20"/>
          <w:lang w:val="en-US" w:eastAsia="en-US" w:bidi="ar-SA"/>
        </w:rPr>
        <w:t>Reid v. Reid</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2015 BCSC 889</w:t>
        </w:r>
      </w:hyperlink>
      <w:r>
        <w:rPr>
          <w:rFonts w:ascii="arial" w:eastAsia="arial" w:hAnsi="arial" w:cs="arial"/>
          <w:color w:val="000000"/>
          <w:sz w:val="20"/>
          <w:lang w:val="en-US" w:eastAsia="en-US" w:bidi="ar-SA"/>
        </w:rPr>
        <w:t xml:space="preserve"> at paras. 46-48; </w:t>
      </w:r>
      <w:r>
        <w:rPr>
          <w:rFonts w:ascii="arial" w:eastAsia="arial" w:hAnsi="arial" w:cs="arial"/>
          <w:i/>
          <w:color w:val="000000"/>
          <w:sz w:val="20"/>
          <w:lang w:val="en-US" w:eastAsia="en-US" w:bidi="ar-SA"/>
        </w:rPr>
        <w:t>Peace River Greenhouses Ltd. v. Taylor (District)</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2016 BCSC 1455</w:t>
        </w:r>
      </w:hyperlink>
      <w:r>
        <w:rPr>
          <w:rFonts w:ascii="arial" w:eastAsia="arial" w:hAnsi="arial" w:cs="arial"/>
          <w:color w:val="000000"/>
          <w:sz w:val="20"/>
          <w:lang w:val="en-US" w:eastAsia="en-US" w:bidi="ar-SA"/>
        </w:rPr>
        <w:t xml:space="preserve"> at paras. 31-38; and </w:t>
      </w:r>
      <w:r>
        <w:rPr>
          <w:rFonts w:ascii="arial" w:eastAsia="arial" w:hAnsi="arial" w:cs="arial"/>
          <w:i/>
          <w:color w:val="000000"/>
          <w:sz w:val="20"/>
          <w:lang w:val="en-US" w:eastAsia="en-US" w:bidi="ar-SA"/>
        </w:rPr>
        <w:t>Berthin v. British Columbia (Registrar of Land Titles)</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2016 BCSC 1522</w:t>
        </w:r>
      </w:hyperlink>
      <w:r>
        <w:rPr>
          <w:rFonts w:ascii="arial" w:eastAsia="arial" w:hAnsi="arial" w:cs="arial"/>
          <w:color w:val="000000"/>
          <w:sz w:val="20"/>
          <w:lang w:val="en-US" w:eastAsia="en-US" w:bidi="ar-SA"/>
        </w:rPr>
        <w:t xml:space="preserve"> at paras. 51-53, overturned in part at </w:t>
      </w:r>
      <w:hyperlink r:id="rId526" w:history="1">
        <w:r>
          <w:rPr>
            <w:rFonts w:ascii="arial" w:eastAsia="arial" w:hAnsi="arial" w:cs="arial"/>
            <w:i/>
            <w:color w:val="0077CC"/>
            <w:sz w:val="20"/>
            <w:u w:val="single"/>
            <w:shd w:val="clear" w:color="auto" w:fill="FFFFFF"/>
            <w:lang w:val="en-US" w:eastAsia="en-US" w:bidi="ar-SA"/>
          </w:rPr>
          <w:t>2017 BCCA 181</w:t>
        </w:r>
      </w:hyperlink>
      <w:r>
        <w:rPr>
          <w:rFonts w:ascii="arial" w:eastAsia="arial" w:hAnsi="arial" w:cs="arial"/>
          <w:color w:val="000000"/>
          <w:sz w:val="20"/>
          <w:lang w:val="en-US" w:eastAsia="en-US" w:bidi="ar-SA"/>
        </w:rPr>
        <w:t xml:space="preserve"> but not on this point. There is nothing exceptional about this case and the Plaintiff should tax his costs in the usual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INTEREST CALCULATIONS</w:t>
      </w:r>
      <w:r>
        <w:rPr>
          <w:rFonts w:ascii="arial" w:eastAsia="arial" w:hAnsi="arial" w:cs="arial"/>
          <w:sz w:val="20"/>
          <w:lang w:val="en-US" w:eastAsia="en-US" w:bidi="ar-SA"/>
        </w:rPr>
        <w:cr/>
      </w:r>
    </w:p>
    <w:p>
      <w:pPr>
        <w:numPr>
          <w:numId w:val="53"/>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Pre-Judgment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At para. 159 of the Reasons I ordered that Mrs. Pengelly pay $188,307, plus compound interest, to the Plaintiff. The Reasons did not, however, specify the appropriate date or dates from which such calculations should be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Compound interest will often be appropriate where such an order would make good the loss that has been caused by a breach of trust: </w:t>
      </w:r>
      <w:r>
        <w:rPr>
          <w:rFonts w:ascii="arial" w:eastAsia="arial" w:hAnsi="arial" w:cs="arial"/>
          <w:i/>
          <w:color w:val="000000"/>
          <w:sz w:val="20"/>
          <w:lang w:val="en-US" w:eastAsia="en-US" w:bidi="ar-SA"/>
        </w:rPr>
        <w:t>Brown v. Brown</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2011 BCSC 649</w:t>
        </w:r>
      </w:hyperlink>
      <w:r>
        <w:rPr>
          <w:rFonts w:ascii="arial" w:eastAsia="arial" w:hAnsi="arial" w:cs="arial"/>
          <w:color w:val="000000"/>
          <w:sz w:val="20"/>
          <w:lang w:val="en-US" w:eastAsia="en-US" w:bidi="ar-SA"/>
        </w:rPr>
        <w:t xml:space="preserve"> at para. 119.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the Court ordered interest to be compounded annually from the time the defendant had collapsed all of an estate's investments and he had then distributed that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this case, at para. 153 of the Reasons, which I earlier quoted at para. [4] of these Reasons for Judgment, I identified six discrete categories of loss that, in combination, totalled approximately $325,000 and represented the various amounts that had been either dissipated or misappropriated from the Deceased's assets. These categories of loss did not include the net sale proceeds, of $279,971.01, from the sale of the Deceased's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was satisfied that the Plaintiff should, with one exception, receive his one-third share from each of these various categories of loss. That one exception pertained to credit card debt of approximately $19,000, owed to Scotiabank, that had been outstanding since 2012 and that had never been actively pursued by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in generating his various compound interest calculations, has relied on the five remaining categories of loss that are identified at para. 153 of the Reasons. Those calculations are conservative in that, for each such category of loss and to the extent losses occurred over a period of time, the Plaintiff has used the last date of the period to begin his calculations. The Plaintiff has similarly used the date of the closing for the sale of his mother's home as the date on which to commence the calculation of pre-judgment compound interest on the net sales proceeds from that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sum of these various amounts was then divided by three to reflect the fact that under the Deceased's Will each of the Plaintiff, Mrs. Pengelly and David was, with the exception of a few specified items, to receive a one-third share of their mother's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am satisfied that each of these various pre-judgment compound interest calculations has been undertaken properly. The amount that arises from these calculations, and that is owed by Mrs. Pengelly to the Plaintiff, is $15,207.50.</w:t>
      </w:r>
      <w:r>
        <w:rPr>
          <w:rFonts w:ascii="arial" w:eastAsia="arial" w:hAnsi="arial" w:cs="arial"/>
          <w:sz w:val="20"/>
          <w:lang w:val="en-US" w:eastAsia="en-US" w:bidi="ar-SA"/>
        </w:rPr>
        <w:cr/>
      </w:r>
    </w:p>
    <w:p>
      <w:pPr>
        <w:numPr>
          <w:numId w:val="54"/>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Post-Judgment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Plaintiff is also entitled to post-judgment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from Mrs. Pengelly on the principal amount of $188,307.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 do not consider that the Plaintiff should receive his costs of this application. Counsel for the Plaintiff advanced a costs application that was, in part, ill-considered and without any basis. Counsel sought an award of solicitor-and-own-client costs in circumstances where it is clear that this Court lacks the jurisdiction to make any such award. Counsel also failed to provide the Court with any of the appellate authorities that establish this point. Still further counsel, in relation to the Plaintiff's claim for special costs, only provided the Court with the trial decision in </w:t>
      </w:r>
      <w:r>
        <w:rPr>
          <w:rFonts w:ascii="arial" w:eastAsia="arial" w:hAnsi="arial" w:cs="arial"/>
          <w:i/>
          <w:color w:val="000000"/>
          <w:sz w:val="20"/>
          <w:lang w:val="en-US" w:eastAsia="en-US" w:bidi="ar-SA"/>
        </w:rPr>
        <w:t>Kyle Estate</w:t>
      </w:r>
      <w:r>
        <w:rPr>
          <w:rFonts w:ascii="arial" w:eastAsia="arial" w:hAnsi="arial" w:cs="arial"/>
          <w:color w:val="000000"/>
          <w:sz w:val="20"/>
          <w:lang w:val="en-US" w:eastAsia="en-US" w:bidi="ar-SA"/>
        </w:rPr>
        <w:t>. That decision was overturned on appeal in relation to this very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It is always essential that counsel be careful and thorough with respect to the submissions they make to the Court. In this case, because Mrs. Pengelly was self-represented, there was no one who could realistically respond to counsel for the Plaintiff's submissions and highlight the errors that counsel had made. The Court should be able to rely on counsel's authorities without having to note up, or otherwise confirm, the status and ongoing application of those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P.G. VOITH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9" style="position:absolute;z-index:251760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28"/>
          <w:headerReference w:type="default" r:id="rId529"/>
          <w:footerReference w:type="even" r:id="rId530"/>
          <w:footerReference w:type="default" r:id="rId531"/>
          <w:headerReference w:type="first" r:id="rId532"/>
          <w:footerReference w:type="first" r:id="rId5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34" w:history="1">
        <w:r>
          <w:rPr>
            <w:rFonts w:ascii="arial" w:eastAsia="arial" w:hAnsi="arial" w:cs="arial"/>
            <w:b/>
            <w:bCs/>
            <w:i/>
            <w:color w:val="0077CC"/>
            <w:kern w:val="32"/>
            <w:sz w:val="28"/>
            <w:szCs w:val="32"/>
            <w:u w:val="single"/>
            <w:shd w:val="clear" w:color="auto" w:fill="FFFFFF"/>
            <w:lang w:val="en-US" w:eastAsia="en-US" w:bidi="ar-SA"/>
          </w:rPr>
          <w:t>Sunstone (Marine Drive) Holdings Inc. v. Vancouver Pacific Development Corp., [2015] B.C.J. No. 297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 Abrioux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30,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February 5,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S113266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261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415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250 A.C.W.S. (3d) 231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42 C.L.R. (4th) 117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Sunstone (Marine Drive) Holdings Inc. and Sunstone Opportunity (2007) Realty Trust by its Trustee, SRAI Realty Services (2007) Inc., Plaintiffs, and Vancouver Pacific Development Corp. and Darwin Construction (Canada)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(60 paras.)</w:t>
      </w:r>
    </w:p>
    <w:p>
      <w:pPr>
        <w:jc w:val="both"/>
        <w:rPr>
          <w:rFonts w:ascii="arial" w:eastAsia="arial" w:hAnsi="arial" w:cs="arial"/>
          <w:sz w:val="20"/>
          <w:lang w:val="en-US" w:eastAsia="en-US" w:bidi="ar-SA"/>
        </w:rPr>
      </w:pPr>
      <w:bookmarkStart w:id="108" w:name="Counsel_22"/>
      <w:bookmarkEnd w:id="10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0"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Defendant/Applicant Darwin Construction Ltd.: D. Claassen.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Plaintiffs/Respondents: J. Weisman.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9" w:name="Judgment_22"/>
      <w:bookmarkEnd w:id="109"/>
      <w:r>
        <w:pict>
          <v:line id="_x0000_s1111" style="position:absolute;z-index:2517258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III: THE APPLICATION FOR SECURITY FOR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The Parties' Positions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IV: THE APPLICATION FOR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 CONCLUSIONS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0" w:name="P. ABRIOUX J. (orally)"/>
            <w:bookmarkEnd w:id="110"/>
            <w:r>
              <w:rPr>
                <w:rFonts w:ascii="arial" w:eastAsia="arial" w:hAnsi="arial" w:cs="arial"/>
                <w:b/>
                <w:color w:val="000000"/>
                <w:sz w:val="30"/>
                <w:lang w:val="en-US" w:eastAsia="en-US" w:bidi="ar-SA"/>
              </w:rPr>
              <w:t>P. ABRIOUX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84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82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 am providing oral reasons for judgment today since examinations for discovery are scheduled for later this month and in April 2015. I shall be issuing written reasons in due course and I reserve the right to make stylistic or grammatical changes. The substance of what follows, however, will remain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Darwin Construction (Canada) Ltd. ("Darwin"), applies for the following:</w:t>
      </w:r>
      <w:r>
        <w:rPr>
          <w:rFonts w:ascii="arial" w:eastAsia="arial" w:hAnsi="arial" w:cs="arial"/>
          <w:sz w:val="20"/>
          <w:lang w:val="en-US" w:eastAsia="en-US" w:bidi="ar-SA"/>
        </w:rPr>
        <w:cr/>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trustee for Sunstone Opportunity (2007) Realty Trust ("SRAI") be substituted as a plaintiff in place of the present named plaintiff, Sunstone Opportunity (2007) Realty Trust (the "Trust");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plaintiffs, Sunstone Marine Holdings Inc. ("Sunstone Marine") and SRAI, post the sum of $115,000 in court as security for Darwin's anticipated costs as a defendant in this action or, in the alternative, that Sunstone Marine and SRAI shall post security in an amount to be determined by the court;</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action be stayed as against Darwin pending the posting of security by Sunstone Marine and SRAI;</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if the security ordered by the court is not posted by Sunstone Marine and SRAI within 30 days of the granting of this order, the applicant shall be at liberty to apply for a dismissal of this action as against Darwin;</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Darwin be at liberty to apply for further security for costs if the security posted by Sunstone Marine and SRAI becomes inadequate in relation to Darwin's anticipated costs as a defendant in this action;</w:t>
      </w:r>
    </w:p>
    <w:p>
      <w:pPr>
        <w:numPr>
          <w:numId w:val="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plaintiffs provide further particulars of their claims against Darwin with respect to the allegations of misrepresentation,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order substituting SRAI as a plaintiff was made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For the reasons that follow:</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for security for costs with respect to both plaintiffs is dismissed; and</w:t>
      </w:r>
    </w:p>
    <w:p>
      <w:pPr>
        <w:numPr>
          <w:numId w:val="8"/>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for particulars with respect to the allegations of misrepresentation is granted in part with liberty to re-apply for further particulars after examinations for discovery have taken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836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819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BACKGROUND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pertinent facts are set out in the notice of application and the plaintiffs' response, excerpts of which include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This action concerns claims arising from the development of a shopping centre at 845 Marine Drive in North Vancouver, British Columbia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claim that Vancouver Pacific Development Corp. ("Van Pac"), as development manager, and Darwin, as construction manager, misrepresented the costs of the Project and were negligent in the execution of their duties in connection with the Project, causing losses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particular, in their amended notice of civil claim (the "Amended NOCC"), the plaintiffs allege that Darwin represented that it was capable of managing the construction of the shopping centre in accordance with the plans and specifications and for a total construction cost of less than $13,644,675.00.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Darwin's response to the Amended NOCC is to the effect that it made no such representations to the plaintiffs. Instead, Darwin alleges that it entered into four contracts with Sunstone Marine for the construction of the Project, the initial value of the contracts being approximately $16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Darwin also alleges that it completed the Project in accordance with those contracts, including various extras and additions that were approved by Sunstone Marine during the course of construction. As a result of the approved changes, the final price payable to Darwin for the work was $21,166,219.70, all of which was approved in writing by Sunstone Marine during the course of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According to the plaintiffs' website, the Project was sold in August 2010 for a profit of $8,500,000.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This action was commenced on May 19, 2011.The parties have exchanged lists of documents, but no other substantive steps have been taken in the litigation. Examinations for discovery are scheduled for later this month and no trial date has been 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Darwin says that searches of the land title office in British Columbia indicate that neither SRAI nor Sunstone Marine own any real property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SRAI says that this action was commenced by it in its capacity as trustee for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also alleges that Darwin has not disputed that the Trust was the beneficial owner of the Project and that the Trust invested in and benefitted from the Project, including through its landholdings in Sunstone Marine.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her affidavit, sworn January 23, 2015, Ms. Samantha Adams, Senior Manager and Vice President of SRAI deposes that the Trust has assets in British Columbia which exceed $7 million, including $4.7 million in cash holdings and real property with an unencumbered value of nearly $3 million. The Trust has further real estate assets outside of British Columbia with an unencumbered value of over $15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Adams also deposes that:</w:t>
      </w:r>
      <w:r>
        <w:rPr>
          <w:rFonts w:ascii="arial" w:eastAsia="arial" w:hAnsi="arial" w:cs="arial"/>
          <w:sz w:val="20"/>
          <w:lang w:val="en-US" w:eastAsia="en-US" w:bidi="ar-SA"/>
        </w:rPr>
        <w:cr/>
      </w:r>
    </w:p>
    <w:p>
      <w:pPr>
        <w:numPr>
          <w:numId w:val="9"/>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Trust's interest in its real estate properties is held through a number of holding companies; and</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 earns rental income from its real property. The Trust is solvent and has never missed a payment to creditors or suppliers. Its ongoing expenses are paid from its net rental income. The Trust's cash in hand and on deposit in banks in British Columbia has never been less than $700,000. The Trust also has immediate access to $2,250,000 through a revolving credit facility, on which the present balance is $850,000.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SRAI's rights and obligations as trustee regarding the Trust are set out, in part, in a Declaration of Trust, dated September 4, 2007. It provides SRAI with a broad right of indemnification "out of the Trust property, from and against all liabilities, losses, claims, damages... including legal expenses and including amounts paid to settle an action or satisfy a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By letter dated November 25, 2014, counsel for Darwin made written demand for further particulars of the plaintiffs' claims and production of documents. The plaintiffs provided a draft amended notice of civil claim purporting to respond to the request for particulars on January 9, 2015. The Amended NOCC was filed on January 16, 2015 pursuant to Rule 6-1(a)(i).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Darwin's position is that the Amended NOCC does not adequately respond to the request for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APPLICATION FOR SECURITY FOR COSTS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Legal Principles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legal principles concerning an application for security for costs are conveniently summarized by Madam Justice Gerow in </w:t>
      </w:r>
      <w:r>
        <w:rPr>
          <w:rFonts w:ascii="arial" w:eastAsia="arial" w:hAnsi="arial" w:cs="arial"/>
          <w:i/>
          <w:color w:val="000000"/>
          <w:sz w:val="20"/>
          <w:lang w:val="en-US" w:eastAsia="en-US" w:bidi="ar-SA"/>
        </w:rPr>
        <w:t>Culp Investments LLC v. KPMG Inc. (sub nom IC Creative Homes Inc. (Trustee of) v. KPMG Inc.)</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2007 BCSC 451</w:t>
        </w:r>
      </w:hyperlink>
      <w:r>
        <w:rPr>
          <w:rFonts w:ascii="arial" w:eastAsia="arial" w:hAnsi="arial" w:cs="arial"/>
          <w:color w:val="000000"/>
          <w:sz w:val="20"/>
          <w:lang w:val="en-US" w:eastAsia="en-US" w:bidi="ar-SA"/>
        </w:rPr>
        <w:t xml:space="preserve"> at paras.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The court has authority to make an order for security for costs against a foreign corporation either under s. 236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75</w:t>
      </w:r>
      <w:r>
        <w:rPr>
          <w:rFonts w:ascii="arial" w:eastAsia="arial" w:hAnsi="arial" w:cs="arial"/>
          <w:color w:val="000000"/>
          <w:sz w:val="20"/>
          <w:lang w:val="en-US" w:eastAsia="en-US" w:bidi="ar-SA"/>
        </w:rPr>
        <w:t xml:space="preserve">, or under its inherent jurisdiction: </w:t>
      </w:r>
      <w:r>
        <w:rPr>
          <w:rFonts w:ascii="arial" w:eastAsia="arial" w:hAnsi="arial" w:cs="arial"/>
          <w:i/>
          <w:color w:val="000000"/>
          <w:sz w:val="20"/>
          <w:lang w:val="en-US" w:eastAsia="en-US" w:bidi="ar-SA"/>
        </w:rPr>
        <w:t>International Container Terminal Services Inc. v. British Columbia Railway Co.</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2003 BCSC 863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Shiell v. Coach House Hotel Ltd.</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(1982), 37 B.C.L.R. 254</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Section 236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provides: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a corporation is the plaintiff in a legal proceeding brought before the court, and if it appears that the corporation will be unable to pay the costs of the defendant if the defendant is successful in the defence, the court may require security to be given by the corporation for those costs, and may stay all legal proceedings until the security is given.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The making of an order for security for costs either under the court's inherent jurisdiction or s. 236 is discretionary: </w:t>
      </w:r>
      <w:r>
        <w:rPr>
          <w:rFonts w:ascii="arial" w:eastAsia="arial" w:hAnsi="arial" w:cs="arial"/>
          <w:i/>
          <w:color w:val="000000"/>
          <w:sz w:val="20"/>
          <w:lang w:val="en-US" w:eastAsia="en-US" w:bidi="ar-SA"/>
        </w:rPr>
        <w:t>Shiell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Kropp (c.o.b. Canadian Resort Development Corp.) v. Swaneset Bay Golf Course Ltd.</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[1997] 4 W.W.R. 306</w:t>
        </w:r>
      </w:hyperlink>
      <w:r>
        <w:rPr>
          <w:rFonts w:ascii="arial" w:eastAsia="arial" w:hAnsi="arial" w:cs="arial"/>
          <w:color w:val="000000"/>
          <w:sz w:val="20"/>
          <w:lang w:val="en-US" w:eastAsia="en-US" w:bidi="ar-SA"/>
        </w:rPr>
        <w:t xml:space="preserve"> (B.C.C.A.).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The principles considered by the courts in determining whether an award for security for costs are summarized in </w:t>
      </w:r>
      <w:r>
        <w:rPr>
          <w:rFonts w:ascii="arial" w:eastAsia="arial" w:hAnsi="arial" w:cs="arial"/>
          <w:i/>
          <w:color w:val="000000"/>
          <w:sz w:val="20"/>
          <w:lang w:val="en-US" w:eastAsia="en-US" w:bidi="ar-SA"/>
        </w:rPr>
        <w:t>Kropp, supra,</w:t>
      </w:r>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523"/>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 has a complete discretion whether to order security, and will act in light of all the relevant circumstances;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523"/>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possibility or probability that the plaintiff company will be deterred from pursuing its claim is not without more sufficient reason for not ordering security;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523"/>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 must attempt to balance injustices arising from use of security as an instrument of oppression to stifle a legitimate claim on the one hand, and use of impecuniosity as a means of putting unfair pressure on a defendant on the other;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523"/>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 may have regard to the merits of the action, but should avoid going into detail on the merits unless success or failure appears obvious;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523"/>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 can order any amount of security up to the full amount claimed, as long as the amount is more than nominal;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523"/>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Before the court refuses to order security on the ground that it would unfairly stifle a valid claim, the court must be satisfied that, in all the circumstances, it is probable that the claim would be stifled; and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523"/>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lateness of the application for security is a circumstance which can properly be taken into account.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The courts have always drawn a distinction between corporate and individual plaintiffs for the purposes of determining whether an order for security for costs should be made. The courts do not treat corporate defendants with the same flexibility and generosity as individual plaintiffs: </w:t>
      </w:r>
      <w:r>
        <w:rPr>
          <w:rFonts w:ascii="arial" w:eastAsia="arial" w:hAnsi="arial" w:cs="arial"/>
          <w:i/>
          <w:color w:val="000000"/>
          <w:sz w:val="20"/>
          <w:lang w:val="en-US" w:eastAsia="en-US" w:bidi="ar-SA"/>
        </w:rPr>
        <w:t>Fat Mel's Restaurant Ltd. v. Canadian Northern Shield Insurance Co.</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(1993), 76 B.C.L.R. (2d) 231</w:t>
        </w:r>
      </w:hyperlink>
      <w:r>
        <w:rPr>
          <w:rFonts w:ascii="arial" w:eastAsia="arial" w:hAnsi="arial" w:cs="arial"/>
          <w:color w:val="000000"/>
          <w:sz w:val="20"/>
          <w:lang w:val="en-US" w:eastAsia="en-US" w:bidi="ar-SA"/>
        </w:rPr>
        <w:t xml:space="preserve"> at [para.] 27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 profitable business with a positive cash position whose funds are available to the plaintiff is sufficient to establish that it will have the funds to satisfy an order of costs: </w:t>
      </w:r>
      <w:r>
        <w:rPr>
          <w:rFonts w:ascii="arial" w:eastAsia="arial" w:hAnsi="arial" w:cs="arial"/>
          <w:i/>
          <w:color w:val="000000"/>
          <w:sz w:val="20"/>
          <w:lang w:val="en-US" w:eastAsia="en-US" w:bidi="ar-SA"/>
        </w:rPr>
        <w:t>WestCorp Solutions Ltd. v. Collins</w:t>
      </w:r>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2014 BCSC 1606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Parties' Positions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Darwin's position includes:</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granting of such an order is discretionary once the applicant who seeks security has shown that the plaintiff will not be able to pay costs should the claim fail, security is generally ordered unless the court is satisfied that there is no arguable defence: </w:t>
      </w:r>
      <w:r>
        <w:rPr>
          <w:rFonts w:ascii="arial" w:eastAsia="arial" w:hAnsi="arial" w:cs="arial"/>
          <w:i/>
          <w:color w:val="000000"/>
          <w:sz w:val="20"/>
          <w:lang w:val="en-US" w:eastAsia="en-US" w:bidi="ar-SA"/>
        </w:rPr>
        <w:t>Fat Mel's Restaurant Ltd. v. Canadian Northern Shield Insurance Co.</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(1993), 76 B.C.L.R. (2d) 231</w:t>
        </w:r>
      </w:hyperlink>
      <w:r>
        <w:rPr>
          <w:rFonts w:ascii="arial" w:eastAsia="arial" w:hAnsi="arial" w:cs="arial"/>
          <w:color w:val="000000"/>
          <w:sz w:val="20"/>
          <w:lang w:val="en-US" w:eastAsia="en-US" w:bidi="ar-SA"/>
        </w:rPr>
        <w:t xml:space="preserve"> at 235 (C.A.);</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concede that Darwin has an arguable defence;</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no duty on a trustee to commence an action, but only the power to litigate, the normal rules of costs apply, including an order for security for costs if appropriate</w:t>
      </w:r>
      <w:r>
        <w:rPr>
          <w:rFonts w:ascii="arial" w:eastAsia="arial" w:hAnsi="arial" w:cs="arial"/>
          <w:i/>
          <w:color w:val="000000"/>
          <w:sz w:val="20"/>
          <w:lang w:val="en-US" w:eastAsia="en-US" w:bidi="ar-SA"/>
        </w:rPr>
        <w:t>: Culp Investments</w:t>
      </w:r>
      <w:r>
        <w:rPr>
          <w:rFonts w:ascii="arial" w:eastAsia="arial" w:hAnsi="arial" w:cs="arial"/>
          <w:color w:val="000000"/>
          <w:sz w:val="20"/>
          <w:lang w:val="en-US" w:eastAsia="en-US" w:bidi="ar-SA"/>
        </w:rPr>
        <w:t xml:space="preserve"> at para. 17;</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lack sufficient assets to pay a costs award since neither Sunstone Marine nor SRAI own any real property in British Columbia. In fact, the Trust is not a legal entity that can own property. Rather, it is a relationship in which the trustee holds property for the benefit of the beneficiaries;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award of costs was made against SRAI, it has the discretion not to seek indemnification from the Trust. Darwin is thus at risk in having an unsatisfied costs judgment;</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SRAI is a defendant by counterclaim in unrelated proceedings where a judgment for rent due and owing in the amount of $146,764.37 is sought, along with damages for other heads of damage;</w:t>
      </w:r>
    </w:p>
    <w:p>
      <w:pPr>
        <w:numPr>
          <w:numId w:val="1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so far as the quantum of security is concerned, projections of anticipated costs and disbursements are often uncertain and the court is in no better position to make projections than the parties as to the potential costs and quantum of security to be awarded: </w:t>
      </w:r>
      <w:r>
        <w:rPr>
          <w:rFonts w:ascii="arial" w:eastAsia="arial" w:hAnsi="arial" w:cs="arial"/>
          <w:i/>
          <w:color w:val="000000"/>
          <w:sz w:val="20"/>
          <w:lang w:val="en-US" w:eastAsia="en-US" w:bidi="ar-SA"/>
        </w:rPr>
        <w:t>Culp Investments</w:t>
      </w:r>
      <w:r>
        <w:rPr>
          <w:rFonts w:ascii="arial" w:eastAsia="arial" w:hAnsi="arial" w:cs="arial"/>
          <w:color w:val="000000"/>
          <w:sz w:val="20"/>
          <w:lang w:val="en-US" w:eastAsia="en-US" w:bidi="ar-SA"/>
        </w:rPr>
        <w:t xml:space="preserve"> at para. 26; and</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case, estimating a trial length of 30 days, Darwin estimates its total taxable costs to be $116,974.20. As a result, it seeks security for costs in the amount of $115,000 as a reasonable estimate of its anticipated costs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Sunstone Marine and SRAI concede that the defendants have an arguable case. Sunstone Marine also concedes that it has no assets with which to pay a costs award were one to be made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SRAI's position includes:</w:t>
      </w:r>
      <w:r>
        <w:rPr>
          <w:rFonts w:ascii="arial" w:eastAsia="arial" w:hAnsi="arial" w:cs="arial"/>
          <w:sz w:val="20"/>
          <w:lang w:val="en-US" w:eastAsia="en-US" w:bidi="ar-SA"/>
        </w:rPr>
        <w:cr/>
      </w:r>
    </w:p>
    <w:p>
      <w:pPr>
        <w:numPr>
          <w:numId w:val="19"/>
        </w:numPr>
        <w:tabs>
          <w:tab w:val="num" w:pos="1120"/>
          <w:tab w:val="clear" w:pos="29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 has assets of approximately $22 million;</w:t>
      </w:r>
    </w:p>
    <w:p>
      <w:pPr>
        <w:numPr>
          <w:numId w:val="20"/>
        </w:numPr>
        <w:tabs>
          <w:tab w:val="num" w:pos="1480"/>
          <w:tab w:val="clear" w:pos="292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SRAI has the ability, pursuant to the trust declaration, to seek indemnification for any costs award which could be made against it. The trust declaration specifically governs such a situation;</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a trust can only commence and maintain proceedings in the name of the trustee, the estate or trust assets are a relevant consideration which can be taken into account by the court in the exercise of its discretion; and</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is disposed to ordering security, an amount of approximately $50,000 is more appropriate in the circumstances of this case taking into account the value of the Trust's assets and the cash that SRAI regularly has at its disposal.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Discussion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threshold issue on an application for security for costs is whether the applicant/defendant(s) have established that the plaintiff corporation(s) will be unable to pay the defendants' costs if it is successful in its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have concluded that Darwin has failed to meet this initial threshold and that its claim for security for costs against SRAI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 particular circumstances of this case, notwithstanding the fact it has no assets, I have also concluded that the application with respect to Sunstone Marine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is evident from Ms. Adams' affidavit that SRAI, in its capacity as trustee, will have the funds to pay any award of costs that could be made against it. The Trust has more than sufficient assets to pay the costs sought by Darwin. These assets are available to SRAI for that purpose in that the Declaration of Trust explicitly provides that SRAI is to be indemnified from the Trust for all costs, including legal expenses and judgments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agree with SRAI's argument as set out in its response that the authorities relating to an order regarding security for costs governing trustees in bankruptcy are of assistance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particular, security may be ordered against trustees in bankruptcy where that trustee has no duty to sue and where the trust has no assets. That is not the case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a bankruptcy proceeding, the bankrupt estate's assets are properly considered in determining whether the trustee will be able to satisfy a cost order: </w:t>
      </w:r>
      <w:r>
        <w:rPr>
          <w:rFonts w:ascii="arial" w:eastAsia="arial" w:hAnsi="arial" w:cs="arial"/>
          <w:i/>
          <w:color w:val="000000"/>
          <w:sz w:val="20"/>
          <w:lang w:val="en-US" w:eastAsia="en-US" w:bidi="ar-SA"/>
        </w:rPr>
        <w:t>Vancouver Trade Mart Inc. (Trustee of) v. Creative Prosperity Capital Corp.</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[1999] 7 C.B.R. (4th) 3</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Mancini Estate (Trustee of) v. Falconi (sub nom Clarkson, Gordon Inc. v. Falconi)</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[1990] 70 O.R. (2d) 171</w:t>
        </w:r>
      </w:hyperlink>
      <w:r>
        <w:rPr>
          <w:rFonts w:ascii="arial" w:eastAsia="arial" w:hAnsi="arial" w:cs="arial"/>
          <w:color w:val="000000"/>
          <w:sz w:val="20"/>
          <w:lang w:val="en-US" w:eastAsia="en-US" w:bidi="ar-SA"/>
        </w:rPr>
        <w:t xml:space="preserve"> (H.C.).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 trust's assets can also be considered on an application for security for costs against a trustee who sues for the benefit of the trust. That is because, at law, a trustee is entitled to indemnification from the trust funds which it holds for all costs, including legal costs, which the trustee reasonably incurs for the trust's benefit. See </w:t>
      </w:r>
      <w:r>
        <w:rPr>
          <w:rFonts w:ascii="arial" w:eastAsia="arial" w:hAnsi="arial" w:cs="arial"/>
          <w:i/>
          <w:color w:val="000000"/>
          <w:sz w:val="20"/>
          <w:lang w:val="en-US" w:eastAsia="en-US" w:bidi="ar-SA"/>
        </w:rPr>
        <w:t>Geffen v. Goodman Estate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2 S.C.R. 353</w:t>
      </w:r>
      <w:r>
        <w:rPr>
          <w:rFonts w:ascii="arial" w:eastAsia="arial" w:hAnsi="arial" w:cs="arial"/>
          <w:color w:val="000000"/>
          <w:sz w:val="20"/>
          <w:lang w:val="en-US" w:eastAsia="en-US" w:bidi="ar-SA"/>
        </w:rPr>
        <w:t xml:space="preserve"> at 390; </w:t>
      </w:r>
      <w:r>
        <w:rPr>
          <w:rFonts w:ascii="arial" w:eastAsia="arial" w:hAnsi="arial" w:cs="arial"/>
          <w:i/>
          <w:color w:val="000000"/>
          <w:sz w:val="20"/>
          <w:lang w:val="en-US" w:eastAsia="en-US" w:bidi="ar-SA"/>
        </w:rPr>
        <w:t>Royal Trust Corp. of Canada v. Clarke</w:t>
      </w:r>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(1989), 35 B.C.L.R. (2d) 82</w:t>
        </w:r>
      </w:hyperlink>
      <w:r>
        <w:rPr>
          <w:rFonts w:ascii="arial" w:eastAsia="arial" w:hAnsi="arial" w:cs="arial"/>
          <w:color w:val="000000"/>
          <w:sz w:val="20"/>
          <w:lang w:val="en-US" w:eastAsia="en-US" w:bidi="ar-SA"/>
        </w:rPr>
        <w:t xml:space="preserve"> at 86 (C.A.); </w:t>
      </w:r>
      <w:r>
        <w:rPr>
          <w:rFonts w:ascii="arial" w:eastAsia="arial" w:hAnsi="arial" w:cs="arial"/>
          <w:i/>
          <w:color w:val="000000"/>
          <w:sz w:val="20"/>
          <w:lang w:val="en-US" w:eastAsia="en-US" w:bidi="ar-SA"/>
        </w:rPr>
        <w:t>Blueberry Interim Trust (Re),</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2012 BCSC 254</w:t>
        </w:r>
      </w:hyperlink>
      <w:r>
        <w:rPr>
          <w:rFonts w:ascii="arial" w:eastAsia="arial" w:hAnsi="arial" w:cs="arial"/>
          <w:color w:val="000000"/>
          <w:sz w:val="20"/>
          <w:lang w:val="en-US" w:eastAsia="en-US" w:bidi="ar-SA"/>
        </w:rPr>
        <w:t xml:space="preserve">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any event, as I have noted, the Declaration of Trust in this case contains a specific provision to this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addition, were Darwin to become SRAI's creditor to an award of costs in its favour then it would be subrogated to SRAI's right to charge and lien Trust assets. See </w:t>
      </w:r>
      <w:r>
        <w:rPr>
          <w:rFonts w:ascii="arial" w:eastAsia="arial" w:hAnsi="arial" w:cs="arial"/>
          <w:i/>
          <w:color w:val="000000"/>
          <w:sz w:val="20"/>
          <w:lang w:val="en-US" w:eastAsia="en-US" w:bidi="ar-SA"/>
        </w:rPr>
        <w:t>DeLorenzo v. Beresh</w:t>
      </w:r>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2010 ONSC 5655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McLennan v. McLennan</w:t>
      </w:r>
      <w:r>
        <w:rPr>
          <w:rFonts w:ascii="arial" w:eastAsia="arial" w:hAnsi="arial" w:cs="arial"/>
          <w:color w:val="000000"/>
          <w:sz w:val="20"/>
          <w:lang w:val="en-US" w:eastAsia="en-US" w:bidi="ar-SA"/>
        </w:rPr>
        <w:t xml:space="preserve"> (2000), </w:t>
      </w:r>
      <w:hyperlink r:id="rId543" w:history="1">
        <w:r>
          <w:rPr>
            <w:rFonts w:ascii="arial" w:eastAsia="arial" w:hAnsi="arial" w:cs="arial"/>
            <w:i/>
            <w:color w:val="0077CC"/>
            <w:sz w:val="20"/>
            <w:u w:val="single"/>
            <w:shd w:val="clear" w:color="auto" w:fill="FFFFFF"/>
            <w:lang w:val="en-US" w:eastAsia="en-US" w:bidi="ar-SA"/>
          </w:rPr>
          <w:t>[2000] O.J. No. 3286</w:t>
        </w:r>
      </w:hyperlink>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36 E.T.R. (2d) 145</w:t>
        </w:r>
      </w:hyperlink>
      <w:r>
        <w:rPr>
          <w:rFonts w:ascii="arial" w:eastAsia="arial" w:hAnsi="arial" w:cs="arial"/>
          <w:color w:val="000000"/>
          <w:sz w:val="20"/>
          <w:lang w:val="en-US" w:eastAsia="en-US" w:bidi="ar-SA"/>
        </w:rPr>
        <w:t xml:space="preserve"> (S.C.J.); </w:t>
      </w:r>
      <w:r>
        <w:rPr>
          <w:rFonts w:ascii="arial" w:eastAsia="arial" w:hAnsi="arial" w:cs="arial"/>
          <w:i/>
          <w:color w:val="000000"/>
          <w:sz w:val="20"/>
          <w:lang w:val="en-US" w:eastAsia="en-US" w:bidi="ar-SA"/>
        </w:rPr>
        <w:t>G. Solway &amp; Sons Ltd. v. Pearlman and Ezrin,</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[1964] 1 O.R. 1</w:t>
        </w:r>
      </w:hyperlink>
      <w:r>
        <w:rPr>
          <w:rFonts w:ascii="arial" w:eastAsia="arial" w:hAnsi="arial" w:cs="arial"/>
          <w:color w:val="000000"/>
          <w:sz w:val="20"/>
          <w:lang w:val="en-US" w:eastAsia="en-US" w:bidi="ar-SA"/>
        </w:rPr>
        <w:t xml:space="preserve"> (H.C.J.); </w:t>
      </w:r>
      <w:r>
        <w:rPr>
          <w:rFonts w:ascii="arial" w:eastAsia="arial" w:hAnsi="arial" w:cs="arial"/>
          <w:i/>
          <w:color w:val="000000"/>
          <w:sz w:val="20"/>
          <w:lang w:val="en-US" w:eastAsia="en-US" w:bidi="ar-SA"/>
        </w:rPr>
        <w:t>Re Johnson</w:t>
      </w:r>
      <w:r>
        <w:rPr>
          <w:rFonts w:ascii="arial" w:eastAsia="arial" w:hAnsi="arial" w:cs="arial"/>
          <w:color w:val="000000"/>
          <w:sz w:val="20"/>
          <w:lang w:val="en-US" w:eastAsia="en-US" w:bidi="ar-SA"/>
        </w:rPr>
        <w:t xml:space="preserve"> (1880), 15 Ch. D. 548.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While it is the case that Sunstone Marine has no assets, that does not necessarily result in an order for security being made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I have noted, while security for costs will "generally" be ordered against a plaintiff that has no exigible assets, the court retains the discretion not to make such an order in appropriate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Taking into account the principles to which I have referred, I am of the view that an order for security for costs as against Sunstone Marine is not required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That is because the claims of both plaintiffs against Darwin are based on identical allegations. The plaintiffs also seek the same relief against Darwin.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Darwin, for its part, has not yet filed a response to the Amended NOCC. In its response filed July 22, 2011, it denies owing a duty of care to SRAI. It also raises as a defence that Sunstone Marine waived and released Darwin from any claims arising from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However, Darwin has not established on this application that there is any real likelihood that Sunstone Marine's claims against it could be dismissed, but not those of SRAI. In light of the relationship between Sunstone Marine and SRAI, even if that were to be the result following a trial, the court would have a broad discretion to take this into account in making an appropriate award of costs based on which of the parties were successful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Quite apart from my conclusion that Darwin has failed to establish that SRAI does not have the ability to pay an award of costs made against it, I am of the view, based on Ms. Adams' affidavit, that SRAI, in fact, does have the financial means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That being the case, Darwin should have the ability to collect the entirety of its costs from SRAI in the event the action brought against it is dismissed. That would include those costs arising from a successful defence to Sunstone Marine's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836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819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APPLICATION FOR PARTICULARS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By letter dated November 25, 2014, Darwin's counsel sought particulars pertaining to certain of the plaintiffs' claims. The plaintiffs responded to the demand by filing the Amended NOCC.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Darwin's position is that the Amended NOCC remains deficient in so far as the claims for misrepresentation are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Paragraphs 19 and 20 of the Amended NOCC provide:</w:t>
      </w:r>
      <w:r>
        <w:rPr>
          <w:rFonts w:ascii="arial" w:eastAsia="arial" w:hAnsi="arial" w:cs="arial"/>
          <w:sz w:val="20"/>
          <w:lang w:val="en-US" w:eastAsia="en-US" w:bidi="ar-SA"/>
        </w:rPr>
        <w:cr/>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aforesaid advice and representations made by Darwin Construction (the "Darwin Advice and Misrepresentations"[)] were made, to the best of Sunstone's knowledge, both orally and in writing, including in:</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October 30. 2008 email from Oliver Webbe, Vice-President of Darwin, to Doug Wark:</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Darwin Construction's website between November, 2008 and March, 2009:</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pro forma delivered on November 26, 2008 by email from Ron Dedesko to Steve Evans:</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Budgets and cost information delivered by email on December 15 and 16, 2008 from Oliver Webbe to Doug Wark:</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bid package delivered by Darwin to VanPac on or about December 16, 2008:</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 formas, an executive summary, a corporate summary of VanPac, and a location information package delivered on December 18, 2008 by email from Doug Wark to Steve Evans; and</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Negotiations between Darwin and VanPac as agent for Sunstone leading to the March 2, 2009 Construction Contract.</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Darwin Construction authorized VanPac to use the Darwin Advice and Misrepresentations in order to market the Shopping Centre project to Sunstone and other potential investors, knowing that, or having ought to have known that:</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Darwin Advice and Misrepresentations which it made to VanPac were being used by VanPac to induce Sunstone and other investors to invest in the Shopping Centre;</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VanPac was representing Darwin Construction as having reviewed and being satisfied with the budgeted cost numbers included in VanPac's representations to Sunstone and other investors; and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VanPac had represented the budgeted cost numbers as the entire cost of completing the Shopping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Darwin seeks the following particulars with respect to the allegations of misrepresentation:</w:t>
      </w:r>
      <w:r>
        <w:rPr>
          <w:rFonts w:ascii="arial" w:eastAsia="arial" w:hAnsi="arial" w:cs="arial"/>
          <w:sz w:val="20"/>
          <w:lang w:val="en-US" w:eastAsia="en-US" w:bidi="ar-SA"/>
        </w:rPr>
        <w:cr/>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exactly what representations are alleged to have been made;</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whom it is alleged Darwin made those representations;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Darwin is alleged to have made those representations;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representations were oral or in writing;</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each representation was untrue; and</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it was relied upon by the plaintiffs to their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purpose of particulars was set out by Lambert J.A. in </w:t>
      </w:r>
      <w:r>
        <w:rPr>
          <w:rFonts w:ascii="arial" w:eastAsia="arial" w:hAnsi="arial" w:cs="arial"/>
          <w:i/>
          <w:color w:val="000000"/>
          <w:sz w:val="20"/>
          <w:lang w:val="en-US" w:eastAsia="en-US" w:bidi="ar-SA"/>
        </w:rPr>
        <w:t>Cansulex Ltd. v. Perry</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[1982] B.C.J. No. 369</w:t>
        </w:r>
      </w:hyperlink>
      <w:r>
        <w:rPr>
          <w:rFonts w:ascii="arial" w:eastAsia="arial" w:hAnsi="arial" w:cs="arial"/>
          <w:color w:val="000000"/>
          <w:sz w:val="20"/>
          <w:lang w:val="en-US" w:eastAsia="en-US" w:bidi="ar-SA"/>
        </w:rPr>
        <w:t xml:space="preserve"> at para. 15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function of particulars is as applicable in British Columbia as it is under the English practice, and six points are set out there in this way:</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inform the other side of the nature of the case they have to meet as distinguished from the mode in which that case is to be proved;</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prevent the other side from being taken by surprise at the trial;</w:t>
      </w:r>
    </w:p>
    <w:p>
      <w:pPr>
        <w:numPr>
          <w:numId w:val="4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enable the other side to know what evidence they ought to be prepared with and to prepare for trial;</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limit the generality of the pleadings;</w:t>
      </w:r>
    </w:p>
    <w:p>
      <w:pPr>
        <w:numPr>
          <w:numId w:val="4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limit and decide the issues to be tried, and as to which discovery is required[;] and</w:t>
      </w:r>
    </w:p>
    <w:p>
      <w:pPr>
        <w:numPr>
          <w:numId w:val="4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tie the hands of the party so that he cannot without leave go into any matters not included.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And, in addition, at paragraph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heart of the distinction between [a demand for particulars and a demand for discovery] lies the question whether the material demanded is intended to, and does, delineate the issues between the parties, or whether it requests material relating to the way in which the issues will be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Darwin's position is that the particulars of the claim for misrepresentation as set out in the Amended NOCC do not provide it with adequate notice of the basis of this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It relies on Rule 3-7(18) of the British Columbia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party pleading relies on misrepresentation, fraud, breach of trust, wilful default or undue influence, or if particulars may be necessary, full particulars, with dates and items if applicable, must be stated in the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plaintiffs' position is that Rule 3-7(20) applies:</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Particulars need only be pleaded to the extent that they are known at the date of pleading, but further particulars</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be served after they become known, and</w:t>
      </w:r>
    </w:p>
    <w:p>
      <w:pPr>
        <w:numPr>
          <w:numId w:val="5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be served within 10 days after a demand is made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plaintiffs submit that full particulars are within the knowledge of the defendants. Accordingly, they do not need to be particularized until examinations have been completed. See </w:t>
      </w:r>
      <w:r>
        <w:rPr>
          <w:rFonts w:ascii="arial" w:eastAsia="arial" w:hAnsi="arial" w:cs="arial"/>
          <w:i/>
          <w:color w:val="000000"/>
          <w:sz w:val="20"/>
          <w:lang w:val="en-US" w:eastAsia="en-US" w:bidi="ar-SA"/>
        </w:rPr>
        <w:t>Swiss Reinsurance Co. v. Camarin Ltd.</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2005 BCSC 95</w:t>
        </w:r>
      </w:hyperlink>
      <w:r>
        <w:rPr>
          <w:rFonts w:ascii="arial" w:eastAsia="arial" w:hAnsi="arial" w:cs="arial"/>
          <w:color w:val="000000"/>
          <w:sz w:val="20"/>
          <w:lang w:val="en-US" w:eastAsia="en-US" w:bidi="ar-SA"/>
        </w:rPr>
        <w:t xml:space="preserve">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my view, there is merit to the positions of both Darwin and the plaintiffs. From Darwin's perspective, to the extent the plaintiffs allege there are any misrepresentations which go beyond what is alleged to have transpired between the defendants, then those should be particularized in accordance with paragraph 47 above. This would include what is alleged in paragraph 21 of the Amended NOCC. See </w:t>
      </w:r>
      <w:r>
        <w:rPr>
          <w:rFonts w:ascii="arial" w:eastAsia="arial" w:hAnsi="arial" w:cs="arial"/>
          <w:i/>
          <w:color w:val="000000"/>
          <w:sz w:val="20"/>
          <w:lang w:val="en-US" w:eastAsia="en-US" w:bidi="ar-SA"/>
        </w:rPr>
        <w:t>Bilfinger-Berger (Canada) Inc. v. Greater Vancouver Water District</w:t>
      </w:r>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2013 BCSC 2324</w:t>
        </w:r>
      </w:hyperlink>
      <w:r>
        <w:rPr>
          <w:rFonts w:ascii="arial" w:eastAsia="arial" w:hAnsi="arial" w:cs="arial"/>
          <w:color w:val="000000"/>
          <w:sz w:val="20"/>
          <w:lang w:val="en-US" w:eastAsia="en-US" w:bidi="ar-SA"/>
        </w:rPr>
        <w:t xml:space="preserve"> at paras. 25-31.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While the order for particulars in </w:t>
      </w:r>
      <w:r>
        <w:rPr>
          <w:rFonts w:ascii="arial" w:eastAsia="arial" w:hAnsi="arial" w:cs="arial"/>
          <w:i/>
          <w:color w:val="000000"/>
          <w:sz w:val="20"/>
          <w:lang w:val="en-US" w:eastAsia="en-US" w:bidi="ar-SA"/>
        </w:rPr>
        <w:t>Bilfinger-Berger</w:t>
      </w:r>
      <w:r>
        <w:rPr>
          <w:rFonts w:ascii="arial" w:eastAsia="arial" w:hAnsi="arial" w:cs="arial"/>
          <w:color w:val="000000"/>
          <w:sz w:val="20"/>
          <w:lang w:val="en-US" w:eastAsia="en-US" w:bidi="ar-SA"/>
        </w:rPr>
        <w:t xml:space="preserve"> was made in the course of trial management after examinations for discovery had been completed, I do not accept the plaintiffs' submission that this is a materially distinguishing feature from the circumstances in this case. Rule 3-7(18) governs with respect to any alleged misrepresentations to have been made directly from Darwin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To the extent the alleged misrepresentations are said to have arisen as a result of the dealings between the defendants themselves, then they are, at least at the present time, in the exclusive knowledge of the defendants and there is no application for particulars in so far as Van Pac is concerned. Accordingly, no further particulars are required at this time. The details are the proper subject of questioning at examinations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84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w:t>
            </w:r>
          </w:p>
        </w:tc>
        <w:tc>
          <w:tcPr>
            <w:tcW w:w="82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CONCLUSIONS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application for security for costs with respect to both plaintiffs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application for particulars with respect to the allegations of misrepresentation is granted to the extent that the plaintiffs are to provide, within seven days of this order, particulars of the alleged misrepresentations made by Darwin directly to it in accordance with paragraph 47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It may be the case that there were no alleged misrepresentations made directly by Darwin to the plaintiffs. If that is the case, this needs to be confirmed by them in writing to Darwin.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my view, the plaintiffs have been substantially successful on this application. They are awarded 75% of their costs of the application at Scale B in any event of the cause, not payable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 ABRIOUX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2" style="position:absolute;z-index:251761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54" w:history="1">
        <w:r>
          <w:rPr>
            <w:rFonts w:ascii="arial" w:eastAsia="arial" w:hAnsi="arial" w:cs="arial"/>
            <w:b/>
            <w:bCs/>
            <w:i/>
            <w:color w:val="0077CC"/>
            <w:kern w:val="32"/>
            <w:sz w:val="28"/>
            <w:szCs w:val="32"/>
            <w:u w:val="single"/>
            <w:shd w:val="clear" w:color="auto" w:fill="FFFFFF"/>
            <w:lang w:val="en-US" w:eastAsia="en-US" w:bidi="ar-SA"/>
          </w:rPr>
          <w:t>Taherkhani v. Este, [2020] B.C.J. No. 128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C.J. Giaschi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4-6,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28,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E131501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128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101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Mehran Taherkhani, Claimant, and Rosa Donna Este also known as Rosa Donna Taherkhani also known as Donna Este,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(96 paras.)</w:t>
      </w:r>
    </w:p>
    <w:p>
      <w:pPr>
        <w:jc w:val="both"/>
        <w:rPr>
          <w:rFonts w:ascii="arial" w:eastAsia="arial" w:hAnsi="arial" w:cs="arial"/>
          <w:sz w:val="20"/>
          <w:lang w:val="en-US" w:eastAsia="en-US" w:bidi="ar-SA"/>
        </w:rPr>
      </w:pPr>
      <w:bookmarkStart w:id="111" w:name="Counsel_23"/>
      <w:bookmarkEnd w:id="11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3"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Claimant: J.M. Richter, A. James.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Francis Amir Este and Mina Esteghamat-Ardakani in their personal capacities and as trustees of the Mina Esteghamat-Ardakani Alter Ego Trust No. 1, and Vitality Holdings Corp.: K. McEwan, Q.C., E. Kirkpatrick.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2" w:name="Judgment_23"/>
      <w:bookmarkEnd w:id="112"/>
      <w:r>
        <w:pict>
          <v:line id="_x0000_s1114" style="position:absolute;z-index:2517268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Are Mina and Francis necessary and proper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Objections to the Content of the Proposed Pleading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Other Objections Raised to Joinder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Was the Pearlman J. order improperly obtained?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Does this Court have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Is the court's jurisdiction time limited and has it been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spent?</w:t>
            </w:r>
          </w:p>
        </w:tc>
        <w:tc>
          <w:tcPr>
            <w:tcW w:w="1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Can the jurisdiction to order property division be exercised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only once?</w:t>
            </w:r>
          </w:p>
        </w:tc>
        <w:tc>
          <w:tcPr>
            <w:tcW w:w="1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Is this family law claim an abuse of process?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Is the claim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3" w:name="C.J. GIASCHI J."/>
            <w:bookmarkEnd w:id="113"/>
            <w:r>
              <w:rPr>
                <w:rFonts w:ascii="arial" w:eastAsia="arial" w:hAnsi="arial" w:cs="arial"/>
                <w:b/>
                <w:color w:val="000000"/>
                <w:sz w:val="30"/>
                <w:lang w:val="en-US" w:eastAsia="en-US" w:bidi="ar-SA"/>
              </w:rPr>
              <w:t>C.J. GIASCHI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reasons relate to an application by the claimant in this family law matter to add parties to the action and to amend the Notice of Family Claim ("NOFC"). The proposed new parties are the mother and brother of the respondent, and corporations and trusts controlled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Throughout these reasons, I will refer to the claimant as "Mehran", the respondent as "Donna", the respondent's mother as "Mina", and the respondent's brother as "Francis". I do so for purposes of clarity and, in so doing, I mean no disrespect for anyone. I further intend to mostly refer to the proposed new parties collectively as Mina and Francis.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proposed amended NOFC alleges that various properties and bank accounts held in the names of one or more of the proposed parties are, in fact, legally or beneficially owned by Donna. Mehran seeks declarations concerning the ownership of those properties and claims an interest in those properties as "family property" pursuant to the provisions of the </w:t>
      </w:r>
      <w:r>
        <w:rPr>
          <w:rFonts w:ascii="arial" w:eastAsia="arial" w:hAnsi="arial" w:cs="arial"/>
          <w:i/>
          <w:color w:val="000000"/>
          <w:sz w:val="20"/>
          <w:lang w:val="en-US" w:eastAsia="en-US" w:bidi="ar-SA"/>
        </w:rPr>
        <w:t>Family Law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2011, c. 25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FLA</w:t>
      </w:r>
      <w:r>
        <w:rPr>
          <w:rFonts w:ascii="arial" w:eastAsia="arial" w:hAnsi="arial" w:cs="arial"/>
          <w:color w:val="000000"/>
          <w:sz w:val="20"/>
          <w:lang w:val="en-US" w:eastAsia="en-US" w:bidi="ar-SA"/>
        </w:rPr>
        <w:t>]. He also seeks ancillary relief, including declarations that transfers of property by Donna to one or more of the proposed new parties are void and of no effect, and damages for fraudulent misrepresentation and civil conspiracy. Donna consents to the addition of the proposed new parties and the amendments to the NOFC. Mina and Francis adamantly oppose their addition as parties and raise several objections to the content of the proposed amended NOFC.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For the reasons that follow, I am of the view that the application should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Mehran and Donna were married on or about July 23, 2004. Prior to the marriage, they each signed a handwritten agreement which stipulated, among other things, that each party would hold property separately and that neither would claim any interest in the property of the other, including any appreciation in the value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April 26, 2006, a more formal marriage agreement was entered into to roughly the same effect (the "marriage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Mehran and Donna separated on March 17,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NOFC was filed by Mehran on May 22, 2013. In the NOFC, he sought to set aside the marriage agreement and requested equal division of family property and family debt. The original NOFC specifically referenced three West Vancouver properties as being family assets, namely [address redacted] Bellevue Avenue, [address redacted] Travers Avenue, and [address redacted] Constantine Place (collectively, the "West Vancouver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August 12, 2013, Mehran filed a financial statement which listed the three West Vancouver properties as family property as well as a bank account said to contain approximately $3 million and Donna's interest in 0831295 B.C. Ltd., a corporation controlled by Mina and Francis.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September 16, 2013, Donna filed her financial statement in which she deposed that the three West Vancouver properties were 100% beneficially owned by Mina. Her financial statement made no mention of a bank account containing $3 million. Also, at some point during the discovery process, Donna produced three Declarations of Trust in respect of the West Vancouver properties, all of which acknowledged that the Donna's interests in the properties were held in trust for Mina.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May 27, 2014, a consent order was made by Justice Skolrood granting Mehran and Donna a divorce, ordering Donna to pay $70,000 to Mehran in full and final settlement of all of the claims in the NOFC respecting property and spousal maintenance, and dismissing all other claims as if tried on the merits. The terms of the order addressing the payment and dismissal of all other claims were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ORDERS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 The Respondent will pay $70,000 to the Claimant in full and final settlement of all of claims in the Notice of Family Claim respecting property and spousal maintenance, BY CONSENT.</w:t>
      </w:r>
    </w:p>
    <w:p>
      <w:pPr>
        <w:numPr>
          <w:numId w:val="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other claims in the Claimant's Notice of Family Claim and in the Respondent's Counterclaim (except divorce) are dismissed as if tried on the merits, BY CONSENT.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party will bear their own costs,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Approximately nine months after the settlement of the family law claim, on February 6, 2015, Donna filed a Notice of Civil Claim ("NOCC") with the Vancouver Registry under Action S151066 (the "Civil Action") against Mina, Francis, and Craig Blackburn, Mina's common-law partner. The NOCC was later amended on February 6,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Civil Action, and contrary to the positions that had been taken in the family law matter, Donna claimed that she was and had always been the 100% beneficial owner of the three West Vancouver properties and of approximately $3.4 million in a HSBC bank account in the name of Mina. Donna further alleged that she was counseled and encouraged by Mina to hide her true ownership of these properties and the funds from Mehran in the family law matter. Donna sought various forms of relief to restore her ownership. Mina, Francis, and Craig Blackburn filed Responses to Civil Claim denying the allegations made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Civil Action proceeded to trial before Justice Funt from March 27 to May 1, 2017. At the close of Donna's case, Mina and Francis applied to dismiss the claim on the grounds that it was an abuse of process. On May 9, 2017, in reasons reported at </w:t>
      </w:r>
      <w:hyperlink r:id="rId555" w:history="1">
        <w:r>
          <w:rPr>
            <w:rFonts w:ascii="arial" w:eastAsia="arial" w:hAnsi="arial" w:cs="arial"/>
            <w:i/>
            <w:color w:val="0077CC"/>
            <w:sz w:val="20"/>
            <w:u w:val="single"/>
            <w:shd w:val="clear" w:color="auto" w:fill="FFFFFF"/>
            <w:lang w:val="en-US" w:eastAsia="en-US" w:bidi="ar-SA"/>
          </w:rPr>
          <w:t>2017 BCSC 878</w:t>
        </w:r>
      </w:hyperlink>
      <w:r>
        <w:rPr>
          <w:rFonts w:ascii="arial" w:eastAsia="arial" w:hAnsi="arial" w:cs="arial"/>
          <w:color w:val="000000"/>
          <w:sz w:val="20"/>
          <w:lang w:val="en-US" w:eastAsia="en-US" w:bidi="ar-SA"/>
        </w:rPr>
        <w:t>, Funt J. granted the application. In the course of his reasons, he found that Donna had perpetrated a fraud on Mehran as well as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[63] If the plaintiff's relationship with her mother and brother had not broken down in November 2014, the current action would not be before the Court. The Court would also not be aware that </w:t>
      </w:r>
      <w:r>
        <w:rPr>
          <w:rFonts w:ascii="arial" w:eastAsia="arial" w:hAnsi="arial" w:cs="arial"/>
          <w:color w:val="000000"/>
          <w:sz w:val="20"/>
          <w:u w:val="single"/>
          <w:lang w:val="en-US" w:eastAsia="en-US" w:bidi="ar-SA"/>
        </w:rPr>
        <w:t>the plaintiff had perpetrated a fraud designed to cheat financially in the divorce proceedings her then husband, using the Court and its processes</w:t>
      </w:r>
      <w:r>
        <w:rPr>
          <w:rFonts w:ascii="arial" w:eastAsia="arial" w:hAnsi="arial" w:cs="arial"/>
          <w:color w:val="000000"/>
          <w:sz w:val="20"/>
          <w:lang w:val="en-US" w:eastAsia="en-US" w:bidi="ar-SA"/>
        </w:rPr>
        <w:t>. Her fraud would still be extant with the plaintiff able to rely on the family's arrangements to have the properties and funds placed in her name.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With the breakdown in her relationship with her mother and brother, the plaintiff now asks the Court to recognize her legal title and beneficial ownership in the properties and funds.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[65] Prior to the divorce proceedings, the plaintiff sought to have properties and funds held in the names of her mother and brother in order to defeat potential creditors generally: Further Amended Notice of Civil Claim, para. 11C.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[66] </w:t>
      </w:r>
      <w:r>
        <w:rPr>
          <w:rFonts w:ascii="arial" w:eastAsia="arial" w:hAnsi="arial" w:cs="arial"/>
          <w:color w:val="000000"/>
          <w:sz w:val="20"/>
          <w:u w:val="single"/>
          <w:lang w:val="en-US" w:eastAsia="en-US" w:bidi="ar-SA"/>
        </w:rPr>
        <w:t>With the divorce proceedings, she took further steps to defeat her then husband's claim specifically</w:t>
      </w:r>
      <w:r>
        <w:rPr>
          <w:rFonts w:ascii="arial" w:eastAsia="arial" w:hAnsi="arial" w:cs="arial"/>
          <w:color w:val="000000"/>
          <w:sz w:val="20"/>
          <w:lang w:val="en-US" w:eastAsia="en-US" w:bidi="ar-SA"/>
        </w:rPr>
        <w:t>. At paragraphs 61 to 68 of her Further Amended Notice of Civil Claim, the plaintiff pleads the further steps taken to hide $3,400,000 in funds. At paragraph 90(c) of her Further Amended Notice of Civil Claim, the plaintiff pleads using "fake, back-dated trust declarations" to hide assets.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w:t>
      </w:r>
      <w:r>
        <w:rPr>
          <w:rFonts w:ascii="arial" w:eastAsia="arial" w:hAnsi="arial" w:cs="arial"/>
          <w:color w:val="000000"/>
          <w:sz w:val="20"/>
          <w:u w:val="single"/>
          <w:lang w:val="en-US" w:eastAsia="en-US" w:bidi="ar-SA"/>
        </w:rPr>
        <w:t>With respect to the fake, back-dated trust declarations, the plaintiff pleads that they were created for the purpose "of providing a false documentary record for use" in the divorce proceedings. The plaintiff also pleads that she gave "false evidence at her examination for discovery" in the divorce proceedings "propounding the false story" that her mother was the sole beneficial owner of properties and funds which were actually owned by the plaintiff</w:t>
      </w:r>
      <w:r>
        <w:rPr>
          <w:rFonts w:ascii="arial" w:eastAsia="arial" w:hAnsi="arial" w:cs="arial"/>
          <w:color w:val="000000"/>
          <w:sz w:val="20"/>
          <w:lang w:val="en-US" w:eastAsia="en-US" w:bidi="ar-SA"/>
        </w:rPr>
        <w:t>: Further Amended Notice of Civil Claim, para. 90(e).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[68] </w:t>
      </w:r>
      <w:r>
        <w:rPr>
          <w:rFonts w:ascii="arial" w:eastAsia="arial" w:hAnsi="arial" w:cs="arial"/>
          <w:color w:val="000000"/>
          <w:sz w:val="20"/>
          <w:u w:val="single"/>
          <w:lang w:val="en-US" w:eastAsia="en-US" w:bidi="ar-SA"/>
        </w:rPr>
        <w:t>The false Form F8 Financial Statement, the banking documents, the false back-dated trust declarations, and her false discovery evidence enabled the plaintiff to mislead her counsel and opposing counsel, each of whom is an officer of the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Quebec (Criminal and Penal Prosecutions) v. Jodoin</w:t>
      </w:r>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2017 SCC 26</w:t>
        </w:r>
      </w:hyperlink>
      <w:r>
        <w:rPr>
          <w:rFonts w:ascii="arial" w:eastAsia="arial" w:hAnsi="arial" w:cs="arial"/>
          <w:color w:val="000000"/>
          <w:sz w:val="20"/>
          <w:lang w:val="en-US" w:eastAsia="en-US" w:bidi="ar-SA"/>
        </w:rPr>
        <w:t xml:space="preserve"> at para. 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Justice Funt summarized his conclusions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[76] In sum, </w:t>
      </w:r>
      <w:r>
        <w:rPr>
          <w:rFonts w:ascii="arial" w:eastAsia="arial" w:hAnsi="arial" w:cs="arial"/>
          <w:color w:val="000000"/>
          <w:sz w:val="20"/>
          <w:u w:val="single"/>
          <w:lang w:val="en-US" w:eastAsia="en-US" w:bidi="ar-SA"/>
        </w:rPr>
        <w:t>in the divorce proceedings, the plaintiff chose to take steps to defeat her then husband's legal rights</w:t>
      </w:r>
      <w:r>
        <w:rPr>
          <w:rFonts w:ascii="arial" w:eastAsia="arial" w:hAnsi="arial" w:cs="arial"/>
          <w:color w:val="000000"/>
          <w:sz w:val="20"/>
          <w:lang w:val="en-US" w:eastAsia="en-US" w:bidi="ar-SA"/>
        </w:rPr>
        <w:t xml:space="preserve"> by representing falsely, including in Court documents and under oath, the properties and funds she now claims she rightfully owns. </w:t>
      </w:r>
      <w:r>
        <w:rPr>
          <w:rFonts w:ascii="arial" w:eastAsia="arial" w:hAnsi="arial" w:cs="arial"/>
          <w:color w:val="000000"/>
          <w:sz w:val="20"/>
          <w:u w:val="single"/>
          <w:lang w:val="en-US" w:eastAsia="en-US" w:bidi="ar-SA"/>
        </w:rPr>
        <w:t>She now wishes to perfect her fraud in the divorce proceedings -- a fraud designed to cheat financially her then husband engaging the past unwitting help of officers and a judge of the Court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[77] Bluntly stated, the plaintiff now asks the Court to help her with her illegal artifice because her mother and brother no longer will. Such, the Court will not do.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[78] Further, the plaintiff's claim, in large part, rests on her false evidence in her divorce proceedings. She now wishes to disavow her past false evidence because it no longer serves her purposes. The law does not allow a party to pursue inconsistent rights: [</w:t>
      </w:r>
      <w:r>
        <w:rPr>
          <w:rFonts w:ascii="arial" w:eastAsia="arial" w:hAnsi="arial" w:cs="arial"/>
          <w:i/>
          <w:color w:val="000000"/>
          <w:sz w:val="20"/>
          <w:lang w:val="en-US" w:eastAsia="en-US" w:bidi="ar-SA"/>
        </w:rPr>
        <w:t>Vanmills Establishment v. Coles</w:t>
      </w:r>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[1992] B.C.J. No. 881</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[79] </w:t>
      </w:r>
      <w:r>
        <w:rPr>
          <w:rFonts w:ascii="arial" w:eastAsia="arial" w:hAnsi="arial" w:cs="arial"/>
          <w:color w:val="000000"/>
          <w:sz w:val="20"/>
          <w:u w:val="single"/>
          <w:lang w:val="en-US" w:eastAsia="en-US" w:bidi="ar-SA"/>
        </w:rPr>
        <w:t>To entertain the plaintiff's claim any further, the Court would be condoning the plaintiff's deliberate misuse of the court process in the divorce proceedings. This would bring the administration of justice into disrepute and is an abuse of process</w:t>
      </w:r>
      <w:r>
        <w:rPr>
          <w:rFonts w:ascii="arial" w:eastAsia="arial" w:hAnsi="arial" w:cs="arial"/>
          <w:color w:val="000000"/>
          <w:sz w:val="20"/>
          <w:lang w:val="en-US" w:eastAsia="en-US" w:bidi="ar-SA"/>
        </w:rPr>
        <w:t>. A reasonable person, informed of all of the relevant circumstances, would not expect the Court to help a litigant claim Blackacre when that litigant, in previous divorce proceedings, deliberately did not make proper financial disclosure of Blackacre to the Court as so clearly required by law and oath. The plaintiff's claim will be dismissed.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Finally, at para. 86, Funt J. recognized that the effect of his ruling would be to allow Mehran to bring an action against Mina and Francis.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[86] In the case at bar, taking the plaintiff's case at its highest, </w:t>
      </w:r>
      <w:r>
        <w:rPr>
          <w:rFonts w:ascii="arial" w:eastAsia="arial" w:hAnsi="arial" w:cs="arial"/>
          <w:color w:val="000000"/>
          <w:sz w:val="20"/>
          <w:u w:val="single"/>
          <w:lang w:val="en-US" w:eastAsia="en-US" w:bidi="ar-SA"/>
        </w:rPr>
        <w:t>the plaintiff's then husband may now bring an action against the plaintiff, her mother, and her brother</w:t>
      </w:r>
      <w:r>
        <w:rPr>
          <w:rFonts w:ascii="arial" w:eastAsia="arial" w:hAnsi="arial" w:cs="arial"/>
          <w:color w:val="000000"/>
          <w:sz w:val="20"/>
          <w:lang w:val="en-US" w:eastAsia="en-US" w:bidi="ar-SA"/>
        </w:rPr>
        <w:t>. Moreover, unlike a fraudulent conveyance simpliciter, in the case at bar, the Court was used by the plaintiff as part of a fraud and is now being asked to perfect that fraud.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involvement of Mehran in the Civil Action and his knowledge of the action is disputed. In paragraph 28 of his affidavit #1, he deposed that he did not learn of the fraud until he read Funt J.'s reasons in June of 2017. In his affidavit #3, he corrected the date he learned of Funt J.'s reasons to November of 2017. He explained in paragraphs 3 through 5 of his affidavit #3 that, in November 2017, he was advised by an acquaintance of a newspaper article about Donna and that the acquaintance knew things about his divorce he should not have known. As a result of this conversation, Mehran deposed that he conducted an internet search and found an article from the Vancouver Sun which referenced Funt J.'s decision. He later found and read the decision of Funt J. After reading it, he retained his current counsel in early December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Mina and Francis submit that Mehran was actively involved in the Civil Action. In support of this submission, they point to the following facts:</w:t>
      </w:r>
      <w:r>
        <w:rPr>
          <w:rFonts w:ascii="arial" w:eastAsia="arial" w:hAnsi="arial" w:cs="arial"/>
          <w:sz w:val="20"/>
          <w:lang w:val="en-US" w:eastAsia="en-US" w:bidi="ar-SA"/>
        </w:rPr>
        <w:cr/>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24 to 26, 2017, Mehran contacted the Supreme Court Registry in connection with efforts to obtain disclosure of the documents produced in the family law matter;</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30, 2017, Mehran filed an affidavit indicating his objection to documents produced in the family law matter being used in the Civil Action;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28, 2017, Mehran was served with a Notice of Application in the Civil Action for production of documents which referenced the fraud committed on him by Mina; and</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8, 2017, Mehran attended the hearing of the application for the production of documents during which statements were made about the alleged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For the purposes of the present application, I do not accept that the above facts constitute active involvement by Mehran in the Civil Action. His involvement was peripheral and related only to his interests in protecting disclosure of his confidential information. Nor do I accept, without more, that the above facts establish any knowledge on the part of Mehran of the fraud. At best he would only have been aware that allegations of fraud were being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order of Funt J. dismissing the Civil Action was appealed.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February 8, 2018, Mehran applied to be added as a respondent to the appeal. The application was granted and in granting the application, Madam Justice D. Smith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In my opinion, Mr. Taherkhani has met the test under R. 2(2). The outcome of Ms. Este's appeal could affect him. If this Court grants Ms. Este the order she has requested, the matter would be remitted and the issue of whether the property is owned by Ms. Este by Ms. Esteghamat-Ardakani and Mr. Este would be finally decided. </w:t>
      </w:r>
      <w:r>
        <w:rPr>
          <w:rFonts w:ascii="arial" w:eastAsia="arial" w:hAnsi="arial" w:cs="arial"/>
          <w:color w:val="000000"/>
          <w:sz w:val="20"/>
          <w:u w:val="single"/>
          <w:lang w:val="en-US" w:eastAsia="en-US" w:bidi="ar-SA"/>
        </w:rPr>
        <w:t>If the appeal is dismissed, however, Mr. Taherkhani would need to add Ms. Esteghamat-Ardakani and Mr. Este to his family claim. He would be the one who had to prove that Ms. Este owned some or all of the property at the time they separated before he could proceed to make a claim that some of that property was family property that should have been divided between them</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Prior to the hearing before the Court of Appeal, Mehran brought an application before this court to rescind the settlement agreement in this action and to set aside those parts of the May 27, 2014 order of Skolrood J. dealing with corollary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February 7, 2018, Justice Pearlman granted the application and made the following orders on consent:</w:t>
      </w:r>
      <w:r>
        <w:rPr>
          <w:rFonts w:ascii="arial" w:eastAsia="arial" w:hAnsi="arial" w:cs="arial"/>
          <w:sz w:val="20"/>
          <w:lang w:val="en-US" w:eastAsia="en-US" w:bidi="ar-SA"/>
        </w:rPr>
        <w:cr/>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settlement agreement in the within family law proceeding between Mehran Taherkhani and Donna Este be rescinded;</w:t>
      </w:r>
    </w:p>
    <w:p>
      <w:pPr>
        <w:numPr>
          <w:numId w:val="8"/>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1, 2 and 3 of the May 27, 2014 order of Mr. Justice Skolrood relating to the settlement agreement be set aside;</w:t>
      </w:r>
    </w:p>
    <w:p>
      <w:pPr>
        <w:numPr>
          <w:numId w:val="9"/>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claimant's notice of family claim filed May 22, 2013 proceed as if no settlement was reached and no court order for corollary relief made;</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for response to this notice of application be abridged from 21 days to 14 days; and</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this application be payable in the cause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February 21, 2018, before the Court of Appeal, Mehran brought an application to introduce new evidence. The evidence sought to be admitted consisted of the materials before Pearlman J. and Pearlman J.'s order of February 7, 2018. The application was allowed only in respect of the order of Pearlman J. Importantly, during the course of the hearing, an undertaking was given by Mina and Francis which is referenced in para. 68 of the Reasons of the Court of Appeal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[68] With the exception of the order setting aside the settlement agreement and the divorce order, the evidence Mr. Taherkhani seeks to adduce is not relevant to this appeal. That order should be before this Court to provide context to Mr. Taherkhani's submissions in regard to his ability to assert a claim to the properties and funds that are the subject matter of the within action. In that regard, </w:t>
      </w:r>
      <w:r>
        <w:rPr>
          <w:rFonts w:ascii="arial" w:eastAsia="arial" w:hAnsi="arial" w:cs="arial"/>
          <w:color w:val="000000"/>
          <w:sz w:val="20"/>
          <w:u w:val="single"/>
          <w:lang w:val="en-US" w:eastAsia="en-US" w:bidi="ar-SA"/>
        </w:rPr>
        <w:t>it should be noted that during the hearing, Mina and Francis, through their counsel, gave an undertaking that in the event this appeal were to be dismissed, they would not take the position Mr. Taherkhani is in any way estopped by the trial judge's order from pursuing any rights he may have to those properties and funds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evidence before me included parts of the transcripts from the hearing before the Court of Appeal. On March 6, 2018, counsel for Mina and Francis gave the following undertaking on their behalf: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You may need instructions on this. Are you essentially saying that your clients undertake that in any action Mr. Taherkhani may bring either independently or by joining your clients in the family law proceeding, that this judgment - the order in this case will not be relied on as a basis for precluding and determination on the merits of whatever forum his claim takes.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McEWAN: Whatever rights Mr. Taherkhani has. That's correct, My Lord. And that was the position taken before Mr. Justice Funt because it was obviously a concern in the court below.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So I take it, then, that your clients -- you are advising us on behalf of your clients that they are giving that undertaking.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McEWAN: Yes. And I will -- my client is here, and will confirm that for you again at 10 o'clock tomorrow morning, but that has been the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[Ohrn Aff. #4, Ex.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March 7, 2018, counsel for Mina and Francis confirmed and repeated the undertaking: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And what about the husband's position? What about his alleged or apparent prejudice or harm that's done to him on your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McEWAN: Yes. So two things about that. The prejudice -- the initial prejudice to the husband is a consequence of the position taken by the appellant in the family law proceeding, number one. Number two, I have gone back to my client and I have confirmed that it is my instruction notwithstanding what law his counsel may have found ... that the order of Justice Funt if upheld by this court, they undertake they do not take a position that Mr. Taherkhani is in any way estopped by that order from pursuing whatever rights he may have.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[Ohrn Aff. #4, Ex.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Later on March 7, 2018, counsel for Mina and Francis again confirmed that Mehran was not to be precluded from adding Mina and Francis to the family law matter.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It seems to me that what you're saying is that one of the results of the family trial if Mr. Taherkhani participates and succeeds in establishing that the assets that are in play here were in fact family assets and therefore should be considered in that action -- and I'll just pick a figure out of the air because I think Mr. Richter's mentioned it's something like $10 million -- the judge is of the view of Ms. Este's assets Mr. Taherkhani's entitled to $10 million. That order is made, but no order is made declaring any of the what we've been told are backdated trust documents. None of those are set aside. So Mina and Francis are unaffected by the order and Ms. Este has a judgment against her of $10 million to be satisfied out of whatever other assets she has. Is that what you're saying?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McEWAN: No. Because all of this is premised on Mina and Francis are joined as [sic] the action and the point of their being joined is that the recovery is against them directly. That's what we're saying is that </w:t>
      </w:r>
      <w:r>
        <w:rPr>
          <w:rFonts w:ascii="arial" w:eastAsia="arial" w:hAnsi="arial" w:cs="arial"/>
          <w:color w:val="000000"/>
          <w:sz w:val="20"/>
          <w:u w:val="single"/>
          <w:lang w:val="en-US" w:eastAsia="en-US" w:bidi="ar-SA"/>
        </w:rPr>
        <w:t>Mr. Taherkhani is not precluded from adding my clients, and if he proves various things and there are family assets, including things outside the form 8, you know, and there's -- for example, I think you've heard Procter registered since 2001 in Francis's name -- then they can claim it against Mina and Francis</w:t>
      </w:r>
      <w:r>
        <w:rPr>
          <w:rFonts w:ascii="arial" w:eastAsia="arial" w:hAnsi="arial" w:cs="arial"/>
          <w:color w:val="000000"/>
          <w:sz w:val="20"/>
          <w:lang w:val="en-US" w:eastAsia="en-US" w:bidi="ar-SA"/>
        </w:rPr>
        <w:t>. That's the point.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[Ohrn Aff. #4, Ex.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appeal was dismissed by the Court of Appeal on July 16, 2018 in reasons reported at </w:t>
      </w:r>
      <w:hyperlink r:id="rId558" w:history="1">
        <w:r>
          <w:rPr>
            <w:rFonts w:ascii="arial" w:eastAsia="arial" w:hAnsi="arial" w:cs="arial"/>
            <w:i/>
            <w:color w:val="0077CC"/>
            <w:sz w:val="20"/>
            <w:u w:val="single"/>
            <w:shd w:val="clear" w:color="auto" w:fill="FFFFFF"/>
            <w:lang w:val="en-US" w:eastAsia="en-US" w:bidi="ar-SA"/>
          </w:rPr>
          <w:t>2018 BCCA 290</w:t>
        </w:r>
      </w:hyperlink>
      <w:r>
        <w:rPr>
          <w:rFonts w:ascii="arial" w:eastAsia="arial" w:hAnsi="arial" w:cs="arial"/>
          <w:color w:val="000000"/>
          <w:sz w:val="20"/>
          <w:lang w:val="en-US" w:eastAsia="en-US" w:bidi="ar-SA"/>
        </w:rPr>
        <w:t>. During the course of its reasons, the court specifically addressed and contemplated that the family law action would be re-opened and Mina and Francis added to it as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Re-opening of the Divorce Action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[120] Mr. Taherkhani submits it will be difficult for him to pursue his property claims against Donna. He notes that if this appeal is dismissed, then he will have to add Mina and Francis as parties to the divorce action and then, in the context of that action, carry the burden of establishing the disputed assets are beneficially owned by Donna and are, therefore, family property. Mr. Taherkhani says he will have to expend considerable time and money in that regard. To avoid having to do so, he supports Donna's request for a new trial of the within matter; a trial in which Donna will bear the burden of establishing her beneficial ownership of those assets.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[121] The </w:t>
      </w:r>
      <w:r>
        <w:rPr>
          <w:rFonts w:ascii="arial" w:eastAsia="arial" w:hAnsi="arial" w:cs="arial"/>
          <w:i/>
          <w:color w:val="000000"/>
          <w:sz w:val="20"/>
          <w:lang w:val="en-US" w:eastAsia="en-US" w:bidi="ar-SA"/>
        </w:rPr>
        <w:t>lis</w:t>
      </w:r>
      <w:r>
        <w:rPr>
          <w:rFonts w:ascii="arial" w:eastAsia="arial" w:hAnsi="arial" w:cs="arial"/>
          <w:color w:val="000000"/>
          <w:sz w:val="20"/>
          <w:lang w:val="en-US" w:eastAsia="en-US" w:bidi="ar-SA"/>
        </w:rPr>
        <w:t xml:space="preserve"> at the trial of the within matter was between Donna on the one hand, and Mina, Francis, and Mr. Blackburn on the other. Donna's action was dismissed because she had abused the process of the court. That subsequent events in another action have opened the door for Mr. Taherkhani to advance a claim to the disputed assets does not, in any way, lessen the seriousness of Donna's misconduct, or militate in favour of her being allowed to proceed in the face of that misconduct.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[122] In my view, the position Mr. Taherkhani finds himself in is not relevant to the disposition of this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August 29, 2018, Mehran filed this application to add Mina and Francis as parties to this action and to amend the NOFC.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I have indicated, Mina and Francis adamantly oppose being added as parties to this proceeding and make various objections to the content of the proposed amended NOFC. I will address the issues engaged in the following order:</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Mina and Francis necessary and proper parties?</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objections to the content of the proposed pleading valid?</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order of Justice Pearlman improperly obtained?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this court have jurisdiction?</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this matter itself an abuse of process?</w:t>
      </w:r>
    </w:p>
    <w:p>
      <w:pPr>
        <w:numPr>
          <w:numId w:val="1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claim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Are Mina and Francis necessary and proper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Rule 8-2(7) of the </w:t>
      </w:r>
      <w:r>
        <w:rPr>
          <w:rFonts w:ascii="arial" w:eastAsia="arial" w:hAnsi="arial" w:cs="arial"/>
          <w:i/>
          <w:color w:val="000000"/>
          <w:sz w:val="20"/>
          <w:lang w:val="en-US" w:eastAsia="en-US" w:bidi="ar-SA"/>
        </w:rPr>
        <w:t>Supreme Court Family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169/2009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SCFR</w:t>
      </w:r>
      <w:r>
        <w:rPr>
          <w:rFonts w:ascii="arial" w:eastAsia="arial" w:hAnsi="arial" w:cs="arial"/>
          <w:color w:val="000000"/>
          <w:sz w:val="20"/>
          <w:lang w:val="en-US" w:eastAsia="en-US" w:bidi="ar-SA"/>
        </w:rPr>
        <w:t>] governs the addition of parties to a family matter. It provides:</w:t>
      </w:r>
      <w:r>
        <w:rPr>
          <w:rFonts w:ascii="arial" w:eastAsia="arial" w:hAnsi="arial" w:cs="arial"/>
          <w:sz w:val="20"/>
          <w:lang w:val="en-US" w:eastAsia="en-US" w:bidi="ar-SA"/>
        </w:rPr>
        <w:cr/>
      </w:r>
    </w:p>
    <w:p>
      <w:pPr>
        <w:numPr>
          <w:numId w:val="1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family law case, the court, on application by any person, may, subject to subrule (9),</w:t>
      </w:r>
    </w:p>
    <w:p>
      <w:pPr>
        <w:numPr>
          <w:numId w:val="19"/>
        </w:numPr>
        <w:tabs>
          <w:tab w:val="num" w:pos="1480"/>
          <w:tab w:val="clear" w:pos="292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cease to be named as a party if it is not appropriate or necessary for that person to be named as a party,</w:t>
      </w:r>
    </w:p>
    <w:p>
      <w:pPr>
        <w:numPr>
          <w:numId w:val="20"/>
        </w:numPr>
        <w:tabs>
          <w:tab w:val="num" w:pos="1480"/>
          <w:tab w:val="clear" w:pos="292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named as an additional party or be named as a party in substitution for another named party if</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ought to have been named as a party, or</w:t>
      </w:r>
    </w:p>
    <w:p>
      <w:pPr>
        <w:numPr>
          <w:numId w:val="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person's participation in the family law case is necessary to ensure that all matters in the family law case may be adjudicated on, and</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named as an additional party if there may exist, between the person and any other person who is named as a party to the family law case, a question or issue relating to or connected with</w:t>
      </w:r>
    </w:p>
    <w:p>
      <w:pPr>
        <w:numPr>
          <w:numId w:val="2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relief claimed in the family law case, or</w:t>
      </w:r>
    </w:p>
    <w:p>
      <w:pPr>
        <w:numPr>
          <w:numId w:val="2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family law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in the opinion of the court, it would be just and convenient to determine as between the person and the other person who is named as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Rule 8-2(7) of the </w:t>
      </w:r>
      <w:r>
        <w:rPr>
          <w:rFonts w:ascii="arial" w:eastAsia="arial" w:hAnsi="arial" w:cs="arial"/>
          <w:i/>
          <w:color w:val="000000"/>
          <w:sz w:val="20"/>
          <w:lang w:val="en-US" w:eastAsia="en-US" w:bidi="ar-SA"/>
        </w:rPr>
        <w:t>SCFR</w:t>
      </w:r>
      <w:r>
        <w:rPr>
          <w:rFonts w:ascii="arial" w:eastAsia="arial" w:hAnsi="arial" w:cs="arial"/>
          <w:color w:val="000000"/>
          <w:sz w:val="20"/>
          <w:lang w:val="en-US" w:eastAsia="en-US" w:bidi="ar-SA"/>
        </w:rPr>
        <w:t xml:space="preserve"> is almost identical to R. 6-2(7)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Alexis v. Duncan</w:t>
      </w:r>
      <w:r>
        <w:rPr>
          <w:rFonts w:ascii="arial" w:eastAsia="arial" w:hAnsi="arial" w:cs="arial"/>
          <w:color w:val="000000"/>
          <w:sz w:val="20"/>
          <w:lang w:val="en-US" w:eastAsia="en-US" w:bidi="ar-SA"/>
        </w:rPr>
        <w:t xml:space="preserve">, </w:t>
      </w:r>
      <w:hyperlink r:id="rId559" w:history="1">
        <w:r>
          <w:rPr>
            <w:rFonts w:ascii="arial" w:eastAsia="arial" w:hAnsi="arial" w:cs="arial"/>
            <w:i/>
            <w:color w:val="0077CC"/>
            <w:sz w:val="20"/>
            <w:u w:val="single"/>
            <w:shd w:val="clear" w:color="auto" w:fill="FFFFFF"/>
            <w:lang w:val="en-US" w:eastAsia="en-US" w:bidi="ar-SA"/>
          </w:rPr>
          <w:t>2015 BCCA 135</w:t>
        </w:r>
      </w:hyperlink>
      <w:r>
        <w:rPr>
          <w:rFonts w:ascii="arial" w:eastAsia="arial" w:hAnsi="arial" w:cs="arial"/>
          <w:color w:val="000000"/>
          <w:sz w:val="20"/>
          <w:lang w:val="en-US" w:eastAsia="en-US" w:bidi="ar-SA"/>
        </w:rPr>
        <w:t xml:space="preserve">, the Court of Appeal addressed the proper test for the addition of a party under the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Rule 6-2(7)(b) is concerned with remedying defects in the proceedings as they stood prior to the application to add a party. It has a narrow application. Under R. 6-2(7)(b) the court must decide if the person ought to have been joined as a party or the person's participation in the proceeding is necessary to ensure that all matters may be effectually adjudicated: see </w:t>
      </w:r>
      <w:r>
        <w:rPr>
          <w:rFonts w:ascii="arial" w:eastAsia="arial" w:hAnsi="arial" w:cs="arial"/>
          <w:i/>
          <w:color w:val="000000"/>
          <w:sz w:val="20"/>
          <w:lang w:val="en-US" w:eastAsia="en-US" w:bidi="ar-SA"/>
        </w:rPr>
        <w:t>Enterprise Realty Ltd. v. Barnes Lake Cattle Co. Ltd</w:t>
      </w:r>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(1979), 13 B.C.L.R. 293</w:t>
        </w:r>
      </w:hyperlink>
      <w:r>
        <w:rPr>
          <w:rFonts w:ascii="arial" w:eastAsia="arial" w:hAnsi="arial" w:cs="arial"/>
          <w:color w:val="000000"/>
          <w:sz w:val="20"/>
          <w:lang w:val="en-US" w:eastAsia="en-US" w:bidi="ar-SA"/>
        </w:rPr>
        <w:t xml:space="preserve"> (C.A.). The discretion to add a party under R. 6-2(7)(b) exists if one of the conditions in subsections (i) and (ii) is established: </w:t>
      </w:r>
      <w:r>
        <w:rPr>
          <w:rFonts w:ascii="arial" w:eastAsia="arial" w:hAnsi="arial" w:cs="arial"/>
          <w:i/>
          <w:color w:val="000000"/>
          <w:sz w:val="20"/>
          <w:lang w:val="en-US" w:eastAsia="en-US" w:bidi="ar-SA"/>
        </w:rPr>
        <w:t>Enterprise Realty Ltd</w:t>
      </w:r>
      <w:r>
        <w:rPr>
          <w:rFonts w:ascii="arial" w:eastAsia="arial" w:hAnsi="arial" w:cs="arial"/>
          <w:color w:val="000000"/>
          <w:sz w:val="20"/>
          <w:lang w:val="en-US" w:eastAsia="en-US" w:bidi="ar-SA"/>
        </w:rPr>
        <w:t xml:space="preserve">. at 296. However, "if neither of the prerequisite conditions is established then there is no discretion in the chambers Judge and he must refuse the application": </w:t>
      </w:r>
      <w:r>
        <w:rPr>
          <w:rFonts w:ascii="arial" w:eastAsia="arial" w:hAnsi="arial" w:cs="arial"/>
          <w:i/>
          <w:color w:val="000000"/>
          <w:sz w:val="20"/>
          <w:lang w:val="en-US" w:eastAsia="en-US" w:bidi="ar-SA"/>
        </w:rPr>
        <w:t>Enterprise Realty Ltd</w:t>
      </w:r>
      <w:r>
        <w:rPr>
          <w:rFonts w:ascii="arial" w:eastAsia="arial" w:hAnsi="arial" w:cs="arial"/>
          <w:color w:val="000000"/>
          <w:sz w:val="20"/>
          <w:lang w:val="en-US" w:eastAsia="en-US" w:bidi="ar-SA"/>
        </w:rPr>
        <w:t>. at 296.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The predecessor to R. 6-2(7)(c) was added to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in 1980 shortly after and presumably to counter the narrow interpretation adopted in </w:t>
      </w:r>
      <w:r>
        <w:rPr>
          <w:rFonts w:ascii="arial" w:eastAsia="arial" w:hAnsi="arial" w:cs="arial"/>
          <w:i/>
          <w:color w:val="000000"/>
          <w:sz w:val="20"/>
          <w:lang w:val="en-US" w:eastAsia="en-US" w:bidi="ar-SA"/>
        </w:rPr>
        <w:t>Enterprise Realty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Ltd</w:t>
      </w:r>
      <w:r>
        <w:rPr>
          <w:rFonts w:ascii="arial" w:eastAsia="arial" w:hAnsi="arial" w:cs="arial"/>
          <w:color w:val="000000"/>
          <w:sz w:val="20"/>
          <w:lang w:val="en-US" w:eastAsia="en-US" w:bidi="ar-SA"/>
        </w:rPr>
        <w:t xml:space="preserve">]. I note that the broad interpretation considered but rejected in </w:t>
      </w:r>
      <w:r>
        <w:rPr>
          <w:rFonts w:ascii="arial" w:eastAsia="arial" w:hAnsi="arial" w:cs="arial"/>
          <w:i/>
          <w:color w:val="000000"/>
          <w:sz w:val="20"/>
          <w:lang w:val="en-US" w:eastAsia="en-US" w:bidi="ar-SA"/>
        </w:rPr>
        <w:t>Enterprise Realty Ltd</w:t>
      </w:r>
      <w:r>
        <w:rPr>
          <w:rFonts w:ascii="arial" w:eastAsia="arial" w:hAnsi="arial" w:cs="arial"/>
          <w:color w:val="000000"/>
          <w:sz w:val="20"/>
          <w:lang w:val="en-US" w:eastAsia="en-US" w:bidi="ar-SA"/>
        </w:rPr>
        <w:t xml:space="preserve">. by this Court was "that parties should be added if, after balancing the interests of all the parties, existing and prospective, it is just and convenient to do so": </w:t>
      </w:r>
      <w:r>
        <w:rPr>
          <w:rFonts w:ascii="arial" w:eastAsia="arial" w:hAnsi="arial" w:cs="arial"/>
          <w:i/>
          <w:color w:val="000000"/>
          <w:sz w:val="20"/>
          <w:lang w:val="en-US" w:eastAsia="en-US" w:bidi="ar-SA"/>
        </w:rPr>
        <w:t>Enterprise Realty Ltd</w:t>
      </w:r>
      <w:r>
        <w:rPr>
          <w:rFonts w:ascii="arial" w:eastAsia="arial" w:hAnsi="arial" w:cs="arial"/>
          <w:color w:val="000000"/>
          <w:sz w:val="20"/>
          <w:lang w:val="en-US" w:eastAsia="en-US" w:bidi="ar-SA"/>
        </w:rPr>
        <w:t>. at 296.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Under R. 6-2(7)(c) the court can order a person be added as a party if there exists, between the person sought to be added and any party to the proceeding, "a question or issue relating to or connected with the relief claimed in the proceeding or the subject matter of the proceeding" and, "if in the opinion of the court, it would be just and convenient to do so" (emphasis added). The decision as to whether to add a party under R. 6-2(7)(c) is discretionary. It is up to the presiding judge to determine whether or not joinder of the new defendant is just and convenient in any particular case: see e.g., </w:t>
      </w:r>
      <w:r>
        <w:rPr>
          <w:rFonts w:ascii="arial" w:eastAsia="arial" w:hAnsi="arial" w:cs="arial"/>
          <w:i/>
          <w:color w:val="000000"/>
          <w:sz w:val="20"/>
          <w:lang w:val="en-US" w:eastAsia="en-US" w:bidi="ar-SA"/>
        </w:rPr>
        <w:t>Letvad v. Fenwick</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 xml:space="preserve">. It cannot be said with any assurance that a claim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automatically be joined: see </w:t>
      </w:r>
      <w:r>
        <w:rPr>
          <w:rFonts w:ascii="arial" w:eastAsia="arial" w:hAnsi="arial" w:cs="arial"/>
          <w:i/>
          <w:color w:val="000000"/>
          <w:sz w:val="20"/>
          <w:lang w:val="en-US" w:eastAsia="en-US" w:bidi="ar-SA"/>
        </w:rPr>
        <w:t>Zymtech Development Inc. v. Sport Central Enterprises Ltd. et al.</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2004 BCSC 309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Lantzius v Lantzius</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2015 BCSC 2066</w:t>
        </w:r>
      </w:hyperlink>
      <w:r>
        <w:rPr>
          <w:rFonts w:ascii="arial" w:eastAsia="arial" w:hAnsi="arial" w:cs="arial"/>
          <w:color w:val="000000"/>
          <w:sz w:val="20"/>
          <w:lang w:val="en-US" w:eastAsia="en-US" w:bidi="ar-SA"/>
        </w:rPr>
        <w:t xml:space="preserve">, at para. 26, Justice Kelleher noted that R. 8-2(7)(b) and (c) should be given a broad purposive interpretation. I accept R. 8-2(7)(c) is to be given a broad interpretation but that is not the case with R. 8-2(7)(b). As indicated in para. 15 of the above quotation from </w:t>
      </w:r>
      <w:r>
        <w:rPr>
          <w:rFonts w:ascii="arial" w:eastAsia="arial" w:hAnsi="arial" w:cs="arial"/>
          <w:i/>
          <w:color w:val="000000"/>
          <w:sz w:val="20"/>
          <w:lang w:val="en-US" w:eastAsia="en-US" w:bidi="ar-SA"/>
        </w:rPr>
        <w:t>Alexis</w:t>
      </w:r>
      <w:r>
        <w:rPr>
          <w:rFonts w:ascii="arial" w:eastAsia="arial" w:hAnsi="arial" w:cs="arial"/>
          <w:color w:val="000000"/>
          <w:sz w:val="20"/>
          <w:lang w:val="en-US" w:eastAsia="en-US" w:bidi="ar-SA"/>
        </w:rPr>
        <w:t xml:space="preserve">, R. 6-2(7)(b) of the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xml:space="preserve"> is concerned with remedying defects in a proceeding and has a narrow application. The same must be so with R. 8-2(b) which is framed almost identically.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any event, I have little hesitation in holding that Mina and Francis are necessary and proper parties to this matter and should be added as parties under either subsection (b) or (c) of R. 8-2(7).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proposed amended NOFC directly puts in issue the ownership of various properties and assets, including the three West Vancouver properties, 0831295 B.C. Ltd., and the HSBC account containing approximately $3.4 million. At the trial of this matter, the court will be called upon to determine who owns these assets, whether they are family property and, if so, how the family property should be divided as between Mehran and Donna. There will be a determination of the nature and extent of Donna's interest in properties and assets in which Mina and Francis also have an interest. The determination of Donna's ownership interest will also determine the extent of the interests of Mina and Francis. Such a determination can only be made with their full participation. They should have been parties from the outset. They are, therefore, not only necessary parties to ensure all matters can be adjudicated but they are, in my view, essential parties and ought to be added under Rule 8-2(7)(b).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Mina and Francis additionally, ought to be added pursuant to the two part test under R. 8-2(7)(c). The first part of that test is whether, between the person sought to be added and any party to the proceeding, there exists a question or issue relating to or connected with the relief claimed in the proceeding or the subject matter of the proceeding. Here, there is such an issue, namely, the relative ownership interests of Donna, Mina, and Francis in the properties and assets alleged to be family property over which Mehran has made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second part of the test under R. 8-2(7)(c) is whether it is "just and convenient" to add the proposed parties. In my view, it is just and convenient to add Mina and Francis. I am of this view for several reasons. First, as submitted by Mehran, pursuant to R. 3-1(1), the claim for division of family property is one that must be brought by NOFC. It cannot be brought as a regular civil action. Hence, it is not merely just and convenient but essential to add Mina and Francis as parties to the family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Second, adding Mina and Francis as parties to the family action will avoid a multiplicity of claims consistent with the objectives of s.10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c.253</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In the exercise of its jurisdiction in a cause or matter before it, the court must grant, either absolutely or on reasonable conditions that to it seem just, all remedies that any of the parties may appear to be entitled to in respect of any legal or equitable claim properly brought forward by them in the cause or matter so that, as far as possible, all matters in controversy between the parties may be completely and finally determined and all multiplicity of legal proceedings concerning any of those matters may be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Third, the history of this matter and the related Civil Action unequivocally discloses that a fraud has been committed, including a fraud upon the Court. Donna was a party to that fraud and Mehran may have been a victim. Whether Mina and Francis were also parties to the fraud is an issue raised by the proposed amended pleading and one which is important to determine in the interests of the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Finally, the undertaking given to the Court of Appeal is an important factor. Counsel for Mina and Francis expressly stated before the Court of Appeal that Mehran "is not precluded from adding my clients, and if he proves various things and there are family assets ... then they can claim it against Mina and Francis". The undertaking was given in circumstances where it was known that there would be an application to add Mina and Francis to this family matter. At para. 86 of his Reasons, Funt J. acknowledged that the effect of his ruling would be for Mehran to bring proceedings against Mina and Francis. At para. 15 of the Reasons relating to Mehran's application to be added as party to the appeal, D. Smith J.A. expressly recognized that Mehran would need to add Mina and Francis as parties to this family action. At para. 121 of their Reasons, the Court of Appeal recognized that events (presumably, the Order of Pearlman J.) had opened the door for Mehran to advance a claim to the disputed assets. Given that the undertaking was made under circumstances where it was known this application would be brought, it is just and convenient that the Mina and Francis be added as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wish to emphasize that I am troubled by the nature and extent of the opposition to this application by Mina and Francis given the undertaking that was made to the Court of Appeal. Their counsel said that Mehran "is not precluded from adding my clients". Notwithstanding this undertaking, every possible argument appears to have been raised to preclude Mehran from adding Mehran and Francis. I make no comment on whether there has been a breach of the undertaking as it was given to the Court of Appeal, however, it is, in my view, an important factor in the just and convenient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Objections to the Content of the Proposed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With respect to the content of the proposed amended NOFC, Mina and Francis have made submissions relating to parts of the amended pleading that they say should not be allowed. First, they submit that the following paragraph in Schedule 4 should be struck on the grounds that it is scandalous and there is no cause of action for "wrongful retention".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unequal division of family property and family debt with respect to that family property and family debt wrongfully retained by Mina Esteghamat-Ardakani and/or Francis Amir Este as a consequence of the decisions of Mr. Justice Funt and Mr. Justice Frankel (Mackenzie JA and Fisher JA concurring). To the extent the decisions resulted in Mina Esteghamat-Ardakani and/or Francis Amir Este retaining legal title to family property as a consequence of his/ her/their conspiracy, deceit, fraudulent conveyance, fraudulent misrepresentation, perjury, fabrication of evidence and/or obstruction, perversion and/or defeat of the course of justice, the entirety of such proceeds should be wholly reapportioned in favour of the claimant as to do otherwise would be abhorrent to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disagree that the above must be struck. The paragraph is perhaps not worded as well or as precisely as it could be but the meaning is clear. The claimant is requesting an order in relation to that part of the family property that is now held by Mina and Francis as a consequence of the decisions of Funt J. and the Court of Appeal. There is nothing scandalous about this. It does not allege a cause of action of "wrongful retention". Rather, the phrase "wrongful retention" is used in a descriptive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Mina and Francis further submit that the following from Part B of Schedule 4 of the proposed Amended NOFC is legally non-sensical in the sense that property owned by them is not, by definition, family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full interest in all family property held legally and/or beneficially by Mina Esteghamat-Ardakani, Francis Este and/or 0831295 BC Ltd., including pursuant to a tracing, including but not limited to the $3.4 million at HSBC transferred by Donna Este into joint names with Mina Esteghamat-Ardakani and later her name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Again, although the paragraph is not worded as well as it might be, I disagree that it is non-sensical and must be struck. The claimant is merely requesting an order that he be given title to any </w:t>
      </w:r>
      <w:r>
        <w:rPr>
          <w:rFonts w:ascii="arial" w:eastAsia="arial" w:hAnsi="arial" w:cs="arial"/>
          <w:color w:val="000000"/>
          <w:sz w:val="20"/>
          <w:u w:val="single"/>
          <w:lang w:val="en-US" w:eastAsia="en-US" w:bidi="ar-SA"/>
        </w:rPr>
        <w:t>family property</w:t>
      </w:r>
      <w:r>
        <w:rPr>
          <w:rFonts w:ascii="arial" w:eastAsia="arial" w:hAnsi="arial" w:cs="arial"/>
          <w:color w:val="000000"/>
          <w:sz w:val="20"/>
          <w:lang w:val="en-US" w:eastAsia="en-US" w:bidi="ar-SA"/>
        </w:rPr>
        <w:t xml:space="preserve"> held by the proposed parties. The claimant is not requesting an order that property beneficially owned by the proposed parties be declared family property. The claim is limited to property that is ultimately determined to be </w:t>
      </w:r>
      <w:r>
        <w:rPr>
          <w:rFonts w:ascii="arial" w:eastAsia="arial" w:hAnsi="arial" w:cs="arial"/>
          <w:color w:val="000000"/>
          <w:sz w:val="20"/>
          <w:u w:val="single"/>
          <w:lang w:val="en-US" w:eastAsia="en-US" w:bidi="ar-SA"/>
        </w:rPr>
        <w:t>family property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Mina and Francis make a similar submission in relation to paras. 2 through 5 of Schedule 5 of the proposed Amended NOFC. These paragraphs provide:</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pursuant to section 97 of the </w:t>
      </w:r>
      <w:r>
        <w:rPr>
          <w:rFonts w:ascii="arial" w:eastAsia="arial" w:hAnsi="arial" w:cs="arial"/>
          <w:i/>
          <w:color w:val="000000"/>
          <w:sz w:val="20"/>
          <w:lang w:val="en-US" w:eastAsia="en-US" w:bidi="ar-SA"/>
        </w:rPr>
        <w:t>Family law Act</w:t>
      </w:r>
      <w:r>
        <w:rPr>
          <w:rFonts w:ascii="arial" w:eastAsia="arial" w:hAnsi="arial" w:cs="arial"/>
          <w:color w:val="000000"/>
          <w:sz w:val="20"/>
          <w:lang w:val="en-US" w:eastAsia="en-US" w:bidi="ar-SA"/>
        </w:rPr>
        <w:t xml:space="preserve"> that such property of Donna Este, Mina Esteghamat-Ardakani, Francis Este, 0831295 BC Ltd., Vitality Holdings Corp., and/or John/Jane Doe as Trustee of the Mina Esteghamat-Ardakani Alter Ego Trust No. 1 as may seem just and reasonable to this Honourable Court be vested in the claimant.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pursuant to section 97 of the </w:t>
      </w:r>
      <w:r>
        <w:rPr>
          <w:rFonts w:ascii="arial" w:eastAsia="arial" w:hAnsi="arial" w:cs="arial"/>
          <w:i/>
          <w:color w:val="000000"/>
          <w:sz w:val="20"/>
          <w:lang w:val="en-US" w:eastAsia="en-US" w:bidi="ar-SA"/>
        </w:rPr>
        <w:t>Family law Act</w:t>
      </w:r>
      <w:r>
        <w:rPr>
          <w:rFonts w:ascii="arial" w:eastAsia="arial" w:hAnsi="arial" w:cs="arial"/>
          <w:color w:val="000000"/>
          <w:sz w:val="20"/>
          <w:lang w:val="en-US" w:eastAsia="en-US" w:bidi="ar-SA"/>
        </w:rPr>
        <w:t xml:space="preserve"> thereto for compensation payable from Donna Este. Mina Esteghamat-Ardakani, Francis Este, 0831295 BC Ltd., Vitality Holdings Corp., and/or John/Jane Doe as Trustee of the Mina Esteghamat-Ardakani Alter Ego Trust No. 1 to the claimant to adjust the division of assets and to compensate the Claimant for assets disposed of by the Respondent.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pursuant to section 91 of the </w:t>
      </w:r>
      <w:r>
        <w:rPr>
          <w:rFonts w:ascii="arial" w:eastAsia="arial" w:hAnsi="arial" w:cs="arial"/>
          <w:i/>
          <w:color w:val="000000"/>
          <w:sz w:val="20"/>
          <w:lang w:val="en-US" w:eastAsia="en-US" w:bidi="ar-SA"/>
        </w:rPr>
        <w:t>Family law Act</w:t>
      </w:r>
      <w:r>
        <w:rPr>
          <w:rFonts w:ascii="arial" w:eastAsia="arial" w:hAnsi="arial" w:cs="arial"/>
          <w:color w:val="000000"/>
          <w:sz w:val="20"/>
          <w:lang w:val="en-US" w:eastAsia="en-US" w:bidi="ar-SA"/>
        </w:rPr>
        <w:t xml:space="preserve"> restraining Donna Este, Mina Esteghamat-Ardakani, Francis Este, 0831295 BC Ltd., Vitality Holdjngs Corp., and/or John/Jane Doe as Trustee of the Mina Esteghamat-Ardakani Alter Ego Trust No. 1 from disposing of, transferring, converting or exchanging into another form any property at issue under Part 5 or Part 6 of the </w:t>
      </w:r>
      <w:r>
        <w:rPr>
          <w:rFonts w:ascii="arial" w:eastAsia="arial" w:hAnsi="arial" w:cs="arial"/>
          <w:i/>
          <w:color w:val="000000"/>
          <w:sz w:val="20"/>
          <w:lang w:val="en-US" w:eastAsia="en-US" w:bidi="ar-SA"/>
        </w:rPr>
        <w:t>Family Law Act</w:t>
      </w:r>
      <w:r>
        <w:rPr>
          <w:rFonts w:ascii="arial" w:eastAsia="arial" w:hAnsi="arial" w:cs="arial"/>
          <w:color w:val="000000"/>
          <w:sz w:val="20"/>
          <w:lang w:val="en-US" w:eastAsia="en-US" w:bidi="ar-SA"/>
        </w:rPr>
        <w:t xml:space="preserve"> without agreement between the parties or further court order.</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order for possession, delivery, safekeeping and preservation of property pursuant to section 90 (2) of the </w:t>
      </w:r>
      <w:r>
        <w:rPr>
          <w:rFonts w:ascii="arial" w:eastAsia="arial" w:hAnsi="arial" w:cs="arial"/>
          <w:i/>
          <w:color w:val="000000"/>
          <w:sz w:val="20"/>
          <w:lang w:val="en-US" w:eastAsia="en-US" w:bidi="ar-SA"/>
        </w:rPr>
        <w:t>Family law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When these paragraphs are read together with the relevant provisions of the </w:t>
      </w:r>
      <w:r>
        <w:rPr>
          <w:rFonts w:ascii="arial" w:eastAsia="arial" w:hAnsi="arial" w:cs="arial"/>
          <w:i/>
          <w:color w:val="000000"/>
          <w:sz w:val="20"/>
          <w:lang w:val="en-US" w:eastAsia="en-US" w:bidi="ar-SA"/>
        </w:rPr>
        <w:t>FLA</w:t>
      </w:r>
      <w:r>
        <w:rPr>
          <w:rFonts w:ascii="arial" w:eastAsia="arial" w:hAnsi="arial" w:cs="arial"/>
          <w:color w:val="000000"/>
          <w:sz w:val="20"/>
          <w:lang w:val="en-US" w:eastAsia="en-US" w:bidi="ar-SA"/>
        </w:rPr>
        <w:t>, it is clear that the orders requested are limited to what is determined to be family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Mina and Francis submit that the relief claimed in paragraph 2(a) of p. 16 of the Amended NOFC should be struck on the grounds that "constructive" fraudulent misrepresentation is not a cause of action. Paragraph 2 provides in its entirety:</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or in the alternative, damages for fraudulent misrepresentation against Donna Este, Mina Esteghamat-Ardakani and Francis Este on the basis that:</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Mjna Esteghamat-Ardakani and Francis Este constructively or expressly represented to the claimant properties were beneficially owned by Mina Esteghamat-Ardakani, Francis Este, 0831295 BC Ltd., Vitality Holdings Corp. and/or John/Jane Doe as Trustee of the Mina Esteghamat-Ardakani Alter Ego Trust No. 1, the $3.4 million HSBC account was not owned by Donna Este, the $480,000 mortgage was a legitimate debt and such other matters as shall be shown;</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representations were false in fact;</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Donna Este. Mina Esteghamat-Ardakanj and Francis Este knew the representations were false:</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Donna Este. Mina Esteghamat-Ardakani and Francis Este made the representations with the intention that they should be acted upon by the claimant: and</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claimant was induced by, and relied upon, the false statements in settling his matrimonial claim with Donna Este;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agree that the use of the word "constructively" in paragraph 2(a) was a poor choice. A better choice would be "impliedly". However, this can easily corrected by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Mina and Francis submit that the relief claimed in paragraph 3 of Schedule 5 should be struck on the grounds that a claim for conspiracy cannot be made in a family law matter. This paragraph provides:</w:t>
      </w:r>
      <w:r>
        <w:rPr>
          <w:rFonts w:ascii="arial" w:eastAsia="arial" w:hAnsi="arial" w:cs="arial"/>
          <w:sz w:val="20"/>
          <w:lang w:val="en-US" w:eastAsia="en-US" w:bidi="ar-SA"/>
        </w:rPr>
        <w:cr/>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or in the alternative, damages for the tort of civil conspiracy by Donna Este, Mina Esteghamat-Ardakani and Francis Este on the basis they entered into an agreement to deceive the claimant about the ownership of the properties and the validity of the mortgage with:</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predominant purpose of Donna Este, Mina Esteghamat-Ardakani and Francis Este, and each of them was to cause injury to the claimant;</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Donna Este, Mina Esteghamat-Ardakani and Francis Este, and each of them should have known that in the circumstances injury to the claimant was likely to, and in fact did take occur because of their unlawful conduct: or</w:t>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Mina and Francis refer me to </w:t>
      </w:r>
      <w:r>
        <w:rPr>
          <w:rFonts w:ascii="arial" w:eastAsia="arial" w:hAnsi="arial" w:cs="arial"/>
          <w:i/>
          <w:color w:val="000000"/>
          <w:sz w:val="20"/>
          <w:lang w:val="en-US" w:eastAsia="en-US" w:bidi="ar-SA"/>
        </w:rPr>
        <w:t>Waters v. Michie</w:t>
      </w:r>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2011 BCCA 364</w:t>
        </w:r>
      </w:hyperlink>
      <w:r>
        <w:rPr>
          <w:rFonts w:ascii="arial" w:eastAsia="arial" w:hAnsi="arial" w:cs="arial"/>
          <w:color w:val="000000"/>
          <w:sz w:val="20"/>
          <w:lang w:val="en-US" w:eastAsia="en-US" w:bidi="ar-SA"/>
        </w:rPr>
        <w:t xml:space="preserve"> for the proposition that civil conspiracy claims cannot properly be made in the family law context. However,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 xml:space="preserve"> does not stand for a blanket prohibition of conspiracy claims in family law matters. At para. 31, Madam Justice Levine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In light of these comments, </w:t>
      </w:r>
      <w:r>
        <w:rPr>
          <w:rFonts w:ascii="arial" w:eastAsia="arial" w:hAnsi="arial" w:cs="arial"/>
          <w:i/>
          <w:color w:val="000000"/>
          <w:sz w:val="20"/>
          <w:lang w:val="en-US" w:eastAsia="en-US" w:bidi="ar-SA"/>
        </w:rPr>
        <w:t>Frame v. Smith</w:t>
      </w:r>
      <w:r>
        <w:rPr>
          <w:rFonts w:ascii="arial" w:eastAsia="arial" w:hAnsi="arial" w:cs="arial"/>
          <w:color w:val="000000"/>
          <w:sz w:val="20"/>
          <w:lang w:val="en-US" w:eastAsia="en-US" w:bidi="ar-SA"/>
        </w:rPr>
        <w:t xml:space="preserve"> does not stand for the proposition that a conspiracy claim pleaded in the family law context must be struck, as a matter of policy, as disclosing no reasonable claim. If, as the appellant argued, the chambers judge struck the appellant's claim on that basis, I would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 xml:space="preserve"> and the decision of the Supreme Court of Canada in </w:t>
      </w:r>
      <w:r>
        <w:rPr>
          <w:rFonts w:ascii="arial" w:eastAsia="arial" w:hAnsi="arial" w:cs="arial"/>
          <w:i/>
          <w:color w:val="000000"/>
          <w:sz w:val="20"/>
          <w:lang w:val="en-US" w:eastAsia="en-US" w:bidi="ar-SA"/>
        </w:rPr>
        <w:t>Frame v. Smith</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referred to therein, address at some length conspiracy claims in the family law context. I do not intend to address these authorities in detail as only one paragraph was devoted to this issue in the otherwise extensive written submissions of Mina and Francis. However, </w:t>
      </w:r>
      <w:r>
        <w:rPr>
          <w:rFonts w:ascii="arial" w:eastAsia="arial" w:hAnsi="arial" w:cs="arial"/>
          <w:i/>
          <w:color w:val="000000"/>
          <w:sz w:val="20"/>
          <w:lang w:val="en-US" w:eastAsia="en-US" w:bidi="ar-SA"/>
        </w:rPr>
        <w:t>Frame</w:t>
      </w:r>
      <w:r>
        <w:rPr>
          <w:rFonts w:ascii="arial" w:eastAsia="arial" w:hAnsi="arial" w:cs="arial"/>
          <w:color w:val="000000"/>
          <w:sz w:val="20"/>
          <w:lang w:val="en-US" w:eastAsia="en-US" w:bidi="ar-SA"/>
        </w:rPr>
        <w:t xml:space="preserve"> involved a claim of alleged interference with access to children of the marriage and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 xml:space="preserve"> involved transfers of property that were alleged to deprive the appellant of child support. Both concerned children and in both the alleged co-conspirator was a new spouse. Moreover, in both, a significant concern was the best interests of the children. This matter does not involve a conspiracy with a new spouse, does not involve children of the marriage, and does not raise any concerns about the best interests of the children. In my view, these differences are such that, at this stage of the proceeding, it is premature to strike the conspiracy claim. In reaching this conclusion, I am guided by the principle that novel or controversial claims should not be struck at the pleadings stage.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Other Objections Raised to Joinder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Mina and Francis make multiple additional submissions in opposition to the application, namely:</w:t>
      </w:r>
      <w:r>
        <w:rPr>
          <w:rFonts w:ascii="arial" w:eastAsia="arial" w:hAnsi="arial" w:cs="arial"/>
          <w:sz w:val="20"/>
          <w:lang w:val="en-US" w:eastAsia="en-US" w:bidi="ar-SA"/>
        </w:rPr>
        <w:cr/>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Justice Pearlman's order was improperly obtained;</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court is without jurisdiction to make the orders sought in the proposed Amended NOFC;</w:t>
      </w:r>
    </w:p>
    <w:p>
      <w:pPr>
        <w:numPr>
          <w:numId w:val="4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matter is an abuse of process; and</w:t>
      </w:r>
    </w:p>
    <w:p>
      <w:pPr>
        <w:numPr>
          <w:numId w:val="4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is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now address each of these submissions in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Was the Pearlman J. order improperly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Mina and Francis submit that the order of Pearlman J. dated February 7, 2018, reinstating the family law case was improperly obtained and is, therefore, without effect. In essence, they say that the order was made on consent and that material facts and argument were not before the court. More specifically, at para. 28 of their written argument they say:</w:t>
      </w:r>
      <w:r>
        <w:rPr>
          <w:rFonts w:ascii="arial" w:eastAsia="arial" w:hAnsi="arial" w:cs="arial"/>
          <w:sz w:val="20"/>
          <w:lang w:val="en-US" w:eastAsia="en-US" w:bidi="ar-SA"/>
        </w:rPr>
        <w:cr/>
      </w:r>
    </w:p>
    <w:p>
      <w:pPr>
        <w:numPr>
          <w:numId w:val="4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overlooking the jurisdictional limits to the family law regime, discussed below, neither party before Justice Pearlman disclosed any of the following to the Court:</w:t>
      </w:r>
    </w:p>
    <w:p>
      <w:pPr>
        <w:numPr>
          <w:numId w:val="4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order dismissing the Civil Action by Justice Funt was on the basis of assumed facts and there was no finding that the Respondent had, in fact, given false evidence in the family action or misled either the Claimant or the court;</w:t>
      </w:r>
    </w:p>
    <w:p>
      <w:pPr>
        <w:numPr>
          <w:numId w:val="4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record before him did not include any evidence of fraud by the Respondent in the family action but rather:</w:t>
      </w:r>
    </w:p>
    <w:p>
      <w:pPr>
        <w:numPr>
          <w:numId w:val="4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Claimant's evidence referring to Justice Funt's conclusion on abuse of process in the Civil Action (itself based on assumed facts); and</w:t>
      </w:r>
    </w:p>
    <w:p>
      <w:pPr>
        <w:numPr>
          <w:numId w:val="4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counsel's representation that the Respondent accepted that her evidence in the family action "was misleading and did mislead [the Claimant]" - a representation made without being sworn to by the Respondent and which was in fact was directly contrary to her sworn evidence at trial in the Civil Action;</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had defended the family proceeding on the basis of the Marriage Agreement, which she gave evidence in the Civil Action was "very good" and "solid";</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had given evidence in the Civil Action that the Claimant was not misled by her claimed deception, including (by way of example) the following:</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 Mehran had knowledge of the facts. Just because some fake documents are produced doesn't change his position... But my understanding is, My Lord, that Mehran knew me well. Mehran knew these are not my doings. And Mehran lived with me for a number of years and knew that this is a scam. So it just, thank God, resolved itself...</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All I think both of us did with the settlement was get out of that mess that he knew wasn't caused by me...</w:t>
      </w:r>
      <w:r>
        <w:rPr>
          <w:rFonts w:ascii="arial" w:eastAsia="arial" w:hAnsi="arial" w:cs="arial"/>
          <w:color w:val="000000"/>
          <w:sz w:val="20"/>
          <w:lang w:val="en-US" w:eastAsia="en-US" w:bidi="ar-SA"/>
        </w:rPr>
        <w:t>;</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Claimant had participated in the Civil Action through pre-trial applications, that he had been ordered to produce documents, and that he had been an anticipated witness for the Respondent;</w:t>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had financed the purchase of a multi-million dollar property located at [address redacted] 23rd Street, West Vancouver and registered in the Claimant's name just weeks before filing the civil claim, and had testified that she did so out of a sense of "obligation" to the Claimant; and</w:t>
      </w:r>
    </w:p>
    <w:p>
      <w:pPr>
        <w:numPr>
          <w:numId w:val="53"/>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that the Respondent had given evidence in the trial of the Civil Action that she and the Claimant remained close, lived at the same house (the 23rd Street Property)1, worked together, and that "he's one of my lifelines right now", nor any other advice as to agreements that may exist between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to evidence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do not need to embark on an analysis of the veracity of the above allegations or to determine whether Pearlman J. was or could have been misled by any of the allegations. Justice Pearlman made the order that he did. The order was entered and has not been appealed. I do not sit in appeal of Pearlman J. nor can I review his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Nevertheless, I note that I have serious reservations as to whether disclosure of the above allegations would have altered the result. The material facts that led to the order, and which are amply supported by the evidence, were: (1) that Donna filed false financial statements and failed to disclose her interests in certain properties and assets; (2) that the consent order of Justice Skolrood was premised, at least in part, on this faulty disclosure; and (3) that the faulty disclosure was a fraud upon Mehran and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validity of the marriage agreement was not a relevant issue before Pearlman J. Whether Mehran was, in fact, misled by the deception was not something that could have, or should have, been finally determined at the hearing before Pearlman J. It was sufficient that there was evidence he was deceived. It will be for this court to determine upon the trial of this matter whether there was, in fact, deception. The involvement of Mehran in the Civil Action was also not relevant but, in any event, as I have found, it was minimal. Finally, the purchase of the 23rd street property was not relevant and neither was whatever continuing non-spousal relationship exists as between Mehran and Donna.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would add that Mina and Francis were not strangers to what was happening in this family law matter. They knew of the application to re-open the family law matter. In fact, their counsel wrote to counsel for Donna and Mehran advising them of their duty, as officers of the court, to fully apprise the court of all material matters. They could have done more. They could have applied for standing at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Accordingly, it is not open to me to sit in appeal of, or otherwise review, the order of Pearlman J. dated February 7, 2018. However, if I was to review the circumstances that led to it, I would conclude that it was properly obtained.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Does this Court have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proposed parties submit that this application must be dismissed because the underlying proceeding lacks jurisdictional foundation. More specifically, they submit:</w:t>
      </w:r>
      <w:r>
        <w:rPr>
          <w:rFonts w:ascii="arial" w:eastAsia="arial" w:hAnsi="arial" w:cs="arial"/>
          <w:sz w:val="20"/>
          <w:lang w:val="en-US" w:eastAsia="en-US" w:bidi="ar-SA"/>
        </w:rPr>
        <w:cr/>
      </w:r>
    </w:p>
    <w:p>
      <w:pPr>
        <w:numPr>
          <w:numId w:val="54"/>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this court's jurisdiction is time-limited and has expired; and</w:t>
      </w:r>
    </w:p>
    <w:p>
      <w:pPr>
        <w:numPr>
          <w:numId w:val="5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jurisdiction to make orders in respect of division of property can be exercised only once and cannot be resurrected.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They, therefore, say that Pearlman J.'s order is without effect.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Is the court's jurisdiction time limited and has it been spent?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Mina and Francis submit that this family law matter is governed by the </w:t>
      </w:r>
      <w:r>
        <w:rPr>
          <w:rFonts w:ascii="arial" w:eastAsia="arial" w:hAnsi="arial" w:cs="arial"/>
          <w:i/>
          <w:color w:val="000000"/>
          <w:sz w:val="20"/>
          <w:lang w:val="en-US" w:eastAsia="en-US" w:bidi="ar-SA"/>
        </w:rPr>
        <w:t>Family Relations Act</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R.S.B.C. 1996, c. 128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pursuant to s. 61(4) of that act, and further submit that the time limit for bringing a claim for division of property is two years from the date of the divorce. They rely upon </w:t>
      </w:r>
      <w:r>
        <w:rPr>
          <w:rFonts w:ascii="arial" w:eastAsia="arial" w:hAnsi="arial" w:cs="arial"/>
          <w:i/>
          <w:color w:val="000000"/>
          <w:sz w:val="20"/>
          <w:lang w:val="en-US" w:eastAsia="en-US" w:bidi="ar-SA"/>
        </w:rPr>
        <w:t>Halliday v. Halliday</w:t>
      </w: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2015 BCCA 82</w:t>
        </w:r>
      </w:hyperlink>
      <w:r>
        <w:rPr>
          <w:rFonts w:ascii="arial" w:eastAsia="arial" w:hAnsi="arial" w:cs="arial"/>
          <w:color w:val="000000"/>
          <w:sz w:val="20"/>
          <w:lang w:val="en-US" w:eastAsia="en-US" w:bidi="ar-SA"/>
        </w:rPr>
        <w:t>, in particular on paras. 33 and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Division of assets is a matter regulated entirely by provincial legislation. Parties can decide to divide their assets between themselves by way of separation agreement or, alternatively, to seek the assistance of the court. In cases where the parties have entered into an agreement dividing their assets, the agreement can be challenged in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FLA</w:t>
      </w:r>
      <w:r>
        <w:rPr>
          <w:rFonts w:ascii="arial" w:eastAsia="arial" w:hAnsi="arial" w:cs="arial"/>
          <w:color w:val="000000"/>
          <w:sz w:val="20"/>
          <w:lang w:val="en-US" w:eastAsia="en-US" w:bidi="ar-SA"/>
        </w:rPr>
        <w:t xml:space="preserve"> contain provisions that effectively limit when claims for division of property or applications for spousal support can be brought. While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did not have a specific limitation provision, a limitation period was read into the legislation by way of the definition of "spouse". Only a "spouse" could seek spousal support or challenge a property division. By definition, a person ceased to be a "spouse" 2 years after a divorce was pronounced, becoming instead a "former spouse". </w:t>
      </w:r>
      <w:r>
        <w:rPr>
          <w:rFonts w:ascii="arial" w:eastAsia="arial" w:hAnsi="arial" w:cs="arial"/>
          <w:color w:val="000000"/>
          <w:sz w:val="20"/>
          <w:u w:val="single"/>
          <w:lang w:val="en-US" w:eastAsia="en-US" w:bidi="ar-SA"/>
        </w:rPr>
        <w:t>In the result, there was no jurisdiction to hear applications for spousal support or division of assets under the FRA if proceedings were brought more than two years after the parties were divorced</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Suckau v. Suckau</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2002 BCCA 300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Tatlock v. Tatlock</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(1994), 88 B.C.L.R. (2d) 197</w:t>
        </w:r>
      </w:hyperlink>
      <w:r>
        <w:rPr>
          <w:rFonts w:ascii="arial" w:eastAsia="arial" w:hAnsi="arial" w:cs="arial"/>
          <w:color w:val="000000"/>
          <w:sz w:val="20"/>
          <w:lang w:val="en-US" w:eastAsia="en-US" w:bidi="ar-SA"/>
        </w:rPr>
        <w:t xml:space="preserve"> (C.A.).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contained no provisions pursuant to which the time to bring an action could be extended.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two-year time limit under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is similar to the two-year limit now statutorily imposed under the </w:t>
      </w:r>
      <w:r>
        <w:rPr>
          <w:rFonts w:ascii="arial" w:eastAsia="arial" w:hAnsi="arial" w:cs="arial"/>
          <w:i/>
          <w:color w:val="000000"/>
          <w:sz w:val="20"/>
          <w:lang w:val="en-US" w:eastAsia="en-US" w:bidi="ar-SA"/>
        </w:rPr>
        <w:t>FLA</w:t>
      </w:r>
      <w:r>
        <w:rPr>
          <w:rFonts w:ascii="arial" w:eastAsia="arial" w:hAnsi="arial" w:cs="arial"/>
          <w:color w:val="000000"/>
          <w:sz w:val="20"/>
          <w:lang w:val="en-US" w:eastAsia="en-US" w:bidi="ar-SA"/>
        </w:rPr>
        <w:t xml:space="preserve">. This was also noted in </w:t>
      </w:r>
      <w:r>
        <w:rPr>
          <w:rFonts w:ascii="arial" w:eastAsia="arial" w:hAnsi="arial" w:cs="arial"/>
          <w:i/>
          <w:color w:val="000000"/>
          <w:sz w:val="20"/>
          <w:lang w:val="en-US" w:eastAsia="en-US" w:bidi="ar-SA"/>
        </w:rPr>
        <w:t>Halliday</w:t>
      </w:r>
      <w:r>
        <w:rPr>
          <w:rFonts w:ascii="arial" w:eastAsia="arial" w:hAnsi="arial" w:cs="arial"/>
          <w:color w:val="000000"/>
          <w:sz w:val="20"/>
          <w:lang w:val="en-US" w:eastAsia="en-US" w:bidi="ar-SA"/>
        </w:rPr>
        <w:t xml:space="preserve"> at paras. 36 and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The </w:t>
      </w:r>
      <w:r>
        <w:rPr>
          <w:rFonts w:ascii="arial" w:eastAsia="arial" w:hAnsi="arial" w:cs="arial"/>
          <w:i/>
          <w:color w:val="000000"/>
          <w:sz w:val="20"/>
          <w:lang w:val="en-US" w:eastAsia="en-US" w:bidi="ar-SA"/>
        </w:rPr>
        <w:t>FLA</w:t>
      </w:r>
      <w:r>
        <w:rPr>
          <w:rFonts w:ascii="arial" w:eastAsia="arial" w:hAnsi="arial" w:cs="arial"/>
          <w:color w:val="000000"/>
          <w:sz w:val="20"/>
          <w:lang w:val="en-US" w:eastAsia="en-US" w:bidi="ar-SA"/>
        </w:rPr>
        <w:t xml:space="preserve"> has taken a somewhat different approach with regard to limitation periods. The </w:t>
      </w:r>
      <w:r>
        <w:rPr>
          <w:rFonts w:ascii="arial" w:eastAsia="arial" w:hAnsi="arial" w:cs="arial"/>
          <w:i/>
          <w:color w:val="000000"/>
          <w:sz w:val="20"/>
          <w:lang w:val="en-US" w:eastAsia="en-US" w:bidi="ar-SA"/>
        </w:rPr>
        <w:t>FLA</w:t>
      </w:r>
      <w:r>
        <w:rPr>
          <w:rFonts w:ascii="arial" w:eastAsia="arial" w:hAnsi="arial" w:cs="arial"/>
          <w:color w:val="000000"/>
          <w:sz w:val="20"/>
          <w:lang w:val="en-US" w:eastAsia="en-US" w:bidi="ar-SA"/>
        </w:rPr>
        <w:t xml:space="preserve">, like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defines "spouse" as including a former spouse. Unlike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it does not rely on the definition of spouse to import a limitation period. Instead, it has express limitation provisions. The relevant provisions are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Time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198 (2) A spouse may start a proceeding for an order under Part 5 [Property Division] to divide property or family debt, Part 6 [Pension Division] to divide a pension, or Part 7 [Child and Spousal Support] for spousal support, no later than 2 years after,</w:t>
      </w:r>
      <w:r>
        <w:rPr>
          <w:rFonts w:ascii="arial" w:eastAsia="arial" w:hAnsi="arial" w:cs="arial"/>
          <w:sz w:val="20"/>
          <w:lang w:val="en-US" w:eastAsia="en-US" w:bidi="ar-SA"/>
        </w:rPr>
        <w:cr/>
      </w:r>
    </w:p>
    <w:p>
      <w:pPr>
        <w:numPr>
          <w:numId w:val="5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spouses who were married, the date</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judgment granting a divorce of the spouses is made, or</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is made declaring the marriage of the spouses to be a nullity, or</w:t>
      </w:r>
    </w:p>
    <w:p>
      <w:pPr>
        <w:numPr>
          <w:numId w:val="5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spouses who were living in a marriage-like relationship, the date the spouses separated.</w:t>
      </w:r>
    </w:p>
    <w:p>
      <w:pPr>
        <w:numPr>
          <w:numId w:val="6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(2), a spouse may make an application for an order to set aside or replace with an order made under Part 5, 6 or 7, as applicable, all or part of an agreement respecting property or spousal support no later than 2 years after the spouse first discovered, or reasonably ought to have discovered, the grounds for making the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Section 198(2) of the </w:t>
      </w:r>
      <w:r>
        <w:rPr>
          <w:rFonts w:ascii="arial" w:eastAsia="arial" w:hAnsi="arial" w:cs="arial"/>
          <w:i/>
          <w:color w:val="000000"/>
          <w:sz w:val="20"/>
          <w:lang w:val="en-US" w:eastAsia="en-US" w:bidi="ar-SA"/>
        </w:rPr>
        <w:t>FLA</w:t>
      </w:r>
      <w:r>
        <w:rPr>
          <w:rFonts w:ascii="arial" w:eastAsia="arial" w:hAnsi="arial" w:cs="arial"/>
          <w:color w:val="000000"/>
          <w:sz w:val="20"/>
          <w:lang w:val="en-US" w:eastAsia="en-US" w:bidi="ar-SA"/>
        </w:rPr>
        <w:t xml:space="preserve"> requires, in the case of spouses who have been married, that a spouse who seeks an order to divide property or family debt, a pension, or for spousal support bring the claim within two years of the parties' divorce.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Mina and Francis submit that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must govern this family law dispute and that pursuant to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all jurisdiction in this court to address issues of family property expired on May 27, 2016, being the two-year anniversary of Skolrood J.'s divorce order. (In fact the expiration date would be June 27, 2016 as Mehran and Donna ceased to be spouses on June 27, 2014, thirty-one days after the order of Skolrood J.) Therefore, they say, when the parties appeared before Pearlman J., any family rights and obligations had been extinguished and there was no further jurisdiction in this court to order property 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 defer discussion of whether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FLA</w:t>
      </w:r>
      <w:r>
        <w:rPr>
          <w:rFonts w:ascii="arial" w:eastAsia="arial" w:hAnsi="arial" w:cs="arial"/>
          <w:color w:val="000000"/>
          <w:sz w:val="20"/>
          <w:lang w:val="en-US" w:eastAsia="en-US" w:bidi="ar-SA"/>
        </w:rPr>
        <w:t xml:space="preserve"> governs this matter but assume, for present purposes, that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governs. Even with this assumption, I do not accept the submission that this court is without jurisdiction. This submission conflates issues of time limitation with questions of jurisdiction and fails to distinguish between the continuation of an existing proceeding and a new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proposed parties rely heavily on the words used by Justice Goepel in para. 34 of </w:t>
      </w:r>
      <w:r>
        <w:rPr>
          <w:rFonts w:ascii="arial" w:eastAsia="arial" w:hAnsi="arial" w:cs="arial"/>
          <w:i/>
          <w:color w:val="000000"/>
          <w:sz w:val="20"/>
          <w:lang w:val="en-US" w:eastAsia="en-US" w:bidi="ar-SA"/>
        </w:rPr>
        <w:t>Halliday</w:t>
      </w:r>
      <w:r>
        <w:rPr>
          <w:rFonts w:ascii="arial" w:eastAsia="arial" w:hAnsi="arial" w:cs="arial"/>
          <w:color w:val="000000"/>
          <w:sz w:val="20"/>
          <w:lang w:val="en-US" w:eastAsia="en-US" w:bidi="ar-SA"/>
        </w:rPr>
        <w:t xml:space="preserve"> where he said that because of the expiry of the two-year period "there was no jurisdiction to hear applications for spousal support or division of assets under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They say this recognizes a time-limited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 do not consider that the words used by Goepel J. in para. 34 were truly intended to be understood as addressing the jurisdiction of the court. The main issue in </w:t>
      </w:r>
      <w:r>
        <w:rPr>
          <w:rFonts w:ascii="arial" w:eastAsia="arial" w:hAnsi="arial" w:cs="arial"/>
          <w:i/>
          <w:color w:val="000000"/>
          <w:sz w:val="20"/>
          <w:lang w:val="en-US" w:eastAsia="en-US" w:bidi="ar-SA"/>
        </w:rPr>
        <w:t>Halliday</w:t>
      </w:r>
      <w:r>
        <w:rPr>
          <w:rFonts w:ascii="arial" w:eastAsia="arial" w:hAnsi="arial" w:cs="arial"/>
          <w:color w:val="000000"/>
          <w:sz w:val="20"/>
          <w:lang w:val="en-US" w:eastAsia="en-US" w:bidi="ar-SA"/>
        </w:rPr>
        <w:t xml:space="preserve"> was whether an application to vary or set aside a separation agreement was time-barred. The issue was time limitation not the jurisdiction of the court. This is also apparent when one looks at the authorities cited by Goepel J. for the proposition that there was no jurisdiction. The authorities cited were </w:t>
      </w:r>
      <w:r>
        <w:rPr>
          <w:rFonts w:ascii="arial" w:eastAsia="arial" w:hAnsi="arial" w:cs="arial"/>
          <w:i/>
          <w:color w:val="000000"/>
          <w:sz w:val="20"/>
          <w:lang w:val="en-US" w:eastAsia="en-US" w:bidi="ar-SA"/>
        </w:rPr>
        <w:t>Suckau v. Suckau</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2002 BCCA 300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Tatlock v. Tatlock</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(1994), 88 B.C.L.R. (2d) 197</w:t>
        </w:r>
      </w:hyperlink>
      <w:r>
        <w:rPr>
          <w:rFonts w:ascii="arial" w:eastAsia="arial" w:hAnsi="arial" w:cs="arial"/>
          <w:color w:val="000000"/>
          <w:sz w:val="20"/>
          <w:lang w:val="en-US" w:eastAsia="en-US" w:bidi="ar-SA"/>
        </w:rPr>
        <w:t xml:space="preserve"> (C.A.), both of which address time limitation. The courts in </w:t>
      </w:r>
      <w:r>
        <w:rPr>
          <w:rFonts w:ascii="arial" w:eastAsia="arial" w:hAnsi="arial" w:cs="arial"/>
          <w:i/>
          <w:color w:val="000000"/>
          <w:sz w:val="20"/>
          <w:lang w:val="en-US" w:eastAsia="en-US" w:bidi="ar-SA"/>
        </w:rPr>
        <w:t>Suckau</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Tatlock</w:t>
      </w:r>
      <w:r>
        <w:rPr>
          <w:rFonts w:ascii="arial" w:eastAsia="arial" w:hAnsi="arial" w:cs="arial"/>
          <w:color w:val="000000"/>
          <w:sz w:val="20"/>
          <w:lang w:val="en-US" w:eastAsia="en-US" w:bidi="ar-SA"/>
        </w:rPr>
        <w:t xml:space="preserve"> did not address jurisdiction and did not say the court lacked of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consider it inaccurate, confusing, and misleading to characterize the issue as being one of jurisdiction. There is no doubt that this court has both territorial and subject matter jurisdiction in this proceeding. The question is whether the claim is time barred because the limitation period expired on June 27, 2016, two-years from the date Mehran and Donna ceased to be spouses.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Justice Pearlman's order provides a complete answer to the submission that the property claims are time barred under either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FLA</w:t>
      </w:r>
      <w:r>
        <w:rPr>
          <w:rFonts w:ascii="arial" w:eastAsia="arial" w:hAnsi="arial" w:cs="arial"/>
          <w:color w:val="000000"/>
          <w:sz w:val="20"/>
          <w:lang w:val="en-US" w:eastAsia="en-US" w:bidi="ar-SA"/>
        </w:rPr>
        <w:t xml:space="preserve">. His order set aside those parts of the Order of Skolrood J. addressing corollary relief. The effect of this was to resurrect the family action, without more. Nevertheless, to remove any doubt, the Order included as a term that the "notice of family claim filed May 22, 2013 proceed as if no settlement was reached and no court order for corollary relief made". The clear effect of this term is to resurrect or re-open the family claim filed May 22, 2013. Therefore, we are not concerned here with the commencement of a new claim but the continuation of an existing claim for division of family property that was originally filed on May 22, 2013. It is the May 22, 2013 date that is the relevant date for time limitation purposes and this date obviously preceded the date Mehran and Donna ceased to be spouses. Therefore, the two-year time limit under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is not engaged and neither is the two-year limit under the </w:t>
      </w:r>
      <w:r>
        <w:rPr>
          <w:rFonts w:ascii="arial" w:eastAsia="arial" w:hAnsi="arial" w:cs="arial"/>
          <w:i/>
          <w:color w:val="000000"/>
          <w:sz w:val="20"/>
          <w:lang w:val="en-US" w:eastAsia="en-US" w:bidi="ar-SA"/>
        </w:rPr>
        <w:t>FLA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Can the jurisdiction to order property division be exercised only once?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Mina and Francis further submit that this court lacks jurisdiction because orders in respect of division of property can be exercised only once and once exercised, the jurisdiction is spent. I repeat the most relevant parts of their submission.</w:t>
      </w:r>
      <w:r>
        <w:rPr>
          <w:rFonts w:ascii="arial" w:eastAsia="arial" w:hAnsi="arial" w:cs="arial"/>
          <w:sz w:val="20"/>
          <w:lang w:val="en-US" w:eastAsia="en-US" w:bidi="ar-SA"/>
        </w:rPr>
        <w:cr/>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jurisdiction under both the </w:t>
      </w:r>
      <w:r>
        <w:rPr>
          <w:rFonts w:ascii="arial" w:eastAsia="arial" w:hAnsi="arial" w:cs="arial"/>
          <w:i/>
          <w:color w:val="000000"/>
          <w:sz w:val="20"/>
          <w:lang w:val="en-US" w:eastAsia="en-US" w:bidi="ar-SA"/>
        </w:rPr>
        <w:t>Family Relations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Family Law Act</w:t>
      </w:r>
      <w:r>
        <w:rPr>
          <w:rFonts w:ascii="arial" w:eastAsia="arial" w:hAnsi="arial" w:cs="arial"/>
          <w:color w:val="000000"/>
          <w:sz w:val="20"/>
          <w:lang w:val="en-US" w:eastAsia="en-US" w:bidi="ar-SA"/>
        </w:rPr>
        <w:t xml:space="preserve"> to make orders in respect of division of property can only be exercised once. In this regard, neither legislative regime authorizes further recourse to its jurisdiction when recourse has already been made once and resulted in an order. On the contrary, both make explicit that, once an order is granted in respect of family property, no further orders can be made (thereafter, the ordinary civil property regime is engaged). The </w:t>
      </w:r>
      <w:r>
        <w:rPr>
          <w:rFonts w:ascii="arial" w:eastAsia="arial" w:hAnsi="arial" w:cs="arial"/>
          <w:i/>
          <w:color w:val="000000"/>
          <w:sz w:val="20"/>
          <w:lang w:val="en-US" w:eastAsia="en-US" w:bidi="ar-SA"/>
        </w:rPr>
        <w:t>Family Relations Act</w:t>
      </w:r>
      <w:r>
        <w:rPr>
          <w:rFonts w:ascii="arial" w:eastAsia="arial" w:hAnsi="arial" w:cs="arial"/>
          <w:color w:val="000000"/>
          <w:sz w:val="20"/>
          <w:lang w:val="en-US" w:eastAsia="en-US" w:bidi="ar-SA"/>
        </w:rPr>
        <w:t xml:space="preserve"> provides: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Subject to this Act, if a court has made an order under this Act, except an order under Part 5 [Matrimonial Property] or 6, the court may, on application, vary or rescind the order if circumstances have changed since the order was made or last varied.</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Family Relations Act</w:t>
      </w:r>
      <w:r>
        <w:rPr>
          <w:rFonts w:ascii="arial" w:eastAsia="arial" w:hAnsi="arial" w:cs="arial"/>
          <w:color w:val="000000"/>
          <w:sz w:val="20"/>
          <w:lang w:val="en-US" w:eastAsia="en-US" w:bidi="ar-SA"/>
        </w:rPr>
        <w:t>, s. 20</w:t>
      </w:r>
    </w:p>
    <w:p>
      <w:pPr>
        <w:numPr>
          <w:numId w:val="6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Similarly, the </w:t>
      </w:r>
      <w:r>
        <w:rPr>
          <w:rFonts w:ascii="arial" w:eastAsia="arial" w:hAnsi="arial" w:cs="arial"/>
          <w:i/>
          <w:color w:val="000000"/>
          <w:sz w:val="20"/>
          <w:lang w:val="en-US" w:eastAsia="en-US" w:bidi="ar-SA"/>
        </w:rPr>
        <w:t>Family Law Act</w:t>
      </w:r>
      <w:r>
        <w:rPr>
          <w:rFonts w:ascii="arial" w:eastAsia="arial" w:hAnsi="arial" w:cs="arial"/>
          <w:color w:val="000000"/>
          <w:sz w:val="20"/>
          <w:lang w:val="en-US" w:eastAsia="en-US" w:bidi="ar-SA"/>
        </w:rPr>
        <w:t>, while it expressly provides a mechanism for setting aside agreements in respect of property division 5, prohibits setting aside an order in respect of division of property (except in certain circumstances none of which applies in this case). Section 215(2)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court may not change, suspend or terminate an order made under Part 5 [Property Division] or 6 except as provided under those Parts.</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Family Law Act, s. </w:t>
      </w:r>
      <w:r>
        <w:rPr>
          <w:rFonts w:ascii="arial" w:eastAsia="arial" w:hAnsi="arial" w:cs="arial"/>
          <w:color w:val="000000"/>
          <w:sz w:val="20"/>
          <w:lang w:val="en-US" w:eastAsia="en-US" w:bidi="ar-SA"/>
        </w:rPr>
        <w:t>215</w:t>
      </w:r>
    </w:p>
    <w:p>
      <w:pPr>
        <w:numPr>
          <w:numId w:val="6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Justice Pearlman may have had the inherent jurisdiction to set aside Justice Skolrood's order, which presumably might assist in advancing a civil proceeding against the Respondent, there was no jurisdiction to authorize returning to the infrastructure of either the </w:t>
      </w:r>
      <w:r>
        <w:rPr>
          <w:rFonts w:ascii="arial" w:eastAsia="arial" w:hAnsi="arial" w:cs="arial"/>
          <w:i/>
          <w:color w:val="000000"/>
          <w:sz w:val="20"/>
          <w:lang w:val="en-US" w:eastAsia="en-US" w:bidi="ar-SA"/>
        </w:rPr>
        <w:t>Family Relations Act</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Family Law Act</w:t>
      </w:r>
      <w:r>
        <w:rPr>
          <w:rFonts w:ascii="arial" w:eastAsia="arial" w:hAnsi="arial" w:cs="arial"/>
          <w:color w:val="000000"/>
          <w:sz w:val="20"/>
          <w:lang w:val="en-US" w:eastAsia="en-US" w:bidi="ar-SA"/>
        </w:rPr>
        <w:t xml:space="preserve">. Put differently, Justice Pearlman's Order cannot have created a jurisdiction that does not exist and, to the extent that this action is premised on any such jurisdiction, it is a nullity. Both statutes provide that the jurisdiction to make orders respecting family property is spent once it has been exercised. There is, of course, good reason for this - the security of property transaction and, in particular, land transactions that are founded on security and transferability of title under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would otherwise be undermined.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These submissions directly put in issue the validity of Pearlman J.'s order and must fail for the reasons given above in relation to whether Pearlman J.'s order was improperly obtained. The order was entered and has not been appealed. I do not sit in appeal of Pearlman J. nor can I review his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addition, the effect of Pearlman J.'s order is that this court must be taken to have not yet made an order in respect of property division. This follows from the setting aside of those parts of the order of Skolrood J. relating to corollary relief, with or without the added term that this matter "proceed as if no settlement was reached and no court order for corollary relief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Finally, in my view, Mina and Francis mischaracterize the basis for Pearlman J.'s order. He was not exercising a power under the </w:t>
      </w:r>
      <w:r>
        <w:rPr>
          <w:rFonts w:ascii="arial" w:eastAsia="arial" w:hAnsi="arial" w:cs="arial"/>
          <w:i/>
          <w:color w:val="000000"/>
          <w:sz w:val="20"/>
          <w:lang w:val="en-US" w:eastAsia="en-US" w:bidi="ar-SA"/>
        </w:rPr>
        <w:t>FLA</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or making a second property division order. He was exercising a well recognized power under the inherent jurisdiction of the court to set aside an order that had been obtained by fraud or perjury: </w:t>
      </w:r>
      <w:r>
        <w:rPr>
          <w:rFonts w:ascii="arial" w:eastAsia="arial" w:hAnsi="arial" w:cs="arial"/>
          <w:i/>
          <w:color w:val="000000"/>
          <w:sz w:val="20"/>
          <w:lang w:val="en-US" w:eastAsia="en-US" w:bidi="ar-SA"/>
        </w:rPr>
        <w:t>Long v. Red Branch Investments Limited</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2018 BCCA 115</w:t>
        </w:r>
      </w:hyperlink>
      <w:r>
        <w:rPr>
          <w:rFonts w:ascii="arial" w:eastAsia="arial" w:hAnsi="arial" w:cs="arial"/>
          <w:color w:val="000000"/>
          <w:sz w:val="20"/>
          <w:lang w:val="en-US" w:eastAsia="en-US" w:bidi="ar-SA"/>
        </w:rPr>
        <w:t>. I have been referred to no authorities that suggest a property division order obtained by fraud cannot be set aside in the exercise of the court's inherent jurisdiction. Indeed, any such rule would create a very dangerous precedent in that it would encourage and reward dishonest and fraudulent conduct in family law matters involving property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Is this family law claim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Mina and Francis submit that the application should be dismissed on the grounds that this application and the intended proceeding are an abuse of process. They say that there is collusion between Mehran and Donna and there is a failure to disclose a cooperation agreement between them. Although I will address this submission in more detail, in my view, the evidence before me on this application is not sufficient to support a finding of collusion or abuse of process. There is no direct evidence of collusion or abuse of process. There are facts and circumstances that might raise a suspicion of collusion but many of those facts and circumstances have alternative explanations and, in any event, a suspicion of collusion is not enough. The issue of whether there is an abuse of process is one that is better addressed at trial on a full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 accept that the court has inherent jurisdiction to control its own processes to prevent abuse, and in the exercise of that jurisdiction it is open to me to dismiss the application if I am satisfied that there is an abuse of process unfolding. This power is summarized in </w:t>
      </w:r>
      <w:r>
        <w:rPr>
          <w:rFonts w:ascii="arial" w:eastAsia="arial" w:hAnsi="arial" w:cs="arial"/>
          <w:i/>
          <w:color w:val="000000"/>
          <w:sz w:val="20"/>
          <w:lang w:val="en-US" w:eastAsia="en-US" w:bidi="ar-SA"/>
        </w:rPr>
        <w:t>Quebec (Director of Criminal and Penal Prosecutions) v. Jodoin</w:t>
      </w:r>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2017 SCC 26</w:t>
        </w:r>
      </w:hyperlink>
      <w:r>
        <w:rPr>
          <w:rFonts w:ascii="arial" w:eastAsia="arial" w:hAnsi="arial" w:cs="arial"/>
          <w:color w:val="000000"/>
          <w:sz w:val="20"/>
          <w:lang w:val="en-US" w:eastAsia="en-US" w:bidi="ar-SA"/>
        </w:rPr>
        <w:t>, at paras. 16-17: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The courts have the power to maintain respect for their authority. This includes the power to manage and control the proceedings conducted before them (</w:t>
      </w:r>
      <w:r>
        <w:rPr>
          <w:rFonts w:ascii="arial" w:eastAsia="arial" w:hAnsi="arial" w:cs="arial"/>
          <w:i/>
          <w:color w:val="000000"/>
          <w:sz w:val="20"/>
          <w:lang w:val="en-US" w:eastAsia="en-US" w:bidi="ar-SA"/>
        </w:rPr>
        <w:t>R. v. Anderson</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2014 SCC 41</w:t>
        </w:r>
      </w:hyperlink>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[2014] 2 S.C.R. 167</w:t>
        </w:r>
      </w:hyperlink>
      <w:r>
        <w:rPr>
          <w:rFonts w:ascii="arial" w:eastAsia="arial" w:hAnsi="arial" w:cs="arial"/>
          <w:color w:val="000000"/>
          <w:sz w:val="20"/>
          <w:lang w:val="en-US" w:eastAsia="en-US" w:bidi="ar-SA"/>
        </w:rPr>
        <w:t>, at para. 58). A court therefore has an inherent power to control abuse in this regard (</w:t>
      </w:r>
      <w:r>
        <w:rPr>
          <w:rFonts w:ascii="arial" w:eastAsia="arial" w:hAnsi="arial" w:cs="arial"/>
          <w:i/>
          <w:color w:val="000000"/>
          <w:sz w:val="20"/>
          <w:lang w:val="en-US" w:eastAsia="en-US" w:bidi="ar-SA"/>
        </w:rPr>
        <w:t>Young v. Young</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[1993] 4 S.C.R. 3</w:t>
        </w:r>
      </w:hyperlink>
      <w:r>
        <w:rPr>
          <w:rFonts w:ascii="arial" w:eastAsia="arial" w:hAnsi="arial" w:cs="arial"/>
          <w:color w:val="000000"/>
          <w:sz w:val="20"/>
          <w:lang w:val="en-US" w:eastAsia="en-US" w:bidi="ar-SA"/>
        </w:rPr>
        <w:t xml:space="preserve">, at p. 136) and to prevent the use of procedure "in a way that would be manifestly unfair to a party to the litigation before it or would in some other way bring the administration of justice into disrepute": </w:t>
      </w:r>
      <w:r>
        <w:rPr>
          <w:rFonts w:ascii="arial" w:eastAsia="arial" w:hAnsi="arial" w:cs="arial"/>
          <w:i/>
          <w:color w:val="000000"/>
          <w:sz w:val="20"/>
          <w:lang w:val="en-US" w:eastAsia="en-US" w:bidi="ar-SA"/>
        </w:rPr>
        <w:t>Canam Enterprises Inc. v. Coles</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(2000), 51 O.R. (3d) 481</w:t>
        </w:r>
      </w:hyperlink>
      <w:r>
        <w:rPr>
          <w:rFonts w:ascii="arial" w:eastAsia="arial" w:hAnsi="arial" w:cs="arial"/>
          <w:color w:val="000000"/>
          <w:sz w:val="20"/>
          <w:lang w:val="en-US" w:eastAsia="en-US" w:bidi="ar-SA"/>
        </w:rPr>
        <w:t xml:space="preserve"> (C.A.), at para. 55, per Goudge J.A., dissenting, reasons approved in </w:t>
      </w:r>
      <w:hyperlink r:id="rId573" w:history="1">
        <w:r>
          <w:rPr>
            <w:rFonts w:ascii="arial" w:eastAsia="arial" w:hAnsi="arial" w:cs="arial"/>
            <w:i/>
            <w:color w:val="0077CC"/>
            <w:sz w:val="20"/>
            <w:u w:val="single"/>
            <w:shd w:val="clear" w:color="auto" w:fill="FFFFFF"/>
            <w:lang w:val="en-US" w:eastAsia="en-US" w:bidi="ar-SA"/>
          </w:rPr>
          <w:t>2002 SCC 63</w:t>
        </w:r>
      </w:hyperlink>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[2002] 3 S.C.R. 307</w:t>
        </w:r>
      </w:hyperlink>
      <w:r>
        <w:rPr>
          <w:rFonts w:ascii="arial" w:eastAsia="arial" w:hAnsi="arial" w:cs="arial"/>
          <w:color w:val="000000"/>
          <w:sz w:val="20"/>
          <w:lang w:val="en-US" w:eastAsia="en-US" w:bidi="ar-SA"/>
        </w:rPr>
        <w:t>. This is a discretion that must, of course, be exercised in a deferential manner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at para. 59), but it allows a court to "ensure the integrity of the justice system" (</w:t>
      </w:r>
      <w:r>
        <w:rPr>
          <w:rFonts w:ascii="arial" w:eastAsia="arial" w:hAnsi="arial" w:cs="arial"/>
          <w:i/>
          <w:color w:val="000000"/>
          <w:sz w:val="20"/>
          <w:lang w:val="en-US" w:eastAsia="en-US" w:bidi="ar-SA"/>
        </w:rPr>
        <w:t>Morel v. Canada</w:t>
      </w:r>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2008 FCA 53</w:t>
        </w:r>
      </w:hyperlink>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[2009] 1 F.C.R. 629</w:t>
        </w:r>
      </w:hyperlink>
      <w:r>
        <w:rPr>
          <w:rFonts w:ascii="arial" w:eastAsia="arial" w:hAnsi="arial" w:cs="arial"/>
          <w:color w:val="000000"/>
          <w:sz w:val="20"/>
          <w:lang w:val="en-US" w:eastAsia="en-US" w:bidi="ar-SA"/>
        </w:rPr>
        <w:t>, at para. 35).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It is settled law that this power is possessed both by courts with inherent jurisdiction and by statutory courts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xml:space="preserve">, at para. 58). It is therefore not reserved to superior courts but, rather, has its basis in the common law: </w:t>
      </w:r>
      <w:r>
        <w:rPr>
          <w:rFonts w:ascii="arial" w:eastAsia="arial" w:hAnsi="arial" w:cs="arial"/>
          <w:i/>
          <w:color w:val="000000"/>
          <w:sz w:val="20"/>
          <w:lang w:val="en-US" w:eastAsia="en-US" w:bidi="ar-SA"/>
        </w:rPr>
        <w:t>Myers v. Elman</w:t>
      </w:r>
      <w:r>
        <w:rPr>
          <w:rFonts w:ascii="arial" w:eastAsia="arial" w:hAnsi="arial" w:cs="arial"/>
          <w:color w:val="000000"/>
          <w:sz w:val="20"/>
          <w:lang w:val="en-US" w:eastAsia="en-US" w:bidi="ar-SA"/>
        </w:rPr>
        <w:t>, [1940] A.C. 282 (H.L.), at p. 319; M. Code, "Counsel's Duty of Civility: An Essential Component of Fair Trials and an Effective Justice System" (2007), 11 Can. Crim. L.R. 97, at p. 126.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Mina and Francis submit that the proceedings before Pearlman J. demonstrate the existence of a collusive agreement between Mehran and Donna. They say that the application to re-open the family law matter proceeded by consent and that there was no "controversy" between the parties. This, they submit, was demonstrated by a failure to bring relevant jurisdictional and substantive law to the court's attention, by a failure to fully disclose all relevant facts, and by the fact the third parties whose interests were affected were not before the court. They further submit that prior to the hearing before Pearlman J., there was agreement that Donna would not rely upon the marriage agreement as a defence and that this constitutes further evidence of collusion.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accept that there was little in dispute as between Donna and Mehran in the proceeding before Pearlman J. However, I do not accept that this is necessarily evidence of collusion or abuse of process. Both Donna and Mehran were represented by counsel before Pearlman J. Given the reasons of Funt J. that Donna had committed a fraud on Mehran and the court, and given the comments that had been made by the Court of Appeal on February 8, 2018, Mehran's decision to apply to re-open the family law matter and Donna's decision to consent to the order sought were both reasonable. The fact that there was consent and little controversy between the parties before Pearlman J. is not necessarily evidence of collusion or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submission that Donna and Mehran failed to bring relevant jurisdictional and substantive law to Pearlman J.'s attention and failed to fully disclose all relevant facts before him has been partially addressed above. In my view, the salient facts and the applicable law were put before Pearlman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Donna's agreement to not rely upon the marriage agreement as a defence to the family law claim is another fact relied upon as evidencing collusion and abuse of process. However, Mehran's counsel submits that the decision communicated by Donna's counsel to withdraw any defence based upon the marriage agreement was merely recognizing an untenable position. Mehran's counsel submits that the evidence in this matter discloses that any defence based upon the marriage agreement was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do not intend to address in any detail the validity of the marriage agreement as that could be an issue at the trial of this matter. For the present purposes, it is sufficient to address some of the evidence. The evidence of Mehran in his affidavit sworn January 19, 2018 is that he signed the marriage agreement without reading it. It was further his evidence that approximately one month after signing the agreement, Mina told him that she had made an appointment for him with a lawyer and drove him to a lawyer's office to have a certificate of independent legal advice signed. He deposes that this lawyer refused to sign the certificate. This process repeated for two other lawyers until finally a fourth lawyer agreed to sign the certificate. Mehran deposes that he did not read the agreement and that the lawyer did not explain it to him. Based on this evidence, which I accept for the purposes of this application only, I am satisfied that there is a valid issue as to the validity of the marriage agreement. I am further satisfied that the decision to withdraw any defences based on the marriage agreement may have been based on an assessment that the agreement could not withstand scrutiny by the court. Hence, the decision to withdraw the defence is not necessarily evidence of collusion or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Mina and Francis further submit that there is an apparent agreement as to what constitutes family property and that Mehran is entitled to at least an equal division of that property. Based on the evidence and the submissions, it is reasonably clear that Donna does not intend to defend Mehran's claims to an interest in the properties. She says that she now acknowledges her actions were wrong and that Mehran has a right to whatever he is entitled. This position may be motivated by contrition. On the other hand, it may be motivated by a hope that, through Mehran, she can somehow regain some of her property. Whatever her motivation, it cannot and should not affect Mehran's entitlement to proceed with his claim. What is important, is that the evidence does not establish any express or implied "agreement" involving or implicating Mehran. Donna's motives may be suspect but Mehran is merely pursuing his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Finally, Mina and Francis submit that there exists between Mehran and Donna a co-operation agreement which they have failed to disclose. They rely upon </w:t>
      </w:r>
      <w:r>
        <w:rPr>
          <w:rFonts w:ascii="arial" w:eastAsia="arial" w:hAnsi="arial" w:cs="arial"/>
          <w:i/>
          <w:color w:val="000000"/>
          <w:sz w:val="20"/>
          <w:lang w:val="en-US" w:eastAsia="en-US" w:bidi="ar-SA"/>
        </w:rPr>
        <w:t>Aecon Buildings, a Division of Aecon Construction Group Inc. v. Brampton (City)</w:t>
      </w:r>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2010 ONCA 898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Bilfinger Berger (Canada) Inc. v. Greater Vancouver Water District</w:t>
      </w:r>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2014 BCSC 1560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Northwest Waste Solutions Inc. v. Super Save Disposal Inc.</w:t>
      </w:r>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2017 BCCA 312</w:t>
        </w:r>
      </w:hyperlink>
      <w:r>
        <w:rPr>
          <w:rFonts w:ascii="arial" w:eastAsia="arial" w:hAnsi="arial" w:cs="arial"/>
          <w:color w:val="000000"/>
          <w:sz w:val="20"/>
          <w:lang w:val="en-US" w:eastAsia="en-US" w:bidi="ar-SA"/>
        </w:rPr>
        <w:t xml:space="preserve"> for the proposition that agreements between parties that "change the landscape of the litigation" must be disclosed to the court and that failure to do so amounts to an abuse of process of the court. The types of agreements that must be disclosed are set out in para. 160 of </w:t>
      </w:r>
      <w:r>
        <w:rPr>
          <w:rFonts w:ascii="arial" w:eastAsia="arial" w:hAnsi="arial" w:cs="arial"/>
          <w:i/>
          <w:color w:val="000000"/>
          <w:sz w:val="20"/>
          <w:lang w:val="en-US" w:eastAsia="en-US" w:bidi="ar-SA"/>
        </w:rPr>
        <w:t>Bilfinger</w:t>
      </w:r>
      <w:r>
        <w:rPr>
          <w:rFonts w:ascii="arial" w:eastAsia="arial" w:hAnsi="arial" w:cs="arial"/>
          <w:color w:val="000000"/>
          <w:sz w:val="20"/>
          <w:lang w:val="en-US" w:eastAsia="en-US" w:bidi="ar-SA"/>
        </w:rPr>
        <w:t xml:space="preserve"> which is quoted with approval in para. 56 of </w:t>
      </w:r>
      <w:r>
        <w:rPr>
          <w:rFonts w:ascii="arial" w:eastAsia="arial" w:hAnsi="arial" w:cs="arial"/>
          <w:i/>
          <w:color w:val="000000"/>
          <w:sz w:val="20"/>
          <w:lang w:val="en-US" w:eastAsia="en-US" w:bidi="ar-SA"/>
        </w:rPr>
        <w:t>Northwest Waste Solutions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It appears that the first case in which a British Columbia court required immediate disclosure of this type of agreement was </w:t>
      </w:r>
      <w:r>
        <w:rPr>
          <w:rFonts w:ascii="arial" w:eastAsia="arial" w:hAnsi="arial" w:cs="arial"/>
          <w:i/>
          <w:color w:val="000000"/>
          <w:sz w:val="20"/>
          <w:lang w:val="en-US" w:eastAsia="en-US" w:bidi="ar-SA"/>
        </w:rPr>
        <w:t>Bilfinger</w:t>
      </w:r>
      <w:r>
        <w:rPr>
          <w:rFonts w:ascii="arial" w:eastAsia="arial" w:hAnsi="arial" w:cs="arial"/>
          <w:color w:val="000000"/>
          <w:sz w:val="20"/>
          <w:lang w:val="en-US" w:eastAsia="en-US" w:bidi="ar-SA"/>
        </w:rPr>
        <w:t xml:space="preserve"> #1, where the court, after a thorough review of the law relating to Mary Carter-type agreements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[160] Since the court must never be misled about the position of a party in the adversarial process, I conclude that it is necessary to disclose immediately any agreement which affects the party's position in a way that is different than that revealed by the pleadings. An agreement between parties who are adverse on the pleadings, such as between a plaintiff and defendant, or a defendant and third party, which contains a full or partial settlement or release or reservation of rights, or a degree of cooperation not to be expected between adverse parties, should therefore be disclosed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accept that any agreement between Mehran and Donna that meets the above test must be disclosed to the court and that failure to do so constitutes an abuse of process. However, the question is, does such an agreement exist? Mina and Francis rely on various pieces of evidence as establishing such an agreement, including:</w:t>
      </w:r>
      <w:r>
        <w:rPr>
          <w:rFonts w:ascii="arial" w:eastAsia="arial" w:hAnsi="arial" w:cs="arial"/>
          <w:sz w:val="20"/>
          <w:lang w:val="en-US" w:eastAsia="en-US" w:bidi="ar-SA"/>
        </w:rPr>
        <w:cr/>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February 21, 2018 letter from Donna's counsel to Mehran's counsel advising that the marriage agreement would not be relied upon as a defence to the claim for division of property;</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Donna's consent to setting aside Skolrood J.'s order; and</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a small claims trial, Donna gave evidence that she was living in a part of Mehran's house and when asked whether she was paying rent to Mehran she replied that they had to work out a financial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my view, none of the above establish such an agreement. As I have indicated elsewhere, the decisions to consent to Pearlman J.'s order and to withdraw the marriage agreement defence are not necessarily indicative of collusion or abuse of process. The evidence Donna gave at the small claims trial also falls short of establishing the existence of any such agreement. In fact, her evidence seems to indicate that they do not have an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My comments above in relation to an alleged agreement concerning what is family property have equal application to this submission that there is a co-operation agreement. The motives of Donna may be suspect but the evidence does not establish any express or implied "co-operation agreement" involving or implicating Mehran.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On the basis of the evidence before me, I am not prepared to find that there is a collusive arrangement or agreement in place as between Mehran and Donna and I am not prepared to dismiss the application on the basis of abuse of process.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Is the claim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Mina and Francis submit that Mehran knew or ought to have known of the fraud committed by Donna and of the potential claims as against them by March 8, 2017 and that the two-year limitation period applicable pursuant to s. 6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S.B.C. 2012, c. 13 expired on March 8, 2019. Mehran submits that the relevant limitation period is 10 years under the old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 do not need to address whether the applicable limitation statute is the new act or the old act or whether it is ten years. Assuming the applicable act is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and the limitation period is two years, the submission of Mina and Francis must still fail. The expiry of a limitation period is not a bar to adding parties but is a factor to be considered in deciding whether it is just and convenient to add the new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Sections 6 and 8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are relevant and provide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Basic limitation period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 (1) Subject to this Act, a court proceeding in respect of a claim must not be commenced more than 2 years after the day on which the claim is discovered.</w:t>
      </w:r>
    </w:p>
    <w:p>
      <w:pPr>
        <w:numPr>
          <w:numId w:val="6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2 year limitation period established under subsection (1) of this section does not apply to a court proceeding referred to in section 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 discovery rules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8 Except for those special situations referred to in sections 9 to 11, a claim is discovered by a person on the first day on which the person knew or reasonably ought to have known all of the following:</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injury, loss or damage had occurred;</w:t>
      </w:r>
    </w:p>
    <w:p>
      <w:pPr>
        <w:numPr>
          <w:numId w:val="6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injury, loss or damage was caused by or contributed to by an act or omission;</w:t>
      </w:r>
    </w:p>
    <w:p>
      <w:pPr>
        <w:numPr>
          <w:numId w:val="7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act or omission was that of the person against whom the claim is or may be made;</w:t>
      </w:r>
    </w:p>
    <w:p>
      <w:pPr>
        <w:numPr>
          <w:numId w:val="7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having regard to the nature of the injury, loss or damage, a court proceeding would be an appropriate means to seek to remedy the injury, loss 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relevance and proper treatment of a limitation defence in the context of an application to add parties is addressed in multiple cases to which I have been referred and is summarized in </w:t>
      </w:r>
      <w:r>
        <w:rPr>
          <w:rFonts w:ascii="arial" w:eastAsia="arial" w:hAnsi="arial" w:cs="arial"/>
          <w:i/>
          <w:color w:val="000000"/>
          <w:sz w:val="20"/>
          <w:lang w:val="en-US" w:eastAsia="en-US" w:bidi="ar-SA"/>
        </w:rPr>
        <w:t>The Owners, Strata Plan No. VIS3578 v. John A. Neilson Architects Inc.</w:t>
      </w:r>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2010 BCCA 329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The existence of a limitation defence is a relevant, but not determinative, factor in deciding whether to permit joinder, since the effect of s. 4(1)(d) of the Limitation Act is to extinguish such a defence if the proposed defendant is added. In </w:t>
      </w:r>
      <w:r>
        <w:rPr>
          <w:rFonts w:ascii="arial" w:eastAsia="arial" w:hAnsi="arial" w:cs="arial"/>
          <w:i/>
          <w:color w:val="000000"/>
          <w:sz w:val="20"/>
          <w:lang w:val="en-US" w:eastAsia="en-US" w:bidi="ar-SA"/>
        </w:rPr>
        <w:t>Brito (Guardian ad litem of) v. Wooley</w:t>
      </w: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(1997), 15 C.P.C. (4th) 255</w:t>
        </w:r>
      </w:hyperlink>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[1997] B.C.J. No. 2487</w:t>
        </w:r>
      </w:hyperlink>
      <w:r>
        <w:rPr>
          <w:rFonts w:ascii="arial" w:eastAsia="arial" w:hAnsi="arial" w:cs="arial"/>
          <w:color w:val="000000"/>
          <w:sz w:val="20"/>
          <w:lang w:val="en-US" w:eastAsia="en-US" w:bidi="ar-SA"/>
        </w:rPr>
        <w:t xml:space="preserve">, Joyce J. set out a three step approach to considering a possible limitation defence, which was adopted by this Court in </w:t>
      </w:r>
      <w:r>
        <w:rPr>
          <w:rFonts w:ascii="arial" w:eastAsia="arial" w:hAnsi="arial" w:cs="arial"/>
          <w:i/>
          <w:color w:val="000000"/>
          <w:sz w:val="20"/>
          <w:lang w:val="en-US" w:eastAsia="en-US" w:bidi="ar-SA"/>
        </w:rPr>
        <w:t>Strata Plan LMS 1725 v. Star Masonry Ltd.</w:t>
      </w:r>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2007 BCCA 611</w:t>
        </w:r>
      </w:hyperlink>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73 B.C.L.R. (4th) 154</w:t>
        </w:r>
      </w:hyperlink>
      <w:r>
        <w:rPr>
          <w:rFonts w:ascii="arial" w:eastAsia="arial" w:hAnsi="arial" w:cs="arial"/>
          <w:color w:val="000000"/>
          <w:sz w:val="20"/>
          <w:lang w:val="en-US" w:eastAsia="en-US" w:bidi="ar-SA"/>
        </w:rPr>
        <w:t xml:space="preserve"> at para. 12. I summarize it as follows:</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is clear there is no accrued limitation defence, the only question is whether it will be more convenient to have one or two actions since the plaintiff will be able to commence a new action against the proposed defendant if it is unsuccessful in the joinder application.</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it is clear there is an accrued limitation defence, the question is whether it will nevertheless be just and convenient to add the party, notwithstanding it will lose that defence. The answer to that question will emerge from consideration of the factors set out in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Fenwick</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parties disagree as to whether there is an accrued limitation defence, and a court cannot determine this issue on the joinder application, the court should proceed by assuming that there is a limitation defence, and consider whether it is just and convenient to add the party, even though the result will be the elimination of that defence. If that question is answered affirmatively, an order for joinder should be made, and it becomes unnecessary to deal with the limitation issue since it will be extinguished by s. 4(1)(d)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There is also a fourth option, an alternative to the third step, set out by Lambert J.A. in </w:t>
      </w:r>
      <w:r>
        <w:rPr>
          <w:rFonts w:ascii="arial" w:eastAsia="arial" w:hAnsi="arial" w:cs="arial"/>
          <w:i/>
          <w:color w:val="000000"/>
          <w:sz w:val="20"/>
          <w:lang w:val="en-US" w:eastAsia="en-US" w:bidi="ar-SA"/>
        </w:rPr>
        <w:t>Lui v. West Granville Manor Ltd.</w:t>
      </w:r>
      <w:r>
        <w:rPr>
          <w:rFonts w:ascii="arial" w:eastAsia="arial" w:hAnsi="arial" w:cs="arial"/>
          <w:color w:val="000000"/>
          <w:sz w:val="20"/>
          <w:lang w:val="en-US" w:eastAsia="en-US" w:bidi="ar-SA"/>
        </w:rPr>
        <w:t xml:space="preserve">, [1987] W.W.R. 49, </w:t>
      </w:r>
      <w:hyperlink r:id="rId581" w:history="1">
        <w:r>
          <w:rPr>
            <w:rFonts w:ascii="arial" w:eastAsia="arial" w:hAnsi="arial" w:cs="arial"/>
            <w:i/>
            <w:color w:val="0077CC"/>
            <w:sz w:val="20"/>
            <w:u w:val="single"/>
            <w:shd w:val="clear" w:color="auto" w:fill="FFFFFF"/>
            <w:lang w:val="en-US" w:eastAsia="en-US" w:bidi="ar-SA"/>
          </w:rPr>
          <w:t>11 B.C.L.R. (2d) 273</w:t>
        </w:r>
      </w:hyperlink>
      <w:r>
        <w:rPr>
          <w:rFonts w:ascii="arial" w:eastAsia="arial" w:hAnsi="arial" w:cs="arial"/>
          <w:color w:val="000000"/>
          <w:sz w:val="20"/>
          <w:lang w:val="en-US" w:eastAsia="en-US" w:bidi="ar-SA"/>
        </w:rPr>
        <w:t xml:space="preserve"> at 303 (C.A.) [</w:t>
      </w:r>
      <w:r>
        <w:rPr>
          <w:rFonts w:ascii="arial" w:eastAsia="arial" w:hAnsi="arial" w:cs="arial"/>
          <w:i/>
          <w:color w:val="000000"/>
          <w:sz w:val="20"/>
          <w:lang w:val="en-US" w:eastAsia="en-US" w:bidi="ar-SA"/>
        </w:rPr>
        <w:t>Lui No. 2</w:t>
      </w:r>
      <w:r>
        <w:rPr>
          <w:rFonts w:ascii="arial" w:eastAsia="arial" w:hAnsi="arial" w:cs="arial"/>
          <w:color w:val="000000"/>
          <w:sz w:val="20"/>
          <w:lang w:val="en-US" w:eastAsia="en-US" w:bidi="ar-SA"/>
        </w:rPr>
        <w:t xml:space="preserve">]. He suggested that when the limitation issue could not be determined on the joinder application, and the applicant had not established that considerations of justice and convenience justified extinction of the limitation defence under s. 4(1)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judicial discretion could be exercised to permit joinder on terms that the limitation defence would be preserved and determined at trial. That approach was considered and adopted in </w:t>
      </w:r>
      <w:r>
        <w:rPr>
          <w:rFonts w:ascii="arial" w:eastAsia="arial" w:hAnsi="arial" w:cs="arial"/>
          <w:i/>
          <w:color w:val="000000"/>
          <w:sz w:val="20"/>
          <w:lang w:val="en-US" w:eastAsia="en-US" w:bidi="ar-SA"/>
        </w:rPr>
        <w:t>Strata Plan No. VR 2000 v. Shaw</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[1998] B.C.J. No. 1086</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Shaw</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Stone Venepal (Celgar) Pulp Inc. v. IMO Industries (Canada) Inc.</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2008 BCCA 317</w:t>
        </w:r>
      </w:hyperlink>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83 B.C.L.R. (4th) 138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first question is whether it is clear that there is a limitation defence. This depends on the applicable period and the commencement and termination dates.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With respect to the commencement and termination dates of the limitation period, Mina and Francis say that the commencement date is March 2017, being when Mehran had some involvement in the Civil Action. I have referred elsewhere to the evidence of Mehran and his involvement in the Civil Action. I am not satisfied that he had sufficient knowledge of the Civil Action in March 2017 such that he knew or reasonably ought to have known that he may have a cause of action against Mina and Francis or that a court proceeding was an appropriate remedy. In my opinion, the earliest date by which he could have had sufficient knowledge for the limitation period to commence running was in November 2017 when he learned of and read Funt J.'s Reasons. Therefore, assuming a two-year limitation period applies, it did not expire until sometime in November of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However, this application to add the proposed parties and to amend the NOFC was filed on August 29, 2018, well within the two-year limitation period. It is, therefore, clear that there is no limitation defence and the only question to consider is whether it is more convenient to have one or two actions. It is clearly more convenient that the issues raised be addressed in the family action rather than have yet another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would also add that in my view there has been no delay by Mehran in bringing this application and that the delay in the hearing of this application is not due to any fault on his part. Through his counsel he has consistently sought to have this application heard as quickly as possible. It was not heard until November 2019 because of the re-assignment of this matter to a new case management judge, the need to address a multiplicity of matters once the new case management judge was assigned and because of routine court scheduling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Before concluding, I wish to note that if this application was dismissed and this matter was to proceed to trial without Mina and Francis as parties, the court would be required to make a declaration as to the ownership of the disputed properties and assets. I do not see how the court could possibly do this without their involvement. Additionally, this proceeding does appear to lack a sufficient adversarial quality, either because of Donna's alleged contrition or because she hopes to somehow regain what she has lost by conceding to Mehran's claims. The addition of Mina and Francis as parties will ensure that the process is sufficiently adversarial, will allow the court to fully determine the necessary ownership issues and will allow the court to determine in a single action whether Donna acted alone in committing the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Accordingly, I make the following orders:</w:t>
      </w:r>
      <w:r>
        <w:rPr>
          <w:rFonts w:ascii="arial" w:eastAsia="arial" w:hAnsi="arial" w:cs="arial"/>
          <w:sz w:val="20"/>
          <w:lang w:val="en-US" w:eastAsia="en-US" w:bidi="ar-SA"/>
        </w:rPr>
        <w:cr/>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Mina Esteghamat-Ardakani also known as Mina Estegahamat-Ardakani, Francis Amir Este, 0831295 BC Ltd., Vitality Holdings Corp. and John/Jane Doe as trustee of the Mina Esteghamat-Ardakani Alter Ego Trust No. 1 are hereby added as respondents to this action; and</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claimant has leave to file Amended Notice of Family Claim attached as Schedule "A" to his notice of application but with the word "impliedly" substituted for the word "constructively" at paragraph 2(a) of page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Counsel and self-represented parties have leave to speak with me regarding the costs of this application,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GIASCHI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5" style="position:absolute;z-index:251762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90" w:history="1">
        <w:r>
          <w:rPr>
            <w:rFonts w:ascii="arial" w:eastAsia="arial" w:hAnsi="arial" w:cs="arial"/>
            <w:b/>
            <w:bCs/>
            <w:i/>
            <w:color w:val="0077CC"/>
            <w:kern w:val="32"/>
            <w:sz w:val="28"/>
            <w:szCs w:val="32"/>
            <w:u w:val="single"/>
            <w:shd w:val="clear" w:color="auto" w:fill="FFFFFF"/>
            <w:lang w:val="en-US" w:eastAsia="en-US" w:bidi="ar-SA"/>
          </w:rPr>
          <w:t>True Colors Painting Ltd. v. 0846747 BC Ltd. (c.o.b. G&amp;D Linemarking), [2015] B.C.J. No. 334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J.R. Dillon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26-29,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25,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S130950, S95643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334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278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True Colors Painting Ltd. and Lorne Fisher, Plaintiffs, and 0846747 BC Ltd. dba G&amp;D Linemarking and Glenn Ross, Defendants And between 0846747 B.C. Ltd. dba G&amp;D Linemarking, Plaintiff, and True Colors Painting Ltd. and Lorne Fisher,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(66 paras.)</w:t>
      </w:r>
    </w:p>
    <w:p>
      <w:pPr>
        <w:jc w:val="both"/>
        <w:rPr>
          <w:rFonts w:ascii="arial" w:eastAsia="arial" w:hAnsi="arial" w:cs="arial"/>
          <w:sz w:val="20"/>
          <w:lang w:val="en-US" w:eastAsia="en-US" w:bidi="ar-SA"/>
        </w:rPr>
      </w:pPr>
      <w:bookmarkStart w:id="114" w:name="Counsel_24"/>
      <w:bookmarkEnd w:id="11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6"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True Colors Painting Ltd. and Lorne Fisher: T.J. Delaney.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appearance for Glenn Ross and 0846747 BC Ltd.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5" w:name="Judgment_24"/>
      <w:bookmarkEnd w:id="115"/>
      <w:r>
        <w:pict>
          <v:line id="_x0000_s1117" style="position:absolute;z-index:2517278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6" w:name="J.R. DILLON J."/>
            <w:bookmarkEnd w:id="116"/>
            <w:r>
              <w:rPr>
                <w:rFonts w:ascii="arial" w:eastAsia="arial" w:hAnsi="arial" w:cs="arial"/>
                <w:b/>
                <w:color w:val="000000"/>
                <w:sz w:val="30"/>
                <w:lang w:val="en-US" w:eastAsia="en-US" w:bidi="ar-SA"/>
              </w:rPr>
              <w:t>J.R. DILLON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Preliminary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By court order of July 8, 2013, True Colors Painting Ltd. and Lorne Fisher v. 0846747 BC Ltd. and Glenn Ross, Vancouver Registry No. S130950 (the "Vancouver action") was ordered to be tried at the same time as 0846747 B.C. Ltd. dba G&amp;D Linemarking v. True Colors Painting Ltd. and Lorne Fisher, Kelowna Registry No. S95643 (the "Kelowna action"). It was also ordered that examinations for discovery in both actions be admissible in both actions and that evidence in one action be admissible in the other. The Vancouver action was stayed pending payment by the plaintiffs of the defendants' costs to the date of service of the discontinuance of the plaintiffs' counterclaim in the Kelowna action. Counsel for the plaintiffs assured this Court that these costs had been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 trial management conference was held for both actions on December 2, 2014. The defendant, Glenn Ross ("Ross") attended via satellite telephone on his own behalf and on behalf of 0846747 BC Ltd. (the "numbered company"). His solicitor had ceased to act by order on October 15, 2014. The defendants did not file a trial brief for the trial management conference or subsequently. Ross informed the presiding Master that he would be attending the trial which was agreed would proceed on January 26, 2015 for 10 days. He did not request an adjournment.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Nobody appeared on behalf of Ross or the numbered company at the start of trial on January 26, 2015. The court waited until 11:45 a.m. for an appearance whilst court schedulers and plaintiffs' counsel attempted to contact Ross. No telephone number had been provided by Ross but Supreme Court Scheduling contacted Ross through email. Court administration requested to know if Ross planned to attend and advised Ross that the trial would proceed in his absence. Ross replied on January 27, advising Supreme Court scheduling that he was on his sailboat in Panama and was cruising to Columbia. He gave no explanation for his absence from trial except to say that he was short on cash to pay for entry into Panama from whence he had expected to travel to Vancouver. He did not ask for an adjournment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Based upon the non-appearance at trial of the plaintiffs in the Kelowna action, that action was dismissed. The Vancouver action proceeded. Nobody appeared on behalf of the defendants throughout the four days of trial and no further information was received from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should be noted that the plaintiff in the Kelowna action was 0846747 B.C. Ltd.; but, in the Vancouver action, the periods were deleted from "B.C. Ltd." in naming the defendant. It was not in issue that these are the same company. It is assumed that the correct name is 0846747 B.C. Ltd. Reference will be made herein to 0846747 B.C. Ltd or to the numbered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Lorne Fisher ("Fisher"), is the President and owner of the plaintiff company, True Colors Painting Ltd. ("True Colors"). True Colors had been in the business of roadway line painting since 1996, mainly in the lower mainland of British Columbia, and had numerous large institutional and other clients. Fisher was diagnosed with Hepatitis C in 2000 and increasingly had difficulty managing the disease and its medications. He turned to medicinal marihuana and obtained authorizations to possess dried marihuana from April 2011 to April 4, 2012 and from June 28, 2012 to June 28,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October 2011, Fisher felt that his disease had started to take a toll on his business and he started to look for a partner to relieve him of some of the work fatigue. He approached Ross who operated G&amp;D Linemarking ("G&amp;D") out of Kelowna. Ross expressed interest by email in February 2012 and information was exchanged. Fisher told Ross that he had an illness that "slow[ed] [him] down quite a bit" and the two planned to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Fisher met with Ross and his wife in early March 2012. Ross asked Fisher why he wanted to get out of the business. Fisher testified that he told Ross that he had Hepatitis C, that his health had "gone to crap", and that he used medicinal marihuana. This was significant in an industry where the standard expressly forbid smoking marihuana on the job, according to Fisher. Ross told Fisher that he was not interested in a partnership but in an asset purchase. An agreement in principal was reached on March 8, 2012 wherein G&amp;D, through the numbered company, would purchase certain assets and attached liabilities of True Colors for $300,000 payable over three years and would assume the lease on the warehouse used by True Colors in Langley, British Columbia. G&amp;D would employ Fisher as a manager and as a labourer for up to three years and there was to be a profit sharing arrangement for up to three years. G&amp;D tendered $10,000 towards a $25,000 down payment on the purchase price. The agreement in principal was to be reduced to contract by lawyers for G&amp;D before the end of March.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Fisher received a draft asset purchase agreement on March 31. He testified at first that he did not review it prior to Monday April 2 when Ross and his wife attended at True Colors Langley warehouse. But, he also said that he "skimmed" the document on the weekend. Fisher said that Ross told Fisher that Fisher had to sign on that day because Ross had to go out of town. Fisher said that he read the first few pages and "went straight to the money part to make sure that what they had discussed was there". He then said: "Glenn, you're not trying to fuck me are you?" Glenn replied: "No way, I wouldn't do that". Fisher testified that there was no urgency to signing the agreement. Everything looked good. He was "happy in the moment" because the financials looked good. He said that he did not read clause 1.3.5 before he signed the agreement in the presence of his secretary as witness. Fisher accepted a $15,000 cheque for the balance of the down payment that was payable.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About a week later, Fisher had read through the contract and requested a change so that the management fee would be payable over 10 months rather than 12 months. This was agreed and written by hand into the contract. There were no other changes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asset purchase agreement dated April 2, 2012 was between True Colors, the 'seller', and 0846747 B.C. Ltd., the 'purchaser' (referred to as "G&amp;D"), and Fisher, the 'indemnitor'. The purchaser was defined as doing business as G&amp;D Linemarking. The asset purchase agreement provided for the sale of certain contracts, specified equipment, the name 'True Colors', and customer lists. The purchase price was $325,000 subject to adjustments set out in Schedule 1.3, with deposit paid of $25,000 and the balance payable "by way of 12 equal quarterly payments" to be paid over three years from the closing date with the first payment due on July 12, 2012. Pursuant to clause 1.3.1, True Colors was to receive a consulting fee for the first year in the amount of $50,000, payable in equal quarterly installments commencing on July 2, 2012. Pursuant to clause 1.3.2, Fisher was to be "employed... as the manager" in respect of the Langley business for three years for an "annual salary" of $50,000, with the employment to be renewable annually at the option of G&amp;D. Pursuant to clause 1.3.3, Fisher was also to be employed as a labourer at the hourly rate of $25, the employment to be renewable annually at G&amp;D's option for a period of up to three years. Pursuant to clause 1.3.4 and provided that Fisher remained employed as a manager, he was to receive 25% of "the pre-tax income earned by the Purchaser from the contracts and new business generated out of the Purchaser's Langley, BC location". The asset purchase agreement also included a non-competition clause 6.1 wherein Fisher agreed not to compete with G&amp;D for a period of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Clause 1.3.5 of the asset purchase agreement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1.3.5 </w:t>
      </w:r>
      <w:r>
        <w:rPr>
          <w:rFonts w:ascii="arial" w:eastAsia="arial" w:hAnsi="arial" w:cs="arial"/>
          <w:b/>
          <w:color w:val="000000"/>
          <w:sz w:val="20"/>
          <w:u w:val="single"/>
          <w:lang w:val="en-US" w:eastAsia="en-US" w:bidi="ar-SA"/>
        </w:rPr>
        <w:t>Employment Termination</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In the event that the Indemnitor quits or resigns from his employment under Article 1.3.2 of this agreement or his employment is terminated by the Purchaser for cause, the Purchaser's obligations to the Seller and/or the Indemnitor under Articles 1.1.3, 1.3.1, 1.3.2, 1.3.3 and 1.3.4 shall expire.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contract created between the parties was not only an asset sale of the business assets of True Colors, but was also an employment contract for managerial, consulting, and labour services of Fisher to ensure the business viability of G&amp;D in the lower mainland of British Columbia. The contractual relationship was intended to be one of mutual cooperation for at least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All parties affirmed the asset purchase agreement in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G&amp;D took over the leased warehouse premises formerly used by True Colors and all of the equipment pursuant to the asset purchase agreement. Fisher started working for G&amp;D immediately, working in the lower mainland as normal, while Ross worked in the interior of British Columbia. G&amp;D secured a contract for work for the municipality of Chilliwack, an important job with significant up front financial investment. Ross emailed Fisher about this job on May 19, 2012, advising of certain policies that must be followed and warning that Chilliwack's traffic technician and others might also show up unannounced to inspect the work and crew. The email stated that there was to be no drugs and "anyone who is not clear of head on the job is to be dismissed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June 3 or 4, Fisher received a telephone call from Ross while Fisher was on crew on the Chilliwack job. Fisher testified that Ross was irate and screaming that an employee of Fisher's had been caught smoking marihuana on the jobsite by someone from Chilliwack. He berated Fisher about 'what part of this did he not understand' and told Fisher that he was holding Fisher personally responsible and would put a note on his file. Ross then hung up. Fisher immediately contacted the other crew working on the Chilliwack job and asked with his crew to determine that nobody had been smoking marihuana on the job. Fisher was upset because he had never been spoken to like that before and had never experienced anyone smoking marihuana on the jobsite.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Ross emailed Fisher on the morning of June 5. He reiterated that nobody was to work for G&amp;D under the influence of drugs and that he had warned Fisher that he could expect unannounced visits from Chilliwack personnel, particularly the traffic technician. He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Either you didn't believe me, or you ignored me. Or do you have some other excuse as to why an employee of G &amp; D Linemarking working under your supervision was caught smoking pot on the job?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are not to contact anyone at the City of Chilliwack trying to find out who ratted out the staff, enough damage has been done. Your staff on the job has been caught smoking pot.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SEND THAT PERSON HOME. If the same person shows up a second time and you even SUSPECT that he or she is under the influence, FIRE that person right then and there.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issue is serious and egregious enough that I am issuing a warning to you Lorne, and it is going into your employment file. I expect you to manage the staff there in Langley in a manner that is consistent with company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Ross said that if the same person showed up a second time under the influence of drugs, he should be fired immediately. He gave a warning to Fisher and told him that this was going into his employment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Fisher replied by email that he would not tolerate being hung up on again and said that the person caught smoking on the jobsite should be fired. He reviewed each of the crew on the site as to whether he was known to smoke marihuana. He isolated one crew member, "Jay", and reported to Ross that he knew "Jay" to smoke "pot", but said that he had never seen or caught him smoking on the jobsite. He told Ross that he did not tolerate drug use. He queried the reliability of the report that a member of the crew had been smoking marihuana.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implication from Ross' email of June 5 is that someone from the City of Chilliwack had caught someone on Fisher's crew smoking marihuana on the job. The traffic technician for the City of Chilliwack testified. She had secured and was responsible for the line marking contract with G&amp;D. She sometimes inspected the worksites and would have been informed immediately about any report of crew smoking marihuana. There was none. Further, the traffic technician said that she never had a conversation with anyone from G&amp;D about smoking marihuana on the jobsite.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the evidence as presented, it cannot be concluded that an employee on Fisher's crew had been smoking marihuana on the Chilliwack jobsite. Certainly, Fisher was not smoking on the jobsite and there had never been a suggestion that he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Matters remained as such until June 14. Fisher received a telephone call from Ross while Fisher was on his way to work at the Langley warehouse. Ross told Fisher that, due to the incident in Chilliwack, he had decided to implement a random drug testing programme. Fisher responded that he would most certainly fail because of his medicinal marihuana use that he had already told Ross about. Ross said that anyone who failed the test would be fired, "no ifs or buts". Fisher said that this put him in a precarious situation because of his medicinal licence. Fisher testified that Ross replied that he did not care; anyone who failed the test would be fired, and hung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Fisher arrived at the warehouse. Within minutes, an email arrived at 8:24 a.m. from Ross that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our telephone conversation of minutes ago, your admission to the use of drugs is a contravention of stated and documented company policy. Your resignation is hereby accepted. Effective immediately you no longer are employed by 846747 BC Ltd. doing business as G &amp; D Linemarking. Clear your personal things out of the office and turn in your keys to Claudette by noon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Based upon the evidence at trial, it cannot be concluded that Fisher voluntarily resigned or initiated steps to resile from his employment situation with G&amp;D.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Fisher attempted to contact Ross immediately by phone but Ross did not respond to calls or messages. Ross directed the cancellation of Fisher's security code "because he [was] no longer employed with G&amp;D" and demanded the return of company credit cards. Fisher complied. Fisher testified that he was in a "massive panic and stress". He still had some equipment on his truck trailer. He drove it to storage and called a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Fisher emailed Ross early that evening. He stated that he had never resigned. He reminded Ross that he had been told that Fisher had a licence to smoke marihuana, whether Ross remembered that information or not. He said that he did not want to be fired. He continued: "Obviously this union is over...I will accept a cash buyout". He told Ross that he would get a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Fisher emailed Ross again in the early morning hours of the next day, June 15. He stated that he was not and had not resigned. He said that he was willing to resume all contractual expectations and wanted the original agreement to continue as agreed. He offered to fulfill all his obligations under the contract. Ross did not respond.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Ross commenced the Kelowna action on June 19, 2012. In the Notice of Civil Claim, Ross confirmed the asset purchase agreement and stated that G&amp;D had fulfilled all obligations under the contract to date. The claim stated that Fisher had resigned from his employment on June 15. G&amp;D obtained short leave on June 20 for a hearing on June 22 for an order for the return of equipment sold under the agreement. Before the hearing of the application, Fisher arranged through counsel for the return of all equipment as demanded. When the matter came on for hearing, the court in oral reasons acknowledged that Fisher had undertaken to return all equipment but made the order for the return to preserve the parties' positions and in consideration that True Colors and Fisher had the right to further payment under the contract. The court at paragraph 15 stated that Fisher was entitled to installments of about $300,000. It does not appear to have been suggested that G&amp;D had been relieved of its obligations for payment pursuant to clause 1.3.5 of the agreement by the resignation of Fisher.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G&amp;D never paid any further part of the purchase price for the equipment as required to be first paid on July 12, 2012. True Colors and Fisher did not receive any further payment for the asset purchase or for termination of employment. On discovery as read in at trial, Ross said that G&amp;D had sold all of the assets purchased under the asset purchase agreement to a competitor and had wound down its business. Ross said that G&amp;D received $500,000 for these assets. G&amp;D never did introduce a random drug testing programme. Ross placed "Jay", known to him as a marihuana user from Fisher's email of June 5, as the manager of Langley operations in place of Fisher.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This case raises the following issues:</w:t>
      </w:r>
      <w:r>
        <w:rPr>
          <w:rFonts w:ascii="arial" w:eastAsia="arial" w:hAnsi="arial" w:cs="arial"/>
          <w:sz w:val="20"/>
          <w:lang w:val="en-US" w:eastAsia="en-US" w:bidi="ar-SA"/>
        </w:rPr>
        <w:cr/>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Fisher quit or resign from his employment as manager or was he terminated for cause so to release G&amp;D from any obligations for payment of the purchase price or other obligations under clause 1.3.5 of the asset purchase agreement? If not, is G&amp;D in breach of the agreement?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G&amp;D is in breach of the agreement, what damages are payable to True Colors and to Fisher?</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Ross and/or G&amp;D fabricate an allegation of smoking marihuana on the job and then attempt to induce Fisher to resign from his employment through false threat of random drug testing, so to gain the advantage of the employment termination clause 1.3.5 of the asset purchase agreement and so commit the tort of deceit?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Ross induce Fisher to enter into the asset purchase agreement through fraudulent misrepresentation?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Fisher wrongfully terminated from his employment so that damages are recoverable?</w:t>
      </w:r>
    </w:p>
    <w:p>
      <w:pPr>
        <w:numPr>
          <w:numId w:val="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plaintiffs entitled to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order for G&amp;D's obligation to pay the purchase price for the assets, as set out in clause 1.1.3, to have expired pursuant to clause 1.3.5, Fisher must have quit, resigned, or been terminated for cause as manager for the Langley operations. This position as manager was set out in clause 1.3.2. On the facts as found, Fisher did not quit. He did not resign. He was not terminated for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After the events of June 5 and then after the telephone conversation on the morning of June 14, Fisher continued to work for G&amp;D. He performed a project in Penticton between these dates. He showed up at the warehouse as usual for work after the June 14 conversation on his way to work. It was then that he received the email stating that his admission of the use of drugs was in contravention of company policy and his resignation was accepted. Fisher did not quit. Later in the day, he emailed Ross and stated that he "didn't want to be fired". His statement that the "union is over" was in response to G&amp;D's behaviour on June 14 that started with the email and continued to demand return of company credit cards and other facilities and cancellation of security access. Fisher had repeated that he "did not in any way resign" and was willing to fulfill all contractual expectations in the email of June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Neither did Fisher resign. He had a heated argument with Ross over plans to initiate a random drug testing programme. This was at the talking stage only and subsequent conduct by G&amp;D through Ross shows that there was not really an intention to initiate such a programme. Ross appears to have brought this up in an attempt to goad Fisher into resigning, knowing of Fisher's weakness and susceptibility in this regard. However, Fisher did not resign. There was nothing in the conversation on the morning of June 14 that could be interpreted as a resignation. Ross' email stating that Fisher's admission to use of drugs was a contravention of company policy is inaccurate. There was no such company policy banning the use of drugs generally, and specifically there was no company policy banning the use of drugs that were lawful by medical certificate and licence. As stated by Ross in the email of June 5, company policy was that if anyone showed up for work under the influence of drugs, he was to be sent home on the first occasion and fired on the second occasion. If someone was working on the job under the influence of drugs, he was to be immediately fired. Fisher admitted to neither. Ross' statement that "Your resignation is hereby accepted" was really a statement that Fisher was terminated because there was no conduct or words on the part of Fisher that could be taken as a resignation.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Fisher was also not terminated for cause. He was not the subject of the complaint on June 5 that someone had been caught smoking marihuana on the job nor was he alleged to have ever attended for work under the influence of drugs. A random drug testing programme was not at the time and never was instituted. Ross seemed to think that by threatening such a programme, Fisher would quit or resign, but he did not. The fact that Ross manipulated a resignation also demonstrates that there was no justified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From these findings, it is apparent that clause 1.3.5 of the asset purchase agreement was not triggered. G&amp;D's obligation to pay for the assets under clause 1.1.3 did not expire. G&amp;D was obliged to pay the first installment for the assets after deduction of the down payment on or before July 12,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G&amp;D took immediate steps to reaffirm the contract and to secure their position under the contract by commencing action on June 19 and obtaining an order for the return of all assets on June 22, even though Fisher had already returned most equipment and had undertaken to return the rest. At the time of the court order, the first installment for payment under clause 1.1.3 of the asset purchase agreement was not due and G&amp;D was able to maintain that it was not in default of any of its obligations. It alleged in its Notice of Claim that Fisher had resigned but did not outline the contractual effect of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G&amp;D did not pay any part of the purchase price for the assets except for the initial down payment or deposit. It did not pay on July 12, 2012 or on any date thereafter. Yet, it continued to treat the assets as owned and sold them to a third party. This was in breach of the asset purchase agreement. True Colors is entitled to damages for this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addition, G&amp;D undertook to pay a fee to True Colors for contract consulting. Clause 1.3.1 of the asset purchase agreement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Contract Consulting</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In respect of all Contracts and Prospective Clients, and potential contracts and so long as the Indemnitor is employed by the Purchaser as a manager under Article 1.3.2 of this agreement, the Purchaser shall retain the Seller act as the Purchaser's Contract Consultant for a period of not more than one year from the date of this agreement to ensure that the Work being performed by the Purchaser pursuant to the Contracts and any potential contracts is acceptable to the party contracting with the Seller or the Purchaser, as the case may be. For serving in this capacity and performing this role of Contract Consultant the Purchaser shall pay the Seller the sum of Fifty Thousand Dollars ($50,000) in equal quarterly instalments commencing July 2,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G&amp;D did not pay any installments owing to True Colors as contract consultant.</w:t>
      </w:r>
      <w:r>
        <w:rPr>
          <w:rFonts w:ascii="arial" w:eastAsia="arial" w:hAnsi="arial" w:cs="arial"/>
          <w:sz w:val="20"/>
          <w:lang w:val="en-US" w:eastAsia="en-US" w:bidi="ar-SA"/>
        </w:rPr>
        <w:cr/>
      </w:r>
    </w:p>
    <w:p>
      <w:pPr>
        <w:numPr>
          <w:numId w:val="8"/>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Damages Payable for Breach of Contract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 Damages payable to True Colors by 0846747 BC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original purchase price as set out in clause 1.1.3 was $325,000, subject to adjustments as set out in Schedule 1.3 of the asset purchase agreement. A deposit of $25,000 was paid, leaving a balance payable before adjustments of $300,000.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According to Schedule 1.3, the adjustments to purchase price was to include reduction for payment of the deposit, reduction for any outstanding loan or lease payments outstanding as at the date of the agreement, reduction for future vehicle and equipment loan and lease payment obligations in the amount of $68,472.58, and reductions for any taxes, assessments, levies or indebtedness that was payable under any stature to which a lien could attach to the assets purchased. The only adjustment that applies here is the future lien and lease payments that were assumed by G&amp;D in the amount of $68,472.58.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There was an unpaid balance payable to True Colors pursuant to the contract of $231,527.42 for the purchase price of assets that were held and eventually sold by G&amp;D. That amount is awarded to the plaintiff, True Colors, as damages for breach of contract by 0846747 BC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addition to damages payable for the balance of the purchase price, the sum of $50,000 is payable as damages for breach of clause 1.3.1 of the asset purchase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Total damages payable by 0846747 B.C. Ltd. to True Colors for breach of contract is $281,527.42.</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 Damages payable to Fisher by 0846747 BC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remains quantification of damages payable by G&amp;D to Fisher personally for breach of employment contract. There are several elements here: first, damages for breach of the management contract in clause 1.3.2; second, damages for breach of employment as a line painter and other labour work as set out in clause 1.3.3; and third, damages for profit sharing in clause 1.3.4.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Clause 1.3.2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Management Contract</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The Indemnitor commits to the Purchaser that he will, if the Purchaser requests, agree to be employed by the Purchaser as the manager for the Purchaser in respect of the Purchaser's business in Langley, BC, which includes the Contracts that are subject to this Agreement and all new business of the Purchaser administered through its Langley, BC, location. The Indemnitor agrees that his employment as manager of the Purchaser's Langley location is renewable annually, at the option of the Purchaser, for three (3) years from the Closing Date. For providing his services as Manager, the Indemnitor agrees that he will be paid an annual salary of Fifty Thousand Dollars ($50,000.00). Payable over ten months being February through November inclusive. (last sentence handwritten)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Fisher sought payment for a period of 21.5 months pursuant to the management contract. However, this employment was renewable annually at the option of G&amp;D. The management relationship only lasted 21/2 months. During this time, Fisher earned $12,045.65 in management salary. There is no evidence that G&amp;D would likely have renewed the agreement, except for Fisher's expectation. Under the circumstances between Ross and Fisher, it cannot be concluded that the relationship probably would have lasted longer than the one year. Also, Ross' evidence upon discovery that was read in at trial established that G&amp;D was sold as an asset sale to a competitor and the business wound down. In the circumstances, one year is also a reasonable period of notice. Damages are payable under the management contract to Fisher in the amount of $37,954.35.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Clause 1.3.3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Offer of Employment</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In addition to his employment as manager of the Purchaser's Langley location and provided he remains so employed, the Purchaser will also employ the Indemnitor as a line painter, truck driver, thermoplastic applicator, snowplow operator, salter and general labourer at an hourly wage rate of twenty five dollars ($25.00). This employment is renewable annually, at the Purchaser's option, for a period of up to 3 years from the Closing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Fisher also sought payment for a period of 21.5 months pursuant to this clause and based upon earnings of $13,000 per year for a total of $21,900.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From the pay statement for the period ending on June 24, 2012, which included year to date payments for hand work, driving the truck, removal of old roadway lines, and placement of new lines, Fisher received a total of $4,100. This works out to an average of $1,640 per month. Fisher testified that this was seasonal work so he could have expected to work for eight months of the year. For the same reasons as stated above, it cannot be concluded that G&amp;D would probably have renewed Fisher's employment as labourer after one year. This is also a reasonable period of notice. Damages are payable under the labour employment contract to Fisher in the amount of $9,000.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Finally, there is clause 1.3.4 of the agreement that Fisher would share in 25% of the "pre-tax income earned by [G&amp;D] from the contracts and new business generated out of [G&amp;D's] Langley, BC, location" so long as he remained employed as a manager under clause 1.3.2. The management salary of Fisher was to be expensed against revenues earned in calculating pre-tax income for this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Fisher argued that the calculation of profit share should be based upon the sale price of the assets, $500,000, minus the purchase price of $325,000, for annual profit in the first year of $175,000. There is no basis in the agreement for such a calculation. There was no evidence of the "pre-tax income" that would have been used to calculate a profit share. In these circumstances, no amount is awarded because this head of damage has not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Fisher is entitled to damages from 0846747 B.C. Ltd. in the amount of $46,954.35.</w:t>
      </w:r>
      <w:r>
        <w:rPr>
          <w:rFonts w:ascii="arial" w:eastAsia="arial" w:hAnsi="arial" w:cs="arial"/>
          <w:sz w:val="20"/>
          <w:lang w:val="en-US" w:eastAsia="en-US" w:bidi="ar-SA"/>
        </w:rPr>
        <w:cr/>
      </w:r>
    </w:p>
    <w:p>
      <w:pPr>
        <w:numPr>
          <w:numId w:val="9"/>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Tort of Deceit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plaintiffs allege in the Notice of Civil Claim that Ross telling Fisher that an employee had been caught smoking marihuana on the job was fabricated by Ross as part of a plan to either invent a false allegation of just cause to dismiss Fisher from his employment or to try to force Fisher into resigning, thus triggering clause 1.3.5 of the asset purchase agreement whereby G&amp;D would be relieved of payment obligations under the asset purchase agreement. In furtherance of this plan, Ross then told Fisher that G&amp;D would be implementing a policy of random drug testing which Fisher was likely to fail, when no such policy was really intended, and then effectively terminating Fisher without notice. The plaintiffs allege that, believing the truth of the statements, they acted to their detriment and lost the balance of the purchase price of the agreement and fees, salaries, wages and the share of profits dues under the agreement. The tort of deceit is specifically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XY, LLC v. Zhu,</w:t>
      </w:r>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shd w:val="clear" w:color="auto" w:fill="FFFFFF"/>
            <w:lang w:val="en-US" w:eastAsia="en-US" w:bidi="ar-SA"/>
          </w:rPr>
          <w:t>2013 BCCA 352</w:t>
        </w:r>
      </w:hyperlink>
      <w:r>
        <w:rPr>
          <w:rFonts w:ascii="arial" w:eastAsia="arial" w:hAnsi="arial" w:cs="arial"/>
          <w:color w:val="000000"/>
          <w:sz w:val="20"/>
          <w:lang w:val="en-US" w:eastAsia="en-US" w:bidi="ar-SA"/>
        </w:rPr>
        <w:t xml:space="preserve">, leave to appeal refused </w:t>
      </w:r>
      <w:hyperlink r:id="rId592" w:history="1">
        <w:r>
          <w:rPr>
            <w:rFonts w:ascii="arial" w:eastAsia="arial" w:hAnsi="arial" w:cs="arial"/>
            <w:i/>
            <w:color w:val="0077CC"/>
            <w:sz w:val="20"/>
            <w:u w:val="single"/>
            <w:shd w:val="clear" w:color="auto" w:fill="FFFFFF"/>
            <w:lang w:val="en-US" w:eastAsia="en-US" w:bidi="ar-SA"/>
          </w:rPr>
          <w:t>[2013] S.C.C.A. No. 376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XY</w:t>
      </w:r>
      <w:r>
        <w:rPr>
          <w:rFonts w:ascii="arial" w:eastAsia="arial" w:hAnsi="arial" w:cs="arial"/>
          <w:color w:val="000000"/>
          <w:sz w:val="20"/>
          <w:lang w:val="en-US" w:eastAsia="en-US" w:bidi="ar-SA"/>
        </w:rPr>
        <w:t>), Newbury J.A. for the Court attempted to consolidate the jurisprudence and academic discussion about the elements required to prove the tort of deceit. Although there are variations in combination of the elements of the tort, the statement from the trial judge of the elements of the tort seemed to have been accepted when Newbury J.A. said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The trial judge analyzed the evidence with respect to the elements of the tort of deceit beginning at para. 237 of his reasons. Relying on </w:t>
      </w:r>
      <w:r>
        <w:rPr>
          <w:rFonts w:ascii="arial" w:eastAsia="arial" w:hAnsi="arial" w:cs="arial"/>
          <w:i/>
          <w:color w:val="000000"/>
          <w:sz w:val="20"/>
          <w:lang w:val="en-US" w:eastAsia="en-US" w:bidi="ar-SA"/>
        </w:rPr>
        <w:t>Han v. Cho</w:t>
      </w:r>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2009 BCSC 458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Le Soleil Hospitality Inc. v. Louie</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2010 BCSC 1183</w:t>
        </w:r>
      </w:hyperlink>
      <w:r>
        <w:rPr>
          <w:rFonts w:ascii="arial" w:eastAsia="arial" w:hAnsi="arial" w:cs="arial"/>
          <w:color w:val="000000"/>
          <w:sz w:val="20"/>
          <w:lang w:val="en-US" w:eastAsia="en-US" w:bidi="ar-SA"/>
        </w:rPr>
        <w:t>, he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tort of deceit, also known as civil fraud, is concerned with the intentional inducement of another person to rely upon a representation that the representor knows to be untrue. The elements that make up this tort are:</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false representation of fact by the defendant;</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made with knowledge of its falsity or recklessly, ie. not caring whether it is true or not;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made with the intention that the plaintiff would act on it;</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intention that the plaintiff would act on it; and</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 suffered damages</w:t>
      </w:r>
      <w:r>
        <w:rPr>
          <w:rFonts w:ascii="arial" w:eastAsia="arial" w:hAnsi="arial" w:cs="arial"/>
          <w:color w:val="000000"/>
          <w:sz w:val="20"/>
          <w:lang w:val="en-US" w:eastAsia="en-US" w:bidi="ar-SA"/>
        </w:rPr>
        <w:t>. [At para. 237;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first focus in </w:t>
      </w:r>
      <w:r>
        <w:rPr>
          <w:rFonts w:ascii="arial" w:eastAsia="arial" w:hAnsi="arial" w:cs="arial"/>
          <w:i/>
          <w:color w:val="000000"/>
          <w:sz w:val="20"/>
          <w:lang w:val="en-US" w:eastAsia="en-US" w:bidi="ar-SA"/>
        </w:rPr>
        <w:t>XY</w:t>
      </w:r>
      <w:r>
        <w:rPr>
          <w:rFonts w:ascii="arial" w:eastAsia="arial" w:hAnsi="arial" w:cs="arial"/>
          <w:color w:val="000000"/>
          <w:sz w:val="20"/>
          <w:lang w:val="en-US" w:eastAsia="en-US" w:bidi="ar-SA"/>
        </w:rPr>
        <w:t xml:space="preserve"> was on the issue of whether the plaintiffs had suffered damages, particularly upon the causation element which asked whether the plaintiffs had altered their position in reliance upon the false statements. While this was variously considered by different authors as described in the judgment at paras. 23-25 to be a variation of the fourth and fifth elements or an extension of elements to include alteration of position and damage, the question essentially is whether the plaintiff acted in reliance upon the false representation to its detriment (</w:t>
      </w:r>
      <w:r>
        <w:rPr>
          <w:rFonts w:ascii="arial" w:eastAsia="arial" w:hAnsi="arial" w:cs="arial"/>
          <w:i/>
          <w:color w:val="000000"/>
          <w:sz w:val="20"/>
          <w:lang w:val="en-US" w:eastAsia="en-US" w:bidi="ar-SA"/>
        </w:rPr>
        <w:t>XY</w:t>
      </w:r>
      <w:r>
        <w:rPr>
          <w:rFonts w:ascii="arial" w:eastAsia="arial" w:hAnsi="arial" w:cs="arial"/>
          <w:color w:val="000000"/>
          <w:sz w:val="20"/>
          <w:lang w:val="en-US" w:eastAsia="en-US" w:bidi="ar-SA"/>
        </w:rPr>
        <w:t xml:space="preserve"> at para. 39). The plaintiff must have been induced by the representation to alter his position, which means to change his material or temporal interests or situation (</w:t>
      </w:r>
      <w:r>
        <w:rPr>
          <w:rFonts w:ascii="arial" w:eastAsia="arial" w:hAnsi="arial" w:cs="arial"/>
          <w:i/>
          <w:color w:val="000000"/>
          <w:sz w:val="20"/>
          <w:lang w:val="en-US" w:eastAsia="en-US" w:bidi="ar-SA"/>
        </w:rPr>
        <w:t>XY</w:t>
      </w:r>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important aspect of reliance in </w:t>
      </w:r>
      <w:r>
        <w:rPr>
          <w:rFonts w:ascii="arial" w:eastAsia="arial" w:hAnsi="arial" w:cs="arial"/>
          <w:i/>
          <w:color w:val="000000"/>
          <w:sz w:val="20"/>
          <w:lang w:val="en-US" w:eastAsia="en-US" w:bidi="ar-SA"/>
        </w:rPr>
        <w:t>XY</w:t>
      </w:r>
      <w:r>
        <w:rPr>
          <w:rFonts w:ascii="arial" w:eastAsia="arial" w:hAnsi="arial" w:cs="arial"/>
          <w:color w:val="000000"/>
          <w:sz w:val="20"/>
          <w:lang w:val="en-US" w:eastAsia="en-US" w:bidi="ar-SA"/>
        </w:rPr>
        <w:t xml:space="preserve"> was the conclusion that carrying on under the contract on the basis of false representations constituted reliance for the purposes of deceit (</w:t>
      </w:r>
      <w:r>
        <w:rPr>
          <w:rFonts w:ascii="arial" w:eastAsia="arial" w:hAnsi="arial" w:cs="arial"/>
          <w:i/>
          <w:color w:val="000000"/>
          <w:sz w:val="20"/>
          <w:lang w:val="en-US" w:eastAsia="en-US" w:bidi="ar-SA"/>
        </w:rPr>
        <w:t>XY</w:t>
      </w:r>
      <w:r>
        <w:rPr>
          <w:rFonts w:ascii="arial" w:eastAsia="arial" w:hAnsi="arial" w:cs="arial"/>
          <w:color w:val="000000"/>
          <w:sz w:val="20"/>
          <w:lang w:val="en-US" w:eastAsia="en-US" w:bidi="ar-SA"/>
        </w:rPr>
        <w:t xml:space="preserve"> at paras. 39-41). This was not the classic situation in the tort of deceit where the party was induced to enter into a contract as the result of the false representation. In </w:t>
      </w:r>
      <w:r>
        <w:rPr>
          <w:rFonts w:ascii="arial" w:eastAsia="arial" w:hAnsi="arial" w:cs="arial"/>
          <w:i/>
          <w:color w:val="000000"/>
          <w:sz w:val="20"/>
          <w:lang w:val="en-US" w:eastAsia="en-US" w:bidi="ar-SA"/>
        </w:rPr>
        <w:t>XY</w:t>
      </w:r>
      <w:r>
        <w:rPr>
          <w:rFonts w:ascii="arial" w:eastAsia="arial" w:hAnsi="arial" w:cs="arial"/>
          <w:color w:val="000000"/>
          <w:sz w:val="20"/>
          <w:lang w:val="en-US" w:eastAsia="en-US" w:bidi="ar-SA"/>
        </w:rPr>
        <w:t xml:space="preserve">, the plaintiff had already entered into a contract with JingJing Genetic Inc. ("JingJing") and the deceit occurred in the performance of that contract. This was also the situation in </w:t>
      </w:r>
      <w:r>
        <w:rPr>
          <w:rFonts w:ascii="arial" w:eastAsia="arial" w:hAnsi="arial" w:cs="arial"/>
          <w:i/>
          <w:color w:val="000000"/>
          <w:sz w:val="20"/>
          <w:lang w:val="en-US" w:eastAsia="en-US" w:bidi="ar-SA"/>
        </w:rPr>
        <w:t>Catalyst Pulp and Paper Sales Inc. v. Universal Paper Export Company Ltd.</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2009 BCCA 307</w:t>
        </w:r>
      </w:hyperlink>
      <w:r>
        <w:rPr>
          <w:rFonts w:ascii="arial" w:eastAsia="arial" w:hAnsi="arial" w:cs="arial"/>
          <w:color w:val="000000"/>
          <w:sz w:val="20"/>
          <w:lang w:val="en-US" w:eastAsia="en-US" w:bidi="ar-SA"/>
        </w:rPr>
        <w:t xml:space="preserve">, where the plaintiff made payments under a contract on the strength of false invoices. In </w:t>
      </w:r>
      <w:r>
        <w:rPr>
          <w:rFonts w:ascii="arial" w:eastAsia="arial" w:hAnsi="arial" w:cs="arial"/>
          <w:i/>
          <w:color w:val="000000"/>
          <w:sz w:val="20"/>
          <w:lang w:val="en-US" w:eastAsia="en-US" w:bidi="ar-SA"/>
        </w:rPr>
        <w:t>XY</w:t>
      </w:r>
      <w:r>
        <w:rPr>
          <w:rFonts w:ascii="arial" w:eastAsia="arial" w:hAnsi="arial" w:cs="arial"/>
          <w:color w:val="000000"/>
          <w:sz w:val="20"/>
          <w:lang w:val="en-US" w:eastAsia="en-US" w:bidi="ar-SA"/>
        </w:rPr>
        <w:t>, the plaintiff had entered into a licensing agreement wherein JingJing agreed to pay royalties based upon sales. JingJing falsified records and underreported sales. The plaintiff's continuation under the contract until it discovered the fraud constituted an act of reliance within the law of deceit (</w:t>
      </w:r>
      <w:r>
        <w:rPr>
          <w:rFonts w:ascii="arial" w:eastAsia="arial" w:hAnsi="arial" w:cs="arial"/>
          <w:i/>
          <w:color w:val="000000"/>
          <w:sz w:val="20"/>
          <w:lang w:val="en-US" w:eastAsia="en-US" w:bidi="ar-SA"/>
        </w:rPr>
        <w:t>XY</w:t>
      </w:r>
      <w:r>
        <w:rPr>
          <w:rFonts w:ascii="arial" w:eastAsia="arial" w:hAnsi="arial" w:cs="arial"/>
          <w:color w:val="000000"/>
          <w:sz w:val="20"/>
          <w:lang w:val="en-US" w:eastAsia="en-US" w:bidi="ar-SA"/>
        </w:rPr>
        <w:t xml:space="preserve"> at paras. 39-41).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issue of reliance was also in question in </w:t>
      </w:r>
      <w:r>
        <w:rPr>
          <w:rFonts w:ascii="arial" w:eastAsia="arial" w:hAnsi="arial" w:cs="arial"/>
          <w:i/>
          <w:color w:val="000000"/>
          <w:sz w:val="20"/>
          <w:lang w:val="en-US" w:eastAsia="en-US" w:bidi="ar-SA"/>
        </w:rPr>
        <w:t>Roy v. Kretschmer</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2014 BCCA 429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xml:space="preserve">) because the false representation occurred during performance of the contract. In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xml:space="preserve">, a real estate developer sold a lot to the plaintiffs without informing them of a registered certificate of pending litigation on the property. He then lied and told the plaintiffs that they could not build on the property until a subdivision plan was approved, when the real cause of the delay was the pending litigation. Chiasson J.A. applied </w:t>
      </w:r>
      <w:r>
        <w:rPr>
          <w:rFonts w:ascii="arial" w:eastAsia="arial" w:hAnsi="arial" w:cs="arial"/>
          <w:i/>
          <w:color w:val="000000"/>
          <w:sz w:val="20"/>
          <w:lang w:val="en-US" w:eastAsia="en-US" w:bidi="ar-SA"/>
        </w:rPr>
        <w:t>XY</w:t>
      </w:r>
      <w:r>
        <w:rPr>
          <w:rFonts w:ascii="arial" w:eastAsia="arial" w:hAnsi="arial" w:cs="arial"/>
          <w:color w:val="000000"/>
          <w:sz w:val="20"/>
          <w:lang w:val="en-US" w:eastAsia="en-US" w:bidi="ar-SA"/>
        </w:rPr>
        <w:t xml:space="preserve"> as follows at para. 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Although detriment was not addressed specifically in this appeal, it might be characterized as an aspect of reliance. In </w:t>
      </w:r>
      <w:r>
        <w:rPr>
          <w:rFonts w:ascii="arial" w:eastAsia="arial" w:hAnsi="arial" w:cs="arial"/>
          <w:i/>
          <w:color w:val="000000"/>
          <w:sz w:val="20"/>
          <w:lang w:val="en-US" w:eastAsia="en-US" w:bidi="ar-SA"/>
        </w:rPr>
        <w:t>XY, LLC v. Zhu</w:t>
      </w:r>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shd w:val="clear" w:color="auto" w:fill="FFFFFF"/>
            <w:lang w:val="en-US" w:eastAsia="en-US" w:bidi="ar-SA"/>
          </w:rPr>
          <w:t>2013 BCCA 352</w:t>
        </w:r>
      </w:hyperlink>
      <w:r>
        <w:rPr>
          <w:rFonts w:ascii="arial" w:eastAsia="arial" w:hAnsi="arial" w:cs="arial"/>
          <w:color w:val="000000"/>
          <w:sz w:val="20"/>
          <w:lang w:val="en-US" w:eastAsia="en-US" w:bidi="ar-SA"/>
        </w:rPr>
        <w:t xml:space="preserve">, this Court considered whether carrying on under a contract until the discovery of fraud may constitute reliance and concluded that acceptance of payments under the contract on the basis of false reports was reliance for the purposes of the tort of deceit (at paras. 39 and 41). The Court also referred to </w:t>
      </w:r>
      <w:r>
        <w:rPr>
          <w:rFonts w:ascii="arial" w:eastAsia="arial" w:hAnsi="arial" w:cs="arial"/>
          <w:i/>
          <w:color w:val="000000"/>
          <w:sz w:val="20"/>
          <w:lang w:val="en-US" w:eastAsia="en-US" w:bidi="ar-SA"/>
        </w:rPr>
        <w:t>Firbank's Executors v. Humphreys</w:t>
      </w:r>
      <w:r>
        <w:rPr>
          <w:rFonts w:ascii="arial" w:eastAsia="arial" w:hAnsi="arial" w:cs="arial"/>
          <w:color w:val="000000"/>
          <w:sz w:val="20"/>
          <w:lang w:val="en-US" w:eastAsia="en-US" w:bidi="ar-SA"/>
        </w:rPr>
        <w:t xml:space="preserve"> (1886), 18 Q.B.D. 54 (C.A.), as an example of reliance through forbearance. In the present case, the respondents accepted the continuing representations of Mr. Kretschmer that there were problems with subdivision approval and did not seek to exercise their legal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concluded at para. 62 that the plaintiffs were entitled to be put in the position that they would have been in had there been no deceit.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An important result from </w:t>
      </w:r>
      <w:r>
        <w:rPr>
          <w:rFonts w:ascii="arial" w:eastAsia="arial" w:hAnsi="arial" w:cs="arial"/>
          <w:i/>
          <w:color w:val="000000"/>
          <w:sz w:val="20"/>
          <w:lang w:val="en-US" w:eastAsia="en-US" w:bidi="ar-SA"/>
        </w:rPr>
        <w:t>XY</w:t>
      </w:r>
      <w:r>
        <w:rPr>
          <w:rFonts w:ascii="arial" w:eastAsia="arial" w:hAnsi="arial" w:cs="arial"/>
          <w:color w:val="000000"/>
          <w:sz w:val="20"/>
          <w:lang w:val="en-US" w:eastAsia="en-US" w:bidi="ar-SA"/>
        </w:rPr>
        <w:t xml:space="preserve"> for consideration here is that the personal defendants were held personally liable for their tortious conduct and were not shielded by having committed such conduct in the course of their employment. After a thorough review of the case authorities at paras. 58-72, Newbury J.A. concluded at para. 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[73] ...it appears to be the law in Canada that as long as tortious conduct on the part of an employee or agent of a corporation (or any other employer) is properly pleaded and proven as an "independent" tort by the employee or agent, the wrongdoer can be held personally liable notwithstanding that he or she may have been acting in the best interests of (and at the behest of) the employer or principal. I see no reason in principle or policy why such liability should be restricted to cases involving physical damage (as </w:t>
      </w:r>
      <w:r>
        <w:rPr>
          <w:rFonts w:ascii="arial" w:eastAsia="arial" w:hAnsi="arial" w:cs="arial"/>
          <w:i/>
          <w:color w:val="000000"/>
          <w:sz w:val="20"/>
          <w:lang w:val="en-US" w:eastAsia="en-US" w:bidi="ar-SA"/>
        </w:rPr>
        <w:t>Said v. Butt</w:t>
      </w:r>
      <w:r>
        <w:rPr>
          <w:rFonts w:ascii="arial" w:eastAsia="arial" w:hAnsi="arial" w:cs="arial"/>
          <w:color w:val="000000"/>
          <w:sz w:val="20"/>
          <w:lang w:val="en-US" w:eastAsia="en-US" w:bidi="ar-SA"/>
        </w:rPr>
        <w:t xml:space="preserve"> may have suggested in 1920), or to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referred to in </w:t>
      </w:r>
      <w:r>
        <w:rPr>
          <w:rFonts w:ascii="arial" w:eastAsia="arial" w:hAnsi="arial" w:cs="arial"/>
          <w:i/>
          <w:color w:val="000000"/>
          <w:sz w:val="20"/>
          <w:lang w:val="en-US" w:eastAsia="en-US" w:bidi="ar-SA"/>
        </w:rPr>
        <w:t>London Drugs, Hildebrand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xml:space="preserve">) Certainly the Ontario Court of Appeal did not so restrict it in </w:t>
      </w:r>
      <w:r>
        <w:rPr>
          <w:rFonts w:ascii="arial" w:eastAsia="arial" w:hAnsi="arial" w:cs="arial"/>
          <w:i/>
          <w:color w:val="000000"/>
          <w:sz w:val="20"/>
          <w:lang w:val="en-US" w:eastAsia="en-US" w:bidi="ar-SA"/>
        </w:rPr>
        <w:t>ADGA.</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Hogarth v. Rocky Mountain Slate Inc.</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2013 ABCA 57</w:t>
        </w:r>
      </w:hyperlink>
      <w:r>
        <w:rPr>
          <w:rFonts w:ascii="arial" w:eastAsia="arial" w:hAnsi="arial" w:cs="arial"/>
          <w:color w:val="000000"/>
          <w:sz w:val="20"/>
          <w:lang w:val="en-US" w:eastAsia="en-US" w:bidi="ar-SA"/>
        </w:rPr>
        <w:t xml:space="preserve"> at para. 103; </w:t>
      </w:r>
      <w:r>
        <w:rPr>
          <w:rFonts w:ascii="arial" w:eastAsia="arial" w:hAnsi="arial" w:cs="arial"/>
          <w:i/>
          <w:color w:val="000000"/>
          <w:sz w:val="20"/>
          <w:lang w:val="en-US" w:eastAsia="en-US" w:bidi="ar-SA"/>
        </w:rPr>
        <w:t>Schembri v. Way</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2012 ONCA 620</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Correia v. Canac Kitchens</w:t>
      </w: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2008 ONCA 506</w:t>
        </w:r>
      </w:hyperlink>
      <w:r>
        <w:rPr>
          <w:rFonts w:ascii="arial" w:eastAsia="arial" w:hAnsi="arial" w:cs="arial"/>
          <w:color w:val="000000"/>
          <w:sz w:val="20"/>
          <w:lang w:val="en-US" w:eastAsia="en-US" w:bidi="ar-SA"/>
        </w:rPr>
        <w:t xml:space="preserve"> at paras. 86-8; and </w:t>
      </w:r>
      <w:r>
        <w:rPr>
          <w:rFonts w:ascii="arial" w:eastAsia="arial" w:hAnsi="arial" w:cs="arial"/>
          <w:i/>
          <w:color w:val="000000"/>
          <w:sz w:val="20"/>
          <w:lang w:val="en-US" w:eastAsia="en-US" w:bidi="ar-SA"/>
        </w:rPr>
        <w:t>Unisys Canada Inc. v. York Three Associates Inc.</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(2001) 150 O.A.C. 49</w:t>
        </w:r>
      </w:hyperlink>
      <w:r>
        <w:rPr>
          <w:rFonts w:ascii="arial" w:eastAsia="arial" w:hAnsi="arial" w:cs="arial"/>
          <w:color w:val="000000"/>
          <w:sz w:val="20"/>
          <w:lang w:val="en-US" w:eastAsia="en-US" w:bidi="ar-SA"/>
        </w:rPr>
        <w:t xml:space="preserve"> (Ont. C.A.)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claim of deceit was available to the plaintiff against the personal defendants notwithstanding that they were employees acting in the course of their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Here, Ross falsely represented that there had been a complaint from the City of Chilliwack concerning a crew member of Fisher's smoking marihuana on the job. He then also falsely represented that G&amp;D was about to implement random drug testing and that anyone who failed the test would be fired. He then falsely represented that Fisher had resigned as manager as a result of this information or that he had been terminated for cause. Ross clearly knew that this information was false but made the continuing representations with the expectation that Fisher would act, so to trigger the non-payment of purchase price clause 1.3.5. Fisher's actions in accepting that he was no longer manager of the Langley operations and in returning equipment in furtherance of the asset purchase agreement was in reliance upon these false representations. Fisher relied on this state of affairs when he gave in his credit cards and no longer showed up for work and when he returned the equipment in reliance on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Both G&amp;D and Ross are jointly liable for this deceit (</w:t>
      </w:r>
      <w:r>
        <w:rPr>
          <w:rFonts w:ascii="arial" w:eastAsia="arial" w:hAnsi="arial" w:cs="arial"/>
          <w:i/>
          <w:color w:val="000000"/>
          <w:sz w:val="20"/>
          <w:lang w:val="en-US" w:eastAsia="en-US" w:bidi="ar-SA"/>
        </w:rPr>
        <w:t>XY</w:t>
      </w:r>
      <w:r>
        <w:rPr>
          <w:rFonts w:ascii="arial" w:eastAsia="arial" w:hAnsi="arial" w:cs="arial"/>
          <w:color w:val="000000"/>
          <w:sz w:val="20"/>
          <w:lang w:val="en-US" w:eastAsia="en-US" w:bidi="ar-SA"/>
        </w:rPr>
        <w:t xml:space="preserve"> at para. 42). As in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xml:space="preserve"> both True Colors and Fisher are entitled to be put in the same position that they would have been in had the deceit not occurred. This is the same measure of damages as for breach of contract above. Therefore, True Colors is entitled to damages in the amount of $281,527.42 jointly from both 0846747 B.C. Ltd. and Glenn Ross for the tort of deceit. However, this amount is only recoverable once, either from G&amp;D or from Ross. Fisher is entitled to damages in the amount of $46,954.35 jointly from both 0846747 B.C. Ltd. and Glenn Ross. This amount is also only recoverable once, either from G&amp;D or from Ross.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plaintiffs' action for fraudulent misrepresentation is alleged in paragraph 12 of the Notice of Civil Claim. It alleges that, prior to entering into the asset purchase agreement, Ross, on his own behalf and on behalf of G&amp;D, made assurances to Fisher that the agreement was fair and equitable, that Ross would not do anything or engage in any conduct that would harm Fisher's interests, and that the defendant would not deprive the plaintiffs of the benefit of the agreement. In evidence, the basis for this allegation was the exchange between Ross and Fisher on April 2, 2012 as described above at paragraph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my view, the colloquial exchange between Fisher and Ross on April 2 was not sufficient to establish the representation as alleged. It could be assumed as a matter of contractual principle that True Colors and Fisher could expect that the contract would be performed honestly and reasonably (</w:t>
      </w:r>
      <w:r>
        <w:rPr>
          <w:rFonts w:ascii="arial" w:eastAsia="arial" w:hAnsi="arial" w:cs="arial"/>
          <w:i/>
          <w:color w:val="000000"/>
          <w:sz w:val="20"/>
          <w:lang w:val="en-US" w:eastAsia="en-US" w:bidi="ar-SA"/>
        </w:rPr>
        <w:t>Bhasin v. Hrynew,</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2014 SCC 71</w:t>
        </w:r>
      </w:hyperlink>
      <w:r>
        <w:rPr>
          <w:rFonts w:ascii="arial" w:eastAsia="arial" w:hAnsi="arial" w:cs="arial"/>
          <w:color w:val="000000"/>
          <w:sz w:val="20"/>
          <w:lang w:val="en-US" w:eastAsia="en-US" w:bidi="ar-SA"/>
        </w:rPr>
        <w:t>). The appropriate contractual regard that G&amp;D should have for True Colors' and Fisher's interests was not extended by the slang remarks between them and added nothing beyond contractual duties, the breach of which has already been dealt with above.</w:t>
      </w:r>
      <w:r>
        <w:rPr>
          <w:rFonts w:ascii="arial" w:eastAsia="arial" w:hAnsi="arial" w:cs="arial"/>
          <w:sz w:val="20"/>
          <w:lang w:val="en-US" w:eastAsia="en-US" w:bidi="ar-SA"/>
        </w:rPr>
        <w:cr/>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Wrongful Termination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matter of the wrongful termination of Fisher's employment relationship has been dealt with as breach of contract and need not be re-addressed here.</w:t>
      </w:r>
      <w:r>
        <w:rPr>
          <w:rFonts w:ascii="arial" w:eastAsia="arial" w:hAnsi="arial" w:cs="arial"/>
          <w:sz w:val="20"/>
          <w:lang w:val="en-US" w:eastAsia="en-US" w:bidi="ar-SA"/>
        </w:rPr>
        <w:cr/>
      </w:r>
    </w:p>
    <w:p>
      <w:pPr>
        <w:numPr>
          <w:numId w:val="1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plaintiffs have claimed punitive damages for the deliberate deceit and breach of contract and for the manner of Fisher's dismissal from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Nishina v. Azuma Foods (Canada) Co., Ltd.</w:t>
      </w:r>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2010 BCSC 502</w:t>
        </w:r>
      </w:hyperlink>
      <w:r>
        <w:rPr>
          <w:rFonts w:ascii="arial" w:eastAsia="arial" w:hAnsi="arial" w:cs="arial"/>
          <w:color w:val="000000"/>
          <w:sz w:val="20"/>
          <w:lang w:val="en-US" w:eastAsia="en-US" w:bidi="ar-SA"/>
        </w:rPr>
        <w:t xml:space="preserve"> at para. 268, punitive damages are restricted to advertent wrongful acts that are deserving of punishment on their own. Punitive damages must be a rational response to the misconduct at issue and proportionate to the defendant's blameworthiness, the plaintiff's vulnerability, the harm caused, and the need for deterrence.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this case, G&amp;D through Ross falsely set up the employment termination clause so to avoid payment of the purchase price under the asset purchase agreement. However, the defendant also sued under the agreement and secured the return of the equipment that it had not paid for and then promptly sold it at a profit and wrongfully never paid the purchase price. The plaintiff was known to be vulnerable as Fisher had entered into the agreement without legal advice and True Colors was essentially selling its business. In all of these circumstances, an award of punitive damages to True Colors in the amount of $20,000 against the numbered company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True Colors, is entitled to damages against both defendants in the amount of $281,527.42. True Colors is also entitled to punitive damages against 0846747 B.C. Ltd. in the amount of $20,000. The plaintiff, Fisher, is entitled to damages as against both defendants in the amount of $46,954.35.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plaintiffs are entitled to costs throughout on the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J.R. DILLON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8" style="position:absolute;z-index:251763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09" w:history="1">
        <w:r>
          <w:rPr>
            <w:rFonts w:ascii="arial" w:eastAsia="arial" w:hAnsi="arial" w:cs="arial"/>
            <w:b/>
            <w:bCs/>
            <w:i/>
            <w:color w:val="0077CC"/>
            <w:kern w:val="32"/>
            <w:sz w:val="28"/>
            <w:szCs w:val="32"/>
            <w:u w:val="single"/>
            <w:shd w:val="clear" w:color="auto" w:fill="FFFFFF"/>
            <w:lang w:val="en-US" w:eastAsia="en-US" w:bidi="ar-SA"/>
          </w:rPr>
          <w:t>UA Full-Time Salaried Officers v. UA of Journeymen and Apprentices of the Plumbing and Pipe Fitting Industry, [2019] B.C.J. No. 2514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 Fitzpatrick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3,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December 3,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S1610073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2514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2248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Board of Trustees of the United Association Full-Time Salaried Officers and Employees of Local Unions, District Councils, State and Provincial Associations Pension Plan and United Association of Journeymen and Apprentices of the Plumbing and Pipe Fitting Industry of the United States and Canada, AFL-CIO, Plaintiffs, and United Association of Journeymen and Apprentices of the Plumbing and PipeFitting Industry of the United States and Canada, Local 170,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 paras.)</w:t>
      </w:r>
    </w:p>
    <w:p>
      <w:pPr>
        <w:jc w:val="both"/>
        <w:rPr>
          <w:rFonts w:ascii="arial" w:eastAsia="arial" w:hAnsi="arial" w:cs="arial"/>
          <w:sz w:val="20"/>
          <w:lang w:val="en-US" w:eastAsia="en-US" w:bidi="ar-SA"/>
        </w:rPr>
      </w:pPr>
      <w:bookmarkStart w:id="117" w:name="Counsel_25"/>
      <w:bookmarkEnd w:id="1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9"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P.R. Shklanka.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D.M. Aaron.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8" w:name="Judgment_25"/>
      <w:bookmarkEnd w:id="118"/>
      <w:r>
        <w:pict>
          <v:line id="_x0000_s1120" style="position:absolute;z-index:2517288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9" w:name="S.C. FITZPATRICK J. (orally)"/>
            <w:bookmarkEnd w:id="119"/>
            <w:r>
              <w:rPr>
                <w:rFonts w:ascii="arial" w:eastAsia="arial" w:hAnsi="arial" w:cs="arial"/>
                <w:b/>
                <w:color w:val="000000"/>
                <w:sz w:val="30"/>
                <w:lang w:val="en-US" w:eastAsia="en-US" w:bidi="ar-SA"/>
              </w:rPr>
              <w:t>S.C. FITZPATRICK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United Association of Journeymen and Apprentices of the Plumbing and Pipe Fitting Industry of the United States and Canada, Local 170 ("Local 170"), seeks various relief against the plaintiff, Board of Trustees of the United Association Full-Time Salaried Officers and Employees of Local Unions, District Councils, State and Provincial Associations Pension Plan (the "Pension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other plaintiff is United Association of Journeymen and Apprentices of the Plumbing and Pipe Fitting Industry of the United States and Canada, AFL-CIO ("UA International").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Local 170 seeks the following orders, which are opposed by the Pension Plan and UA International:</w:t>
      </w:r>
      <w:r>
        <w:rPr>
          <w:rFonts w:ascii="arial" w:eastAsia="arial" w:hAnsi="arial" w:cs="arial"/>
          <w:sz w:val="20"/>
          <w:lang w:val="en-US" w:eastAsia="en-US" w:bidi="ar-SA"/>
        </w:rPr>
        <w:cr/>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declaration that it is entitled to conduct an examination for discovery of a representative of the Pension Plan pursuant to Rule 7-2(1)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or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an order granting leave to Local 170 to conduct an examination for discovery of that representative of the Pension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UA International is an international trade union. Local 170 is a part of UA International. The Pension Plan administers the "Pension Plan Fund", as defined in the Claim, presumably at the behest of UA International. Each of the plaintiffs is governed by different means: UA International is governed by a president/treasurer and general executive board; the Pension Plan is governed by a board of trustees pursuant to a declaration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have reviewed the pleadings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This action began with the filing of a notice of civil claim on October 31, 2016 (the "Claim") and can be summarized quite simply. The Pension Plan and UA International allege that, pursuant to the UA International constitution and the Pension Plan Fund documentation, Local 170 was required to remit contributions to a pension fund for "organizers" employed by Local 170. The plaintiffs also rely on Ontario and British Columbia pension legislation. The plaintiffs allege that Local 170 failed to make these required contributions. They seek damages for breach of contract, breach of trust, unjust enrichment,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conversion for $349,030.27, various declarations, an accounting and interlocutory and permanent injunctions.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Local 170 filed a response to the Claim in February 2017. The response does not materially question the existence of the relevant documentation, as pled by the plaintiffs. Local 170 pleads, in partial response to the Claim, that the plaintiffs are estopped from asserting any right to have the contributions made. In addition, Local 170 filed a counterclaim against the plaintiffs claiming negligent misrepresentation on the part of the plaintiffs so as to negate the presumptive obligation to contribute the amounts to the Pension Plan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estoppel defence and misrepresentation claims are advanced based on circumstances some years ago, by which Local 170 says that it had the discretion whether such contributions were required to be made to the Pension Plan Fund. Local 170 relies principally on two allegations:</w:t>
      </w:r>
      <w:r>
        <w:rPr>
          <w:rFonts w:ascii="arial" w:eastAsia="arial" w:hAnsi="arial" w:cs="arial"/>
          <w:sz w:val="20"/>
          <w:lang w:val="en-US" w:eastAsia="en-US" w:bidi="ar-SA"/>
        </w:rPr>
        <w:cr/>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in 2002 and 2003, UA International communicated to Local 170 by letter that it was within the discretion of Local 170 as to whether to enroll organizers in the Pension Plan Fund (defined as the "UA Representation"). Unfortunately, neither party has located any such letter in their possession;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Local 170 alleges that it relied on what it defines as the "UA Reiteration", namely an email dated December 22, 2011 from UA International.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May 2019, Local 170 examined Michel Grenier, a representative of UA International. Mr. Grenier is the former Canadian director of UA International.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first issue that arises is whether there is a commonality of interest as between the plaintiffs to limit Local 170's right to examine a representative for each plaintiff under Rule 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Both counsel refer to </w:t>
      </w:r>
      <w:r>
        <w:rPr>
          <w:rFonts w:ascii="arial" w:eastAsia="arial" w:hAnsi="arial" w:cs="arial"/>
          <w:i/>
          <w:color w:val="000000"/>
          <w:sz w:val="20"/>
          <w:lang w:val="en-US" w:eastAsia="en-US" w:bidi="ar-SA"/>
        </w:rPr>
        <w:t>Soprema Inc. v. Wolrige Mahon LLP</w:t>
      </w:r>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2014 BCCA 366</w:t>
        </w:r>
      </w:hyperlink>
      <w:r>
        <w:rPr>
          <w:rFonts w:ascii="arial" w:eastAsia="arial" w:hAnsi="arial" w:cs="arial"/>
          <w:color w:val="000000"/>
          <w:sz w:val="20"/>
          <w:lang w:val="en-US" w:eastAsia="en-US" w:bidi="ar-SA"/>
        </w:rPr>
        <w:t xml:space="preserve"> at, particularly, paras. 19-25. Justice Garson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Similarly here, although there are no previous cases applying </w:t>
      </w:r>
      <w:r>
        <w:rPr>
          <w:rFonts w:ascii="arial" w:eastAsia="arial" w:hAnsi="arial" w:cs="arial"/>
          <w:i/>
          <w:color w:val="000000"/>
          <w:sz w:val="20"/>
          <w:lang w:val="en-US" w:eastAsia="en-US" w:bidi="ar-SA"/>
        </w:rPr>
        <w:t>Nesbitt</w:t>
      </w:r>
      <w:r>
        <w:rPr>
          <w:rFonts w:ascii="arial" w:eastAsia="arial" w:hAnsi="arial" w:cs="arial"/>
          <w:color w:val="000000"/>
          <w:sz w:val="20"/>
          <w:lang w:val="en-US" w:eastAsia="en-US" w:bidi="ar-SA"/>
        </w:rPr>
        <w:t xml:space="preserve"> in this precise context--a single defendant asserting a right to examine separate representatives from each plaintiff--there are numerous cases holding that, </w:t>
      </w:r>
      <w:r>
        <w:rPr>
          <w:rFonts w:ascii="arial" w:eastAsia="arial" w:hAnsi="arial" w:cs="arial"/>
          <w:color w:val="000000"/>
          <w:sz w:val="20"/>
          <w:u w:val="single"/>
          <w:lang w:val="en-US" w:eastAsia="en-US" w:bidi="ar-SA"/>
        </w:rPr>
        <w:t>where there is commonality of interest among either co-plaintiffs or co-defendants, multiple examinations for discovery of or by them will not be permitted without leave</w:t>
      </w:r>
      <w:r>
        <w:rPr>
          <w:rFonts w:ascii="arial" w:eastAsia="arial" w:hAnsi="arial" w:cs="arial"/>
          <w:color w:val="000000"/>
          <w:sz w:val="20"/>
          <w:lang w:val="en-US" w:eastAsia="en-US" w:bidi="ar-SA"/>
        </w:rPr>
        <w:t>. I do not think there is much merit to Wolrige Mahon's argument that co-plaintiffs should be subject to multiple examinations at the request of a single defendant as of right, even when there is a commonality of interest. That argument seems to me to run counter to the principled interpretation of r. 7-2(5) (and its predecessor rule) that runs through the cases I have referred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plaintiffs' counsel has also referred to earlier authorities that have applied the same principle of determining whether there is a commonality of interest: see </w:t>
      </w:r>
      <w:r>
        <w:rPr>
          <w:rFonts w:ascii="arial" w:eastAsia="arial" w:hAnsi="arial" w:cs="arial"/>
          <w:i/>
          <w:color w:val="000000"/>
          <w:sz w:val="20"/>
          <w:lang w:val="en-US" w:eastAsia="en-US" w:bidi="ar-SA"/>
        </w:rPr>
        <w:t>Blue Line Hockey Acquisition Co. v. Orca Bay Hockey Ltd. Partnership</w:t>
      </w:r>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2007 BCSC 443</w:t>
        </w:r>
      </w:hyperlink>
      <w:r>
        <w:rPr>
          <w:rFonts w:ascii="arial" w:eastAsia="arial" w:hAnsi="arial" w:cs="arial"/>
          <w:color w:val="000000"/>
          <w:sz w:val="20"/>
          <w:lang w:val="en-US" w:eastAsia="en-US" w:bidi="ar-SA"/>
        </w:rPr>
        <w:t xml:space="preserve"> at paras. 37-39; </w:t>
      </w:r>
      <w:r>
        <w:rPr>
          <w:rFonts w:ascii="arial" w:eastAsia="arial" w:hAnsi="arial" w:cs="arial"/>
          <w:i/>
          <w:color w:val="000000"/>
          <w:sz w:val="20"/>
          <w:lang w:val="en-US" w:eastAsia="en-US" w:bidi="ar-SA"/>
        </w:rPr>
        <w:t>Procon Mining &amp; Tunnelling Ltd. v. McNeil</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2009 BCSC 1401</w:t>
        </w:r>
      </w:hyperlink>
      <w:r>
        <w:rPr>
          <w:rFonts w:ascii="arial" w:eastAsia="arial" w:hAnsi="arial" w:cs="arial"/>
          <w:color w:val="000000"/>
          <w:sz w:val="20"/>
          <w:lang w:val="en-US" w:eastAsia="en-US" w:bidi="ar-SA"/>
        </w:rPr>
        <w:t xml:space="preserve"> at paras. 69-71; and </w:t>
      </w:r>
      <w:r>
        <w:rPr>
          <w:rFonts w:ascii="arial" w:eastAsia="arial" w:hAnsi="arial" w:cs="arial"/>
          <w:i/>
          <w:color w:val="000000"/>
          <w:sz w:val="20"/>
          <w:lang w:val="en-US" w:eastAsia="en-US" w:bidi="ar-SA"/>
        </w:rPr>
        <w:t>Dann v. Dhaliwal</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2012 BCSC 1817</w:t>
        </w:r>
      </w:hyperlink>
      <w:r>
        <w:rPr>
          <w:rFonts w:ascii="arial" w:eastAsia="arial" w:hAnsi="arial" w:cs="arial"/>
          <w:color w:val="000000"/>
          <w:sz w:val="20"/>
          <w:lang w:val="en-US" w:eastAsia="en-US" w:bidi="ar-SA"/>
        </w:rPr>
        <w:t xml:space="preserve"> at paras. 24-25.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 determination of the commonality issue is based on a number of factors, but principally based on the pleadings. Having considered the pleadings filed, I conclude that there is a commonality of interest as between the plaintiffs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acknowledge that the plaintiffs are separate entities that are governed separately. Having said that, I readily conclude that they are advancing essentially the same cause of action against Local 170, based on the document and legislation to which I have already referred. That is, of course, not the determinative consideration in terms of the pleadings since Local 170 has filed a response. However, Local 170's response, particularly as to its estoppel and negligent misrepresentation arguments, is advanced against both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my view, this commonality of interest as between the plaintiffs is such that Local 170 does not have the right to examine two separate representatives from each plaintiff for discovery under Rule 7-2, without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second issue arises from Local 170's alternate argument, namely that this Court to exercise its discretion under Rule 7-2(5)(c)(ii) to allow Local 170 to examine a representative of the Pension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Local 170's notice of application indicated that it wished to examine a representative of the Pension Plan, without naming any particular representative. However, Mr. Aaron, during the hearing, indicated that his client wishes to examine Marsha Pugh.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Pugh is a former employee of the Pension Plan. Local 170's counsel has referred me to various emails in which Ms. Pugh was involved in both 2002 and 2012. In those emails or documents, there are various references to the question as to whether organizers are covered under the Pension Plan Fund. In her January 6, 2012 email, Ms. Pugh writes "Organizers were discussed at length at a board of trustees meeting some years ago". In the email, Ms. Pugh also refers to Mr. Maddaloni, then the president of UA International, "wanted to figure out a way not to cover organizers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Aaron indicates that he wishes to examine Ms. Pugh with respect to a number of matters, which I would summarize as follows: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discussion in 2002, when she was the administrator of the Pension Plan, regarding amending the UA International's constitution to exclude organizers from the Pension Plan;</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or absence of a meeting of the trustees of the Pension Plan where organizers were discussed "some years ago", as of 2012;</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desire of Mr. Maddaloni to exclude organizers from the Pension Plan;</w:t>
      </w:r>
    </w:p>
    <w:p>
      <w:pPr>
        <w:numPr>
          <w:numId w:val="8"/>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letter from UA International (i.e., the "UA Representation", which has not been found;</w:t>
      </w:r>
    </w:p>
    <w:p>
      <w:pPr>
        <w:numPr>
          <w:numId w:val="9"/>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participation agreement or, if there is no participation agreement, why there is no participation agreement between the Pension Plan and Local 170; and</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involvement on the part of Ms. Pugh with respect to the "UA Reiteration".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stated, Local 170 examined Mr. Grenier for discovery some months ago in May 2019. The condensed transcript of that examination for discovery is in evidence. Mr. Aaron, on behalf of Local 170, has taken me to various portions of that transcript, specifically pp. 11, 17, 36 and 69-72. In substance, Mr. Grenier professed to have no knowledge of certain matters, such as amending the Pension Plan and excluding organizers from it. In addition, he also professed to have no knowledge of certain documentation put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Counsel have referred to the various requests for further documentation arising from Mr. Grenier's examination for discovery. I have reviewed the various responses and correspondence between the parties concerning those requests. In particular, on June 5, 2019, plaintiffs' counsel responded to those requests.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Aaron argues that Mr. Grenier's professed lack of knowledge concerning the subject matter of certain questions posed to him gives rise to the obvious conclusion that he is not the person to be examined with respect to those matters. He refers specifically to the fact that the plaintiffs did produce further documents. He also points to the June 5, 2019 letter which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search ongoing regarding the request for Minutes of UA Trustee meetings where "organizers" were discussed back to 2001. We will advise if anything arises from that search as any information becomes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Shklanka, plaintiffs' counsel, confirmed during his submissions that his client has completed this search. He also advised that nothing arose as a result of that 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This issue must be considered in light of the well-known authorities. In </w:t>
      </w:r>
      <w:r>
        <w:rPr>
          <w:rFonts w:ascii="arial" w:eastAsia="arial" w:hAnsi="arial" w:cs="arial"/>
          <w:i/>
          <w:color w:val="000000"/>
          <w:sz w:val="20"/>
          <w:lang w:val="en-US" w:eastAsia="en-US" w:bidi="ar-SA"/>
        </w:rPr>
        <w:t>Lord v. Royal Columbian Hospital</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[1981] B.C.J. 1000</w:t>
        </w:r>
      </w:hyperlink>
      <w:r>
        <w:rPr>
          <w:rFonts w:ascii="arial" w:eastAsia="arial" w:hAnsi="arial" w:cs="arial"/>
          <w:color w:val="000000"/>
          <w:sz w:val="20"/>
          <w:lang w:val="en-US" w:eastAsia="en-US" w:bidi="ar-SA"/>
        </w:rPr>
        <w:t xml:space="preserve"> (S.C.). Justice Hinkson, as he then was, stated the test quite simply: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Rather, it is for counsel applying for an additional examination to satisfy the judge in Chambers that the witness being examined for discovery on behalf of the adverse party cannot satisfactorily inform himself or herself about the subject of the examination for discovery. In those circumstances the Chambers judge has a discretion to order the discovery of an additional person.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onus to justify an additional discovery lies on the person asserting it, in this case Local 170.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Having considered all the circumstances concerning the examination of Mr. Grenier, and the later communications between the parties, I am unable to conclude that he has indicated an unwillingness to provide the answers to the questions asked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Mr. Aaron argues that Ms. Pugh may have more personal knowledge than that of Mr. Grenier on these other specific matters. That may by the case with respect to those matters; however, the authorities are clear a party is not entitled to examine every potential adverse witness who might have relevant evidence in the matter: see </w:t>
      </w:r>
      <w:r>
        <w:rPr>
          <w:rFonts w:ascii="arial" w:eastAsia="arial" w:hAnsi="arial" w:cs="arial"/>
          <w:i/>
          <w:color w:val="000000"/>
          <w:sz w:val="20"/>
          <w:lang w:val="en-US" w:eastAsia="en-US" w:bidi="ar-SA"/>
        </w:rPr>
        <w:t>Lord</w:t>
      </w:r>
      <w:r>
        <w:rPr>
          <w:rFonts w:ascii="arial" w:eastAsia="arial" w:hAnsi="arial" w:cs="arial"/>
          <w:color w:val="000000"/>
          <w:sz w:val="20"/>
          <w:lang w:val="en-US" w:eastAsia="en-US" w:bidi="ar-SA"/>
        </w:rPr>
        <w:t xml:space="preserve"> at para. 13; and </w:t>
      </w:r>
      <w:r>
        <w:rPr>
          <w:rFonts w:ascii="arial" w:eastAsia="arial" w:hAnsi="arial" w:cs="arial"/>
          <w:i/>
          <w:color w:val="000000"/>
          <w:sz w:val="20"/>
          <w:lang w:val="en-US" w:eastAsia="en-US" w:bidi="ar-SA"/>
        </w:rPr>
        <w:t>Dann</w:t>
      </w:r>
      <w:r>
        <w:rPr>
          <w:rFonts w:ascii="arial" w:eastAsia="arial" w:hAnsi="arial" w:cs="arial"/>
          <w:color w:val="000000"/>
          <w:sz w:val="20"/>
          <w:lang w:val="en-US" w:eastAsia="en-US" w:bidi="ar-SA"/>
        </w:rPr>
        <w:t xml:space="preserve">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often the case, particularly where there are corporate parties or even those constituted such as the plaintiffs, where the person being examined for discovery will have to obtain answers from other people within the organization. Accordingly, the fact that this other witness has more personal knowledge is not the defining aspect as to whether a further examination may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this case, Local 170's counsel could have asked questions of Mr. Grenier concerning Ms. Pugh and her evidence on the matters in issue. That was not done. As such, it cannot say that Mr. Grenier was unresponsive to any such questions, either by reason of lack of knowledge or unwillingness to seek answers to those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am not satisfied that Local 170 has established, at this time, a basis upon which the Court should exercise its discretion to allow an examination of a representative of the Pension Plan, namely Ms. Pugh. The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wish to make some final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parties' materials indicate that the matter is moving towards a conclusion. There is a trial date scheduled for 14 days in February 2021. That may, and I stress may, be circumvented by the plaintiffs' application for a summary trial that is due to be heard next week, commencing December 9, 2019. I understand that Local 170 has a corresponding application to dismiss the summary trial on the basis that it is inappropriate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My decision on this application is now in hand. In addition, plaintiffs' counsel has now advised Local 170's counsel today of the results of further searches for documentation. Accordingly, it may be the case that Local 170 will have further inquiries to address to Mr. Grenier that may be appropriate. I make absolutely no determination in that respect. However, it occurs to me that the matter of the Mr. Grenier's discovery and the responses to any outstanding requests from that discovery may not be an entirely completed matter at this point. That issue may be relevant at the hearing of the summary trial scheduled for next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am not making any determination as to whether there is any further right of discovery with respect to Mr. Grenier. If appropriate, that matter could be brought forward so that it can be addressed by the judge hearing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[SUBMISSIONS 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COURT: Costs will be in the cause.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 FITZPATRICK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1" style="position:absolute;z-index:251764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Virk v. Brar, [2011] B.C.J. No. 410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E.J. Adair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22,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14,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S093329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410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301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199 A.C.W.S. (3d) 1101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544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Narvinder Singh Virk, Gurinder Kaur Virk, Iqbal Singh Sidhu, Dalvinder Kaur Sidhu and West One Homes Ltd., Plaintiffs, and Rick Brar, Amarpreet Singh Jauhol a.k.a. Amar Jauhol a.k.a. Rick Jauhol, Phil Bain, Jasbinder Singh Gill a.k.a. Jessie S. Gill, Raj Binpal, J. Scott Brodie, DSB Holdings Inc., Sutton Group Realty Services Ltd./Groupe Sutton De Services Immobiliers Ltee dba Sutton Group - West Coast Realty, Binpal &amp; Associates, Cawkell Brodie Glaister LLP, Farm Credit Canada and Prestige Realty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(63 paras.)</w:t>
      </w:r>
    </w:p>
    <w:p>
      <w:pPr>
        <w:jc w:val="both"/>
        <w:rPr>
          <w:rFonts w:ascii="arial" w:eastAsia="arial" w:hAnsi="arial" w:cs="arial"/>
          <w:sz w:val="20"/>
          <w:lang w:val="en-US" w:eastAsia="en-US" w:bidi="ar-SA"/>
        </w:rPr>
      </w:pPr>
      <w:bookmarkStart w:id="120" w:name="Counsel_26"/>
      <w:bookmarkEnd w:id="12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2"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Shane D. Coblin.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Rick Brar, Amarpreet Singh Jauhol aka Amar Jauhol aka Rick Jauhol and DSB Holdings Inc.: Ravi R. Hira,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Phil Bain and West Coast Realty dba Sutton Group - West Coast Realty: Gregory C. Blanchard.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Jasbinder Singh Gill: A.N. Habib.</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1" w:name="Judgment_26"/>
      <w:bookmarkEnd w:id="121"/>
      <w:r>
        <w:pict>
          <v:line id="_x0000_s1123" style="position:absolute;z-index:2517299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2" w:name="E.J. ADAIR J."/>
            <w:bookmarkEnd w:id="122"/>
            <w:r>
              <w:rPr>
                <w:rFonts w:ascii="arial" w:eastAsia="arial" w:hAnsi="arial" w:cs="arial"/>
                <w:b/>
                <w:color w:val="000000"/>
                <w:sz w:val="30"/>
                <w:lang w:val="en-US" w:eastAsia="en-US" w:bidi="ar-SA"/>
              </w:rPr>
              <w:t>E.J. ADAIR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the plaintiffs claim that they are the victims of fraud and conspiracy. They assert that they were induced by fraudulent misrepresentations, allegedly made to them by the defendant Rick Brar and others, to purchase two properties (the "Langley Property" and the "Surrey Property"). The alleged misrepresentations concern the circumstances, ownership and fair market value of those properties. The plaintiffs allege that the purchase price for each property was deliberately inflated beyond the actual fair market value, and that the plaintiffs incurred significant personal liability for the financing used to complete each purchase. The plaintiffs allege that, had they known the truth about the properties, they never would have purchased them and that they have suffered damage as a result of the defendants'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original writ and statement of claim were filed in May 2009, and were amended in June 2009. In April and May 2010, there were ten days of examinations for discovery, which, during the hearing, were described as the "initial round" of discoveries. The case is not yet set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plaintiffs now apply, pursuant to Rule 6-1(1)(b) of the </w:t>
      </w:r>
      <w:r>
        <w:rPr>
          <w:rFonts w:ascii="arial" w:eastAsia="arial" w:hAnsi="arial" w:cs="arial"/>
          <w:b/>
          <w:i/>
          <w:color w:val="000000"/>
          <w:sz w:val="20"/>
          <w:lang w:val="en-US" w:eastAsia="en-US" w:bidi="ar-SA"/>
        </w:rPr>
        <w:t>Supreme Court Civil Rules</w:t>
      </w:r>
      <w:r>
        <w:rPr>
          <w:rFonts w:ascii="arial" w:eastAsia="arial" w:hAnsi="arial" w:cs="arial"/>
          <w:color w:val="000000"/>
          <w:sz w:val="20"/>
          <w:lang w:val="en-US" w:eastAsia="en-US" w:bidi="ar-SA"/>
        </w:rPr>
        <w:t>, for leave to file an amended notice of civil claim. The plaintiffs say that the purpose of the amendments is, generally, to particularize the fraud and conspiracy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application is opposed by the defendants Brar, Jauhol, DSB Holdings Ltd., Bain, West Coast Realty and Gill. These are the defendants primarily affected by the proposed amendments. I will call this group the "Opponents."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basic principles governing the granting of amendments to pleadings are not in dispute. Such amendments should be permitted as are necessary to determine the real question or questions in issue between the parties: see </w:t>
      </w:r>
      <w:r>
        <w:rPr>
          <w:rFonts w:ascii="arial" w:eastAsia="arial" w:hAnsi="arial" w:cs="arial"/>
          <w:b/>
          <w:i/>
          <w:color w:val="000000"/>
          <w:sz w:val="20"/>
          <w:lang w:val="en-US" w:eastAsia="en-US" w:bidi="ar-SA"/>
        </w:rPr>
        <w:t>Victoria Grey Metro Trust Company v. Fort Gary Trust Company</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(1982), 30 B.C.L.R. (2d) 45</w:t>
        </w:r>
      </w:hyperlink>
      <w:r>
        <w:rPr>
          <w:rFonts w:ascii="arial" w:eastAsia="arial" w:hAnsi="arial" w:cs="arial"/>
          <w:color w:val="000000"/>
          <w:sz w:val="20"/>
          <w:lang w:val="en-US" w:eastAsia="en-US" w:bidi="ar-SA"/>
        </w:rPr>
        <w:t xml:space="preserve"> (S.C.), at p.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court will not allow useless amendments, and an application to amend is considered on the same basis as an application to strike a pleading under Rule 9-5: see </w:t>
      </w:r>
      <w:r>
        <w:rPr>
          <w:rFonts w:ascii="arial" w:eastAsia="arial" w:hAnsi="arial" w:cs="arial"/>
          <w:b/>
          <w:i/>
          <w:color w:val="000000"/>
          <w:sz w:val="20"/>
          <w:lang w:val="en-US" w:eastAsia="en-US" w:bidi="ar-SA"/>
        </w:rPr>
        <w:t>Victoria Grey</w:t>
      </w:r>
      <w:r>
        <w:rPr>
          <w:rFonts w:ascii="arial" w:eastAsia="arial" w:hAnsi="arial" w:cs="arial"/>
          <w:color w:val="000000"/>
          <w:sz w:val="20"/>
          <w:lang w:val="en-US" w:eastAsia="en-US" w:bidi="ar-SA"/>
        </w:rPr>
        <w:t xml:space="preserve">, at pp. 46-47; </w:t>
      </w:r>
      <w:r>
        <w:rPr>
          <w:rFonts w:ascii="arial" w:eastAsia="arial" w:hAnsi="arial" w:cs="arial"/>
          <w:b/>
          <w:i/>
          <w:color w:val="000000"/>
          <w:sz w:val="20"/>
          <w:lang w:val="en-US" w:eastAsia="en-US" w:bidi="ar-SA"/>
        </w:rPr>
        <w:t>Shaw Cablesystems Ltd. v. Concord Pacific Group Inc.</w:t>
      </w:r>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2009 BCSC 203</w:t>
        </w:r>
      </w:hyperlink>
      <w:r>
        <w:rPr>
          <w:rFonts w:ascii="arial" w:eastAsia="arial" w:hAnsi="arial" w:cs="arial"/>
          <w:color w:val="000000"/>
          <w:sz w:val="20"/>
          <w:lang w:val="en-US" w:eastAsia="en-US" w:bidi="ar-SA"/>
        </w:rPr>
        <w:t xml:space="preserve"> at para. 8. The court will not give its sanction to amendments which violate the rules that govern pleadings. These include the requirements relating to conciseness and the pleading of material facts (Rule 3-1(2)(a)); that a pleading must not contain the evidence by which the facts alleged in it are to be proved (Rule 3-7(1)); that a party must not plead an allegation of fact inconsistent with the party's previous pleading, although a party is permitted to plead in the alternative (Rule 3-7(6) and (7)); the requirement to provide particulars (Rule 3-7(18)); and the prohibition against pleadings which disclose no reasonable claim or are otherwise scandalous, frivolous or vexatious or embarrassing (Rule 9-5(1)).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Before turning to the proposed amended notice of civil claim, I wish to make some brief observations about the function of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ultimate function of pleadings is to clearly define the issues of fact and law to be determined by the court. The issues must be defined for each cause of action relied upon by the plaintiff. That process is begun by the plaintiff stating, for each cause, the material facts; that is, those facts necessary for the purpose of formulating a complete cause of action. A statement of claim (now a notice of civil claim) must plead the causes of action in the traditional way so that the defendant may know the case it has to meet, to the end that clear issues of fact and law are presented for the court. See </w:t>
      </w:r>
      <w:r>
        <w:rPr>
          <w:rFonts w:ascii="arial" w:eastAsia="arial" w:hAnsi="arial" w:cs="arial"/>
          <w:b/>
          <w:i/>
          <w:color w:val="000000"/>
          <w:sz w:val="20"/>
          <w:lang w:val="en-US" w:eastAsia="en-US" w:bidi="ar-SA"/>
        </w:rPr>
        <w:t>Homalco Indian Band v. British Columbia</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(1998), 25 C.P.C. (4th) 107</w:t>
        </w:r>
      </w:hyperlink>
      <w:r>
        <w:rPr>
          <w:rFonts w:ascii="arial" w:eastAsia="arial" w:hAnsi="arial" w:cs="arial"/>
          <w:color w:val="000000"/>
          <w:sz w:val="20"/>
          <w:lang w:val="en-US" w:eastAsia="en-US" w:bidi="ar-SA"/>
        </w:rPr>
        <w:t xml:space="preserve"> (B.C.S.C.), at paras. 5 - 11. As noted by Madam Justice Southin, when a plaintiff files "a hopelessly inadequate statement of claim, there is nothing upon which the trial judge can concentrate his or her mind": </w:t>
      </w:r>
      <w:r>
        <w:rPr>
          <w:rFonts w:ascii="arial" w:eastAsia="arial" w:hAnsi="arial" w:cs="arial"/>
          <w:b/>
          <w:i/>
          <w:color w:val="000000"/>
          <w:sz w:val="20"/>
          <w:lang w:val="en-US" w:eastAsia="en-US" w:bidi="ar-SA"/>
        </w:rPr>
        <w:t>Cotton v. Wellsby</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(1991), 59 B.C.L.R. (2d) 366</w:t>
        </w:r>
      </w:hyperlink>
      <w:r>
        <w:rPr>
          <w:rFonts w:ascii="arial" w:eastAsia="arial" w:hAnsi="arial" w:cs="arial"/>
          <w:color w:val="000000"/>
          <w:sz w:val="20"/>
          <w:lang w:val="en-US" w:eastAsia="en-US" w:bidi="ar-SA"/>
        </w:rPr>
        <w:t xml:space="preserve"> (C.A.),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Thus, pleadings are intended to define and limit the issues in order to promote fairness, judicial economy and exposition of the truth. The rules governing pleadings exist to support and facilitate that end. Defining and limiting the issues must be done so that the court understands the dispute and the parties have fair notice of the case to be met and the remedies to be sought. Pleadings are important because they are the foundation on which the case rests, and they shape the scope of relevance for both discovery and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this case, Part 1 (the Statement of Facts) of the proposed amended notice of civil claim contains 114 paragraphs. The amendments are found in paras. 38, 40, 67 (new), 68, 71-73 (new), 74 (and subparas. (e) and (f) are new), 75 (new), 80, 81, 84, 85 (and subpara. (c) is new), 86 and 87-98 (all new). A new claim has been added in Part 2 (Relief Sought), in which the individual plaintiffs claim a declaration against the defendant Farm Credit Canada that personal guarantees given to it by the individual plaintiffs are unenforceable. Because the plaintiffs' existing pleadings were filed under the former </w:t>
      </w:r>
      <w:r>
        <w:rPr>
          <w:rFonts w:ascii="arial" w:eastAsia="arial" w:hAnsi="arial" w:cs="arial"/>
          <w:b/>
          <w:i/>
          <w:color w:val="000000"/>
          <w:sz w:val="20"/>
          <w:lang w:val="en-US" w:eastAsia="en-US" w:bidi="ar-SA"/>
        </w:rPr>
        <w:t>Supreme Court Rules</w:t>
      </w:r>
      <w:r>
        <w:rPr>
          <w:rFonts w:ascii="arial" w:eastAsia="arial" w:hAnsi="arial" w:cs="arial"/>
          <w:color w:val="000000"/>
          <w:sz w:val="20"/>
          <w:lang w:val="en-US" w:eastAsia="en-US" w:bidi="ar-SA"/>
        </w:rPr>
        <w:t>, this is the plaintiffs' first notice of civil claim, and "Part 3: Legal Basis" is new. It consists of a single paragraph, para. 115.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causes of action alleged are not novel. As against the Opponents, the plaintiffs allege fraud, fraudulent misrepresentation and conspiracy. There is ample guidance in texts on pleadings and in the case law on how to plead such causes of action, what material facts must be alleged and what particulars must be provided. The proposed amendments relate to those causes of action. However, I am looking at the proposed amendments in the context of a pleading that already has problems, and does not comply with various rules relating to pleadings. Some of those problems directly affect the proposed amendments. Since the court is not to give its sanction to amendments which violate the rules that govern pleadings, I am not disposed to grant amendments that will simply compound existing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problems begin early. The plaintiffs allege (para. 4) that the individuals are each equal shareholders in the plaintiff West One. They allege (para. 17) that West One is the owner of the Langley Property and the Surrey Property. However, the plaintiffs also allege (para. 18) that the "Plaintiffs" acquired those properties, and (para. 36) that "the Plaintiffs" took title to the Langley Property. Thus, the allegations in para. 17 appear on their face to be inconsistent with allegations in paras. 18 and 36, contrary to Rule 3-7(6).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para. 34, the plaintiffs allege that they relied on certain representations in making the decision to purchase the Langley Property. However, in para. 31, the plaintiffs allege that it was West One who "entered into an Agreement of Purchase and Sale" for the Langley Property. The result is that the allegation in para. 34, which implies that all of the plaintiffs are making the purchase, is confusing and appears inconsistent with allegations in paras. 17 and 31. The allegation in para. 42 that the plaintiffs "never would have entered into the Agreement of Purchase and Sale" is also confusing in the light of the allegations in para. 31, and appears inconsistent with those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There is a more general problem: do the individual plaintiffs have a cause of action separate from West One's cause of action, in view of the rule in </w:t>
      </w:r>
      <w:r>
        <w:rPr>
          <w:rFonts w:ascii="arial" w:eastAsia="arial" w:hAnsi="arial" w:cs="arial"/>
          <w:b/>
          <w:i/>
          <w:color w:val="000000"/>
          <w:sz w:val="20"/>
          <w:lang w:val="en-US" w:eastAsia="en-US" w:bidi="ar-SA"/>
        </w:rPr>
        <w:t>Foss v. Harbottle</w:t>
      </w:r>
      <w:r>
        <w:rPr>
          <w:rFonts w:ascii="arial" w:eastAsia="arial" w:hAnsi="arial" w:cs="arial"/>
          <w:color w:val="000000"/>
          <w:sz w:val="20"/>
          <w:lang w:val="en-US" w:eastAsia="en-US" w:bidi="ar-SA"/>
        </w:rPr>
        <w:t xml:space="preserve"> (1843), 67 E.R. 189? I do not think lumping everyone together as "the Plaintiffs" avoids or provides an answer to this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Returning to para. 34, the plaintiffs particularize the representations on which they claim to have relied, by referring to alleged representations in paras. 21, 22, 24-33. However, paras. 26 and 32 do not allege any statement by a defendant to a plaintiff. Rather the plaintiffs allege that (para. 26) "At this time, the Plaintiffs were not aware that Amar Jauhol was actually the person they knew as Rick Jauhol," and that (para. 32) "Bain and Gill, on behalf of FCC, arranged for the financing of the property directly, largely without the Plaintiffs [sic] input." Thus, the plea in para. 34 indicating that all of the paragraphs between 24-33 contain representations by defendants to the plaintiffs is confusing, and appears to be inconsistent with allegations in those paragraphs.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allegations beginning at para. 44 concerning the Surrey Property contain similar problems. In para. 46, the plaintiffs allege that, in or about late January or early February 2006, "Bain, Brar, Mr. Virk and Mr. Sidhu met at an Earls in Langley. At that time Brar and Bain purported to negotiate with the Vendor, over the phone, for the purchase" of a 20-acre lot by Brar. The point of this pleading and the reason why the facts are material are obscure. However, at least two of the plaintiffs are missing from this meeting, and no representations could be made to them at that time. Thus, the allegation in para. 53 that the plaintiffs relied on the representations in paras. 21, 22 and 44-52, "in making the decision to purchase the Surrey Property" is confusing, and appears to be inconsistent with allegations within those paragraphs. Moreover, the allegation (as well as the allegation in para. 60) appears on its face to be inconsistent with the allegation in para. 50 that West One entered into the agreement to purchase the property. (I assume the reference in para. 50 to the "Langley Property" is simply a mistake, and it should say the "Surrey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section headed "Fraud" begins at para. 74, which is one of the paragraphs the plaintiffs seek leave to amend. The plaintiffs allege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shows the proposed amendments):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Between October, 2005 until the sales were completed, Brar, Bain and Jauhol, on their own behalves and on behalf of DSB, intentionally made a number of statements to the Plaintiffs, which they each knew to be false at the time they were made, for the sole purpose of inducing the Plaintiffs to buy the Langley and Surrey Properties </w:t>
      </w:r>
      <w:r>
        <w:rPr>
          <w:rFonts w:ascii="arial" w:eastAsia="arial" w:hAnsi="arial" w:cs="arial"/>
          <w:color w:val="000000"/>
          <w:sz w:val="20"/>
          <w:u w:val="single"/>
          <w:lang w:val="en-US" w:eastAsia="en-US" w:bidi="ar-SA"/>
        </w:rPr>
        <w:t>and to induce the individual Plaintiffs to enter into the Personal Guarantees</w:t>
      </w:r>
      <w:r>
        <w:rPr>
          <w:rFonts w:ascii="arial" w:eastAsia="arial" w:hAnsi="arial" w:cs="arial"/>
          <w:color w:val="000000"/>
          <w:sz w:val="20"/>
          <w:lang w:val="en-US" w:eastAsia="en-US" w:bidi="ar-SA"/>
        </w:rPr>
        <w:t>. The Plaintiffs state that this constitutes a fraud perpetrated against them, the particulars of which are as follows:</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Misleading the Plaintiffs about the fitness of the Properties for their intended use;</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Misleading the Plaintiffs about, and concealing from them, the true ownership of the Properties;</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Misleading the Plaintiffs about, and concealing from them, their interests in the Properties;</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Misleading the Plaintiffs about the true market value of the Properties.</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Adding false information to the November 15, 2005 and December 2, 2005 loan applications ("Loan Applications"), as particularized in paragraph 67 above, after West One Homes had executed them and without the knowledge or consent of any of the Plaintiffs; and</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Making representations in West One Homes' loan file with FCC, including but not limited to, representations about an intention on the part of the Plaintiffs to operate blueberry farms, as particularized in paragraph 67 above, which they knew were untrue, without the knowledge or consent of any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Of course, fraud must be strictly pleaded and proved: see, for example </w:t>
      </w:r>
      <w:r>
        <w:rPr>
          <w:rFonts w:ascii="arial" w:eastAsia="arial" w:hAnsi="arial" w:cs="arial"/>
          <w:b/>
          <w:i/>
          <w:color w:val="000000"/>
          <w:sz w:val="20"/>
          <w:lang w:val="en-US" w:eastAsia="en-US" w:bidi="ar-SA"/>
        </w:rPr>
        <w:t>BG Checo International Ltd. v. British Columbia Hydro and Power Authority</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(1990), 44 B.C.L.R. (2d) 145</w:t>
        </w:r>
      </w:hyperlink>
      <w:r>
        <w:rPr>
          <w:rFonts w:ascii="arial" w:eastAsia="arial" w:hAnsi="arial" w:cs="arial"/>
          <w:color w:val="000000"/>
          <w:sz w:val="20"/>
          <w:lang w:val="en-US" w:eastAsia="en-US" w:bidi="ar-SA"/>
        </w:rPr>
        <w:t xml:space="preserve"> (C.A.), at p. 168. In other places (e.g., para. 72) the plaintiffs have indicated specifically those paragraphs where they say representations are alleged (although, as I note above, some of those paragraphs do not contain allegations of representations or representations made to "the Plaintiffs"). However, here, the plaintiffs say merely that defendants "intentionally made a number of statements" to them, without providing particulars. I do not think that the "particulars" pleaded in para. 74 can be the necessary particulars for a complete cause of action in fraud because, with respect to the representations alleged in subparas. (e) and (f), for example, the plaintiffs allege they knew nothing about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section headed "Conspiracy" begins at para. 84, where the plaintiffs plead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shows proposed amendments):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state, that as evidenced by the conduct </w:t>
      </w:r>
      <w:r>
        <w:rPr>
          <w:rFonts w:ascii="arial" w:eastAsia="arial" w:hAnsi="arial" w:cs="arial"/>
          <w:color w:val="000000"/>
          <w:sz w:val="20"/>
          <w:u w:val="single"/>
          <w:lang w:val="en-US" w:eastAsia="en-US" w:bidi="ar-SA"/>
        </w:rPr>
        <w:t>of</w:t>
      </w:r>
      <w:r>
        <w:rPr>
          <w:rFonts w:ascii="arial" w:eastAsia="arial" w:hAnsi="arial" w:cs="arial"/>
          <w:color w:val="000000"/>
          <w:sz w:val="20"/>
          <w:lang w:val="en-US" w:eastAsia="en-US" w:bidi="ar-SA"/>
        </w:rPr>
        <w:t xml:space="preserve"> Brar, Jauhol, DSB, Gill, FCC, Bain and Sutton Group as described in the paragraphs above, during the period on or about </w:t>
      </w:r>
      <w:r>
        <w:rPr>
          <w:rFonts w:ascii="arial" w:eastAsia="arial" w:hAnsi="arial" w:cs="arial"/>
          <w:color w:val="000000"/>
          <w:sz w:val="20"/>
          <w:u w:val="single"/>
          <w:lang w:val="en-US" w:eastAsia="en-US" w:bidi="ar-SA"/>
        </w:rPr>
        <w:t>January</w:t>
      </w:r>
      <w:r>
        <w:rPr>
          <w:rFonts w:ascii="arial" w:eastAsia="arial" w:hAnsi="arial" w:cs="arial"/>
          <w:color w:val="000000"/>
          <w:sz w:val="20"/>
          <w:lang w:val="en-US" w:eastAsia="en-US" w:bidi="ar-SA"/>
        </w:rPr>
        <w:t xml:space="preserve"> 1, 2005 to at least the present time, acting together and in combination with others, covertly and without knowledge of the Plaintiffs, entered into a conspiracy or conspiracies with the intent to injure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This paragraph (in fact, a single sentence) is missing a subject for the verb "entered." The omission is understandable given the length and complexity of the sentence. Presumably, the plaintiffs intend to allege that Brar, Jauhol, DSB, Gill, FCC, Bain and Sutton Group entered into a conspiracy or conspiracies. However, the plaintiffs have not done that yet.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Properly pleading a conspiracy claim should be straightforward. There are a number of cases that provide guidance, including: </w:t>
      </w:r>
      <w:r>
        <w:rPr>
          <w:rFonts w:ascii="arial" w:eastAsia="arial" w:hAnsi="arial" w:cs="arial"/>
          <w:b/>
          <w:i/>
          <w:color w:val="000000"/>
          <w:sz w:val="20"/>
          <w:lang w:val="en-US" w:eastAsia="en-US" w:bidi="ar-SA"/>
        </w:rPr>
        <w:t>Canada Cement LaFarge Ltd. v. British Columbia Lightweight Aggregate Ltd.</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[1983] 1 S.C.R. 452</w:t>
        </w:r>
      </w:hyperlink>
      <w:r>
        <w:rPr>
          <w:rFonts w:ascii="arial" w:eastAsia="arial" w:hAnsi="arial" w:cs="arial"/>
          <w:color w:val="000000"/>
          <w:sz w:val="20"/>
          <w:lang w:val="en-US" w:eastAsia="en-US" w:bidi="ar-SA"/>
        </w:rPr>
        <w:t xml:space="preserve">, at pp. 471-472; </w:t>
      </w:r>
      <w:r>
        <w:rPr>
          <w:rFonts w:ascii="arial" w:eastAsia="arial" w:hAnsi="arial" w:cs="arial"/>
          <w:b/>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p. 964-965 (where an acceptable pleading is set out) and pp. 983-987; and </w:t>
      </w:r>
      <w:r>
        <w:rPr>
          <w:rFonts w:ascii="arial" w:eastAsia="arial" w:hAnsi="arial" w:cs="arial"/>
          <w:b/>
          <w:i/>
          <w:color w:val="000000"/>
          <w:sz w:val="20"/>
          <w:lang w:val="en-US" w:eastAsia="en-US" w:bidi="ar-SA"/>
        </w:rPr>
        <w:t>Can-Dive Services Ltd. v. Pacific Coast Energy Corp.</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(1993), 96 B.C.L.R. (2d) 156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Moreover, in </w:t>
      </w:r>
      <w:r>
        <w:rPr>
          <w:rFonts w:ascii="arial" w:eastAsia="arial" w:hAnsi="arial" w:cs="arial"/>
          <w:b/>
          <w:i/>
          <w:color w:val="000000"/>
          <w:sz w:val="20"/>
          <w:lang w:val="en-US" w:eastAsia="en-US" w:bidi="ar-SA"/>
        </w:rPr>
        <w:t>Can-Dive</w:t>
      </w:r>
      <w:r>
        <w:rPr>
          <w:rFonts w:ascii="arial" w:eastAsia="arial" w:hAnsi="arial" w:cs="arial"/>
          <w:color w:val="000000"/>
          <w:sz w:val="20"/>
          <w:lang w:val="en-US" w:eastAsia="en-US" w:bidi="ar-SA"/>
        </w:rPr>
        <w:t>, Chief Justice McEachern (for the court) confirmed that pleadings alleging conspiracy must be as specific as possible and that it is open to the court to stay proceedings until the cause of action has been properly and sufficiently pleaded: see paras. 9, 12-17.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turn then to the amendments being requested. The Opponents relied in particular on Rule 3-7(1) and Rule 9-5(1) in opposing the amendments. However, the majority of the amendments were not the subject of any specific submissions, either in support of, or in opposition to, an order granting leave to amend.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Paragraphs 38 and 40 are in a section concerning the Langley Property, with the subheading "The True Ownership of the Langley Property." Paragraph 38 concerns the identity of the registered owner of the Langley Property. The amendment pleads facts concerning how Mr. Jauhol (alleged to be the vendor in West One's agreement of purchase and sale) acquired his right to sell. The amendment to para. 40 pleads facts concerning information about the ownership of the Langley Property and Mr. Jauhol's interest that allegedly was not communicated to the plaintiffs. These amendments appear to fall under the general category of providing additional particulars in respect of existing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These amendments are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next amendment is para. 67, which is a new paragraph. It is in a section headed "The FCC Loans." "FCC" is the defendant Farm Credit Canada, who is alleged to be Mr. Gill's employer and vicariously liable for his unlawful conduct. FCC is alleged (para. 65) to have provided the financing for the purchase of the Langley Property and the Surrey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para. 67, the plaintiffs allege that, without their knowledge, approval or consent, Mr. Bain and/or Mr. Gill caused information and representations to be added to West One's loan applications and its loan file with FCC. The plaintiffs allege that none of the information or representations were true. It is not altogether clear what cause or causes of action this paragraph relates to, although para. 67 is referred to in the amendments to para. 74 and in para. 80, both of which are in sections concerning the plaintiffs' fraud claims. Possibly, para. 67 may also relate to the allegations of conspiracy, since para. 84 simply refers to "conduct . . . as described in the paragraphs above." No one made specific submissions in respect of para. 67. I will treat para. 67 as also falling under the general category of providing additional particulars in respect of existing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amendments to para. 67 and the consequential amendment to para. 68 are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Paragraphs 71-73 are all new, and in a new section headed "The Personal Guarantees."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These amendments were opposed by the Opponents on the grounds that the content was inconsistent with evidence given by the individual plaintiffs on their examinations for discovery. The plaintiffs assert that they have not given such evidence. In any event, the Opponents' argument goes to the merits of the claim, not the adequacy of the pleading. The plaintiffs' claim may be weak on the merits, but that is not the test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paras. 71 and 73, the plaintiffs plead (and I paraphrase) that each individual plaintiff executed a personal guarantee in favour of FCC of the loan for each of the Langley Property and the Surrey Property, and that, had they known the true facts, they would not have done so. These amendments are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Paragraph 72 is more problematic. It alleges: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individual Plaintiffs state that they each relied upon the representations made by Brar, Bain and Gill on behalf of themselves and on behalf of FCC and Sutton Group, as set out in paragraphs 21, 22, 24-33, 44-52, 66, 68 and 69 above in making their decision to agree to the term of the Personal Guarantees.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have noted above some examples where the plaintiffs allege that representations are found in paragraphs of the notice of civil claim, when there are none to be found. Paragraph 72 refers to some of those paragraphs. There are no representations alleged in para. 66, which simply says "Gill, Brar and Bain arranged for the financing with little input or involvement from the Plaintiffs." Paragraph 68 does not plead representations in the traditional way, or as required by Rule 3-7(18). Instead, the plaintiffs allege that "they were led by Brar, Bain and Gill . . . to believe that" certain things had been done and facts determined. Based on these allegations, Messrs. Brar, Bain and Gill are left in the dark concerning the specifics of what the plaintiffs claim they said, and the circumstances in which the plaintiffs assert the representations were made. This kind of vague, conclusory pleading is not acceptable where the plaintiffs are alleging fraud. Paragraph 69, which pleads that "Brar, Bain and Gill . . . misled the Plaintiffs" concerning the market value of the Properties and other matters, suffers from the same problem. The result, in my view, is that the allegations in para. 72 are confusing and embarrassing, and are not in accordance with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application to amend para. 72 in the form presented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Paragraphs 74 and 75 are in a section headed "Fraud," and under the subheading "Brar, Bain and Jauhol." I have set out para. 74 above, and noted its existing problems. The first proposed amendment in the body of para. 74 refers to statements alleged to have been made to induce the individual plaintiffs to enter into the Personal Guarantees. Since I have not allowed the amendments in para. 72 concerning representations the individual plaintiffs allege they relied on in agreeing to the Personal Guarantees, and since the plaintiffs are alleging fraud, this amendment will have to await at least proper pleading in para. 72 of the material facts relating to the representations on which the individual plaintiffs claim they relied.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Paragraph 75 (a new paragraph) alleges: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state that at all material times, Bain and Gill knew that they were misleading the Plaintiffs, knew that the Loan Applications had been altered without the knowledge or consent of any of the Plaintiffs, knew that the Plaintiff [sic] had no intention of operating a farm of any sort on either of these properties and had no experience in this regard, and knew that the Plaintiffs were unaware of any requirement that they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a whole, I find the proposed amendments in para. 74(e) and (f) and para. 75 hard to decipher and connect to a cause of action advanced by the plaintiffs. Some parts (e.g., the allegation that Messrs. Brar and Gill knew they were misleading the plaintiffs; in other words, they were making representations they knew to be false) are recognizable as part of a cause of action in fraud. Others are less so, at least in respect of a cause of action that might be advanced by a plaintiff here. Some parts might be connected to the plaintiffs' conspiracy claims. However, none of the Opponents argued that these specific amendments should not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will therefore treat the amendments in para. 74(e) and (f) and para. 75 as falling under the general category as providing additional particulars in respect of existing claims of fraud and conspiracy. These amendments are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amendments proposed in paras. 80 and 81 concern the Personal Guarantees, and representations on which the plaintiffs allege they relied. The problems relating to the identification of paras. 21, 22, 24-33, 44-52 and 66-69 as containing the "particulars" of the misrepresentations have been discussed above in relation to para. 72. The amendments to paras. 80 and 81 both depend on proper pleading of para. 72. The application to amend paras. 80 and 81 in the form presented is dismissed at this time and will have to await at least proper pleading of the material facts relating to the representations on which the plaintiffs claim they relied.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amendments in paras. 84, 85 and 86 are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This brings me to the main target of the Opponents' opposition to the application to amend: paras. 87-98, all of which are new.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plaintiffs allege:</w:t>
      </w:r>
      <w:r>
        <w:rPr>
          <w:rFonts w:ascii="arial" w:eastAsia="arial" w:hAnsi="arial" w:cs="arial"/>
          <w:sz w:val="20"/>
          <w:lang w:val="en-US" w:eastAsia="en-US" w:bidi="ar-SA"/>
        </w:rPr>
        <w:cr/>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state that the conspiracies committed against them are a part of a larger fraudulent conspiracy designed to inflate the purchase prices of property through "flips" and assignments in order to obtain mortgage funds from FCC, while leaving the ultimate purchaser liable for any shortfall in the mortgage security.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state that Brar, Bain and Gill hatched this conspiracy at some point between January and September of 2005.</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some point during this period, Brar, through DSB or another company controlled by him, acquired the right to purchase two adjoining pieces of land in Surrey . . . ("Cascade Creek Lands").</w:t>
      </w:r>
    </w:p>
    <w:p>
      <w:pPr>
        <w:numPr>
          <w:numId w:val="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state that Brar's intention was to develop this land into a 52-lot subdivision and sell off the individual lots at a significant profit.</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further state that at some point prior to October of 2005, Brar realized that he did not have the financial ability to capitalize on this opportunity, or other opportunities, without assistance. He approached Bain and Gill, and together the three of them conceived of this conspiracy to obtain funds to,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acquire the Cascade Creek Lands and complete the development.</w:t>
      </w:r>
    </w:p>
    <w:p>
      <w:pPr>
        <w:numPr>
          <w:numId w:val="8"/>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this end, on May 30, 2006, Brar, Bain and Gill together incorporated a company, Cascade Creek Development Corporation, for the purpose of acquiring title to the Cascade Creek Lands and developing the 52-lot subdivision.</w:t>
      </w:r>
    </w:p>
    <w:p>
      <w:pPr>
        <w:numPr>
          <w:numId w:val="9"/>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part of this conspiracy, Brar and Bain would identify an appropriate property and create a set of circumstances in which such property could be quickly "flipped" or assigned for inflated prices and Gill would ensure that a loan application in connection therewith was approved by the FCC at the inflated prices.</w:t>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Apart from the Langley and Surrey properties, the Plaintiffs are currently aware of at least one other property that Brar, Bain and Gill have used in this manner.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28, 2006, Brar's sister and brother-in-law, Anita and Mandeep Atwal ("Atwals"), became the registered owners of the 22-acre property adjacent to and adjoining with the Surrey Property. The Atwals acquired the right to purchase the 22-acre property by way of an assignment of an Agreement of Purchase and Sale entered into by Brar as purchaser. Brar paid approximately $850,000 to acquire the property from the original owner and immediately flipped it to his sister on or about the same day by way of the above assignment, for a price of $2,275,000. The inflated purchase price was financed by way of a mortgage from FCC in the face amount of $2,500,000 with a three year deferred interest period.</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Bain was the real estate agent for Brar on this transaction and arranged all the financing with FCC on behalf of the Atwals. Gill was the account manager at FCC that approved the loan.</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7, 2006, nine days after "the flip" of the 22-acre property, Brar, Bain and Gill, through Cascade Creek Development Corporation, acquired title to the Cascade Creek Lands by way of an assignment of the purchase agreement from DSB (or other company controlled by Brar).</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Also on July 7, 2006, Cascade Creek Development Corporation, by its authorized signatories (being Brar and Gill), registered a mortgage against the Cascade Creek Lands in favour of TD Canada Trust in the face amount of $10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plaintiffs say that these amendments plead the basis of an ongoing scheme or system, which is relevant to both the fraud and conspiracy claims already pleaded. The plaintiffs say that these paragraphs set out the similar facts they intend to rely on at trial for both the fraud and conspiracy claims. Citing </w:t>
      </w:r>
      <w:r>
        <w:rPr>
          <w:rFonts w:ascii="arial" w:eastAsia="arial" w:hAnsi="arial" w:cs="arial"/>
          <w:b/>
          <w:i/>
          <w:color w:val="000000"/>
          <w:sz w:val="20"/>
          <w:lang w:val="en-US" w:eastAsia="en-US" w:bidi="ar-SA"/>
        </w:rPr>
        <w:t>MacDonald v. Canada Kelp Company Ltd.</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(1973), 39 D.L.R. (3d) 617</w:t>
        </w:r>
      </w:hyperlink>
      <w:r>
        <w:rPr>
          <w:rFonts w:ascii="arial" w:eastAsia="arial" w:hAnsi="arial" w:cs="arial"/>
          <w:color w:val="000000"/>
          <w:sz w:val="20"/>
          <w:lang w:val="en-US" w:eastAsia="en-US" w:bidi="ar-SA"/>
        </w:rPr>
        <w:t xml:space="preserve"> (B.C.C.A.), the plaintiffs argue that they would or may be allowed to lead evidence of other, similar transactions at trial. The plaintiffs say further, citing </w:t>
      </w:r>
      <w:r>
        <w:rPr>
          <w:rFonts w:ascii="arial" w:eastAsia="arial" w:hAnsi="arial" w:cs="arial"/>
          <w:b/>
          <w:i/>
          <w:color w:val="000000"/>
          <w:sz w:val="20"/>
          <w:lang w:val="en-US" w:eastAsia="en-US" w:bidi="ar-SA"/>
        </w:rPr>
        <w:t>Deslauriers v. Ginn</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(1985), 69 B.C.L.R. 127</w:t>
        </w:r>
      </w:hyperlink>
      <w:r>
        <w:rPr>
          <w:rFonts w:ascii="arial" w:eastAsia="arial" w:hAnsi="arial" w:cs="arial"/>
          <w:color w:val="000000"/>
          <w:sz w:val="20"/>
          <w:lang w:val="en-US" w:eastAsia="en-US" w:bidi="ar-SA"/>
        </w:rPr>
        <w:t xml:space="preserve"> (S.C.), that, if they wish to be able to tender such evidence, then they must lay the foundation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Opponents say that these paragraphs allege nothing more than vaguely similar facts involving individuals (the Atwals) who are not parties to this action, and occurring after the sale of the Langley Property and the Surrey Property. The Opponents argue that, in addition to improperly pleading evidence (contrary to Rule 3-7(1)), the plaintiffs propose to allege content that is completely irrelevant and designed to be embarrassing, in the sense that word is used in cases such as </w:t>
      </w:r>
      <w:r>
        <w:rPr>
          <w:rFonts w:ascii="arial" w:eastAsia="arial" w:hAnsi="arial" w:cs="arial"/>
          <w:b/>
          <w:i/>
          <w:color w:val="000000"/>
          <w:sz w:val="20"/>
          <w:lang w:val="en-US" w:eastAsia="en-US" w:bidi="ar-SA"/>
        </w:rPr>
        <w:t>Keddie v. Dumas Hotels Ltd. (Cariboo Trail Hotel)</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(1985), 62 B.C.L.R. 145</w:t>
        </w:r>
      </w:hyperlink>
      <w:r>
        <w:rPr>
          <w:rFonts w:ascii="arial" w:eastAsia="arial" w:hAnsi="arial" w:cs="arial"/>
          <w:color w:val="000000"/>
          <w:sz w:val="20"/>
          <w:lang w:val="en-US" w:eastAsia="en-US" w:bidi="ar-SA"/>
        </w:rPr>
        <w:t xml:space="preserve"> (C.A.) and </w:t>
      </w:r>
      <w:r>
        <w:rPr>
          <w:rFonts w:ascii="arial" w:eastAsia="arial" w:hAnsi="arial" w:cs="arial"/>
          <w:b/>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[1999] B.C.J. No. 2160</w:t>
        </w:r>
      </w:hyperlink>
      <w:r>
        <w:rPr>
          <w:rFonts w:ascii="arial" w:eastAsia="arial" w:hAnsi="arial" w:cs="arial"/>
          <w:color w:val="000000"/>
          <w:sz w:val="20"/>
          <w:lang w:val="en-US" w:eastAsia="en-US" w:bidi="ar-SA"/>
        </w:rPr>
        <w:t xml:space="preserve"> (S.C.), </w:t>
      </w:r>
      <w:hyperlink r:id="rId632" w:history="1">
        <w:r>
          <w:rPr>
            <w:rFonts w:ascii="arial" w:eastAsia="arial" w:hAnsi="arial" w:cs="arial"/>
            <w:i/>
            <w:color w:val="0077CC"/>
            <w:sz w:val="20"/>
            <w:u w:val="single"/>
            <w:shd w:val="clear" w:color="auto" w:fill="FFFFFF"/>
            <w:lang w:val="en-US" w:eastAsia="en-US" w:bidi="ar-SA"/>
          </w:rPr>
          <w:t>36 C.P.C. (4th) 266</w:t>
        </w:r>
      </w:hyperlink>
      <w:r>
        <w:rPr>
          <w:rFonts w:ascii="arial" w:eastAsia="arial" w:hAnsi="arial" w:cs="arial"/>
          <w:color w:val="000000"/>
          <w:sz w:val="20"/>
          <w:lang w:val="en-US" w:eastAsia="en-US" w:bidi="ar-SA"/>
        </w:rPr>
        <w:t>, at para. 47. The Opponents say that the allegations in these paragraphs are confusing, and that they are irrelevant, unnecessary and vexatious, because they do not go to establishing the plaintiffs' cause of action. If the plaintiffs are allowed to amend to include these allegations, then, the Opponents say, one result will be protracted discoveries on transactions that are in fact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Opponents also argue, citing </w:t>
      </w:r>
      <w:r>
        <w:rPr>
          <w:rFonts w:ascii="arial" w:eastAsia="arial" w:hAnsi="arial" w:cs="arial"/>
          <w:b/>
          <w:i/>
          <w:color w:val="000000"/>
          <w:sz w:val="20"/>
          <w:lang w:val="en-US" w:eastAsia="en-US" w:bidi="ar-SA"/>
        </w:rPr>
        <w:t>Bank of Montreal v. Tortora</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2010 BCCA 139</w:t>
        </w:r>
      </w:hyperlink>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3 B.C.L.R. (5th) 39</w:t>
        </w:r>
      </w:hyperlink>
      <w:r>
        <w:rPr>
          <w:rFonts w:ascii="arial" w:eastAsia="arial" w:hAnsi="arial" w:cs="arial"/>
          <w:color w:val="000000"/>
          <w:sz w:val="20"/>
          <w:lang w:val="en-US" w:eastAsia="en-US" w:bidi="ar-SA"/>
        </w:rPr>
        <w:t>, that the plaintiffs' conspiracy claims merge with the torts (specifically fraud and fraudulent misrepresentation) alleged, rendering the amendments in paras. 87-98 useless, unnecessary and embarrassing.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Deslauriers v. Ginn</w:t>
      </w:r>
      <w:r>
        <w:rPr>
          <w:rFonts w:ascii="arial" w:eastAsia="arial" w:hAnsi="arial" w:cs="arial"/>
          <w:color w:val="000000"/>
          <w:sz w:val="20"/>
          <w:lang w:val="en-US" w:eastAsia="en-US" w:bidi="ar-SA"/>
        </w:rPr>
        <w:t xml:space="preserve">, Mr. Justice Wallace observed (at p. 129) that evidence of similar acts is admissible to prove an intention to defraud, provided the groundwork for the admission of such evidence has been laid in the pleadings. Mr. Justice Wallace cited both </w:t>
      </w:r>
      <w:r>
        <w:rPr>
          <w:rFonts w:ascii="arial" w:eastAsia="arial" w:hAnsi="arial" w:cs="arial"/>
          <w:b/>
          <w:i/>
          <w:color w:val="000000"/>
          <w:sz w:val="20"/>
          <w:lang w:val="en-US" w:eastAsia="en-US" w:bidi="ar-SA"/>
        </w:rPr>
        <w:t>Blake v. Albion Life Assur. Soc.</w:t>
      </w:r>
      <w:r>
        <w:rPr>
          <w:rFonts w:ascii="arial" w:eastAsia="arial" w:hAnsi="arial" w:cs="arial"/>
          <w:color w:val="000000"/>
          <w:sz w:val="20"/>
          <w:lang w:val="en-US" w:eastAsia="en-US" w:bidi="ar-SA"/>
        </w:rPr>
        <w:t xml:space="preserve"> (1878), 4 C.P.D. 94 and </w:t>
      </w:r>
      <w:r>
        <w:rPr>
          <w:rFonts w:ascii="arial" w:eastAsia="arial" w:hAnsi="arial" w:cs="arial"/>
          <w:b/>
          <w:i/>
          <w:color w:val="000000"/>
          <w:sz w:val="20"/>
          <w:lang w:val="en-US" w:eastAsia="en-US" w:bidi="ar-SA"/>
        </w:rPr>
        <w:t>Edinburgh Life Assur. Co. v. Y.</w:t>
      </w:r>
      <w:r>
        <w:rPr>
          <w:rFonts w:ascii="arial" w:eastAsia="arial" w:hAnsi="arial" w:cs="arial"/>
          <w:color w:val="000000"/>
          <w:sz w:val="20"/>
          <w:lang w:val="en-US" w:eastAsia="en-US" w:bidi="ar-SA"/>
        </w:rPr>
        <w:t xml:space="preserve">, [1911] 1 I.R. 306 (Ch. D.) in support of the general point. In </w:t>
      </w:r>
      <w:r>
        <w:rPr>
          <w:rFonts w:ascii="arial" w:eastAsia="arial" w:hAnsi="arial" w:cs="arial"/>
          <w:b/>
          <w:i/>
          <w:color w:val="000000"/>
          <w:sz w:val="20"/>
          <w:lang w:val="en-US" w:eastAsia="en-US" w:bidi="ar-SA"/>
        </w:rPr>
        <w:t>Edinburgh Life</w:t>
      </w:r>
      <w:r>
        <w:rPr>
          <w:rFonts w:ascii="arial" w:eastAsia="arial" w:hAnsi="arial" w:cs="arial"/>
          <w:color w:val="000000"/>
          <w:sz w:val="20"/>
          <w:lang w:val="en-US" w:eastAsia="en-US" w:bidi="ar-SA"/>
        </w:rPr>
        <w:t>, the court said (at p. 310):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action is brought by a Life Assurance Company to have a policy cancelled for fraud. Counsel states . . . that he proposes to offer, on behalf of the plaintiff Company, evidence of other like frauds as proof that the defendant's fraud in this case was part of a system. Such evidence would be clearly admissible, if the substance of the allegation that the fraud was part of a system were stated in the statement of claim. It is a material fact in the chain of plaintiff's proof and should be pleaded. To do so would not be to plead evidence, but to state a material fact. It is the material fact which should be stated, but not the evidence by which if is to be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Accordingly, based on </w:t>
      </w:r>
      <w:r>
        <w:rPr>
          <w:rFonts w:ascii="arial" w:eastAsia="arial" w:hAnsi="arial" w:cs="arial"/>
          <w:b/>
          <w:i/>
          <w:color w:val="000000"/>
          <w:sz w:val="20"/>
          <w:lang w:val="en-US" w:eastAsia="en-US" w:bidi="ar-SA"/>
        </w:rPr>
        <w:t>Deslauriers v. Ginn</w:t>
      </w:r>
      <w:r>
        <w:rPr>
          <w:rFonts w:ascii="arial" w:eastAsia="arial" w:hAnsi="arial" w:cs="arial"/>
          <w:color w:val="000000"/>
          <w:sz w:val="20"/>
          <w:lang w:val="en-US" w:eastAsia="en-US" w:bidi="ar-SA"/>
        </w:rPr>
        <w:t xml:space="preserve"> and the cases cited therein, there is nothing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objectionable about a plaintiff alleging as a material fact in a pleading that a fraud is part of a larger system or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However, in my view, the proposed amendments in paras. 87-98 do not conform to the requirements for pleading similar facts as material facts. They are a confusing mixture of facts (only some of which might be material), evidence and argument. Although a plaintiff is permitted to plead a scheme as a material fact, the plaintiff does not thereby have licence to ignore the requirement to plead material facts, but not the evidence by which those facts are to be proved, or to ignore other rules governing pleadings. As I read these paragraphs, rather than a plea of a fraudulent scheme with other victims like the plaintiffs, the allegations appear mostly to describe an alleged motive and the main or predominant purpose behind Mr. Brar's and the others' activities: namely, raising money for the acquisition and development of the Cascade Creek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are no specific allegations of any fraudulent misrepresentations made to the Atwals, similar in any way to those the plaintiffs allege were made to them. There is no specific allegation either that the dominant purpose of the defendants' conduct was to cause injury to the Atwals or that the defendants' conduct was directed towards the Atwals (and others) and the defendants ought to have known that damage to the Atwals was likely. Finally, there is no specific allegation that the Atwals have suffered damage in a manner similar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response to the Opponents' argument that the conspiracy allegations merge in the other torts, and therefore additional conspiracy allegations should not be allowed, the plaintiffs say that the Opponents' argument is based on the premise that they are alleging a conspiracy by unlawful means. The plaintiffs say that this premise is false, because they are not relying </w:t>
      </w:r>
      <w:r>
        <w:rPr>
          <w:rFonts w:ascii="arial" w:eastAsia="arial" w:hAnsi="arial" w:cs="arial"/>
          <w:color w:val="000000"/>
          <w:sz w:val="20"/>
          <w:u w:val="single"/>
          <w:lang w:val="en-US" w:eastAsia="en-US" w:bidi="ar-SA"/>
        </w:rPr>
        <w:t>exclusively</w:t>
      </w:r>
      <w:r>
        <w:rPr>
          <w:rFonts w:ascii="arial" w:eastAsia="arial" w:hAnsi="arial" w:cs="arial"/>
          <w:color w:val="000000"/>
          <w:sz w:val="20"/>
          <w:lang w:val="en-US" w:eastAsia="en-US" w:bidi="ar-SA"/>
        </w:rPr>
        <w:t xml:space="preserve"> on unlawful acts and have pleaded an intention to injure in para. 84. Therefore, the plaintiffs say, there is no merger.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plaintiffs base their argument on the following paragraph (at p. 984) of </w:t>
      </w:r>
      <w:r>
        <w:rPr>
          <w:rFonts w:ascii="arial" w:eastAsia="arial" w:hAnsi="arial" w:cs="arial"/>
          <w:b/>
          <w:i/>
          <w:color w:val="000000"/>
          <w:sz w:val="20"/>
          <w:lang w:val="en-US" w:eastAsia="en-US" w:bidi="ar-SA"/>
        </w:rPr>
        <w:t>Hunt v. Carey</w:t>
      </w:r>
      <w:r>
        <w:rPr>
          <w:rFonts w:ascii="arial" w:eastAsia="arial" w:hAnsi="arial" w:cs="arial"/>
          <w:color w:val="000000"/>
          <w:sz w:val="20"/>
          <w:lang w:val="en-US" w:eastAsia="en-US" w:bidi="ar-SA"/>
        </w:rPr>
        <w:t>, where Madam Justice Wilson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passage [from </w:t>
      </w:r>
      <w:r>
        <w:rPr>
          <w:rFonts w:ascii="arial" w:eastAsia="arial" w:hAnsi="arial" w:cs="arial"/>
          <w:i/>
          <w:color w:val="000000"/>
          <w:sz w:val="20"/>
          <w:lang w:val="en-US" w:eastAsia="en-US" w:bidi="ar-SA"/>
        </w:rPr>
        <w:t>Canada Cement LaFarge</w:t>
      </w:r>
      <w:r>
        <w:rPr>
          <w:rFonts w:ascii="arial" w:eastAsia="arial" w:hAnsi="arial" w:cs="arial"/>
          <w:color w:val="000000"/>
          <w:sz w:val="20"/>
          <w:lang w:val="en-US" w:eastAsia="en-US" w:bidi="ar-SA"/>
        </w:rPr>
        <w:t>, p. 468] made clear that this Court agreed with the House of Lords that where a plaintiff alleges that the defendants entered into an agreement whose predominant purpose was to injure the plaintiff and where the plaintiff alleges that he or she has in fact suffered damage as a result of the agreement, then regardless of the lawfulness of the means that the defendants are alleged to have used to implement the agreement the plaintiff will have made out a cognizable claim in the tort of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plaintiffs distinguish </w:t>
      </w:r>
      <w:r>
        <w:rPr>
          <w:rFonts w:ascii="arial" w:eastAsia="arial" w:hAnsi="arial" w:cs="arial"/>
          <w:b/>
          <w:i/>
          <w:color w:val="000000"/>
          <w:sz w:val="20"/>
          <w:lang w:val="en-US" w:eastAsia="en-US" w:bidi="ar-SA"/>
        </w:rPr>
        <w:t>Bank of Montreal v. Tortora</w:t>
      </w:r>
      <w:r>
        <w:rPr>
          <w:rFonts w:ascii="arial" w:eastAsia="arial" w:hAnsi="arial" w:cs="arial"/>
          <w:color w:val="000000"/>
          <w:sz w:val="20"/>
          <w:lang w:val="en-US" w:eastAsia="en-US" w:bidi="ar-SA"/>
        </w:rPr>
        <w:t>, and say that, in that case, the plaintiff alleged only unlawful acts and, in respect of the defendant against whom no unlawful acts were alleged, the plaintiff did not allege an intent to injure.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However, I do not think </w:t>
      </w:r>
      <w:r>
        <w:rPr>
          <w:rFonts w:ascii="arial" w:eastAsia="arial" w:hAnsi="arial" w:cs="arial"/>
          <w:b/>
          <w:i/>
          <w:color w:val="000000"/>
          <w:sz w:val="20"/>
          <w:lang w:val="en-US" w:eastAsia="en-US" w:bidi="ar-SA"/>
        </w:rPr>
        <w:t>Hunt v. Carey</w:t>
      </w:r>
      <w:r>
        <w:rPr>
          <w:rFonts w:ascii="arial" w:eastAsia="arial" w:hAnsi="arial" w:cs="arial"/>
          <w:color w:val="000000"/>
          <w:sz w:val="20"/>
          <w:lang w:val="en-US" w:eastAsia="en-US" w:bidi="ar-SA"/>
        </w:rPr>
        <w:t xml:space="preserve"> stands for the proposition that whenever a plaintiff pleads an intent to injure, merger cannot take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any event, there is a more fundamental problem, because the plaintiffs' argument that they are not relying exclusively on unlawful acts does not reflect the allegations they in fact have made against the Opponents. As I note above, in para. 84, they plead "the conduct of Brar, Jauhol, DSB, Gill, FCC, Bain and Sutton Group </w:t>
      </w:r>
      <w:r>
        <w:rPr>
          <w:rFonts w:ascii="arial" w:eastAsia="arial" w:hAnsi="arial" w:cs="arial"/>
          <w:color w:val="000000"/>
          <w:sz w:val="20"/>
          <w:u w:val="single"/>
          <w:lang w:val="en-US" w:eastAsia="en-US" w:bidi="ar-SA"/>
        </w:rPr>
        <w:t>as described in the paragraphs above</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added) as "evidence" of a conspiracy or conspiracies. One searches in vain "in the paragraphs above" for an allegation of </w:t>
      </w:r>
      <w:r>
        <w:rPr>
          <w:rFonts w:ascii="arial" w:eastAsia="arial" w:hAnsi="arial" w:cs="arial"/>
          <w:color w:val="000000"/>
          <w:sz w:val="20"/>
          <w:u w:val="single"/>
          <w:lang w:val="en-US" w:eastAsia="en-US" w:bidi="ar-SA"/>
        </w:rPr>
        <w:t>lawful</w:t>
      </w:r>
      <w:r>
        <w:rPr>
          <w:rFonts w:ascii="arial" w:eastAsia="arial" w:hAnsi="arial" w:cs="arial"/>
          <w:color w:val="000000"/>
          <w:sz w:val="20"/>
          <w:lang w:val="en-US" w:eastAsia="en-US" w:bidi="ar-SA"/>
        </w:rPr>
        <w:t xml:space="preserve"> conduct, the predominant purpose of which is to cause injury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At best, the plaintiffs' argument needs support from ambiguously drafted pleadings. However, that means that the plaintiffs have failed to adhere to the direction given by Chief Justice McEachern in </w:t>
      </w:r>
      <w:r>
        <w:rPr>
          <w:rFonts w:ascii="arial" w:eastAsia="arial" w:hAnsi="arial" w:cs="arial"/>
          <w:b/>
          <w:i/>
          <w:color w:val="000000"/>
          <w:sz w:val="20"/>
          <w:lang w:val="en-US" w:eastAsia="en-US" w:bidi="ar-SA"/>
        </w:rPr>
        <w:t>Can-Dive</w:t>
      </w:r>
      <w:r>
        <w:rPr>
          <w:rFonts w:ascii="arial" w:eastAsia="arial" w:hAnsi="arial" w:cs="arial"/>
          <w:color w:val="000000"/>
          <w:sz w:val="20"/>
          <w:lang w:val="en-US" w:eastAsia="en-US" w:bidi="ar-SA"/>
        </w:rPr>
        <w:t>, namely, that pleadings alleging conspiracy must be as specific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As I read the proposed amended notice of claim, the basis of the alleged conspiracy (or "conspiracies") is the alleged unlawful acts of fraud and fraudulent misrepresentation. Absent the unlawful acts, there would be no conspiracy. In order to prove the conspiracy, the plaintiffs must prove the fraud and fraudulent misrepresentations alleged to have been perpetrated by Messrs. Brar, Bain and Gill. If the plaintiffs fail to do this, their conspiracy claims also fail. If the plaintiffs succeed in proving fraud or fraudulent misrepresentation, the conspiracy claims are redundant. They are merged in the other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None of the defendants has applied to strike the plaintiffs' conspiracy claims on the grounds of merger. However, with respect to the amendments in paras. 87-98, I conclude that, in addition to failing to sufficiently plead material facts concerning a similar fraudulent scheme or system, these amendments are embarrassing and useless.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application to amend in respect of these paragraphs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amendment to the prayer for relief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That brings me finally to para. 115. Rule 3-1(2)(c) requires that a notice of civil claim set out a concise summary of the legal basis for the relief sought. Form 1 indicates that this part of the pleading is to be set out under Part 3: Legal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plaintiffs have pleaded:</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claim is based on breach of contract, breach of fiduciary duty, fraud, conspiracy,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question whether this is sufficient or complies with Rule 3-1(2)(c). After 114 paragraphs, it is not particularly illuminating or helpful for a trial judge, except in the most general sense. It may be that the plaintiffs consider they have sufficiently set out the legal basis for the relief sought in the preceding 114 paragraphs, and, rather than attempting more comprehensive amendments when the statement of claim was converted to a notice of civil claim, they opted for a summary statement in para. 115. In any event, none of the Opponents made any submissions about the sufficiency of para. 115. I conclude therefore that they are content (at least for the time being) to accept it as a sufficient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summary:</w:t>
      </w:r>
      <w:r>
        <w:rPr>
          <w:rFonts w:ascii="arial" w:eastAsia="arial" w:hAnsi="arial" w:cs="arial"/>
          <w:sz w:val="20"/>
          <w:lang w:val="en-US" w:eastAsia="en-US" w:bidi="ar-SA"/>
        </w:rPr>
        <w:cr/>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to amend paras. 38, 40, 67, 68, 71, 73, 74(e) and (f), 75, 84, 85, 86, the prayer for relief and 115 of the notice of civil claim, in the form presented, is granted;</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to amend paras. 72, 74 (to plead inducement of the individual plaintiffs), 80, 81 and 87-98, in the form presented,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E.J. ADAIR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4" style="position:absolute;z-index:251765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4"/>
          <w:headerReference w:type="default" r:id="rId635"/>
          <w:footerReference w:type="even" r:id="rId636"/>
          <w:footerReference w:type="default" r:id="rId637"/>
          <w:headerReference w:type="first" r:id="rId638"/>
          <w:footerReference w:type="first" r:id="rId63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40" w:history="1">
        <w:r>
          <w:rPr>
            <w:rFonts w:ascii="arial" w:eastAsia="arial" w:hAnsi="arial" w:cs="arial"/>
            <w:b/>
            <w:bCs/>
            <w:i/>
            <w:color w:val="0077CC"/>
            <w:kern w:val="32"/>
            <w:sz w:val="28"/>
            <w:szCs w:val="32"/>
            <w:u w:val="single"/>
            <w:shd w:val="clear" w:color="auto" w:fill="FFFFFF"/>
            <w:lang w:val="en-US" w:eastAsia="en-US" w:bidi="ar-SA"/>
          </w:rPr>
          <w:t>Wiens v. Serene Lea Farms Ltd., [2001] I.L.R. para. G-1378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Insurance Law Reporter Cases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Romilly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September 5, 2000.</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[2001] I.L.R. para. G-1378</w:t>
      </w:r>
    </w:p>
    <w:p>
      <w:pPr>
        <w:spacing w:before="120" w:line="260" w:lineRule="atLeast"/>
        <w:rPr>
          <w:lang w:val="en-US" w:eastAsia="en-US" w:bidi="ar-SA"/>
        </w:rPr>
      </w:pPr>
      <w:r>
        <w:rPr>
          <w:rFonts w:ascii="arial" w:eastAsia="arial" w:hAnsi="arial" w:cs="arial"/>
          <w:color w:val="000000"/>
          <w:sz w:val="20"/>
          <w:lang w:val="en-US" w:eastAsia="en-US" w:bidi="ar-SA"/>
        </w:rPr>
        <w:t>Wiens v. Serene Lea Farms Ltd.</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25" style="position:absolute;z-index:25169100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23" w:name="Keywords_3"/>
      <w:bookmarkEnd w:id="123"/>
      <w:r>
        <w:rPr>
          <w:rFonts w:ascii="arial" w:eastAsia="arial" w:hAnsi="arial" w:cs="arial"/>
          <w:b/>
          <w:color w:val="000000"/>
          <w:sz w:val="20"/>
          <w:lang w:val="en-US" w:eastAsia="en-US" w:bidi="ar-SA"/>
        </w:rPr>
        <w:t>Occupier's liability — Fall from ladder — Ladder placed on manure-covered concrete — Occupier and assistant who held ladder both liable — Plaintiff 30 per cent contributorily negligent — Personal injury damages — Brain injury — $175,000 non-pecuniary damages.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24" w:name="Case Summary_4"/>
            <w:bookmarkEnd w:id="124"/>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an action for personal injury damages arising from a fall. The plaintiff had gone to the defendant farm to voluntarily help complete a roofing project. An aluminum ladder with rubber feet was placed on a concrete floor covered with slippery manure. K held the ladder as the plaintiff climbed up, but removed support when he was at the top. The ladder slipped, and the plaintiff fell 12 to 16 feet. He suffered a severe brain injury, which left him confused, accident-prone, and unemployable. </w:t>
            </w:r>
            <w:r>
              <w:rPr>
                <w:lang w:val="en-US" w:eastAsia="en-US" w:bidi="ar-SA"/>
              </w:rPr>
              <w:cr/>
            </w:r>
          </w:p>
          <w:p>
            <w:pPr>
              <w:spacing w:before="120" w:line="260" w:lineRule="atLeast"/>
              <w:ind w:left="240"/>
              <w:jc w:val="both"/>
              <w:rPr>
                <w:lang w:val="en-US" w:eastAsia="en-US" w:bidi="ar-SA"/>
              </w:rPr>
            </w:pPr>
            <w:bookmarkStart w:id="125" w:name="Holdings of Court_3"/>
            <w:bookmarkEnd w:id="125"/>
            <w:r>
              <w:rPr>
                <w:rFonts w:ascii="arial" w:eastAsia="arial" w:hAnsi="arial" w:cs="arial"/>
                <w:color w:val="000000"/>
                <w:sz w:val="20"/>
                <w:lang w:val="en-US" w:eastAsia="en-US" w:bidi="ar-SA"/>
              </w:rPr>
              <w:t>HELD: The plaintiff was successful.</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defendant farm was aware that roofing was a dangerous undertaking, particularly since there had been a fatal accident on the roof a week earlier. The defendant had a duty to make the area safe for the workers and in failing to clear away the manure, it failed in this duty. The farm was found to be 40 per cent liable.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K was also liable. In holding the ladder for the plaintiff, he gave an implied promise that he would secure the ladder while the plaintiff was on it. He was negligent in leaving the ladder unattended on the slippery surface, and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cause of the plaintiff's fall. He was held to be 30 per cent liable.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plaintiff should have been aware of the dangerous location of the ladder and taken steps to protect himself. He was held 30 per cent contributorily negligent.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plaintiff's injuries were catastrophic. He was awarded $175,000 non-pecuniary damages. </w:t>
            </w:r>
            <w:r>
              <w:rPr>
                <w:lang w:val="en-US" w:eastAsia="en-US" w:bidi="ar-SA"/>
              </w:rPr>
              <w:cr/>
            </w:r>
          </w:p>
          <w:p>
            <w:pPr>
              <w:rPr>
                <w:lang w:val="en-US" w:eastAsia="en-US" w:bidi="ar-SA"/>
              </w:rPr>
            </w:pPr>
          </w:p>
        </w:tc>
      </w:tr>
    </w:tbl>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7309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1"/>
          <w:headerReference w:type="default" r:id="rId642"/>
          <w:footerReference w:type="even" r:id="rId643"/>
          <w:footerReference w:type="default" r:id="rId644"/>
          <w:headerReference w:type="first" r:id="rId645"/>
          <w:footerReference w:type="first" r:id="rId6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47" w:history="1">
        <w:r>
          <w:rPr>
            <w:rFonts w:ascii="arial" w:eastAsia="arial" w:hAnsi="arial" w:cs="arial"/>
            <w:b/>
            <w:bCs/>
            <w:i/>
            <w:color w:val="0077CC"/>
            <w:kern w:val="32"/>
            <w:sz w:val="28"/>
            <w:szCs w:val="32"/>
            <w:u w:val="single"/>
            <w:shd w:val="clear" w:color="auto" w:fill="FFFFFF"/>
            <w:lang w:val="en-US" w:eastAsia="en-US" w:bidi="ar-SA"/>
          </w:rPr>
          <w:t>Williams-Quitzau v. Chow, [2010] B.C.J. No. 2979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M.E. Shaw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14,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September 14,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M084971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2979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2024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Jana Marie Williams-Quitzau, Plaintiff, and Adrienne Bzkyee Chow,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(44 paras.)</w:t>
      </w:r>
    </w:p>
    <w:p>
      <w:pPr>
        <w:jc w:val="both"/>
        <w:rPr>
          <w:rFonts w:ascii="arial" w:eastAsia="arial" w:hAnsi="arial" w:cs="arial"/>
          <w:sz w:val="20"/>
          <w:lang w:val="en-US" w:eastAsia="en-US" w:bidi="ar-SA"/>
        </w:rPr>
      </w:pPr>
      <w:bookmarkStart w:id="126" w:name="Counsel_27"/>
      <w:bookmarkEnd w:id="12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7"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Stephen Gibson.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Katherine Chong.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7" w:name="Judgment_27"/>
      <w:bookmarkEnd w:id="127"/>
      <w:r>
        <w:pict>
          <v:line id="_x0000_s1128" style="position:absolute;z-index:25173196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An amended judgment was released by the Court September 20, 2013. The changes were not indicated. This document contains the amended text.]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8" w:name="MASTER M.E. SHAW (orally)"/>
            <w:bookmarkEnd w:id="128"/>
            <w:r>
              <w:rPr>
                <w:rFonts w:ascii="arial" w:eastAsia="arial" w:hAnsi="arial" w:cs="arial"/>
                <w:b/>
                <w:color w:val="000000"/>
                <w:sz w:val="30"/>
                <w:lang w:val="en-US" w:eastAsia="en-US" w:bidi="ar-SA"/>
              </w:rPr>
              <w:t>MASTER M.E. SHAW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defendants for the plaintiff to attend an independent medical examination ("IME") on September 27, 2010, with Dr. Jordan Leith, specialist in orthopedic surgery. The plaintiff opposes the application on the basis that the plaintiff has, in the past, been a patient of Dr. Leith's and the plaintiff resists the defendant retaining a prior treating doctor of the plaintiff as an expert for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involved in a motor vehicle accident on April 29, 2008, in New Westminster, BC. The writ and statement of claim was filed on November 7th, 2008. The plaintiff claims, as a result of the accident, she sustained soft tissue injury to the cervical, thoracic and lumbar spine, right shoulder, right arm injury, loss of mobility and strength and general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Liability has been admitted and the defendant alleges in the statement of defence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plaintiff as well as pre-existing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examination for discovery of the plaintiff was conducted on August 13, 2009. The trial is set to proceed on February 28, 2011 for ten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Since birth, the plaintiff has suffered from a pre-existing condition called Erb's Palsy involving her right arm. In 2005, some three years prior to the accident, through her family doctor, Dr. MacCarthy, the plaintiff was referred to Dr. Perey, a specialist in orthopedic trauma, hand and upper extremity reconstruction.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Dr. Perey produced a report dated February 1, 2005. He referred the plaintiff to Dr. Jordan Leith, an orthopedic surgeon at Allan McGavin Sports Medicine Centre. The plaintiff attended with Dr. Leith and a consultation report resulted dated December 9, 2005. This consultation letter was sent to the referring doctor and to the plaintiff's family physician, Dr. MacCarthy. The defendants came into possession of the consultation letter of Dr. Leith through disclosure of medical records, but on the evidence it is unclear if the clinical records of Dr. Leith were requested or produced. His consultation report was sent to both the family doctor and to Dr. Perey.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March 31, 2010, counsel for the defendant sent a letter to the plaintiff advising: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purpose of this letter is to notify you that we retained Dr. Leith as an expert to provide us with an opinion on a records review, and at that time inadvertently did not recall the fact that the plaintiff had been seen by Dr. Leith in 2005 at the request of Dr. Perey.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By sending the letter, counsel for the defence took the position that she was providing counsel for the plaintiff with notice in accordance with the process that is set out in the case of </w:t>
      </w:r>
      <w:r>
        <w:rPr>
          <w:rFonts w:ascii="arial" w:eastAsia="arial" w:hAnsi="arial" w:cs="arial"/>
          <w:i/>
          <w:color w:val="000000"/>
          <w:sz w:val="20"/>
          <w:lang w:val="en-US" w:eastAsia="en-US" w:bidi="ar-SA"/>
        </w:rPr>
        <w:t>Swirski v. Hachey</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[1995] B.C.J. No. 2686</w:t>
        </w:r>
      </w:hyperlink>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16 B.C.L.R. (3d) 281</w:t>
        </w:r>
      </w:hyperlink>
      <w:r>
        <w:rPr>
          <w:rFonts w:ascii="arial" w:eastAsia="arial" w:hAnsi="arial" w:cs="arial"/>
          <w:color w:val="000000"/>
          <w:sz w:val="20"/>
          <w:lang w:val="en-US" w:eastAsia="en-US" w:bidi="ar-SA"/>
        </w:rPr>
        <w:t>. In the letter, the defence further stated that although they were giving notice: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our position that Dr. Leith is no longer a treating person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gave the plaintiff one week to provide any objection. On April 1, 2010, the next day, the plaintiff sent a letter objecting to the defence retaining Dr. Leith as a defence expert. Counsel for the defence advised all contact had ceased with Dr. Leith once counsel was aware of the prior doctor/patient relationship of the plaintiff with Dr. Leith.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defence did not disclose in the materials in this application what contact had occurred between the defence and Dr. Leith prior to March 31, 2010, nor was there disclosure of what was provided to Dr. Leith by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By request of counsel for the defendant, counsel for the plaintiff agreed that counsel for the defendant could contact Dr. Leith and ask his position on whether he would agree to be retained as an expert by the defence. The plaintiff requested that Dr. Leith be advised that the plaintiff objected. This was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July 23, 2010, counsel for the defence, in a letter to the plaintiff, advised that Dr. Leith stated he was agreeable to doing a medical examination of the plaintiff. I take from that statement in the letter and from defence submissions that Dr. Leith indicated he would agree to act as an expert for the defence. A response directly from Dr. Leith was not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July 29, 2010, counsel for the defence advised counsel for the plaintiff that an IME appointment for the plaintiff to attend with Dr. Leith had been arranged for September 27, 2010. The plaintiff maintained her objection to the defence using Dr. Leith as an expert and advised the defence she would not voluntarily attend the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defence also arranged an IME with Dr. Tessler, a specialist in neurology for an appointment on October 12, 2010. The plaintiff resists attending with both an orthopedic specialist and a neurologist. There were scant submissions on the issue of attending with both specialists.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sent to the defence a letter on September 2, 2010, which stated the plaintiff would attend the IME with a neurologist if the defence cancelled the IME appointment with Dr. Leith. The defence declined.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seeks an order compelling the plaintiff to attend the examination with Dr. Leith. They bring their application pursuant to Rule 7-6. By seeking this order and with the attendance of the plaintiff with Dr. Leith, they intend on using Dr. Leith as their expert. There is no application before me in relation to any appointment scheduled with Dr. Tessler, and I will not deal with that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issue before me is whether the defendant, under the circumstances of the plaintiff having been treated by Dr. Leith prior to the motor vehicle accident, should have an order compelling the plaintiff to attend with Dr. Leith and be permitted to retain Dr. Leith as the defence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Neither the plaintiff nor the defendant takes any issue with Dr. Leith's qualifications. The plaintiff does not oppose the defendant's proposition that an orthopedic IME may be appropriate. The plaintiff does oppose the choice of expert, that being Dr. Leith, on the basis of the prior doctor/patient relationship between Dr. Leith and the plaintiff. The plaintiff does oppose attending two IME's as noted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Authority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and defence provided a number of cases. I will not refer to all of the cases provided by counsel in this decision, but I will refer to those cases that I find to be relevant to the issue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Dr. Leith's qualifications are not in issue. The burden shifts to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burden then shifts to the plaintiff who opposes the appointment of that nominated medical practitioner to demonstrate by a preponderance of evidence that sufficient grounds exist to justify the court concluding that its discretion should not be exercised in favour of the appointment of a defendant's nominee. [</w:t>
      </w:r>
      <w:r>
        <w:rPr>
          <w:rFonts w:ascii="arial" w:eastAsia="arial" w:hAnsi="arial" w:cs="arial"/>
          <w:i/>
          <w:color w:val="000000"/>
          <w:sz w:val="20"/>
          <w:lang w:val="en-US" w:eastAsia="en-US" w:bidi="ar-SA"/>
        </w:rPr>
        <w:t>Astels v. The Canada Life Assurance Co.</w:t>
      </w:r>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2006 BCCA 110</w:t>
        </w:r>
      </w:hyperlink>
      <w:r>
        <w:rPr>
          <w:rFonts w:ascii="arial" w:eastAsia="arial" w:hAnsi="arial" w:cs="arial"/>
          <w:color w:val="000000"/>
          <w:sz w:val="20"/>
          <w:lang w:val="en-US" w:eastAsia="en-US" w:bidi="ar-SA"/>
        </w:rPr>
        <w: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To assess whether there are sufficient grounds, I find that the principles set out in </w:t>
      </w:r>
      <w:r>
        <w:rPr>
          <w:rFonts w:ascii="arial" w:eastAsia="arial" w:hAnsi="arial" w:cs="arial"/>
          <w:i/>
          <w:color w:val="000000"/>
          <w:sz w:val="20"/>
          <w:lang w:val="en-US" w:eastAsia="en-US" w:bidi="ar-SA"/>
        </w:rPr>
        <w:t>MacEachern v. Rennie</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2009 BCSC 939</w:t>
        </w:r>
      </w:hyperlink>
      <w:r>
        <w:rPr>
          <w:rFonts w:ascii="arial" w:eastAsia="arial" w:hAnsi="arial" w:cs="arial"/>
          <w:color w:val="000000"/>
          <w:sz w:val="20"/>
          <w:lang w:val="en-US" w:eastAsia="en-US" w:bidi="ar-SA"/>
        </w:rPr>
        <w:t xml:space="preserve">, a decision of Mr. Justice Ehrcke of the Supreme Court of British Columbia to be applicable. In </w:t>
      </w:r>
      <w:r>
        <w:rPr>
          <w:rFonts w:ascii="arial" w:eastAsia="arial" w:hAnsi="arial" w:cs="arial"/>
          <w:i/>
          <w:color w:val="000000"/>
          <w:sz w:val="20"/>
          <w:lang w:val="en-US" w:eastAsia="en-US" w:bidi="ar-SA"/>
        </w:rPr>
        <w:t>MacEachern</w:t>
      </w:r>
      <w:r>
        <w:rPr>
          <w:rFonts w:ascii="arial" w:eastAsia="arial" w:hAnsi="arial" w:cs="arial"/>
          <w:color w:val="000000"/>
          <w:sz w:val="20"/>
          <w:lang w:val="en-US" w:eastAsia="en-US" w:bidi="ar-SA"/>
        </w:rPr>
        <w:t>, the plaintiff suffered a traumatic brain injury in a motor vehicle accident. The plaintiff had seen a psychiatrist in the doctor's capacity as a medical doctor licensed to prescribe methadone as part of treatment for heroin addiction. The defendants sought to admit the expert evidence from the physician. The physician was allowed to give evidence, but only in his capacity as a treating physician and not as an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issue before me in this case is similar to the issue in </w:t>
      </w:r>
      <w:r>
        <w:rPr>
          <w:rFonts w:ascii="arial" w:eastAsia="arial" w:hAnsi="arial" w:cs="arial"/>
          <w:i/>
          <w:color w:val="000000"/>
          <w:sz w:val="20"/>
          <w:lang w:val="en-US" w:eastAsia="en-US" w:bidi="ar-SA"/>
        </w:rPr>
        <w:t>MacEachern</w:t>
      </w:r>
      <w:r>
        <w:rPr>
          <w:rFonts w:ascii="arial" w:eastAsia="arial" w:hAnsi="arial" w:cs="arial"/>
          <w:color w:val="000000"/>
          <w:sz w:val="20"/>
          <w:lang w:val="en-US" w:eastAsia="en-US" w:bidi="ar-SA"/>
        </w:rPr>
        <w:t>, and this is whether the court's discretion should be exercised to allow the defendants their choice of expert, that being Dr. Leith, or whether Dr. Leith should be prohibited from testifying as an expert witness for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There is no question that as a treating physician, Dr. Leith could be subpoenaed by the defence. In that circumstance, as set out in </w:t>
      </w:r>
      <w:r>
        <w:rPr>
          <w:rFonts w:ascii="arial" w:eastAsia="arial" w:hAnsi="arial" w:cs="arial"/>
          <w:i/>
          <w:color w:val="000000"/>
          <w:sz w:val="20"/>
          <w:lang w:val="en-US" w:eastAsia="en-US" w:bidi="ar-SA"/>
        </w:rPr>
        <w:t>MacEachern</w:t>
      </w:r>
      <w:r>
        <w:rPr>
          <w:rFonts w:ascii="arial" w:eastAsia="arial" w:hAnsi="arial" w:cs="arial"/>
          <w:color w:val="000000"/>
          <w:sz w:val="20"/>
          <w:lang w:val="en-US" w:eastAsia="en-US" w:bidi="ar-SA"/>
        </w:rPr>
        <w:t xml:space="preserve">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witness under subpoena, he must answer the questions asked of him unless there is a basis in law for excluding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Further, at para. 30, the court refers to </w:t>
      </w:r>
      <w:r>
        <w:rPr>
          <w:rFonts w:ascii="arial" w:eastAsia="arial" w:hAnsi="arial" w:cs="arial"/>
          <w:i/>
          <w:color w:val="000000"/>
          <w:sz w:val="20"/>
          <w:lang w:val="en-US" w:eastAsia="en-US" w:bidi="ar-SA"/>
        </w:rPr>
        <w:t>Burgess v. Wu</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[2003] O.J. No. 4826</w:t>
        </w:r>
      </w:hyperlink>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(2003), 68 O.R. (3d) 710</w:t>
        </w:r>
      </w:hyperlink>
      <w:r>
        <w:rPr>
          <w:rFonts w:ascii="arial" w:eastAsia="arial" w:hAnsi="arial" w:cs="arial"/>
          <w:color w:val="000000"/>
          <w:sz w:val="20"/>
          <w:lang w:val="en-US" w:eastAsia="en-US" w:bidi="ar-SA"/>
        </w:rPr>
        <w:t>, of the Ontario Supreme Court Justice Decisions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important at the outset to distinguish between access at trial and access before trial. Once a physician takes the witness stand, and regardless of whether he or she is called by the patient or subpoenaed by the defence, the physician must answer all relevant questions subject to a ruling in unusual circumstances that some subjects are privileged (see the discussion below re </w:t>
      </w:r>
      <w:r>
        <w:rPr>
          <w:rFonts w:ascii="arial" w:eastAsia="arial" w:hAnsi="arial" w:cs="arial"/>
          <w:b/>
          <w:i/>
          <w:color w:val="000000"/>
          <w:sz w:val="20"/>
          <w:lang w:val="en-US" w:eastAsia="en-US" w:bidi="ar-SA"/>
        </w:rPr>
        <w:t>M. (A.) v. Ryan</w:t>
      </w:r>
      <w:r>
        <w:rPr>
          <w:rFonts w:ascii="arial" w:eastAsia="arial" w:hAnsi="arial" w:cs="arial"/>
          <w:i/>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[1997] 1 S.C.R. 157</w:t>
        </w:r>
      </w:hyperlink>
      <w:r>
        <w:rPr>
          <w:rFonts w:ascii="arial" w:eastAsia="arial" w:hAnsi="arial" w:cs="arial"/>
          <w:i/>
          <w:color w:val="000000"/>
          <w:sz w:val="20"/>
          <w:lang w:val="en-US" w:eastAsia="en-US" w:bidi="ar-SA"/>
        </w:rPr>
        <w:t>, infra</w:t>
      </w:r>
      <w:r>
        <w:rPr>
          <w:rFonts w:ascii="arial" w:eastAsia="arial" w:hAnsi="arial" w:cs="arial"/>
          <w:color w:val="000000"/>
          <w:sz w:val="20"/>
          <w:lang w:val="en-US" w:eastAsia="en-US" w:bidi="ar-SA"/>
        </w:rPr>
        <w:t xml:space="preserve">). It is irrelevant whether or not the patient consents. The physician cannot refuse to answer on the ground of a duty of confidentiality: </w:t>
      </w:r>
      <w:r>
        <w:rPr>
          <w:rFonts w:ascii="arial" w:eastAsia="arial" w:hAnsi="arial" w:cs="arial"/>
          <w:b/>
          <w:i/>
          <w:color w:val="000000"/>
          <w:sz w:val="20"/>
          <w:lang w:val="en-US" w:eastAsia="en-US" w:bidi="ar-SA"/>
        </w:rPr>
        <w:t>Metropolitan Life Insurance Co. v. Frenette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1 S.C.R. 647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89 D.L.R. (4th) 653</w:t>
      </w:r>
      <w:r>
        <w:rPr>
          <w:rFonts w:ascii="arial" w:eastAsia="arial" w:hAnsi="arial" w:cs="arial"/>
          <w:color w:val="000000"/>
          <w:sz w:val="20"/>
          <w:lang w:val="en-US" w:eastAsia="en-US" w:bidi="ar-SA"/>
        </w:rPr>
        <w:t>, at p. 687 S.C.R., p. 681 D.L.R., per L'Heureux-Dubé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is clear then, should the defence elect to subpoena Dr. Leith, Dr. Leith would be bound to answer all relevant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What is the defence access to Dr. Leith outside the witness stand? There is no property in a witness, and as set out in </w:t>
      </w:r>
      <w:r>
        <w:rPr>
          <w:rFonts w:ascii="arial" w:eastAsia="arial" w:hAnsi="arial" w:cs="arial"/>
          <w:i/>
          <w:color w:val="000000"/>
          <w:sz w:val="20"/>
          <w:lang w:val="en-US" w:eastAsia="en-US" w:bidi="ar-SA"/>
        </w:rPr>
        <w:t>Swirski,</w:t>
      </w:r>
      <w:r>
        <w:rPr>
          <w:rFonts w:ascii="arial" w:eastAsia="arial" w:hAnsi="arial" w:cs="arial"/>
          <w:color w:val="000000"/>
          <w:sz w:val="20"/>
          <w:lang w:val="en-US" w:eastAsia="en-US" w:bidi="ar-SA"/>
        </w:rPr>
        <w:t xml:space="preserve"> Wilkinson J. summarized the point setting out pre-trial access to treating doctors. At para. 42, Wilkinson J.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will summarize:</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doctor-patient confidentiality attaching to the plaintiff's treating doctors concerning information relevant to the claims made herein for purposes of this action.</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counsel in this case are at liberty to discuss such matters with the plaintiff's said physicians in the absence of the plaintiff or her counsel.</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Province, the commencement of an action for damages for injury is a waiver of doctor-patient confidentiality for medical matters relevant to and bearing upon matters raised in the action.</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province such waiver also constitutes as a matter of law an implied authorization to the physicians for the release of such information for purposes of the litigation.</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Absent privilege, the only basis for imposing any restriction on such discussion would be the risk of inadvertent release of irrelevant (and thus still confidential) information.</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future cases (unless and until this decision has been overruled) it is not necessary for defence counsel to apply for approval to discuss the case with the plaintiff's physicians, but as a matter of practice in preparing the case for the court, general notice should be given to the plaintiff of an intention to seek informal discussions with named medical treatment givers. The notice should not be given until the limits of relevance and confidentiality have been set with reference to documents.</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onus will then be on the plaintiff to make application to bar or restrict such interviews.</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 decision in no way compels plaintiffs' treating doctors to take part in such meetings. They may do so or not as they wish and may impose such conditions as they wish, just as any other witness may do.</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and future cases, where deletions have been made in doctors' medical records, copies of the amended records should be supplied by defendants' counsel and the doctors' attention drawn to information still regarded as confidential. The </w:t>
      </w:r>
      <w:r>
        <w:rPr>
          <w:rFonts w:ascii="arial" w:eastAsia="arial" w:hAnsi="arial" w:cs="arial"/>
          <w:i/>
          <w:color w:val="000000"/>
          <w:sz w:val="20"/>
          <w:lang w:val="en-US" w:eastAsia="en-US" w:bidi="ar-SA"/>
        </w:rPr>
        <w:t>Professional Conduct Handbook</w:t>
      </w:r>
      <w:r>
        <w:rPr>
          <w:rFonts w:ascii="arial" w:eastAsia="arial" w:hAnsi="arial" w:cs="arial"/>
          <w:color w:val="000000"/>
          <w:sz w:val="20"/>
          <w:lang w:val="en-US" w:eastAsia="en-US" w:bidi="ar-SA"/>
        </w:rPr>
        <w:t xml:space="preserve"> ought to be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Counsel have not submitted nor provided any authority that suggests </w:t>
      </w:r>
      <w:r>
        <w:rPr>
          <w:rFonts w:ascii="arial" w:eastAsia="arial" w:hAnsi="arial" w:cs="arial"/>
          <w:i/>
          <w:color w:val="000000"/>
          <w:sz w:val="20"/>
          <w:lang w:val="en-US" w:eastAsia="en-US" w:bidi="ar-SA"/>
        </w:rPr>
        <w:t>Swirski</w:t>
      </w:r>
      <w:r>
        <w:rPr>
          <w:rFonts w:ascii="arial" w:eastAsia="arial" w:hAnsi="arial" w:cs="arial"/>
          <w:color w:val="000000"/>
          <w:sz w:val="20"/>
          <w:lang w:val="en-US" w:eastAsia="en-US" w:bidi="ar-SA"/>
        </w:rPr>
        <w:t xml:space="preserve"> is not the law in BC for the process to be followed for opposing counsel to have access to the other party's treating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 within case, the defence, through inadvertence, did not advise the plaintiff of the initial contact of the defence with Dr. Leith. Counsel for the defence advised the plaintiff as soon as they were aware of their oversight.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defence argues that Dr. Leith is no longer a treating physician of the plaintiff. I reject that submission. Dr. Leith attended with and examined the plaintiff. She confided in him with respect to her physical condition and sought consultation and treatment from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has commenced this action, and by doing so, has waived any confidential nature of medical information that is relevant to her claim, including any relevant information from Dr. Leith. The plaintiff retains the right to oppose production of any non-relevant medical information. To order the plaintiff to return to Dr. Leith and convert Dr. Leith from a treating physician, albeit a former treating physician, to an expert for the opposing party would put the plaintiff in an untenable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consulted with Dr. Leith as a patient. She submitted to an examination and sought treatment from him. Dr. Leith provided an opinion to the plaintiff on one of the central matters that is now at issue in the plaintiff's claim, that being her pre-existing condition in relation to the Erb's Palsy.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opposes the attendance on the basis that Dr. Leith would be converted from a treating physician to the opposing party's expert, and if compelled to attend, her confidence in the IME process would be eroded.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defendant has not argued that the orthopedic opinion sought by the defence from Dr. Leith could not be provided by another orthopedic specialist. The particular reason why the defence appears to desire the opinion by Dr. Leith is the very fact he has previously examined the plaintiff. Although not binding on me, the plaintiff submitted a copy of an article by Dr. James Filbey, published in the </w:t>
      </w:r>
      <w:r>
        <w:rPr>
          <w:rFonts w:ascii="arial" w:eastAsia="arial" w:hAnsi="arial" w:cs="arial"/>
          <w:i/>
          <w:color w:val="000000"/>
          <w:sz w:val="20"/>
          <w:lang w:val="en-US" w:eastAsia="en-US" w:bidi="ar-SA"/>
        </w:rPr>
        <w:t>College of Physicians and Surgeons of British Columbia College Quarterly</w:t>
      </w:r>
      <w:r>
        <w:rPr>
          <w:rFonts w:ascii="arial" w:eastAsia="arial" w:hAnsi="arial" w:cs="arial"/>
          <w:color w:val="000000"/>
          <w:sz w:val="20"/>
          <w:lang w:val="en-US" w:eastAsia="en-US" w:bidi="ar-SA"/>
        </w:rPr>
        <w:t>, spring 2002, issue 37. I have reviewed the article and find some of the statements compelling.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article titled "Independent Medical Exam," gives suggestions to the physician readers on the subject of IMEs. Dr. Filbey states in the article: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 clear that the appointment is only for the purpose of independent medical examination. You will not accept the claimant as a patient for treatment of the current condition at this time nor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agree with that approach, and given the above, it stands to reason that a prior doctor/patient relationship should also be considered when asked to accept a retainer for an IME. Following the logic, a doctor should not accept a retainer to do an IME if they have previously seen the claimant as a patient for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That Dr. Leith agrees to do an IME on a former patient does not resolve the issue. Dr. Filbey describes the IME examiner's role as neither an adversary nor an advocate.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Rule 11-2(1)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Duty of expert witness: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giving an opinion to the court, an expert appointed under this Part by one or more parties or by the court has a duty to assist the court and is not to be an advocate for any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This emphasizes the requirement of the expert to be able to be clear on their role to provide an unbiased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With Dr. Leith having seen the claimant in the role of treating physician in the past, questions, at least in the mind of the plaintiff, arise about the ability of the physician now proposing to do an IME for the opposing party to be unbiased. The perception of neutrality of an expert opinion for an IME should, as much as is reasonably possible in the circumstances of each case, be free from any shadow of bias.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these circumstances, the concerns of the plaintiff are reasonable. At the very least, there is a potential appearance of bias when an IME is conducted by a former treating physician of the plaintiff. It also appears from the article that if Dr. Leith was retained as an expert by the defence, this eliminates any chance of the plaintiff receiving any future treatment from this specialist, even though she had been his patient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 find the plaintiff has made out sufficient grounds that the court's discretion should not be exercised in favour of the defendant's application. The defendant's application for the plaintiff to attend an IME with Dr. Leith is denied. Dr. Leith remains a treating physician, and the defence should conduct themselves in accordance with the process set out in </w:t>
      </w:r>
      <w:r>
        <w:rPr>
          <w:rFonts w:ascii="arial" w:eastAsia="arial" w:hAnsi="arial" w:cs="arial"/>
          <w:i/>
          <w:color w:val="000000"/>
          <w:sz w:val="20"/>
          <w:lang w:val="en-US" w:eastAsia="en-US" w:bidi="ar-SA"/>
        </w:rPr>
        <w:t>Swirski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determination of the scope of the evidence of Dr. Leith at trial is properly left to the discretion of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Costs will be costs to the plaintiff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Of further note, as these are oral reasons and in the event a transcript is requested, I reserve the right to make appropriate edits to the reasons to give further clarity to my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M.E. SHAW</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9" style="position:absolute;z-index:251766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4"/>
          <w:headerReference w:type="default" r:id="rId655"/>
          <w:footerReference w:type="even" r:id="rId656"/>
          <w:footerReference w:type="default" r:id="rId657"/>
          <w:headerReference w:type="first" r:id="rId658"/>
          <w:footerReference w:type="first" r:id="rId6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60" w:history="1">
        <w:r>
          <w:rPr>
            <w:rFonts w:ascii="arial" w:eastAsia="arial" w:hAnsi="arial" w:cs="arial"/>
            <w:b/>
            <w:bCs/>
            <w:i/>
            <w:color w:val="0077CC"/>
            <w:kern w:val="32"/>
            <w:sz w:val="28"/>
            <w:szCs w:val="32"/>
            <w:u w:val="single"/>
            <w:shd w:val="clear" w:color="auto" w:fill="FFFFFF"/>
            <w:lang w:val="en-US" w:eastAsia="en-US" w:bidi="ar-SA"/>
          </w:rPr>
          <w:t>Willson v. Angela Gibson Law Corp., [2008] B.C.J. No. 1899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R.B.T. Goepel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August 29 (written submissions of the</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Defendants) and September 16, 2008 (written submissions</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of the Plaintiffs).</w:t>
      </w:r>
    </w:p>
    <w:p>
      <w:pPr>
        <w:spacing w:before="120" w:line="260" w:lineRule="atLeast"/>
        <w:jc w:val="center"/>
        <w:rPr>
          <w:lang w:val="en-US" w:eastAsia="en-US" w:bidi="ar-SA"/>
        </w:rPr>
      </w:pPr>
      <w:r>
        <w:rPr>
          <w:rFonts w:ascii="arial" w:eastAsia="arial" w:hAnsi="arial" w:cs="arial"/>
          <w:color w:val="000000"/>
          <w:sz w:val="20"/>
          <w:lang w:val="en-US" w:eastAsia="en-US" w:bidi="ar-SA"/>
        </w:rPr>
        <w:t>Supplementary judgment: October 8, 2008.</w:t>
      </w:r>
    </w:p>
    <w:p>
      <w:pPr>
        <w:spacing w:before="120" w:line="260" w:lineRule="atLeast"/>
        <w:jc w:val="center"/>
        <w:rPr>
          <w:lang w:val="en-US" w:eastAsia="en-US" w:bidi="ar-SA"/>
        </w:rPr>
      </w:pPr>
      <w:r>
        <w:rPr>
          <w:rFonts w:ascii="arial" w:eastAsia="arial" w:hAnsi="arial" w:cs="arial"/>
          <w:color w:val="000000"/>
          <w:sz w:val="20"/>
          <w:lang w:val="en-US" w:eastAsia="en-US" w:bidi="ar-SA"/>
        </w:rPr>
        <w:t>Docket: S030339</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[2008] B.C.J. No. 1899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2008 BCSC 1341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87 B.C.L.R. (4th) 51</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87 B.C.L.R. (4th) 319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300 D.L.R. (4th) 765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2008 CarswellBC 1678</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2008 CarswellBC 2108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169 A.C.W.S. (3d) 503</w:t>
      </w:r>
    </w:p>
    <w:p>
      <w:pPr>
        <w:spacing w:before="120" w:line="260" w:lineRule="atLeast"/>
        <w:rPr>
          <w:lang w:val="en-US" w:eastAsia="en-US" w:bidi="ar-SA"/>
        </w:rPr>
      </w:pPr>
      <w:r>
        <w:rPr>
          <w:rFonts w:ascii="arial" w:eastAsia="arial" w:hAnsi="arial" w:cs="arial"/>
          <w:color w:val="000000"/>
          <w:sz w:val="20"/>
          <w:lang w:val="en-US" w:eastAsia="en-US" w:bidi="ar-SA"/>
        </w:rPr>
        <w:t>Between Graeme Willson and Sonia Willson, Plaintiffs, and Angela Gibson Law Corporation, formerly known as Gibson Geronazzo Law Corporation and Angela Gibson,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(10 paras.)</w:t>
      </w:r>
    </w:p>
    <w:p>
      <w:pPr>
        <w:spacing w:line="240" w:lineRule="atLeast"/>
        <w:jc w:val="both"/>
        <w:rPr>
          <w:lang w:val="en-US" w:eastAsia="en-US" w:bidi="ar-SA"/>
        </w:rPr>
      </w:pPr>
      <w:r>
        <w:rPr>
          <w:lang w:val="en-US" w:eastAsia="en-US" w:bidi="ar-SA"/>
        </w:rPr>
        <w:br/>
      </w:r>
      <w:r>
        <w:rPr>
          <w:rFonts w:ascii="arial" w:eastAsia="arial" w:hAnsi="arial" w:cs="arial"/>
          <w:color w:val="000000"/>
          <w:sz w:val="18"/>
          <w:lang w:val="en-US" w:eastAsia="en-US" w:bidi="ar-SA"/>
        </w:rPr>
        <w:t xml:space="preserve">[Editor's note: Original reasons for judgment were released August 8, 2008. See </w:t>
      </w:r>
      <w:hyperlink r:id="rId661" w:history="1">
        <w:r>
          <w:rPr>
            <w:rFonts w:ascii="arial" w:eastAsia="arial" w:hAnsi="arial" w:cs="arial"/>
            <w:i/>
            <w:color w:val="0077CC"/>
            <w:sz w:val="18"/>
            <w:u w:val="single"/>
            <w:shd w:val="clear" w:color="auto" w:fill="FFFFFF"/>
            <w:lang w:val="en-US" w:eastAsia="en-US" w:bidi="ar-SA"/>
          </w:rPr>
          <w:t>[2008] B.C.J. No. 1514</w:t>
        </w:r>
      </w:hyperlink>
      <w:r>
        <w:rPr>
          <w:rFonts w:ascii="arial" w:eastAsia="arial" w:hAnsi="arial" w:cs="arial"/>
          <w:color w:val="000000"/>
          <w:sz w:val="18"/>
          <w:lang w:val="en-US" w:eastAsia="en-US" w:bidi="ar-SA"/>
        </w:rPr>
        <w:t>.]</w:t>
      </w:r>
      <w:r>
        <w:rPr>
          <w:lang w:val="en-US" w:eastAsia="en-US" w:bidi="ar-SA"/>
        </w:rPr>
        <w:cr/>
      </w:r>
    </w:p>
    <w:p>
      <w:pPr>
        <w:keepNext/>
        <w:spacing w:before="240" w:line="340" w:lineRule="atLeast"/>
        <w:rPr>
          <w:lang w:val="en-US" w:eastAsia="en-US" w:bidi="ar-SA"/>
        </w:rPr>
      </w:pPr>
      <w:bookmarkStart w:id="129" w:name="Counsel_28"/>
      <w:bookmarkEnd w:id="129"/>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30" style="position:absolute;z-index:25169305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Plaintiffs: R.E. Breivik and M. Tweedy.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Defendants: P. Abrioux and E. Lundberg.</w:t>
      </w:r>
      <w:r>
        <w:rPr>
          <w:lang w:val="en-US" w:eastAsia="en-US" w:bidi="ar-SA"/>
        </w:rPr>
        <w:cr/>
      </w:r>
    </w:p>
    <w:p>
      <w:pPr>
        <w:spacing w:after="240"/>
        <w:rPr>
          <w:lang w:val="en-US" w:eastAsia="en-US" w:bidi="ar-SA"/>
        </w:rPr>
      </w:pPr>
      <w:bookmarkStart w:id="130" w:name="Judgment_28"/>
      <w:bookmarkEnd w:id="130"/>
      <w:r>
        <w:pict>
          <v:line id="_x0000_s1131" style="position:absolute;z-index:25173299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Supplementary Reasons for Judgment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 Costs</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31" w:name="R.B.T. GOEPEL J."/>
            <w:bookmarkEnd w:id="131"/>
            <w:r>
              <w:rPr>
                <w:rFonts w:ascii="arial" w:eastAsia="arial" w:hAnsi="arial" w:cs="arial"/>
                <w:b/>
                <w:color w:val="000000"/>
                <w:sz w:val="30"/>
                <w:lang w:val="en-US" w:eastAsia="en-US" w:bidi="ar-SA"/>
              </w:rPr>
              <w:t>R.B.T. GOEPEL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reasons for judgment released on August 8, 2008 and found at </w:t>
      </w:r>
      <w:hyperlink r:id="rId661" w:history="1">
        <w:r>
          <w:rPr>
            <w:rFonts w:ascii="arial" w:eastAsia="arial" w:hAnsi="arial" w:cs="arial"/>
            <w:i/>
            <w:color w:val="0077CC"/>
            <w:sz w:val="20"/>
            <w:u w:val="single"/>
            <w:shd w:val="clear" w:color="auto" w:fill="FFFFFF"/>
            <w:lang w:val="en-US" w:eastAsia="en-US" w:bidi="ar-SA"/>
          </w:rPr>
          <w:t>2008 BCSC 1081</w:t>
        </w:r>
      </w:hyperlink>
      <w:r>
        <w:rPr>
          <w:rFonts w:ascii="arial" w:eastAsia="arial" w:hAnsi="arial" w:cs="arial"/>
          <w:color w:val="000000"/>
          <w:sz w:val="20"/>
          <w:lang w:val="en-US" w:eastAsia="en-US" w:bidi="ar-SA"/>
        </w:rPr>
        <w:t>, I dismissed the plaintiffs' action. In regards to costs, I said as follows at paras. 102-03:</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defendants seek special costs. They submit that the allegations of fraud made by the Willsons were reprehensible. They also point to unsubstantiated allegations of lying made by the Willsons against Ms. Ross throughout the trial. In the normal course, allegations of that nature made against a solicitor might well lead to special costs. This is not however a normal situation. Throughout this transaction, Ms. Ross took steps that one would not expect a solicitor to take. She clearly lost control of the situation. If she had acted otherwise, this action might never have been commenced. I appreciate that Ms. Ross was at the time under severe stress in her personal life and that stress may well have impacted and affected her judgment. Her actions were such, however, that it is my tentative conclusion it would not be appropriate to award her special costs, or any costs whatsoever, for the defence of this action.</w:t>
      </w:r>
    </w:p>
    <w:p>
      <w:pPr>
        <w:spacing w:before="120" w:line="260" w:lineRule="atLeast"/>
        <w:ind w:left="720"/>
        <w:rPr>
          <w:lang w:val="en-US" w:eastAsia="en-US" w:bidi="ar-SA"/>
        </w:rPr>
      </w:pPr>
      <w:r>
        <w:rPr>
          <w:rFonts w:ascii="arial" w:eastAsia="arial" w:hAnsi="arial" w:cs="arial"/>
          <w:color w:val="000000"/>
          <w:sz w:val="20"/>
          <w:lang w:val="en-US" w:eastAsia="en-US" w:bidi="ar-SA"/>
        </w:rPr>
        <w:t>The action is dismissed without costs. If either side seeks a different order as to costs they should file written submissions within 21 days of release of these reasons. The other side will have 14 days to respond.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Pursuant to my direction, the defendants seek a different order as to costs and have filed written submissions. Responsive submissions have been filed on behalf of the plaintiffs.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submissions review the long history of this case which was commenced on January 20, 2003. The defendants note that by the time the case proceeded to trial, the plaintiffs' claim was limited to a submission that the post-dated trust cheques the defendants gave to the plaintiffs constituted legally enforceable undertakings. The central factual issue in the action was whether the defendants had placed conditions on the cheques before giving them to the plaintiffs. That question turned on credibility.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ultimately concluded that the cheques did not in law constitute legally enforceable undertakings. Alternatively, I accepted the evidence of Ms. Ross and Ms. Guthrie as to the events which took place at the time the cheques were delivered.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While the case presented at trial was limited to the question as to whether the cheques constituted legally enforceable undertakings, the plaintiffs had previously made allegations of negligent misrepresentation, fraudulent misrepresentation, breach of contract, breach of trust, fraudulent breach of trust, breach of fiduciary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 These various allegations were not withdrawn until the eve of the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During the trial, the plaintiffs repeatedly made unfounded allegations of morally questionable conduct against Ms. Ross. The allegations included accusations of Ms. Ross lying, destroying trust ledgers and destroying notes. Mr. Willson also accused Ms. Guthrie, the defendant's legal assistant, of being dishonest.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defendants submit the plaintiffs did not have a legitimate evidentiary basis for making such allegations. The defendants cite </w:t>
      </w:r>
      <w:r>
        <w:rPr>
          <w:rFonts w:ascii="arial" w:eastAsia="arial" w:hAnsi="arial" w:cs="arial"/>
          <w:b/>
          <w:i/>
          <w:color w:val="000000"/>
          <w:sz w:val="20"/>
          <w:lang w:val="en-US" w:eastAsia="en-US" w:bidi="ar-SA"/>
        </w:rPr>
        <w:t>Louie v. Louie Estate</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[1999] B.C.J. No. 215</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Genesee Enterprises Ltd. v. Abou-Rached</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2001 BCSC 1172</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Ip v. Insurance Corp. of British Columbia</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(1994), 89 B.C.L.R. (2d) 251</w:t>
        </w:r>
      </w:hyperlink>
      <w:r>
        <w:rPr>
          <w:rFonts w:ascii="arial" w:eastAsia="arial" w:hAnsi="arial" w:cs="arial"/>
          <w:color w:val="000000"/>
          <w:sz w:val="20"/>
          <w:lang w:val="en-US" w:eastAsia="en-US" w:bidi="ar-SA"/>
        </w:rPr>
        <w:t xml:space="preserve"> (S.C.) in support of their submission that the pursuit of unfounded allegations of serious and fraudulent misconduct is conduct deserving of rebuke through an order of special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alternative, the defendants say that at a minimum they should receive their party and party costs. They note that they were ultimately successful in defeating the plaintiffs' claim in its entirety and that the circumstances do not warrant depriving the defendants of their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submit that I should affirm my tentative conclusion depriving the defendants of any costs for the reasons set out in para. 102. They submit that none of the authorities cited by the defendants deal with a situation where the party claiming special costs was found guilty of misconduct and inappropriate behaviour. They submit that the evidence on the whole establishes that Ms. Gibson did the plaintiffs an egregious disservice and that she could have and should have discovered the transaction was a sham and doomed to failure long before she did. The plaintiffs submit that their criticisms of Ms. Ross are understandable given all of the circumstances of this proceeding.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Having given this matter further reflection, I have come to the conclusion that I should revisit my cost decision. While certain actions of Ms. Ross can properly be criticised, the fact is that the plaintiffs' action failed in its entirety. In the normal course, unfounded criticisms of the type levelled by the plaintiffs might well lead to an award of special costs. Because of the manner in which the transaction was carried out, I would not award special costs. There is, however, no principled reason why the defendants should not receive their party and party costs. They were entirely successful in defending the claim. All credibility issues were resolved in their favour. I award the defendants costs of the action on Scale B.</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R.B.T. GOEPEL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767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Wong v. British Columbia (Securities Commission), [2011] B.C.J. No. 191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F.W. Cole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8-10,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8,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S088719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216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198 A.C.W.S. (3d) 37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Gilbert Kenneth Wong and 0512974 B.C. Ltd., Plaintiffs, and British Columbia Securities Commission, Brenda M. Leong, Douglas B. Muir, Alan E. Keats, Mark E. French, Steven Plummer, Michael Sorbo, George B. Coleman, Stephen J. Wilson, James A. ("Sasha") Angus, Peter J. Brady, Mutual Fund Dealers Association of Canada and Wendy Royle,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(40 paras.)</w:t>
      </w:r>
    </w:p>
    <w:p>
      <w:pPr>
        <w:jc w:val="both"/>
        <w:rPr>
          <w:rFonts w:ascii="arial" w:eastAsia="arial" w:hAnsi="arial" w:cs="arial"/>
          <w:sz w:val="20"/>
          <w:lang w:val="en-US" w:eastAsia="en-US" w:bidi="ar-SA"/>
        </w:rPr>
      </w:pPr>
      <w:bookmarkStart w:id="132" w:name="Counsel_29"/>
      <w:bookmarkEnd w:id="1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3"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Acting on his own behalf: G.K.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British Columbia Securities Commission, B. Leong, D. Muir, A. Keats, M. French, S. Plummer, M. Sorbo, G. Coleman, S. Wilson, J. Angus, P. Brady: H.A. Mickelson, Q.C., G. Trotter.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3" w:name="Judgment_29"/>
      <w:bookmarkEnd w:id="133"/>
      <w:r>
        <w:pict>
          <v:line id="_x0000_s1134" style="position:absolute;z-index:2517340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4" w:name="F.W. COLE J."/>
            <w:bookmarkEnd w:id="134"/>
            <w:r>
              <w:rPr>
                <w:rFonts w:ascii="arial" w:eastAsia="arial" w:hAnsi="arial" w:cs="arial"/>
                <w:b/>
                <w:color w:val="000000"/>
                <w:sz w:val="30"/>
                <w:lang w:val="en-US" w:eastAsia="en-US" w:bidi="ar-SA"/>
              </w:rPr>
              <w:t>F.W. COLE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defendants, British Columbia Securities Commission ("BCSC"), Brenda M. Leong, Douglas B. Muir, Alan E. Keats, Mark E. French, Steven Plummer, Michael Sorbo, Stephen J. Wilson, James A. ("Sasha") Angus and Peter J. Brady, collectively referred to as the "BCSC Defendants", for an order that the plaintiff, Gilbert Kenneth Wong and the numbered company 0512974 B.C. Ltd. post security for costs in favour of the BCSC Defendants in the amount of $120,000 and that the action be stayed against the BCSC Defendants until such time as security for costs is posted with the Registrar of the Court, and if the plaintiffs fail to post security for costs within 90 days of the Court's order, that the BCSC Defendants shall have leave to apply to dismiss the action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other defendants, Mutual Fund Dealers Association of Canada and Wendy Royle, were not represented at the hearing but the Court was advised they were in support of the BCSC Defendants'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Mr. Wong was the president and chief operating officer of the corporate plaintiff 0512974 B.C. Ltd. for the entire time that the numbered company, also known as Foresight Capital Corporation (hereinafter referred to as the "numbered company" or "Foresight") operated under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418</w:t>
      </w:r>
      <w:r>
        <w:rPr>
          <w:rFonts w:ascii="arial" w:eastAsia="arial" w:hAnsi="arial" w:cs="arial"/>
          <w:color w:val="000000"/>
          <w:sz w:val="20"/>
          <w:lang w:val="en-US" w:eastAsia="en-US" w:bidi="ar-SA"/>
        </w:rPr>
        <w:t>. Mr. Wong retains those titles today and was also the numbered company's compliance officer from June 1997 to August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were compliance problems with the numbered company since the first compliance report in December of 1997. As a result of compliance deficiencies, Foresight signed an agreed statement of facts and undertaking in May of 2000, in which it acknowledged its compliance failure to that date. Things did not improve over the following year. A further negative compliance examination report was filed in November of 2000. Foresight's file was referred to the enforcement division of the BCSC and the Capital Market Division of BCSC considered in parallel imposing administrative conditions on Foresight.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Capital Market Regulation Division imposed restrictions on Foresight's registration in June of 2001. Those restrictions dealt with breaches of the rules relating to the sale of exempt products, such as securities sold without a prospectus, and required Mr. Wong to step down as compliance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Although a new compliance officer was hired in October 2001, in November 2002, Mr. Naeen Tyab, the majority shareholder of Foresight, along with Mr. Wong as minority shareholder, provided an undertaking and guarantee to the BCSC. In exchange for being given until December 15, 2002, to find a buyer for Foresight, they would guarantee the company's arms length debts and undertake to wind up Foresight if no purchaser was found. Foresight ceased operations in December 2002 and was dissolved in July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same compliance failures resulted in a notice of hearing in December of 2004, and the hearings came before the commission during 2005 and then to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a 2 to 1 split decision released February 2007, </w:t>
      </w:r>
      <w:hyperlink r:id="rId671" w:history="1">
        <w:r>
          <w:rPr>
            <w:rFonts w:ascii="arial" w:eastAsia="arial" w:hAnsi="arial" w:cs="arial"/>
            <w:i/>
            <w:color w:val="0077CC"/>
            <w:sz w:val="20"/>
            <w:u w:val="single"/>
            <w:shd w:val="clear" w:color="auto" w:fill="FFFFFF"/>
            <w:lang w:val="en-US" w:eastAsia="en-US" w:bidi="ar-SA"/>
          </w:rPr>
          <w:t>2007 BCSECCOM 101</w:t>
        </w:r>
      </w:hyperlink>
      <w:r>
        <w:rPr>
          <w:rFonts w:ascii="arial" w:eastAsia="arial" w:hAnsi="arial" w:cs="arial"/>
          <w:color w:val="000000"/>
          <w:sz w:val="20"/>
          <w:lang w:val="en-US" w:eastAsia="en-US" w:bidi="ar-SA"/>
        </w:rPr>
        <w:t>, all members of the commission panel found one of Foresight's representatives had committed numerous breaches of security rules dealing with exempt products, and that Foresight and Mr. Wong were responsible for those breaches for the failure to provide adequate oversight. The majority excused Foresight and Mr. Wong from legal liability concluding that their breaches had been substantially dealt with by the May 2000 agreed statement of facts and undertaking and the June 2001 restrictions. The dissent would have found both Foresight and Mr. Wong liable as the June 2001 registration conditions from the Capital Market Division were for public protection and should not bar a prosecution by the enforcement division for deterrence and punishment purposes in respect to the same compliance failures. The dissent concluded at para. 608: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 that the deficiencies were eventually rectified does not mean that BCSC staff cannot or should not bring an enforcement action. That is particularly so in a case such as this one where there is good evidence that Foresight and Wong made no real effort to perform or improve the performance of the required compliance functions prior to Wong's resignation as compliance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On December 12, 2008, Mr. Wong and Foresight filed a writ of summons and on December 29, 2009, they filed a 380-page statement of claim in the present action. The plaintiffs claim over $15 million based on approximately 32 different alleged causes of action including criminal misconduct, breach of trust, abuse of public office, charter breaches,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malicious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THE SECURITY FOR COSTS AGAINST THE CORPORATE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claims that there are assets held by the Securities Commission on behalf of Foresight. However, Mark Wang, Legal Services Manager for the Securities Commission, filed an affidavit that indicated the monies referred to by Foresight are to provide funds to pay clients on certain classes of BCSC's registrants in the event of certain types of defaults of one of those registrants. The monies that are available to pay for clients of Foresight presently amount to $4,576.28. I therefore do not consider that amount of money to be available to Foresight. I am satisfied that Foresight has no assets and consequently no ability to pay costs should their claim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It is generally settled that with respect to the corporate plaintiffs, security is generally ordered unless the court is satisfied that there is no arguable defence: </w:t>
      </w:r>
      <w:r>
        <w:rPr>
          <w:rFonts w:ascii="arial" w:eastAsia="arial" w:hAnsi="arial" w:cs="arial"/>
          <w:i/>
          <w:color w:val="000000"/>
          <w:sz w:val="20"/>
          <w:lang w:val="en-US" w:eastAsia="en-US" w:bidi="ar-SA"/>
        </w:rPr>
        <w:t>Fat Mel's Restaurant Ltd. v. Canadian Northern Shield Insurance Co.</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(1993), 76 B.C.L.R. (2d) 231</w:t>
        </w:r>
      </w:hyperlink>
      <w:r>
        <w:rPr>
          <w:rFonts w:ascii="arial" w:eastAsia="arial" w:hAnsi="arial" w:cs="arial"/>
          <w:color w:val="000000"/>
          <w:sz w:val="20"/>
          <w:lang w:val="en-US" w:eastAsia="en-US" w:bidi="ar-SA"/>
        </w:rPr>
        <w:t xml:space="preserve"> (C.A.),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governing principles for awarding security for costs against a corporate plaintiff are set out in </w:t>
      </w:r>
      <w:r>
        <w:rPr>
          <w:rFonts w:ascii="arial" w:eastAsia="arial" w:hAnsi="arial" w:cs="arial"/>
          <w:i/>
          <w:color w:val="000000"/>
          <w:sz w:val="20"/>
          <w:lang w:val="en-US" w:eastAsia="en-US" w:bidi="ar-SA"/>
        </w:rPr>
        <w:t>Kropp (c.o.b. Canadian Resort Development Corp.) v. Swaneset Bay Golf Course Ltd.</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(1997), 29 B.C.L.R. (3d) 252</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Keary Development v. Tarmac Construction</w:t>
      </w:r>
      <w:r>
        <w:rPr>
          <w:rFonts w:ascii="arial" w:eastAsia="arial" w:hAnsi="arial" w:cs="arial"/>
          <w:color w:val="000000"/>
          <w:sz w:val="20"/>
          <w:lang w:val="en-US" w:eastAsia="en-US" w:bidi="ar-SA"/>
        </w:rPr>
        <w:t>, [1995] 3 All E.R. 534, the English Court of Appeal considered s 726(1) of the Companies Act 1985, reviewed a number of authorities applying that provision or its predecessors, and then set out the principles which emerged from those cases. The principles are stated at pp. 539-542, and may be summarized in this way: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has a complete discretion whether to order security, and will act in light of all the relevant circumstances;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possibility or probability that the plaintiff company will be deterred from pursuing its claim is not without more sufficient reason for not ordering security</w:t>
      </w:r>
      <w:r>
        <w:rPr>
          <w:rFonts w:ascii="arial" w:eastAsia="arial" w:hAnsi="arial" w:cs="arial"/>
          <w:color w:val="000000"/>
          <w:sz w:val="20"/>
          <w:lang w:val="en-US" w:eastAsia="en-US" w:bidi="ar-SA"/>
        </w:rPr>
        <w: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court must attempt to balance injustices arising from use of security as an instrument of oppression to stifle a legitimate claim on the one hand, and use of impecuniosity as a means of putting unfair pressure on a defendant on the other</w:t>
      </w:r>
      <w:r>
        <w:rPr>
          <w:rFonts w:ascii="arial" w:eastAsia="arial" w:hAnsi="arial" w:cs="arial"/>
          <w:color w:val="000000"/>
          <w:sz w:val="20"/>
          <w:lang w:val="en-US" w:eastAsia="en-US" w:bidi="ar-SA"/>
        </w:rPr>
        <w: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have regard to the merits of the action, but should avoid going into detail on the merits unless success or failure appears obvious;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can order any amount of security up to the full amount claimed, as long as the amount is more than nominal;</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court refuses to order security on the ground that it would unfairly stifle a valid claim, the court must be satisfied that, in all the circumstances, it is probable that the claim would be stifled;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lateness of the application for security is a circumstance which can properly be taken into account.</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those principles as more fully articulated and explained in </w:t>
      </w:r>
      <w:r>
        <w:rPr>
          <w:rFonts w:ascii="arial" w:eastAsia="arial" w:hAnsi="arial" w:cs="arial"/>
          <w:i/>
          <w:color w:val="000000"/>
          <w:sz w:val="20"/>
          <w:lang w:val="en-US" w:eastAsia="en-US" w:bidi="ar-SA"/>
        </w:rPr>
        <w:t>Keary</w:t>
      </w:r>
      <w:r>
        <w:rPr>
          <w:rFonts w:ascii="arial" w:eastAsia="arial" w:hAnsi="arial" w:cs="arial"/>
          <w:color w:val="000000"/>
          <w:sz w:val="20"/>
          <w:lang w:val="en-US" w:eastAsia="en-US" w:bidi="ar-SA"/>
        </w:rPr>
        <w:t xml:space="preserve"> are a useful guide to the application of [the equivalent of what is now s. 236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in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corporate plaintiff has not adduced evidence of the ability of the two shareholders, Mr. Tyab, who was the sole shareholder of Foresight in November 1996 and majority shareholder in November 2002, and Mr. Wong, who is only described as a shareholder, respecting their ability to post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evidence does not satisfy me that Foresight's impecuniosity is in any way connected with the prosecution in respect of which it sues. Foresight was already deregistered with the BCSC before the hearing even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With respect to the merits of this action, that will be discussed in more detail when considering the application for security for costs against Mr.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am satisfied here that the application for security for costs was brought at the very outset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corporate defendant has failed to disclose what assets it has or whether or not it could borrow money or raise funds for the defence of the present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After considering all the factors articulated in </w:t>
      </w:r>
      <w:r>
        <w:rPr>
          <w:rFonts w:ascii="arial" w:eastAsia="arial" w:hAnsi="arial" w:cs="arial"/>
          <w:i/>
          <w:color w:val="000000"/>
          <w:sz w:val="20"/>
          <w:lang w:val="en-US" w:eastAsia="en-US" w:bidi="ar-SA"/>
        </w:rPr>
        <w:t>Kropp</w:t>
      </w:r>
      <w:r>
        <w:rPr>
          <w:rFonts w:ascii="arial" w:eastAsia="arial" w:hAnsi="arial" w:cs="arial"/>
          <w:color w:val="000000"/>
          <w:sz w:val="20"/>
          <w:lang w:val="en-US" w:eastAsia="en-US" w:bidi="ar-SA"/>
        </w:rPr>
        <w:t>, I am satisfied that the corporate plaintiff should be ordered to pay security for costs. The plaintiff has not raised the issue of no arguable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SECURITY FOR COSTS AGAINST THE INDIVIDUAL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evidence is clear that the plaintiff Mr. Wong lacks sufficient assets to cover the magnitude of costs that could be awarded in this case. The Land Title Office and Personal Property Security searches do not disclose any assets in his name. Furthermore, there is a PPSA search that reveals an unpaid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debt on behalf of Mr.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Wong alleges that the defendants' conduct, particularly the malicious prosecution and the allegations that are still alive on the internet, have led to his impecuniosity. However, any allegations of wrongful conduct after Foresight was wound up in 2002, including the December 2004 Notice of Hearing which led to the prosecution which forms the substantial basis of the plaintiff's claim, could not have caused the winding up. Furthermore, any cause of action said to arise from wrongful conduct alleged to have occurred prior to 2002 is statute barred and therefore not properly at issue in this action. I am therefore satisfied that any impecuniosity asserted by the plaintiff was not caused by wrongful conduct at issue in this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Is the claim oppressive in its nature and scope?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January of 2007 Mr. Wong, one month before the release of the reasons for the decision of the panel under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 xml:space="preserve"> prosecution, published offensive and defamatory statements about members of the BCSC Defendants, many of whom were senior members of the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 blog posting, Mr. Wong alleges that the BCSC investigation was conducted in an incompetent manner, that the lawyers engaged in "illegal behaviour" and that Mr. French "lied at least ten times under oath". Mr. Wong also refers to the investigation prosecution as a "witch hunt", alleges that former senior compliance officer George Coleman was "paid off and sent far away" and that prosecutors and witnesses "lied under oath". He claims that his liability was "pre-meditated" and equates the Foresight prosecution with the "Martensville Satanic sex scandal" and "racial profiling". Mr. Wong also uses quotes and photographs to equate Foresight's prosecution with the story of David and Goliath, including David cutting off Goliath's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statement of claim, like the blog before it, clearly shows that the plaintiff is unrestrained in his vexatious and oppressive attacks on BCSC and those who acted for it. The statement of claim is 380 pages, is replete with irrelevant facts, is structured in such a way that it makes serial allegations of over 30 causes of action, including criminal, illegal and grievously unprofessional conduct without any effort to connect those allegations with the underlying facts, thus leaving it for the defence to determine which causes of action are truly live with respect to each factual allegation. The statement of claim appeared to be designed to be oppressive.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Mr. Wong's conduct is similar to that of the plaintiff in </w:t>
      </w:r>
      <w:r>
        <w:rPr>
          <w:rFonts w:ascii="arial" w:eastAsia="arial" w:hAnsi="arial" w:cs="arial"/>
          <w:i/>
          <w:color w:val="000000"/>
          <w:sz w:val="20"/>
          <w:lang w:val="en-US" w:eastAsia="en-US" w:bidi="ar-SA"/>
        </w:rPr>
        <w:t>J.D.L. v. C.L.L.</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[1999] B.C.J. No. 803</w:t>
        </w:r>
      </w:hyperlink>
      <w:r>
        <w:rPr>
          <w:rFonts w:ascii="arial" w:eastAsia="arial" w:hAnsi="arial" w:cs="arial"/>
          <w:color w:val="000000"/>
          <w:sz w:val="20"/>
          <w:lang w:val="en-US" w:eastAsia="en-US" w:bidi="ar-SA"/>
        </w:rPr>
        <w:t xml:space="preserve"> (S.C.). It is designed to punish the BCSC Defendants for carrying out their statutory mandate to protect the public from non-compliant companies like Foresight. In </w:t>
      </w:r>
      <w:r>
        <w:rPr>
          <w:rFonts w:ascii="arial" w:eastAsia="arial" w:hAnsi="arial" w:cs="arial"/>
          <w:i/>
          <w:color w:val="000000"/>
          <w:sz w:val="20"/>
          <w:lang w:val="en-US" w:eastAsia="en-US" w:bidi="ar-SA"/>
        </w:rPr>
        <w:t>J.D.L.</w:t>
      </w:r>
      <w:r>
        <w:rPr>
          <w:rFonts w:ascii="arial" w:eastAsia="arial" w:hAnsi="arial" w:cs="arial"/>
          <w:color w:val="000000"/>
          <w:sz w:val="20"/>
          <w:lang w:val="en-US" w:eastAsia="en-US" w:bidi="ar-SA"/>
        </w:rPr>
        <w:t>, the court ordered the plaintiff to post security for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The defence will be extraordinarily expensive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BCSC Defendants argue that this will be an extraordinarily expensive case to defend because the plaintiffs' claim alleges serious criminal and professional misconduct. Furthermore, the scope and size of the claim, as already described, make it difficult for the defendants to know what case to meet. Finally, the plaintiffs' relentless approach to this litigation, his post-hearing motions and the security prosecutions lead one to conclude that this case will be a particularly difficult and taxing experience for the BCSC Defendants. In </w:t>
      </w:r>
      <w:r>
        <w:rPr>
          <w:rFonts w:ascii="arial" w:eastAsia="arial" w:hAnsi="arial" w:cs="arial"/>
          <w:i/>
          <w:color w:val="000000"/>
          <w:sz w:val="20"/>
          <w:lang w:val="en-US" w:eastAsia="en-US" w:bidi="ar-SA"/>
        </w:rPr>
        <w:t>Lawrence v. Sandilands</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2003 BCSC 211</w:t>
        </w:r>
      </w:hyperlink>
      <w:r>
        <w:rPr>
          <w:rFonts w:ascii="arial" w:eastAsia="arial" w:hAnsi="arial" w:cs="arial"/>
          <w:color w:val="000000"/>
          <w:sz w:val="20"/>
          <w:lang w:val="en-US" w:eastAsia="en-US" w:bidi="ar-SA"/>
        </w:rPr>
        <w:t>, the plaintiff sued a number of lawyers. One of the actions was dismissed as an abuse of process as being essentially a re-litigation of issues which were decided against him previously, which determination he steadfastly refused to accept (at para. 97). In respect to the second action, Wedge J. concluded at para. 133: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special circumstances exist in this case such that an order against Mr. Lawrence is warranted. The merits of his claim are, as noted, doubtful. The costs of the litigation will be substantial. Mr. Lawrence has already failed to pay special costs of approximately $51,000 awarded against him by Martinson J. in May 2001.</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The claims are devoid of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defendants say that a combination of the plaintiffs being impecunious and a weak claim constitute special circumstances justifying an order for security for costs. Although it is inappropriate for this court to go into any great detail and to rule on the possibility of success or failure of the plaintiffs' claims, something must be said to put the plaintiffs' claim in context.</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allegations in the statement of claim stretch back to 1997. The defendants' claim that the defamation action and the claim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for direct damages to personal property are governed by s. 3(2)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which bars such claims alleged to have arisen prior to December 12, 2006, which is two years prior to the filing of the writ: </w:t>
      </w:r>
      <w:r>
        <w:rPr>
          <w:rFonts w:ascii="arial" w:eastAsia="arial" w:hAnsi="arial" w:cs="arial"/>
          <w:i/>
          <w:color w:val="000000"/>
          <w:sz w:val="20"/>
          <w:lang w:val="en-US" w:eastAsia="en-US" w:bidi="ar-SA"/>
        </w:rPr>
        <w:t>Bush v. Vancouver (City)</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2006 BCSC 1207</w:t>
        </w:r>
      </w:hyperlink>
      <w:r>
        <w:rPr>
          <w:rFonts w:ascii="arial" w:eastAsia="arial" w:hAnsi="arial" w:cs="arial"/>
          <w:color w:val="000000"/>
          <w:sz w:val="20"/>
          <w:lang w:val="en-US" w:eastAsia="en-US" w:bidi="ar-SA"/>
        </w:rPr>
        <w:t xml:space="preserve">. Other claims which crystallized prior to December 12, 2002, including claims for negligent investigation, malfeasance and all other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are statute-barred by s. 3(5)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Collateral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 number of the plaintiffs' claims constitute collateral attack on administrative decisions which the plaintiffs accept by electing not to avail themselves of appeals or statutory reviews. Such collateral attacks constitute abuse of the court's process: </w:t>
      </w:r>
      <w:r>
        <w:rPr>
          <w:rFonts w:ascii="arial" w:eastAsia="arial" w:hAnsi="arial" w:cs="arial"/>
          <w:i/>
          <w:color w:val="000000"/>
          <w:sz w:val="20"/>
          <w:lang w:val="en-US" w:eastAsia="en-US" w:bidi="ar-SA"/>
        </w:rPr>
        <w:t>Cimaco International Sales Inc. v. British Columbia</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2010 BCCA 342</w:t>
        </w:r>
      </w:hyperlink>
      <w:r>
        <w:rPr>
          <w:rFonts w:ascii="arial" w:eastAsia="arial" w:hAnsi="arial" w:cs="arial"/>
          <w:color w:val="000000"/>
          <w:sz w:val="20"/>
          <w:lang w:val="en-US" w:eastAsia="en-US" w:bidi="ar-SA"/>
        </w:rPr>
        <w:t>, at paras. 40-62.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plaintiffs statement of claim, rather than plead material facts in a summary way as required by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sets out in great detail the plaintiffs' version of events in a purely chronological order. Many of the facts pleaded are part of the narrative and are irrelevant to any of the causes of action. The causes of action are not tied to allegations and material facts capable of supporting them. Rather than analyzing the facts and the law in making allegations of material facts sufficient to raise a specific cause, the plaintiffs simply chronicled in their statement of claim their version of the evidence, leaving it for the defendants to determine which of 30 causes of action could be said to arise in each of those chronologically factual allegations which fill the 380 pages of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statement of claim as a whole is prolix, and the facts alleged in a multitude of places disclose no cause of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 Claims which the objective evidence demonstrates have no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Of those allegations that would be permitted to proceed, the BCSC Defendants have a statutory immunity pursuant to s. 170(1) of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 "for any act done in good faith in the (c) performance or intended performance of any duty, or (d) exercise or the intended exercise of any power". Thus for the plaintiffs to succeed, they must prove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plaintiffs claim for malicious prosecution was brought within the limitation period. The legal test for malicious prosecution was confirmed by the Supreme Court of Canada in </w:t>
      </w:r>
      <w:r>
        <w:rPr>
          <w:rFonts w:ascii="arial" w:eastAsia="arial" w:hAnsi="arial" w:cs="arial"/>
          <w:i/>
          <w:color w:val="000000"/>
          <w:sz w:val="20"/>
          <w:lang w:val="en-US" w:eastAsia="en-US" w:bidi="ar-SA"/>
        </w:rPr>
        <w:t>Miazga v. Kvello Estate</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2009 SCC 51</w:t>
        </w:r>
      </w:hyperlink>
      <w:r>
        <w:rPr>
          <w:rFonts w:ascii="arial" w:eastAsia="arial" w:hAnsi="arial" w:cs="arial"/>
          <w:color w:val="000000"/>
          <w:sz w:val="20"/>
          <w:lang w:val="en-US" w:eastAsia="en-US" w:bidi="ar-SA"/>
        </w:rPr>
        <w:t>. It requires that the prosecution be pursued without "reasonable and probable cause" and there must also be "proof that the defendant's conduct ... was fuelled by malice ... for a primary purpose other than that of carrying the law into effect" (at paras. 55-56).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Malice requires a plaintiff to prove "that the prosecutor </w:t>
      </w:r>
      <w:r>
        <w:rPr>
          <w:rFonts w:ascii="arial" w:eastAsia="arial" w:hAnsi="arial" w:cs="arial"/>
          <w:i/>
          <w:color w:val="000000"/>
          <w:sz w:val="20"/>
          <w:lang w:val="en-US" w:eastAsia="en-US" w:bidi="ar-SA"/>
        </w:rPr>
        <w:t>wilfully</w:t>
      </w:r>
      <w:r>
        <w:rPr>
          <w:rFonts w:ascii="arial" w:eastAsia="arial" w:hAnsi="arial" w:cs="arial"/>
          <w:color w:val="000000"/>
          <w:sz w:val="20"/>
          <w:lang w:val="en-US" w:eastAsia="en-US" w:bidi="ar-SA"/>
        </w:rPr>
        <w:t xml:space="preserve"> perverted or abused the office of the Attorney General or the process of criminal justice."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para. 80) (Emphasis is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task to prove actual, subjective, malicious intent by each of the defendants which it seeks to find liable, is a most difficult one. The fact that Mr. Wong and Foresight were not ultimately found liable is not sufficient to meet the test for malicious prosecution. This is especially so since the dissent found that although Mr. Wong did not engage in any failures by commission, his errors of omission were sufficient to ground liability: "failing to ensure that Foresight had in place adequate systems and controls for compliance and for the supervision of its employees, and in failing to supervise Bock, Wong permitted or acquiesced in the contravention by Foresight of section 48 of the Rules and so also contravened section 48." (at para. 542).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Mr. Wong alleges throughout that the BCSC Defendants participated in a malicious smear campaign against him by providing both confidential and defamatory information about him and Foresight to newspaper reporter David Bains. The plaintiff has not, however, joined David Bains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Throughout, the plaintiff mischaracterizes the evidence. He is convinced that the defendants are conspiring against him and that their conduct is motivated by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is clear that Mr. Wong lacks sufficient assets to cover the magnitude of costs that could be awarded against him. The claims themselves are oppressive in their nature and scope. The defence in this case will be extraordinarily expensive, and there are real issues with respect to limitation periods with respect to all claims save and except malicious prosecution. There is little evidence to support a claim for malicious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accept the fact that to deny the plaintiff the right to prosecute his case is a very serious step to take and that requiring Mr. Wong to post security will most likely mean that he cannot proceed with this lawsuit. However, I am satisfied that the merits of the plaintiff's claim are doubtful, the cost of litigation would be substantial and after weighing and considering all the evidence, I am satisfied that there are special circumstances that justify an order for security for costs against Mr. Wong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draft bill of costs was presented at $148,749.60. If the plaintiffs fail to prove the allegation of criminal activity that may attract special costs. The defendants say a discount of 20% of their draft bill would mean a figure of approximately $120,000 for security for costs. I am satisfied that that is an appropriate amount and I so order. There will be a stay of proceedings until the security for costs is posted in a form satisfactory to the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If the plaintiffs fail to post security for costs within 90 days of this order the BCSC Defendant shall have liberty to apply to dismiss the action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F.W. COLE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5" style="position:absolute;z-index:251768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76"/>
          <w:headerReference w:type="default" r:id="rId677"/>
          <w:footerReference w:type="even" r:id="rId678"/>
          <w:footerReference w:type="default" r:id="rId679"/>
          <w:headerReference w:type="first" r:id="rId680"/>
          <w:footerReference w:type="first" r:id="rId68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2" w:history="1">
        <w:r>
          <w:rPr>
            <w:rFonts w:ascii="arial" w:eastAsia="arial" w:hAnsi="arial" w:cs="arial"/>
            <w:b/>
            <w:bCs/>
            <w:i/>
            <w:color w:val="0077CC"/>
            <w:kern w:val="32"/>
            <w:sz w:val="28"/>
            <w:szCs w:val="32"/>
            <w:u w:val="single"/>
            <w:shd w:val="clear" w:color="auto" w:fill="FFFFFF"/>
            <w:lang w:val="en-US" w:eastAsia="en-US" w:bidi="ar-SA"/>
          </w:rPr>
          <w:t>Wood v. Langley (Township), [2015] B.C.J. No. 1245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J.W. Williams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23-27, 30, July 2, 3,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15,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S062551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1245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1020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255 A.C.W.S. (3d) 521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38 M.P.L.R. (5th) 141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1646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Murray Douglas Wood, Claimant, and The Corporation of the Township of Langley,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(110 paras.)</w:t>
      </w:r>
    </w:p>
    <w:p>
      <w:pPr>
        <w:jc w:val="both"/>
        <w:rPr>
          <w:rFonts w:ascii="arial" w:eastAsia="arial" w:hAnsi="arial" w:cs="arial"/>
          <w:sz w:val="20"/>
          <w:lang w:val="en-US" w:eastAsia="en-US" w:bidi="ar-SA"/>
        </w:rPr>
      </w:pPr>
      <w:bookmarkStart w:id="135" w:name="Counsel_30"/>
      <w:bookmarkEnd w:id="1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6"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Claimant: S.G. Price, D.L. Nundal.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V.J. Pahl, J.A. Bank.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6" w:name="Judgment_30"/>
      <w:bookmarkEnd w:id="136"/>
      <w:r>
        <w:pict>
          <v:line id="_x0000_s1137" style="position:absolute;z-index:2517350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7" w:name="J.W. WILLIAMS J."/>
            <w:bookmarkEnd w:id="137"/>
            <w:r>
              <w:rPr>
                <w:rFonts w:ascii="arial" w:eastAsia="arial" w:hAnsi="arial" w:cs="arial"/>
                <w:b/>
                <w:color w:val="000000"/>
                <w:sz w:val="30"/>
                <w:lang w:val="en-US" w:eastAsia="en-US" w:bidi="ar-SA"/>
              </w:rPr>
              <w:t>J.W. WILLIAMS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claim in nuisance against the Corporation of the Township of Langley (the "Township") for drainage runoff said to flow from Township property onto the plaintiff's property. The plaintiff seeks both damages and an injunction requiring the Township to take immediate and effective action to stop the flow of water onto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 and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owns a 3.67-acre parcel of land at the northwest corner of 66th Avenue and 203rd Street in the Township of Langley (the "Plaintiff's Property"). Uphill and to its immediate north is property owned by the Township. Uphill and to the north of that is a townhouse development developed by Solterra Development Corporation ("Solterra").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October 2002, the Township approved the development of 68 townhomes by Solterra on property adjacent to and north of the Plaintiff's Property (the "Solterra Property"). Approval was subject to Solterra constructing a greenway along the southern portion of the Solterra Property and transferring title to the greenway system to the Township. This occurred in October 2002, and the Township dedicated the 0.75 acre parcel of land as a park (the "Township Property"). The Township Property, which runs over a gas right of way (the "Gas Right of Way"), separates the Plaintiff's Property and the Solterra Property. It has an asphalt walkway (the "Asphalt Walkway") along its entire length with grass and landscaping on either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thrust of the plaintiff's claim is that since October 2003, the Township has created a nuisance by allowing drainage runoff to flow from its property onto and across the Plaintiff's Property. Specifically, he says that prior to September 2003, there was a watercourse, between one and three feet deep, that ran through what is now the Solterra Property and drained both the Solterra and Township properties to the north of the Plaintiff's Property. He alleges the Township permitted Solterra to fill in the watercourse without ensuring any effective or proper drainage. As a consequence, he says drainage runoff from the Township Property has periodically flooded his property. Despite repeated requests for relief by the plaintiff, the Township has taken no reasonable or effective abatement measures.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says that since 2003, there has been an ongoing serious and unreasonable interference with his enjoyment and employment of his land, and that there has been damage to the land in the form of significant areas of pooling or standing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Township responds that the surface ponding water of which the plaintiff complains is a natural and pre-existing feature of the Plaintiff's Property given its location at the toe of a slope, its proximity to the water table, and the fact that it consists of impermeable soil that allows water to pond at the surface. The Township says that the plaintiff has failed to establish that water is flowing onto his property from the Township Property or that any such additional flow is greater than it was in the past. Moreover, it says any additional water that may have flowed onto the Plaintiff's Property is so minor as not to constitute a substantial interference with the plaintiff's use or enjoyment of his property. The Township maintains that its use of its property when assessed in all the relevant circumstances is not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Review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Each side called three witnesses. The plaintiff gave evidence, as did his engineering expert, Derek Ashford, and a former tenant of his property, Corliss Maguire. The Township called a rebuttal expert, Karen Savage, as well as the project manager for the Solterra project, Stephen O'Neill, and the Township employee who reviewed and accepted the site services plans for the Solterra Property development, David Anderson.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Although I have carefully considered the evidence of these witnesses, I do not propose to summarize it all and will only relate the salient aspects as they bear upon the issues to be determined.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Murray 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testified that he has been involved in the building business all his life. He described himself as a builder, investor, property investor, and property manager. He testified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Property was purchased by the plaintiff in 1999 for holding and rental purposes with future development in mind. His 3.67-acre lot was part of a larger seven acre parcel divided by a pipeline. He purchased the southern half, and had a lease and right of first refusal with respect to the northern half, which later became the Solterra and Township Properties. The plaintiff declined to exercise his right of first refusal in relation to the northern property, having concluded that building on it was not feasible since Township officials told him that the creek running through it had to be protected.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1999, the Plaintiff's Property was relatively flat and dry with no creeks, swamps or wet spots other than a small manmade fish pond. While he initially testified in his direct examination that the property was completely dry, he conceded in cross-examination that the property had "some" water prior to the Solterra Property development. There are two houses on the property, with civic addresses 20257 and 20263 - 66th Avenue, and four sheds. I will refer to the houses as "20257" and "20263" respectively. Since purchasing the property, the plaintiff has and continues to rent both houses. His ultimate goal is to develop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described the pre-development water flows on the Solterra Property in considerable detail, explaining that he regularly visited the property since he had a lease interest in it and also rented a house there. He testified that two branches of a creek came together like a "Y" and flowed off the hill from the northwest in a southeasterly direction into a marsh on the property., He also testified spring water flowed in a similar manner. From there, the water continued to flow southeasterly in a watercourse that was between one to three-feet deep and ran the full length of the southern edge of the site into a ditch on 203rd Street. The watercourse varied depending on the time of year. It was a channel full of water when it rained but could disappear in July and August. The plaintiff testified this watercourse effectively drained all of the Solterra Property and kept his own property 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course of trial, much was made of the difference between the terms "watercourse" and "ditch". While both of those terms may be used in these reasons, no special significance attaches to that use for the purpose of this judgement.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testified that his problems arose when Solterra filled in the watercourse as part of its development of the Solterra Property in 2002 and 2003. Matters initially seemed fine since there were no apparent problems with water, and the plaintiff assumed Solterra had a plan in place to deal with water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Solterra Property development entailed substantial site work including the importation of fill material to raise and level the area where the residential construction would occur. As well, to the immediate south of the development, the Township Property's lineal parkway was constructed over the Gas Right of Way. That involved raising the elevation somewhat -- approx. 200 mm, as I understand, which is slightly less than 8 inches -- and then installing the Asphalt Walkway with lawn grass and landscaping on either side of that walkway.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Prior to that time, the plaintiff says his property did not flood from either the Solterra or Township Properties. Since that time, however, he claims that his property has been soaked with ponding water and surface water during times of rainfall.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first flooding incident occurred on October 16, 2003, when the Solterra Property development was well underway. It was a very rainy day, and the plaintiff described how water 1-2 inches deep began to "sheet flow" across the grass and Asphalt Walkway on the Township Property. Both rental houses on his property were flooded. He described a "lake of water" in the crawlspace access in 20257 which required pumping and vacuuming. The plaintiff also detailed how the drywall and trim in 20263 were wet and the carpet required vacuuming and drying.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notified the Township about the flooding. He says that the following day someone from the Township arrived at his property with a backhoe and began to dig a course for the water along the border of his property and the Township Property to try to alter the course of the flow. They also excavated two channels across the Plaintiff's Property's driveway, one north-south and the other east-west, which had the effect of directing the water towards the two houses.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testified that the residences on his property flooded a second time in early November the same year, though he only knew what his tenants at the time told him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testified that since these initial floods in late 2003, his property floods every time there is a continuous moderate to light rainfall, or a major downpour. The last flooding incident he observed was in March 2014. With the passage of time, the extent of the flooding has worsened.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an effort to address the flooding, the plaintiff hired a contractor, Mr. Quecheck, to install a catch basin and connect it to a drain on his property. While this collected some of the water and helped somewhat, it was not able to manage all of the water coming onto the property. The plaintiff testified that he also undertook work himself to prevent further flooding, including grading, shoveling, draining, and using logs to divert rainfall. He said that despite his efforts, the drainage facilities on his property were often overcome from the water pouring off the Township Property. Moreover, he said, every storm changes his property, making it impossible to prevent flood waters from damaging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testified that Solterra, at the behest of the Township, attempted to abate the nuisance of the water and the damage it caused by constructing a French drain (a narrow gravel-filled ditch) and installing boards and gravel. However, these abatement attempts have failed since water continues to accumulate on the Plaintiff's Property during times of heavy rainfall and during the wet seasons.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testified that the impact of the flooding on his enjoyment and use of his property has been substantial. There is structural damage to 20257 and the storage building behind 20263, and the floors in 20263 are tilting as a result of the continuous assault of water. He said that overall, his lands are unusable in various ways, reducing the income-earning potential of the residences and increasing the tenant turnover at each house. He said that the back and side yards are so saturated with water that they are now less useful as agricultural or recreational land.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Corliss Maguire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Corliss Maguire was a tenant at 20263 on the Plaintiff's Property from early 2003 to the summer of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Maguire testified that the drainage ditches along 203rd Street were filled in either that summer or autumn. She said that in October 2003 during a significant rainfall, water came down the hill to the house and flooded the field to the east and the basement of the house, causing a sump pump to activate. The house flooded again in November 2003. There were no further flooding events at the house after that, though there were also no heavy rain events on par with those in October and November either.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Derek Ashford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Derek Ashford was qualified as an expert in civil engineering with a speciality in hydrology. He prepared a written report dated April 6, 2014 that was tendered as evidence at trial. An earlier 2008 report that he prepared for an Environmental Appeal Board hearing is also in evidence but I have not referred to it as it is largely an earlier version of the 2014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Ashford's report addressed a number of issues, the first of which is the pre-development drainage pattern of the plaintiff's and surrounding properties. In forming his opinion, Mr. Ashford conducted site visits and also reviewed several exhibits which show the contours, spot heights, and elevation of the lands prior to development. They include a survey plan prepared by land surveyors Isaak, Osman &amp; Associates, and two plans prepared by Civic Consultants for the Solterra Property development, one regarding storm water management and the other, onsite grading.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According to Mr. Ashford, prior to the earthworks associated with the development of the Solterra Property, the land was undisturbed. The northern 2/3 of the site was a slope of about 3.50% to 3.75% in gradient which met a flatter area of 2% gradient in the lower 1/3 of the property. There was a watercourse with an east-west orientation wholly within the Solterra Property. It started in a marsh on the property and flowed in a southeasterly direction towards 203rd Street where it drained into a ditch. Midway through the property, another watercourse with a north-south orientation joined the first watercourse just downstream of the marsh area. There was, in addition, a third watercourse that entered the marsh on its west end. Mr. Ashford had been informed by the plaintiff that there had formerly been springs at the bottom of the hillside that fed into the east-west watercourse.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Ashford stated that according to the contour lines on the various plans, the elevation of the marsh area along the south of the original Solterra Property matches those at the north side of the Plaintiff's Property where, Mr. Ashford was advised by the plaintiff, no fill has been placed or removed. As well, the new pathway along the Township Property has been raised 0.2 metres above the original grade.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Ashford thus deduced that prior to any development, at least 85% of the area of the Solterra Property produced storm water that flowed to the east in the watercourse and off the lands. The balance of the storm water (about 15% of the Solterra Property) would have flowed to the lands to the south of the Solterra Property, being the Plaintiff's Property. Any storm water flows that reached the Plaintiff's Property would have flowed overland southwards to 66th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According to Mr. Ashford, it is generally accepted good engineering practice followed by most municipalities to require a developer to deal with storm drainage from within his property, such that overland flows onto another property are eliminated.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terms of the effect of the re-grading of the Solterra Property and the filling in of the watercourses during the townhouse development, Mr. Ashford stated the following. On the basis of the proposed design of the storm drainage system on the Solterra Property, which he assumed was followed during construction, most or all of the surface storm water from roofs, roads, and other impermeable or semi-permeable areas of the property is collected into storm sewer pipes and directed to the southeast corner of the property where the internal storm sewer connects to a main storm sewer on 203rd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Ashford attended the Solterra Property in March 2008 during a rainfall event. The internal storm drains within the Solterra Property were working and he did not observe any meaningful escape of surface water. However, on the Township Property there was what he described as a significant escape of surfacing ground water at the interface of the landscaping on the north side of the Plaintiff's Property and the Asphalt Walkway. He attached photos which he described as showing reddish stains on the asphalt in the area of the escaping water flows caused by prior water flows at the same locations.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Ashford attended the area again in February 2014, after a period of heavy, though not unusually heavy, rain. He again witnessed the same escapes of groundwater from the Township Property onto the Plaintiff's Property. Downstream of the groundwater escape, the water ponded against the garden beds on the Township Property and escaped downhill onto the Plaintiff's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During both those visits Mr. Ashford said he witnessed storm water flows generated from the west side gutter of 203rd Street travel over the gravel boulevard fills and enter the Plaintiff's Property. The flows continued overland through the Plaintiff's Property to the north-side ditch on 66th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Ashford then expressed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the townhome development on the Solterra Lands groundwater that surfaced as springs in the hillside or channel banks would have been intercepted by the pre-development east-west watercourse shown in Appendix "H" and would have collected storm/ground water and would have drained that storm/groundwater eastwards in that watercourse to a ditch on the west side of 203rd Street. Typically none of the groundwater, or surface water, reaching that watercourse would have flowed onto the Wood Lands [the plaintiff's property]. It is possible that a small amount of overland flow could have flowed towards the Wood Lands if the surface of the area between the east-west watercourse on the pre-development Solterra Lands and the TOL Parkland [the Township Property] became saturated as a result of prolonged heavy rain and that water in whole or part escaped, however in this situation the volumes would be quite small.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post-townhome development the groundwater previously picked up by the west to east watercourse on the Solterra Lands would be picked up by the foundation drains (if constructed) and if not continue to remain buried any flows would follow a line of least resistance that would allow it to escape (as it now does) as surfacing groundwater on the TOL Parkland at the interface of the landscaping and the asphalt that has been placed as a footpath surfacing along the TOL Parkland. Because there is evidence (see photographs attached in Appendix "J") that groundwater is escaping past the building footing drains installed for the development on the Solterra Lands and they are clearly not intercepting all the groundwater flows. This means that the townhome development has caused some of the groundwater, which was previously collected as surface stormwater to be forced to stay as groundwater until it has travelled southwards to the TOL Parkland or additionally further south to the Wood Lands, where it surfaces. It should be noted that to accommodate the construction of the TOL Parkland asphalt walkway the walkway area appears to have been raised about 200mm and groundwater could therefore travel under the TOL Parkland's walkway asphalt.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walkway constructed on TOL Parkland appears not to be drained causing surface waters to collect and flow onto the Wood Lands. It would have been a prudent design for the designers of the improvements on the TOL Parkland to slope the walkway asphalt downhill towards the north thereby trapping any surface water, as well as escaping ground waters, collect them and conduct them offsite. As it exists the slope of the walkway asphalt is downhill southwards and directs the escaping surface waters onto the Wood Lands to the south.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escape of this groundwater is of a significant quantity that it has caused overland flows southwards through the Wood Lands. The flows reaching the Wood Lands has opened new flow channels and/or ponding and/or caused flooding. The effect is to have caused the Wood Lands to become more saturated or inundated with water than prior to the Solterra development that now exists on the Solterra Lands and the walkway and other improvement works now constructed on the TOL Parkland.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 elaborated his view that although the impermeable surfaces on the Solterra Property intercept the vast majority of rainwater and direct it into storm water sewers, rainwater that that has fallen on permeable areas of the property uphill of the Solterra Property and soaked into the ground becomes groundwater that surfaces onto the Township Property or further south onto the Plaintiff's Property. Mr. Ashford acknowledged that he saw no direct evidence of water surfacing on the Plaintiff's Property, such as springs or water bubbling out of the ground, but said that the configuration of the slopes and flatter areas made that a potential reality. The groundwater was not formerly a problem because it was intercepted by the east-west watercourse. Mr. Ashford expressed the opinion that by intercepting the surface waters and the surfacing groundwater, the Township could have collected this water and directed it to 203rd Street. The additional volume of escaping storm water from the Township Property is overwhelming the drainage systems on the Plaintiff's Property, thus causing it to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pause here to note that while Mr. Ashford states on several occasions that the east-west watercourse would have formerly intercepted the flow of groundwater, at p. 8 of his report he expressed the point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advises me that prior to the elimination of the watercourse on the Solterra Lands to accommodate the 68-unit townhome development on the Solterra Lands there had been no escape of stormwater from the pre-development Solterra Lands because the west to east watercourse had intercepted the flows and as this technically makes sense I have the opinion that this is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Ashford opined that any civil works checker should have "red-flagged" the filling in of watercourses within the Solterra Property, not only for drainage concerns but environmental concerns as well. The design engineering plans for the development which he reviewed did not recognize the effect of eliminating the watercourses and marsh area. He added that, unusually, given that changes to a stream or watercourse require approval from the Provincial Ministry of the Environment and the federal Department of Fisheries, he was not aware of any such approvals having been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Ashford stated that by permitting the east-west watercourse to be eliminated and not replicated elsewhere on the Solterra Property, the Township allowed groundwater and some surface water to escape the Solterra Property onto the Township Property and subsequently onto the Plaintiff's Property. The Township could have required the developer to replicate the effects of the east-west watercourse by installing another ditch or curtain drain to intercept both ground and surface water. Mr. Ashford expressed his view that knowing of the existence of the watercourses and the detrimental effect of their removal to the properties of the Township and plaintiff, the Township should have required the drainage issue to be satisfactorily addressed before issuing the formal approvals.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According to Mr. Ashford, the remedy to the problem is simple: the installation of a French drain the full length of the boundary between the Solterra and Township Properties. It could be constructed on either side of the boundary, though it would require consultation with the owner of the gas pipeline if on the Township side. As well, remedial works to the north part of the walkway on the Township Property would also protect it from escaping water.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Karen Savage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Township tendered rebuttal evidence from Karen Savage, who was qualified as an expert in engineering with a focus in hydrology.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preparation for her report, Ms. Savage conducted a site visit of the Plaintiff's Property and surrounding areas, and also reviewed numerous documents pertaining to the Plaintiff's Property, including surficial geology maps from the Geological Survey of Canada and historical aerial photographs of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Savage visited the Plaintiff's Property on April 30, 2014. The weather was dry and had been for several days. She described the Plaintiff's Property as mostly flat, sloping very gently to the south. The topography of the properties to the north of the Plaintiff's Property sloped moderately steeply southward to just north of the Township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According to her report, Ms. Savage observed ponded water along the north side of the Plaintiff's Property, immediately south of the Township Property. The water, to a maximum estimated depth of three to four inches, was generally located in the wheel paths of the unpaved driveway on the Plaintiff's Property. Some water had collected in a ditch at the east half of the north property line on the Plaintiff's Property, though it did not appear that the ditch was directed anywhere. Ms. Savage said that the driveway letdown from 203rd Street appeared to direct surface flows onto the northeast portion of the Plaintiff's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Savage expressed her opinion that Mr. Ashford had failed to take into account several important factors in arriving at the conclusions in his report:</w:t>
      </w:r>
      <w:r>
        <w:rPr>
          <w:rFonts w:ascii="arial" w:eastAsia="arial" w:hAnsi="arial" w:cs="arial"/>
          <w:sz w:val="20"/>
          <w:lang w:val="en-US" w:eastAsia="en-US" w:bidi="ar-SA"/>
        </w:rPr>
        <w:cr/>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soil on the Plaintiff's Property and surrounding lands would be expected to have low hydraulic conductivity, and there was a naturally high groundwater table perched atop this relatively impermeable soil. As she explained in her cross-examination, the low permeability of the soil means that water does not easily infiltrate which, in turn, promotes ponding.</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driveway letdown from 203rd Street appeared to be directing surface run-off onto the northeast portion of Plaintiff's Property. However, Ms. Savage conceded upon questioning from the Court that this would have little impact on the total volume of water flowing onto the property.</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re-contouring of previously effective drainage paths on the Plaintiff's Property potentially had an adverse effect. It appears, based on her interpretation of historical aerial photographs, that aggressive site clearing was carried out immediately before and following the plaintiff's purchase of the property in 1999. This would have negatively impacted the low hydraulic conductivity of soil in a manner that promoted ponding. Moreover, infilling of the pond by the 20257 residence likely compromised an important pre-existing drainage path.</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20257 house was built below grade, thus subjecting the supported wood framing to excessive moisture. The house was also 45 years old and near the end of its design life.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David Anderson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David Anderson is presently employed by the Township as its manager of development engineering. In 2002 and 2003, he was a land development technologist when the Civic Consultants site servicing plans for the Solterra Property development were submitted for review. In that capacity, he was responsible for reviewing those plans to ensure compliance with the </w:t>
      </w:r>
      <w:r>
        <w:rPr>
          <w:rFonts w:ascii="arial" w:eastAsia="arial" w:hAnsi="arial" w:cs="arial"/>
          <w:i/>
          <w:color w:val="000000"/>
          <w:sz w:val="20"/>
          <w:lang w:val="en-US" w:eastAsia="en-US" w:bidi="ar-SA"/>
        </w:rPr>
        <w:t>Subdivision and Development Servicing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Mr. Anderson detailed the Township's review process. In brief, site servicing plans are submitted to the Township's planning department by a registered professional engineer. The plans are then distributed to the relevant departments, which include the engineering department and the environmental coordinator. The engineering department reviews plans relating to storm water management, lot grading, roads, water, sanitary, and sewers to ensure compliance with the </w:t>
      </w:r>
      <w:r>
        <w:rPr>
          <w:rFonts w:ascii="arial" w:eastAsia="arial" w:hAnsi="arial" w:cs="arial"/>
          <w:i/>
          <w:color w:val="000000"/>
          <w:sz w:val="20"/>
          <w:lang w:val="en-US" w:eastAsia="en-US" w:bidi="ar-SA"/>
        </w:rPr>
        <w:t>Subdivision and Development Servicing Bylaw</w:t>
      </w:r>
      <w:r>
        <w:rPr>
          <w:rFonts w:ascii="arial" w:eastAsia="arial" w:hAnsi="arial" w:cs="arial"/>
          <w:color w:val="000000"/>
          <w:sz w:val="20"/>
          <w:lang w:val="en-US" w:eastAsia="en-US" w:bidi="ar-SA"/>
        </w:rPr>
        <w:t>. If the plans comply, the Township accepts them; if not, they are rejected and the engineer is required to amend and resubmit them. Thus, the Township does not approve site service plans in the sense of ensuring that the engineering of the storm water management plan will sufficiently address the drainage requirements of the development. Rather, it relies on the developer's engineers to provide sound designs.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Anderson testified that he reviewed the site service plans for the Solterra Property development and had no concerns with them. He had not been advised of any environmental concerns, and the plans otherwise met all the requirements of the bylaw. He reviewed the documents again for the purpose of this litigation and confirmed that he continued to have no concerns and would accept them again if they were resubmitted.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Stephen O'Neill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Stephen O'Neill was a project manager for Solterra in 2003-2004.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O'Neill became involved with the Solterra Property development in the spring of 2003. By that time, the development permit had already been issued and the land had been stripped in preparation for construction. Consequently, he had not observed any watercourse on the property prior to this land stripping.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O'Neill testified that the drainage systems on the Solterra Property development captured all surface water through perimeter tiles, area drains, street catch basins and patio drains, and then piped it to the Township's main storm sewer system on 203rd Street. Thus, his opinion was that the water coming onto the Township Property was groundwater.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O'Neill testified that he visited the Plaintiff's Property in the fall of 2003 to determine the best way to address any water egress after receiving a complaint from the plaintiff. He described examining the situation and observing water flowing across the Township Property and draining to points on the Plaintiff's Property, specifically, water flowing in a swale, toward a catch basin. He said that he noted several old drainage features on the Plaintiff's Property that indicated to him that the property had previously had to deal with overland flow. As well, he described observing two culverts, about 50 meters apart, running perpendicular to and under the back driveway. He said they appeared to be old drainage features whose purpose was to channel water under the driveway toward a catch basin to the south. However, when he observed them, they appeared plugged on the south end and water had gathered north of the driveway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response to the plaintiff's complaints, Mr. O'Neill wrote the plaintiff in January 2004, proposing to install a French drain (a narrow gravel-filled ditch) at the base of the sloped gardens on the Township's Property where water was flowing out of the ground. This would intercept the groundwater before it flowed over the Asphalt Walkway and onto the Plaintiff's Property. The trench would flow eastwards towards 203rd Street and be drained by a six foot pipe at the eastern end. However, because the Township Property rose up to 203rd Street, the drain would have to cross over the gas line to the Plaintiff's Property for the last 30 feet. Mr. O'Neill also proposed installing a French drain on the Plaintiff's Property along the southern edge of the Township Property to replace the ditch that was formerly there and get rid of the ponding water where it was occurring at two locations along the property line. The work was to be done at Solterra's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rejected the proposal. In a February 2004 letter to Solterra, he indicated that the drainage problem required the re-installation of an interceptor drainage collection system along the north side of the Township Property to replace the former watercourse.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O'Neill responded to the plaintiff by letter, outlining what he saw to be the logical faults with his proposal and to reaffirm what Solterra was offering to do. He did not receive a response to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March or April 2004, Solterra installed a French drain near the northern edge of the Township Property, at the toe of the slope where the groundwater flowed above ground. The drain was connected to the Solterra Property development's storm water system, which then directed all water flows to 203rd Street. Mr. O'Neill testified this was precisely the "interceptor drainage collection system" the plaintiff had previously argued was necessary to solve the drainage problem. Solterra also raised the grade of the southern edge of the Township Property and installed boards there to dam any water flowing south and to allow it to percolate slowly into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O'Neill said that after the French drain was installed, he monitored both the Township Property and the Plaintiff's Property, and was satisfied that the system was draining the Township Property of any escaping groundwater before it reached the Plaintiff's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O'Neill did not receive any further complaints or correspondence from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their closing submissions, both parties urged the Court to draw adverse inferences against the other side for failure to call certain witnesses and adduce certain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That is not a measure that should be too readily taken, and I decline to do so in this case. I found nothing so egregious in the manner either party conducted the case to warrant doing so. Ultimately, the outcome of this litigation will be determined on the evidence that was called, bearing in mind the onus of proof. Where there were deficiencies or shortcomings in the evidence, that will bear upon the findings I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Governing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A nuisance is an interference with the claimant's use or enjoyment of land that is both substantial and unreasonable. Unlike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nuisance does not focus on the defendant's conduct; rather, the focus is on the harm suffered. Thus, whether the interference is the result of intentional, negligent or non-faulty conduct is of no consequence so long as the harm can be characterized as a nuisance: </w:t>
      </w:r>
      <w:r>
        <w:rPr>
          <w:rFonts w:ascii="arial" w:eastAsia="arial" w:hAnsi="arial" w:cs="arial"/>
          <w:i/>
          <w:color w:val="000000"/>
          <w:sz w:val="20"/>
          <w:lang w:val="en-US" w:eastAsia="en-US" w:bidi="ar-SA"/>
        </w:rPr>
        <w:t>St. Lawrence Cement Inc. v. Barrette</w:t>
      </w:r>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2008 SCC 64</w:t>
        </w:r>
      </w:hyperlink>
      <w:r>
        <w:rPr>
          <w:rFonts w:ascii="arial" w:eastAsia="arial" w:hAnsi="arial" w:cs="arial"/>
          <w:color w:val="000000"/>
          <w:sz w:val="20"/>
          <w:lang w:val="en-US" w:eastAsia="en-US" w:bidi="ar-SA"/>
        </w:rPr>
        <w:t xml:space="preserve"> at para. 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interference with the plaintiff's property rights may be in the nature of physical damage to the land or it may take the form of substantial interference with the plaintiff's use or enjoyment of his or her land: </w:t>
      </w:r>
      <w:r>
        <w:rPr>
          <w:rFonts w:ascii="arial" w:eastAsia="arial" w:hAnsi="arial" w:cs="arial"/>
          <w:i/>
          <w:color w:val="000000"/>
          <w:sz w:val="20"/>
          <w:lang w:val="en-US" w:eastAsia="en-US" w:bidi="ar-SA"/>
        </w:rPr>
        <w:t>Smith v. Inco Ltd.</w:t>
      </w:r>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2011 ONCA 628</w:t>
        </w:r>
      </w:hyperlink>
      <w:r>
        <w:rPr>
          <w:rFonts w:ascii="arial" w:eastAsia="arial" w:hAnsi="arial" w:cs="arial"/>
          <w:color w:val="000000"/>
          <w:sz w:val="20"/>
          <w:lang w:val="en-US" w:eastAsia="en-US" w:bidi="ar-SA"/>
        </w:rPr>
        <w:t xml:space="preserve">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Justice Cromwell, writing for the Court in </w:t>
      </w:r>
      <w:r>
        <w:rPr>
          <w:rFonts w:ascii="arial" w:eastAsia="arial" w:hAnsi="arial" w:cs="arial"/>
          <w:i/>
          <w:color w:val="000000"/>
          <w:sz w:val="20"/>
          <w:lang w:val="en-US" w:eastAsia="en-US" w:bidi="ar-SA"/>
        </w:rPr>
        <w:t>Antrim Truck Centre Ltd. v. Ontario (Transportation)</w:t>
      </w:r>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2013 SCC 13</w:t>
        </w:r>
      </w:hyperlink>
      <w:r>
        <w:rPr>
          <w:rFonts w:ascii="arial" w:eastAsia="arial" w:hAnsi="arial" w:cs="arial"/>
          <w:color w:val="000000"/>
          <w:sz w:val="20"/>
          <w:lang w:val="en-US" w:eastAsia="en-US" w:bidi="ar-SA"/>
        </w:rPr>
        <w:t>, explained the two elements of a claim in nuisance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elements of a claim in private nuisance have often been expressed in terms of a two-part test of this nature: to support a claim in private nuisance the interference with the owner's use or enjoyment of land must be both </w:t>
      </w:r>
      <w:r>
        <w:rPr>
          <w:rFonts w:ascii="arial" w:eastAsia="arial" w:hAnsi="arial" w:cs="arial"/>
          <w:i/>
          <w:color w:val="000000"/>
          <w:sz w:val="20"/>
          <w:lang w:val="en-US" w:eastAsia="en-US" w:bidi="ar-SA"/>
        </w:rPr>
        <w:t>substantial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unreasonable</w:t>
      </w:r>
      <w:r>
        <w:rPr>
          <w:rFonts w:ascii="arial" w:eastAsia="arial" w:hAnsi="arial" w:cs="arial"/>
          <w:color w:val="000000"/>
          <w:sz w:val="20"/>
          <w:lang w:val="en-US" w:eastAsia="en-US" w:bidi="ar-SA"/>
        </w:rPr>
        <w:t>. A substantial interference with property is one that is non-trivial. Where this threshold is met, the inquiry proceeds to the reasonableness analysis, which is concerned with whether the non-trivial interference was also unreasonable in all of the circumstances. This two-part approach found favour with this Court in its most recent discussion of private nuisance and was adopted by the Court of Appeal in this case, at para. 80 [Emphasis in original.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As Cromwell J. explained, a substantial interference is one that is non-trivial and amounts to more than a slight annoyance or trifling interference. To justify compensation, however, the non-trivial interference must also be unreasonable. The reasonableness of the interference must be assessed in light of all the relevant circumstances, which may include such considerations as the severity of the interference; the character of the neighbourhood; the sensitivity of the claimant; the frequency and duration of the interference; and, the utility of the defendant's conduct: </w:t>
      </w:r>
      <w:r>
        <w:rPr>
          <w:rFonts w:ascii="arial" w:eastAsia="arial" w:hAnsi="arial" w:cs="arial"/>
          <w:i/>
          <w:color w:val="000000"/>
          <w:sz w:val="20"/>
          <w:lang w:val="en-US" w:eastAsia="en-US" w:bidi="ar-SA"/>
        </w:rPr>
        <w:t>Antrim Truck Centre</w:t>
      </w:r>
      <w:r>
        <w:rPr>
          <w:rFonts w:ascii="arial" w:eastAsia="arial" w:hAnsi="arial" w:cs="arial"/>
          <w:color w:val="000000"/>
          <w:sz w:val="20"/>
          <w:lang w:val="en-US" w:eastAsia="en-US" w:bidi="ar-SA"/>
        </w:rPr>
        <w:t xml:space="preserve"> at para. 26. Ultimately, the focus of the balancing exercise is on whether the interference is such that it would be unreasonable in all of the circumstances to require the claimant to suffer it without compensation: </w:t>
      </w:r>
      <w:r>
        <w:rPr>
          <w:rFonts w:ascii="arial" w:eastAsia="arial" w:hAnsi="arial" w:cs="arial"/>
          <w:i/>
          <w:color w:val="000000"/>
          <w:sz w:val="20"/>
          <w:lang w:val="en-US" w:eastAsia="en-US" w:bidi="ar-SA"/>
        </w:rPr>
        <w:t>Antrim Truck Centre</w:t>
      </w:r>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plaintiff bears the initial onus with respect to proving a substantial interference with his use or enjoyment of his land. Once that is shown, the onus then shifts to the defendant to establish that his use was not unreasonable: </w:t>
      </w:r>
      <w:r>
        <w:rPr>
          <w:rFonts w:ascii="arial" w:eastAsia="arial" w:hAnsi="arial" w:cs="arial"/>
          <w:i/>
          <w:color w:val="000000"/>
          <w:sz w:val="20"/>
          <w:lang w:val="en-US" w:eastAsia="en-US" w:bidi="ar-SA"/>
        </w:rPr>
        <w:t>HMTQ v. Salt Spring Ventures Incorporated</w:t>
      </w:r>
      <w:r>
        <w:rPr>
          <w:rFonts w:ascii="arial" w:eastAsia="arial" w:hAnsi="arial" w:cs="arial"/>
          <w:color w:val="000000"/>
          <w:sz w:val="20"/>
          <w:lang w:val="en-US" w:eastAsia="en-US" w:bidi="ar-SA"/>
        </w:rPr>
        <w:t xml:space="preserve">, </w:t>
      </w:r>
      <w:hyperlink r:id="rId686" w:history="1">
        <w:r>
          <w:rPr>
            <w:rFonts w:ascii="arial" w:eastAsia="arial" w:hAnsi="arial" w:cs="arial"/>
            <w:i/>
            <w:color w:val="0077CC"/>
            <w:sz w:val="20"/>
            <w:u w:val="single"/>
            <w:shd w:val="clear" w:color="auto" w:fill="FFFFFF"/>
            <w:lang w:val="en-US" w:eastAsia="en-US" w:bidi="ar-SA"/>
          </w:rPr>
          <w:t>2012 BCSC 1862</w:t>
        </w:r>
      </w:hyperlink>
      <w:r>
        <w:rPr>
          <w:rFonts w:ascii="arial" w:eastAsia="arial" w:hAnsi="arial" w:cs="arial"/>
          <w:color w:val="000000"/>
          <w:sz w:val="20"/>
          <w:lang w:val="en-US" w:eastAsia="en-US" w:bidi="ar-SA"/>
        </w:rPr>
        <w:t>, at para.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It is helpful at the outset to state as a general proposition that rainwater manifests in different forms. Rainwater that is absorbed into the ground becomes groundwater; it becomes part of the water table that exists under the land's surface. It does not necessarily remain in one place, but can flow under the surface. Rainwater that is not absorbed in this way remains on the surface. It may either run off, following whatever drops in elevation exist in the terrain, or it may lie in pools on the surface. Depending on the state of saturation of the ground, some of the surface water may also permeate the ground and thus become groundwater.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key factual issue in this case is whether, and if so, to what extent, additional water has been flowing onto the Plaintiff's Property as a result of the Solterra Property development and the associated Township Property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Accordingly, the state of the Plaintiff's Property prior to the Solterra Property development is an important fact in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plaintiff's essential position is that it was well-drained and that water accumulation was never a problem. Initially he said that water never accumulated. In cross-examination, he resiled somewhat from that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am unable to accept the plaintiff's contention that water was never a problem on his property prior to the Solterra Property development. I find that is not an entirely accurate description of the true state of affairs. I say so for a number of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first is that I have concluded that Mr. Wood has to some extent exaggerated the extent of the water problems he has experienced since the Solterra Property was developed. When I consider his testimony in the context of the other evidence he has called with respect to the damage caused by the water, I have real reservations as to whether he has been fully accurate in describing how the condition of his property was dramatically changed after the Solterra Property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For example, the plaintiff testified about frequent flooding of his property -- virtually, he said, whenever there was a significant rainfall. That evidence is quite strikingly at odds with the testimony of Ms. Maguire, who rented the house at 20263 from early 2003 until the summer of 2004. She told of two occasions when there was flooding in the basement: once in October and once in November. Each of the floods occurred after heavy, sustained rainfalls. Otherwise, she said that the property around the house was soggy but she did not report flooding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 second factor that has informed my view of the plaintiff's claim is my conclusion that he has a larger agenda. Reference was made at trial to the Township's development plan with respect to a site to the west of the Plaintiff's Property known as the Southwest Gordon Estate Neighbourhood. The development plan includes the relocation of a watercourse called Jeffries Brook. Although the details were not fully made clear at trial, it is apparent that Mr. Wood, whose ultimate objective is seemingly to develop his property, is at odds with the Township over that situation as well. It is my view that the Jeffries Brook situation has no relevance to the plaintiff's nuisance claim, and I have not considered it in these reasons. However, it is clear from the dealings the plaintiff has had with the Township respecting the present claim, as disclosed by his communications with the Township, that he has sought to secure, as a resolution to this matter, a series of benefits that go well beyond a straightforward rectification of his complaint of water incursion from the north. He has an interest in maximizing, indeed, it could be concluded that he has an interest in exaggerating, the extent of water incursion onto his property. Accordingly, I have come to view some of the plaintiff's evidence with a degree of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As noted, in cross-examination, the plaintiff himself conceded that there were times that water accumulated on his property -- he said this was in the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am satisfied that the water table underlying the property was high and that the soil on that site was fairly impermeable; it had, in the words of Ms. Savage, a relatively low hydraulic conductivity. Further, there were drainage mechanisms present on the Plaintiff's Property which indicate that water was a problem to be contended with; some of those drainage mechanisms seem to be of dubious efficacy. There was also, at an earlier time, a pond located in the southeast portion of the 20257 property. It was filled in in approximately 2001. According to Ms. Savage, this infilling likely compromised a pre-existing drainage path, although the plaintiff disputes that the pond had any drainage function. Ms. Savage further opined that significant site work done to the Plaintiff's Property around the same time would have also negatively impacted the soil conductivity of the site, as would the clearing of some of the previously existing vegetation. I accept her evidence on these points, although I assign no significance to the 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Reference was made to two or three catch basins located on the Plaintiff's Property. There is evidence that one of them was installed by an excavation contractor on November 4, 2003. The contractor was present at the site for four hours. The invoice indicates that he dug a swale and installed a catch basin. However, there is nothing in the evidence to indicate that this installation had any meaningful role in providing drainage to the site. Nor is there any evidence as to the date or circumstances of the installation of the other catch basin or catch basins or the resulting effect on drainage of the Plaintiff's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O'Neill testified that he saw two culverts on the Plaintiff's Property. He said that the northern ends of each were visible but that the southern ends were nowhere to be seen. While the plaintiff suggested that this evidence should not be accepted by this Court, I am satisfied, on a balance of probabilities, that they were present. Their presence indicates to me that there was, at some time, a purpose for these culverts, presumably to drain water away. That they were observed by Mr. O'Neill to be in an apparent non-functioning state logically suggests that one element of the Plaintiff's Property's drainage system was not operating.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the result, I am unable to accept the plaintiff's assertion that, prior to the Solterra Property development, there were no water problems on the Plaintiff's Property. It is my conclusion, based upon my assessment of the totality of the evidence, that water did accumulate on the Plaintiff's Property at times of substantial rainfall.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Prior to the Solterra Property development, water -- both surface and groundwater -- from that site and properties north and uphill of the Plaintiff's Property flowed south toward the Plaintiff's Property, which was located at a lower elevation relative to those properties. Indeed, there is no dispute that in general water has historically flowed naturally from the north to the south in the area in question. I will refer to this as the "Uphill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Before the Solterra Property was prepared for development, a ditch (or watercourse) ran along the north side of the Gas Right of Way. Whether it was man-made or a natural topographic feature is not known. Regardless, it caused the Uphill Water (or a good part of it) to be drained away in an easterly direction, into the municipal ditch on the west side of 203rd Street. This had the effect of preventing a substantial portion of the Uphill Water from entering onto the Plaintiff's Property. As noted, that ditch was filled in when the Solterra Property was prepared for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However, in understanding the overall picture, it is important to keep in mind the comprehensive nature of the Solterra Property development, which covered the entire site with structures, roadways and driveways, and landscaping. The drainage system was engineered so that the vast majority of rainwater that fell onto the site was collected and carried away. As Mr. O'Neill described, and Mr. Ashford accepted, that system captured the surface water through various perimeter tiles, drains and catch basins, and then piped it away to the main storm sewer system on 203rd Street. As a result, the surface water from that site, which would have previously run southwards and presumably into the ditch to be carried away, was captured and taken away by this infrastructure. The substantial increase in impermeable land surface brought about by the Solterra Property development would also have had the effect of reducing to some significant extent the amount of rainfall that would go to ground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evidence also establishes that the property located north of (and uphill from) the Solterra Property has been developed in a similar way, with the result that water which would originate in that area, and which would otherwise have flowed south and ultimately toward the Plaintiff's Property, is now largely managed in such a way that most of it does not represent the same volume as would have been previously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the result, a substantial part of the Uphill Water is managed in that it is carried away by the drainage infrastructures of the two developments located to the north of the Plaintiff's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One change that has resulted from the development of the Solterra Property and the adjacent Township Property park is that the contour of the land at the boundary between the Township Property and the Plaintiff's' Property is different than it was previously. The photographic evidence indicates that, prior to the development, the transition was quite gradual. Although the Plaintiff's Property is lower than the land to north, the boundary between the two was previously not clearly apparent from the topography. One flowed into the other. After the Solterra Property was developed and the Township Property park was completed, there was, as mentioned earlier, some increase in elevation of the developed sites. The boundary between the Plaintiff's Property and the Township Property is now clearly evident by a fairly abrupt change in levels: the Township Property is higher; the Plaintiff's Property at that point is discernibly lower.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It is also to be noted that the profile of the Township Property, and particularly the Asphalt Walkway, is canted slightly to the south. Accordingly, it seems that when rain falls upon the Township Property, the water that falls on the paved portion runs south, in the direction of the Plaintiff's Property. On either side of the paved path, there is grass and other landscaping. Presumably, some of the water that falls or flows there is absorbed. What isn't absorbed would flow, on the surface, to the south and thus to the Plaintiff's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 final topographical feature that seems relevant to the discussion is at the northern edge of the Plaintiffs' Property. The photographic evidence indicates that there is a fairly pronounced depression or swale running generally along portions of that "frontier". The result is that the transition between the two properties is much starker than it was previously. A second result is that water accumulates in those depressed areas and appears to simply lie there. There is no means of drainage to carry it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An important part of the plaintiff's case is the evidence of Mr. Ashford. He has undoubtedly worked with great effort to investigate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defendant Township takes quite strenuous issue with the evidence of Mr. Ashford, contending that it is manifestly unreliable and asserting that the witness is simply a "hired gun" and an advocate for the plaintiff. With respect, I am not prepared to adopt that assessment. I am satisfied that Mr. Ashford's research and investigation was honest and diligent. While it is true that he relied in part upon information provided to him by the plaintiff, and there may be reason to have reservations with respect to the accuracy of some parts of Mr. Wood's description of the circumstances, in my view that does not mean that his evidence is to be rejected in its entirety. It must be examined in the context of the totality of the evidence in this case. I will consider this witness' opinion in that way. I may accept some of his opinions, I may accept none, or I may accept all. However, I do not agree with the submission that it must be attributed no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Based upon Mr. Ashford's testimony and his report, and the totality of the evidence, I am prepared to accept that the development, both the of Solterra Property and the changes that were made to create the Township park on the Gas Right of Way, have resulted in some increase in the amount of water finding its way to the Plaintiff's Property, as compared to the volumes that were there previously. However, I find the actual extent of the increase -- both in terms of the amount of water and frequency of occurrence -- to be modest.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do not doubt Mr. Ashford's evidence that, on occasion, he saw water flowing south from the Asphalt Walkway onto the Plaintiff's Property. However, I am not able to conclude that the amount of water coming onto the Plaintiff's Property in this fashion is substantially different than the situation as it existed prior to the development of the Solterra Property and the Township's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solution that Mr. Ashford proposes is the installation of a French drain along the full length of the boundary between the Solterra and Township Properties, that is, on the uphill side of the park. In his report he sets out in careful detail the technical requirements that would apply. Essentially, the drain would have the effect of intercepting the Uphill Water and carrying it away to the east so that it would not reach the Plaintiff's Property, thus performing the same function as the previously existing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It is of some note that Solterra was made aware of the plaintiff's complaints. In letter sent to Mr. Wood in January 2004, Mr. O'Neill responded to Mr. Wood's complaints of water coming onto his property from the north, seeking to engage with him and to find a solution. Specifically, he sent a letter to the plaintiff in January 2004, proposing to construct two French drains, one on either side of the Gas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 declined to agree with that proposal. Mr. Wood's letter in reply made clear he chose not to engage in any collaborative effort to address the water problem. It is my view that this strategy was influenced by the fact that he seemed to have "bigger fish to fry"; I believe he was determined to parlay the situation into maximum benefits for his property and his development aspirations. The solution Mr. O'Neill suggested was not likely to advance the plaintiff's larger agenda.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Be that as it may, Solterra proceeded to install a French drain near the northern edge of the Township Property. The details of that installation, and whether it meets the specifications set out by Mr. Ashford, are not entirely clear from the evidence, although it appears they did not. It is my understanding of the evidence that the French drain did not extend along the entire length of the Township Property. As well, I have found nothing in the evidence to indicate that it was of the magnitude recommended by Mr. Ashford (750 mm below grade). Nevertheless, Mr. O'Neill testified that he monitored both the Township Property and the Plaintiff's Property after the French drain was installed, and that he was satisfied the system was draining the former of any escaping groundwater before it reached the Plaintiff's Property. I accept that evidence, and find that it provides support for my conclusion that the water situation at that location, at that point in time, had been substantially managed by the measures which had been implemented..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To summarize my conclusion, notwithstanding my finding that the Plaintiff's Property was not, prior to the development of the Solterra Property and Township Property, entirely and always dry, I am satisfied that the plaintiff has proven on a balance of probabilities that, since the development, a modest amount of additional water has flowed onto his property. I am not persuaded, however, that the effects extend to the entire property. Rather, they are principally present at some points on the northern edge of the Plaintiff's Property, essentially adjacent to the Township Property. The situation is exacerbated by the swale or depression that runs along that frontier, resulting in pools of water accumulating and not being drained or carried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Somewhat curiously, in his evidence, the plaintiff contends that, among the measures taken to deal with the problem, he has graded the site. Simply as an observation, it seems to me difficult to accept that measure has been taken in any meaningful way. The low area adjacent to the boundary with the Township Property would appear to be quite starkly at odds with that assertion.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Claim of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As noted earlier in the section outlining the relevant legal principles, a nuisance is an interference with the plaintiff's use or enjoyment of land that is both substantial and unreasonable. I turn now to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To prove his claim in nuisance, the plaintiff must establish that the act at issue, here the fact of the water coming onto his property, has resulted in a substantial and unreasonable interference with his (Mr. Wood's) use or enjoyment of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focus here is on the first aspect, whether the plaintiff has proven that the interference with his property rights is substantial. That is, the interference must be non-trivial, of a magnitude more than trifling or a mere annoyance.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am not satisfied that the plaintiff has proven that interference. I say this looking at the question from the perspectives of both physical damage to the land and the plaintiff's use and enjoyment of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 return to </w:t>
      </w:r>
      <w:r>
        <w:rPr>
          <w:rFonts w:ascii="arial" w:eastAsia="arial" w:hAnsi="arial" w:cs="arial"/>
          <w:i/>
          <w:color w:val="000000"/>
          <w:sz w:val="20"/>
          <w:lang w:val="en-US" w:eastAsia="en-US" w:bidi="ar-SA"/>
        </w:rPr>
        <w:t>Antrim Truck Centre</w:t>
      </w:r>
      <w:r>
        <w:rPr>
          <w:rFonts w:ascii="arial" w:eastAsia="arial" w:hAnsi="arial" w:cs="arial"/>
          <w:color w:val="000000"/>
          <w:sz w:val="20"/>
          <w:lang w:val="en-US" w:eastAsia="en-US" w:bidi="ar-SA"/>
        </w:rPr>
        <w:t xml:space="preserve"> and the Court's comments about what constitutes a substantial interference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does this threshold require? In </w:t>
      </w:r>
      <w:r>
        <w:rPr>
          <w:rFonts w:ascii="arial" w:eastAsia="arial" w:hAnsi="arial" w:cs="arial"/>
          <w:i/>
          <w:color w:val="000000"/>
          <w:sz w:val="20"/>
          <w:lang w:val="en-US" w:eastAsia="en-US" w:bidi="ar-SA"/>
        </w:rPr>
        <w:t>St. Lawrence Cement</w:t>
      </w:r>
      <w:r>
        <w:rPr>
          <w:rFonts w:ascii="arial" w:eastAsia="arial" w:hAnsi="arial" w:cs="arial"/>
          <w:color w:val="000000"/>
          <w:sz w:val="20"/>
          <w:lang w:val="en-US" w:eastAsia="en-US" w:bidi="ar-SA"/>
        </w:rPr>
        <w:t xml:space="preserve">, the Court noted that the requirement of substantial harm "means that compensation will not be awarded for trivial annoyances": para. 77. In </w:t>
      </w:r>
      <w:r>
        <w:rPr>
          <w:rFonts w:ascii="arial" w:eastAsia="arial" w:hAnsi="arial" w:cs="arial"/>
          <w:i/>
          <w:color w:val="000000"/>
          <w:sz w:val="20"/>
          <w:lang w:val="en-US" w:eastAsia="en-US" w:bidi="ar-SA"/>
        </w:rPr>
        <w:t>St. Pierre</w:t>
      </w:r>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[1987] 1 S.C.R. 906</w:t>
        </w:r>
      </w:hyperlink>
      <w:r>
        <w:rPr>
          <w:rFonts w:ascii="arial" w:eastAsia="arial" w:hAnsi="arial" w:cs="arial"/>
          <w:color w:val="000000"/>
          <w:sz w:val="20"/>
          <w:lang w:val="en-US" w:eastAsia="en-US" w:bidi="ar-SA"/>
        </w:rPr>
        <w:t xml:space="preserve"> while the Court was careful to say that the categories of nuisance are not closed, it also noted that only interferences that "</w:t>
      </w:r>
      <w:r>
        <w:rPr>
          <w:rFonts w:ascii="arial" w:eastAsia="arial" w:hAnsi="arial" w:cs="arial"/>
          <w:color w:val="000000"/>
          <w:sz w:val="20"/>
          <w:u w:val="single"/>
          <w:lang w:val="en-US" w:eastAsia="en-US" w:bidi="ar-SA"/>
        </w:rPr>
        <w:t>substantially</w:t>
      </w:r>
      <w:r>
        <w:rPr>
          <w:rFonts w:ascii="arial" w:eastAsia="arial" w:hAnsi="arial" w:cs="arial"/>
          <w:color w:val="000000"/>
          <w:sz w:val="20"/>
          <w:lang w:val="en-US" w:eastAsia="en-US" w:bidi="ar-SA"/>
        </w:rPr>
        <w:t xml:space="preserve"> alte[r] the nature of the claimant's property itself" or interfere "to a </w:t>
      </w:r>
      <w:r>
        <w:rPr>
          <w:rFonts w:ascii="arial" w:eastAsia="arial" w:hAnsi="arial" w:cs="arial"/>
          <w:color w:val="000000"/>
          <w:sz w:val="20"/>
          <w:u w:val="single"/>
          <w:lang w:val="en-US" w:eastAsia="en-US" w:bidi="ar-SA"/>
        </w:rPr>
        <w:t>significant</w:t>
      </w:r>
      <w:r>
        <w:rPr>
          <w:rFonts w:ascii="arial" w:eastAsia="arial" w:hAnsi="arial" w:cs="arial"/>
          <w:color w:val="000000"/>
          <w:sz w:val="20"/>
          <w:lang w:val="en-US" w:eastAsia="en-US" w:bidi="ar-SA"/>
        </w:rPr>
        <w:t xml:space="preserve"> extent with the actual use being made of the property" are sufficient to ground a claim in nuisance: p. 915 (emphasis added). One can ascertain from these authorities that a substantial injury to the complainant's property interest is one that amounts to more than a slight annoyance or trifling interference. As La Forest J. put it in </w:t>
      </w:r>
      <w:r>
        <w:rPr>
          <w:rFonts w:ascii="arial" w:eastAsia="arial" w:hAnsi="arial" w:cs="arial"/>
          <w:i/>
          <w:color w:val="000000"/>
          <w:sz w:val="20"/>
          <w:lang w:val="en-US" w:eastAsia="en-US" w:bidi="ar-SA"/>
        </w:rPr>
        <w:t>Tock v. St. John's Metropolitan Area Board</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[1989] 2 S.C.R. 1181</w:t>
        </w:r>
      </w:hyperlink>
      <w:r>
        <w:rPr>
          <w:rFonts w:ascii="arial" w:eastAsia="arial" w:hAnsi="arial" w:cs="arial"/>
          <w:color w:val="000000"/>
          <w:sz w:val="20"/>
          <w:lang w:val="en-US" w:eastAsia="en-US" w:bidi="ar-SA"/>
        </w:rPr>
        <w:t>, actionable nuisances include "only those inconveniences that materially interfere with ordinary comfort as defined according to the standards held by those of plain and sober tastes", and not claims based "on the prompting of excessive 'delicacy and fastidiousness'": p. 1191. Claims that are clearly of this latter nature do not engage the reasonableness analysis.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my view, the plaintiff has not demonstrated that the pooling water along the northern boundary of his property has either substantially altered the nature of his property or interfered to a non-trivial or significant extent with the actual use being made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so far as the actual use of the Plaintiff's Property is concerned, the evidence indicates that it is principally a holding property. The plaintiff's intention is to rent the two houses that are located there, to have some use of storage sheds located on the property, and ultimately to develop the site. The houses which are located on the property are of an older vintage. I note that the report of Ms. Savage described one of them as having design deficiencies related to its foundation. There is no evidence with respect to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evidence is that the houses are rented. The evidence adduced by the plaintiff does not satisfy me that the water situation he alleges has meaningfully impacted his ability to rent the houses, or that the revenue being obtained is reduced, or that the water situation is resulting in expenses of any consequence being incurred on anything other than a very infrequent basis, and those are of a relatively minor magnitude. Specifically, the plaintiff has adduced evidence to demonstrate that there were two episodes while Ms. Corliss was a tenant there. Beyond that, the evidence of costs incurred because of water incursion is modest. It is not such as to enable the Court to conclude that those circumstances are attributable to water incursion for which the defendant was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short, the Plaintiff's Property is a holding property, awaiting development. The consequences arising from the increased water are minor. The frequency and the duration of the interference from the water are of modest magnitude. Finally, as I have indicated earlier, I am not satisfied that whatever consequences have resulted are attributable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second aspect of consideration is whether the plaintiff has demonstrated that there was physical damage of sufficient gravity.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From the discussion in </w:t>
      </w:r>
      <w:r>
        <w:rPr>
          <w:rFonts w:ascii="arial" w:eastAsia="arial" w:hAnsi="arial" w:cs="arial"/>
          <w:i/>
          <w:color w:val="000000"/>
          <w:sz w:val="20"/>
          <w:lang w:val="en-US" w:eastAsia="en-US" w:bidi="ar-SA"/>
        </w:rPr>
        <w:t>Antrim Truck Centre</w:t>
      </w:r>
      <w:r>
        <w:rPr>
          <w:rFonts w:ascii="arial" w:eastAsia="arial" w:hAnsi="arial" w:cs="arial"/>
          <w:color w:val="000000"/>
          <w:sz w:val="20"/>
          <w:lang w:val="en-US" w:eastAsia="en-US" w:bidi="ar-SA"/>
        </w:rPr>
        <w:t xml:space="preserve"> at para. 22, I conclude that, for the plaintiff to establish the necessary physical damage, he must prove a substantial adverse alteration to the property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On the evidence, I am unable to conclude that that has been made out. The water on the Plaintiff's Property is primarily in some low-lying areas, depressions or swales along the northern border. Taking into account both the current and intended use, there is no basis to find that any substantial adverse alteration has been caused.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summary, the plaintiff has failed to show on a balance of probabilities that the defendant has caused substantial interference with the use or enjoyment of his property so as to constitute nuisance. The plaintiff's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J.W. WILLIAMS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8" style="position:absolute;z-index:2517698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9"/>
          <w:headerReference w:type="default" r:id="rId690"/>
          <w:footerReference w:type="even" r:id="rId691"/>
          <w:footerReference w:type="default" r:id="rId692"/>
          <w:headerReference w:type="first" r:id="rId693"/>
          <w:footerReference w:type="first" r:id="rId6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95" w:history="1">
        <w:r>
          <w:rPr>
            <w:rFonts w:ascii="arial" w:eastAsia="arial" w:hAnsi="arial" w:cs="arial"/>
            <w:b/>
            <w:bCs/>
            <w:i/>
            <w:color w:val="0077CC"/>
            <w:kern w:val="32"/>
            <w:sz w:val="28"/>
            <w:szCs w:val="32"/>
            <w:u w:val="single"/>
            <w:shd w:val="clear" w:color="auto" w:fill="FFFFFF"/>
            <w:lang w:val="en-US" w:eastAsia="en-US" w:bidi="ar-SA"/>
          </w:rPr>
          <w:t>Yang v. Fourso, [2017] B.C.J. No. 2859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R. McDiarmid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14,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November 14,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Released: November 14,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S157560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2859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2604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86 C.L.R. (4th) 349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CarswellBC 3916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Jie Yang, Plaintiff, and Ting Fourso, ABC Company #1, and ABC Company #2,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 paras.)</w:t>
      </w:r>
    </w:p>
    <w:p>
      <w:pPr>
        <w:jc w:val="both"/>
        <w:rPr>
          <w:rFonts w:ascii="arial" w:eastAsia="arial" w:hAnsi="arial" w:cs="arial"/>
          <w:sz w:val="20"/>
          <w:lang w:val="en-US" w:eastAsia="en-US" w:bidi="ar-SA"/>
        </w:rPr>
      </w:pPr>
      <w:bookmarkStart w:id="138" w:name="Counsel_31"/>
      <w:bookmarkEnd w:id="13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9"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 McLean.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Proposed Defendant, Shao Mei Zhou: D. Reid.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9" w:name="Judgment_31"/>
      <w:bookmarkEnd w:id="139"/>
      <w:r>
        <w:pict>
          <v:line id="_x0000_s1140" style="position:absolute;z-index:2517360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0" w:name="MASTER R. McDIARMID (orally)"/>
            <w:bookmarkEnd w:id="140"/>
            <w:r>
              <w:rPr>
                <w:rFonts w:ascii="arial" w:eastAsia="arial" w:hAnsi="arial" w:cs="arial"/>
                <w:b/>
                <w:color w:val="000000"/>
                <w:sz w:val="30"/>
                <w:lang w:val="en-US" w:eastAsia="en-US" w:bidi="ar-SA"/>
              </w:rPr>
              <w:t>MASTER R. McDIARMID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filed September 18, 2017 to add a party to a proceeding after the expiry of a limitation period and to make consequential amendments to the Notice of Civil Claim in accordance with adding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party sought to be added is the spouse of the existing personal defendant. For the purposes of this application, I can assume that the facts, as opposed to conclusions of law, in the proposed pleading, can be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and the proposed defendant, Ms. Zhou, are friends. That is set out in the proposed pleading, where it is proposed to be pleaded that Mr. Fourso and Ms. Zhou are husband and wife. The plaintiff and Ms. Zhou have been friends for some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and Ms. Zhou developed a trust in one another wherein the plaintiff would rely on the advice and opinion of Ms. Zhou on topics, including which service providers to use. The "relationship" does not use the word "trust" in a way to suggest any legal trustee-beneficiary relationship, but rather trust in what I call "the ordinary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alleges that the proposed defendant recommended the existing personal defendant, her husband, to do handyman work for the plaintiff, including, in particular, the installation of a water line to the plaintiff's fridge.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April 2014, Mr. Fourso installed a water line for the plaintiff's fridge. Between April 11 and April 25, 2014, water escaped from that line, or the installation in any event, causing what I am told was $117,118.76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Notice of Civil Claim was filed September 11, 2015. Mr. Fourso was examined for discovery on April 15, 2016. He apparently installed the water line gratuitously as a favour to the plaintiff who was his wife's 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draft pleadings allege that Ms. Zhou negligently recommended her husband. The draft pleadings (Part 1: Statement of Facts) are attached as Appendix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claim against Mr. Fourso is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he negligently installed the water line. The proposed claim against Ms. Zhou is for negligent misrepresentation. Claims for negligent misrepresentation must be particularized. Rule 3-7(18)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party pleading relies on misrepresentation ... or if particulars may be necessary, full particulars, with dates and items if applicable, must be stated in the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Claims for negligent misrepresentation are claims for economic loss. Accordingly, there have been a number of cases that have set parameters for recovery for claims for negligent misrepresentation. There is the well-known principle enunciated by Chief Justice Cardozo in </w:t>
      </w:r>
      <w:r>
        <w:rPr>
          <w:rFonts w:ascii="arial" w:eastAsia="arial" w:hAnsi="arial" w:cs="arial"/>
          <w:i/>
          <w:color w:val="000000"/>
          <w:sz w:val="20"/>
          <w:lang w:val="en-US" w:eastAsia="en-US" w:bidi="ar-SA"/>
        </w:rPr>
        <w:t>Ultramares Corp. v. Touche</w:t>
      </w:r>
      <w:r>
        <w:rPr>
          <w:rFonts w:ascii="arial" w:eastAsia="arial" w:hAnsi="arial" w:cs="arial"/>
          <w:color w:val="000000"/>
          <w:sz w:val="20"/>
          <w:lang w:val="en-US" w:eastAsia="en-US" w:bidi="ar-SA"/>
        </w:rPr>
        <w:t xml:space="preserve"> (1932), 255 N.Y. 170, where he writes that the law should not admit to "a liability in an indeterminate amount for an indeterminate time to an indeterminate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For a negligent misrepresentation claim to succeed, there must be a duty of care. Here, that duty of care is alleged to rest on a special relationship, and that has been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However, there also has to be what is set out in </w:t>
      </w:r>
      <w:r>
        <w:rPr>
          <w:rFonts w:ascii="arial" w:eastAsia="arial" w:hAnsi="arial" w:cs="arial"/>
          <w:i/>
          <w:color w:val="000000"/>
          <w:sz w:val="20"/>
          <w:lang w:val="en-US" w:eastAsia="en-US" w:bidi="ar-SA"/>
        </w:rPr>
        <w:t>Hercules Managements Ltd. v. Ernest &amp; Young</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and that is set out in the response. To look at indicia of reasonable reliance, you look at whether or not:</w:t>
      </w:r>
      <w:r>
        <w:rPr>
          <w:rFonts w:ascii="arial" w:eastAsia="arial" w:hAnsi="arial" w:cs="arial"/>
          <w:sz w:val="20"/>
          <w:lang w:val="en-US" w:eastAsia="en-US" w:bidi="ar-SA"/>
        </w:rPr>
        <w:cr/>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had a direct or indirect financial interest in the transaction in respect of which the representation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Here, clearly not. Next: (2) The defendant [the proposed defendant was a profession or someone who possessed special skill, judgment, or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And that is absolutely critical in the cases; here, clearly not. Next:</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advice or information was provided in the course of the defendant's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Again, clearly not. Next:</w:t>
      </w:r>
      <w:r>
        <w:rPr>
          <w:rFonts w:ascii="arial" w:eastAsia="arial" w:hAnsi="arial" w:cs="arial"/>
          <w:sz w:val="20"/>
          <w:lang w:val="en-US" w:eastAsia="en-US" w:bidi="ar-SA"/>
        </w:rPr>
        <w:cr/>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information or advice was given deliberately, and not on a social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This appears to be a manner of some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has pleaded essentially that it was not on a social occasion and has, I think, pleaded that:</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information or advice was given in response to a specific enquiry or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first three indicia that tie in skill and knowledge and economics are not met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Hedley Byrne &amp; Co. Ltd. v. Heller &amp; Partners Ltd.</w:t>
      </w:r>
      <w:r>
        <w:rPr>
          <w:rFonts w:ascii="arial" w:eastAsia="arial" w:hAnsi="arial" w:cs="arial"/>
          <w:color w:val="000000"/>
          <w:sz w:val="20"/>
          <w:lang w:val="en-US" w:eastAsia="en-US" w:bidi="ar-SA"/>
        </w:rPr>
        <w:t>, [1963] 2 All E.R. 575 is the leading case with respect to negligent misrepresentation. It sets out firstly that an innocent but negligent representation gives no cause of action unless expressly or by implication from the circumstances the speaker or writer had undertaken some responsibility and, second, that there is no duty of care in a social or informal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Here, it seems without question that the setting was informal. A reasonable person knowing that he was being trusted or that his skill and judgment were being relied on, is not pleaded. It is agreed here that there was no special skill or judgment with respect to this proposed defendant. That is critical. This proposed defendant has no special skill or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That then takes us to </w:t>
      </w:r>
      <w:r>
        <w:rPr>
          <w:rFonts w:ascii="arial" w:eastAsia="arial" w:hAnsi="arial" w:cs="arial"/>
          <w:i/>
          <w:color w:val="000000"/>
          <w:sz w:val="20"/>
          <w:lang w:val="en-US" w:eastAsia="en-US" w:bidi="ar-SA"/>
        </w:rPr>
        <w:t>Forde v. Interior Health Authority</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2007 BCSC 1706</w:t>
        </w:r>
      </w:hyperlink>
      <w:r>
        <w:rPr>
          <w:rFonts w:ascii="arial" w:eastAsia="arial" w:hAnsi="arial" w:cs="arial"/>
          <w:color w:val="000000"/>
          <w:sz w:val="20"/>
          <w:lang w:val="en-US" w:eastAsia="en-US" w:bidi="ar-SA"/>
        </w:rPr>
        <w:t>, where Madam Justice Russell was dealing with the correct approach a trial judge should take to decide whether there may exist between appropriate parties a question which can be answered or an issue which can be decided by a court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Is the question or issue is a real one in the sense that it is not entirely frivolous? With all due respect, the question in this case, as against the proposed defendant, is entirely frivolous. This was not a person who had any special skill. In this case, it is my view that there is no such question to be determined here. The issue is not a real one because the special relationship does not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Obviously, any claim can be brought as long as it is brought within the limitation period. It is then subject to an application to dismiss. Here, the facts were known to the plaintiff before the limitation period expired. In fact, the facts were known to the plaintiff at the outset.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Although this application is arguably brought within three years, in other words, within one year of the expiry of the limitation period, it is nevertheless brought after the limitation period has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Given the facts of this case, this is not a case where the court should exercise its discretion to permit the addition of a party. It would add a separate party, and it would also add a separate and different cause of action after the limitation period for that cause of action has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application is dismissed. Ms. Zhou should have her costs, including this application and the application in front of Master Harper.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Thank you,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R. McDIARMID</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"A"</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reside in the United States of America, within 35 days after the date on which a copy of the filed notice of civil claim was served on you,</w:t>
      </w:r>
    </w:p>
    <w:p>
      <w:pPr>
        <w:numPr>
          <w:numId w:val="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reside elsewhere, within 49 days after the date on which a copy of the filed notice of civil claim was served on you, or</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time for response to civil claim has been set by order of the court, within that time.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CLAIM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1: STATEMENT OF FACTS</w:t>
      </w:r>
      <w:r>
        <w:rPr>
          <w:rFonts w:ascii="arial" w:eastAsia="arial" w:hAnsi="arial" w:cs="arial"/>
          <w:sz w:val="20"/>
          <w:lang w:val="en-US" w:eastAsia="en-US" w:bidi="ar-SA"/>
        </w:rPr>
        <w:cr/>
      </w:r>
    </w:p>
    <w:p>
      <w:pPr>
        <w:numPr>
          <w:numId w:val="8"/>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Jie Yang, is an individual, and has an address for service c/o Lindsay LLP, 1000 - 564 Beatty Street, Vancouver, British Columbia.</w:t>
      </w:r>
    </w:p>
    <w:p>
      <w:pPr>
        <w:numPr>
          <w:numId w:val="9"/>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Ting Fourso, is an individual with a residential address of 88 41st Ave East, Vancouver, BC, V5W 1N5 (hereafter "Mr. Fourso").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2a. The Defendant, Shao Mei Zhou, is an individual with a residential address of 88 41st Ave East, Vancouver. BC, V5W 1N5 (hereafter "Ms. Zhou").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2b. Mr. Fourso and Ms. Zhou are husband and wife.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2c. The Plaintiff and Ms. Zhou have been friends for some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2d. The Plaintiff and Ms. Zhou developed a trust in one another wherein the Plaintiff would rely on the advice and opinion of Ms. Zhou on topics including which service providers to use (the "Relationship").</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ABC Company #1 is a company whose proper identity and whereabouts are not presently known, and who, at all material times hereto, carried on business manufacturing plumbing components, including water lines for fridges (hereafter, the "Water Line Manufacturer").</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ABC Company #2, is a company whose proper identity and whereabouts are not presently known, and who, at all material times hereto, carried on business as a vendor of plumbing components, including water lines for fridges (hereafter, the "Water Line Vendor").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Jie Yang, was at all material times the registered owner of those lands and premises located at 3787 Burnaby St, Vancouver, B.C., V6P 2H7 (the "Property").</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is better known and legally described 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PID: 002-946-084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LOT 11 DISTRICT LOT 68 GROUP 1 NEW WESTMINSTER DISTRICT PLAN 10920</w:t>
      </w:r>
    </w:p>
    <w:p>
      <w:pPr>
        <w:numPr>
          <w:numId w:val="14"/>
        </w:numPr>
        <w:tabs>
          <w:tab w:val="num" w:pos="1480"/>
          <w:tab w:val="clear" w:pos="1840"/>
        </w:tabs>
        <w:spacing w:before="120" w:line="24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all material times, </w:t>
      </w:r>
      <w:r>
        <w:rPr>
          <w:rFonts w:ascii="arial" w:eastAsia="arial" w:hAnsi="arial" w:cs="arial"/>
          <w:color w:val="000000"/>
          <w:sz w:val="20"/>
          <w:u w:val="single"/>
          <w:lang w:val="en-US" w:eastAsia="en-US" w:bidi="ar-SA"/>
        </w:rPr>
        <w:t>Mr. Fourso occasionally helped friends do odd jobs. His main source of income is from selling Legal Shield subscriptions</w:t>
      </w:r>
      <w:r>
        <w:rPr>
          <w:rFonts w:ascii="arial" w:eastAsia="arial" w:hAnsi="arial" w:cs="arial"/>
          <w:color w:val="000000"/>
          <w:sz w:val="20"/>
          <w:lang w:val="en-US" w:eastAsia="en-US" w:bidi="ar-SA"/>
        </w:rPr>
        <w:t xml:space="preserve">. [Carried on business as a home serviceman]. </w:t>
      </w:r>
      <w:r>
        <w:rPr>
          <w:rFonts w:ascii="arial" w:eastAsia="arial" w:hAnsi="arial" w:cs="arial"/>
          <w:color w:val="000000"/>
          <w:sz w:val="18"/>
          <w:lang w:val="en-US" w:eastAsia="en-US" w:bidi="ar-SA"/>
        </w:rPr>
        <w:t>[Editor's note: Text in bracket is struck out in the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7b. At all material times. Ms. Zhou was aware that Mr. Fourso had limited handyman experience. and no experience doing odd jobs without instruction from others who had substantial handyman experience.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7a. At all material times. Mr. Fourso's odd job experience was limited to working under the instruction of others who had substantial handyman experience.</w:t>
      </w:r>
    </w:p>
    <w:p>
      <w:pPr>
        <w:numPr>
          <w:numId w:val="15"/>
        </w:numPr>
        <w:tabs>
          <w:tab w:val="clear" w:pos="1120"/>
          <w:tab w:val="num" w:pos="1480"/>
        </w:tabs>
        <w:spacing w:before="120" w:line="24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or about April 7, 2014, </w:t>
      </w:r>
      <w:r>
        <w:rPr>
          <w:rFonts w:ascii="arial" w:eastAsia="arial" w:hAnsi="arial" w:cs="arial"/>
          <w:color w:val="000000"/>
          <w:sz w:val="20"/>
          <w:u w:val="single"/>
          <w:lang w:val="en-US" w:eastAsia="en-US" w:bidi="ar-SA"/>
        </w:rPr>
        <w:t>Ms. Zhou recommended</w:t>
      </w:r>
      <w:r>
        <w:rPr>
          <w:rFonts w:ascii="arial" w:eastAsia="arial" w:hAnsi="arial" w:cs="arial"/>
          <w:color w:val="000000"/>
          <w:sz w:val="20"/>
          <w:lang w:val="en-US" w:eastAsia="en-US" w:bidi="ar-SA"/>
        </w:rPr>
        <w:t xml:space="preserve"> to the Plaintiff </w:t>
      </w:r>
      <w:r>
        <w:rPr>
          <w:rFonts w:ascii="arial" w:eastAsia="arial" w:hAnsi="arial" w:cs="arial"/>
          <w:color w:val="000000"/>
          <w:sz w:val="20"/>
          <w:u w:val="single"/>
          <w:lang w:val="en-US" w:eastAsia="en-US" w:bidi="ar-SA"/>
        </w:rPr>
        <w:t>that she let</w:t>
      </w:r>
      <w:r>
        <w:rPr>
          <w:rFonts w:ascii="arial" w:eastAsia="arial" w:hAnsi="arial" w:cs="arial"/>
          <w:color w:val="000000"/>
          <w:sz w:val="20"/>
          <w:lang w:val="en-US" w:eastAsia="en-US" w:bidi="ar-SA"/>
        </w:rPr>
        <w:t xml:space="preserve"> [contracted with] Mr. Fourso </w:t>
      </w:r>
      <w:r>
        <w:rPr>
          <w:rFonts w:ascii="arial" w:eastAsia="arial" w:hAnsi="arial" w:cs="arial"/>
          <w:color w:val="000000"/>
          <w:sz w:val="20"/>
          <w:u w:val="single"/>
          <w:lang w:val="en-US" w:eastAsia="en-US" w:bidi="ar-SA"/>
        </w:rPr>
        <w:t>perform certain odd jobs for her as a favour, including</w:t>
      </w:r>
      <w:r>
        <w:rPr>
          <w:rFonts w:ascii="arial" w:eastAsia="arial" w:hAnsi="arial" w:cs="arial"/>
          <w:color w:val="000000"/>
          <w:sz w:val="20"/>
          <w:lang w:val="en-US" w:eastAsia="en-US" w:bidi="ar-SA"/>
        </w:rPr>
        <w:t xml:space="preserve"> to supply and install a water line (the "Water Line") for a fridge on the Property (the "Installation </w:t>
      </w:r>
      <w:r>
        <w:rPr>
          <w:rFonts w:ascii="arial" w:eastAsia="arial" w:hAnsi="arial" w:cs="arial"/>
          <w:color w:val="000000"/>
          <w:sz w:val="20"/>
          <w:u w:val="single"/>
          <w:lang w:val="en-US" w:eastAsia="en-US" w:bidi="ar-SA"/>
        </w:rPr>
        <w:t>Job</w:t>
      </w:r>
      <w:r>
        <w:rPr>
          <w:rFonts w:ascii="arial" w:eastAsia="arial" w:hAnsi="arial" w:cs="arial"/>
          <w:color w:val="000000"/>
          <w:sz w:val="20"/>
          <w:lang w:val="en-US" w:eastAsia="en-US" w:bidi="ar-SA"/>
        </w:rPr>
        <w:t xml:space="preserve"> [Contract]").</w:t>
      </w:r>
      <w:r>
        <w:rPr>
          <w:rFonts w:ascii="arial" w:eastAsia="arial" w:hAnsi="arial" w:cs="arial"/>
          <w:color w:val="000000"/>
          <w:sz w:val="18"/>
          <w:lang w:val="en-US" w:eastAsia="en-US" w:bidi="ar-SA"/>
        </w:rPr>
        <w:t>[Editor's note: Text in brackets is struck out in the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8a. At all material times. Ms. Zhou represented to the Plaintiff that Mr. Fourso was competent, had sufficient experience, and could work alone without the direction of others who had substantial handyman experience (the "Ms. Zhou's Negligent Misrepresentation").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8b. At all material times. Ms. Zhou was aware, or ought to have been aware, based on their Relationship, that the Plaintiff believed Ms. Zhou possessed knowledge about Mr. Fourso's competence as a handyman.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8c. At all material times. Ms. Zhou was aware, or it was reasonably forseeable. based on their Relationship, that the Plaintiff intended to rely on Ms. Zhou's Negligent Misrepresentation and get Mr. Fourso to perform the Installation Job.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8d. At all material times, the Plaintiff reasonably relied on Ms. Zhou's Negligent Misrepresentation as a result of the Relationship.</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Water Line was manufactured by the Water Line Manufacture.</w:t>
      </w:r>
    </w:p>
    <w:p>
      <w:pPr>
        <w:numPr>
          <w:numId w:val="1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time not known to the Plaintiff, but before on or about April 7, 2014, Mr. Fourso purchased the Water Line from the Water Line Vendor in the ordinary course of business.</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on or about April 11, 2014, and on or about April 25, 2014, the Water Line failed and water escaped therefrom (the "Failure").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11a. The Failure was caused because Mr. Fourso did not install a ferrule with the Water Line, which compresses against the Water Line tube by a nut when the nut is screwed into the Water Line coupling.</w:t>
      </w:r>
    </w:p>
    <w:p>
      <w:pPr>
        <w:numPr>
          <w:numId w:val="19"/>
        </w:numPr>
        <w:tabs>
          <w:tab w:val="num" w:pos="1480"/>
          <w:tab w:val="clear" w:pos="292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resulted in property damage to the Property and loss of its use.</w:t>
      </w:r>
    </w:p>
    <w:p>
      <w:pPr>
        <w:numPr>
          <w:numId w:val="20"/>
        </w:numPr>
        <w:tabs>
          <w:tab w:val="num" w:pos="1480"/>
          <w:tab w:val="clear" w:pos="292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Failure, the Plaintiff suffered, or will suffer, loss, damage, and expense,</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1" style="position:absolute;z-index:251770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8"/>
          <w:headerReference w:type="default" r:id="rId699"/>
          <w:footerReference w:type="even" r:id="rId700"/>
          <w:footerReference w:type="default" r:id="rId701"/>
          <w:headerReference w:type="first" r:id="rId702"/>
          <w:footerReference w:type="first" r:id="rId7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04" w:history="1">
        <w:r>
          <w:rPr>
            <w:rFonts w:ascii="arial" w:eastAsia="arial" w:hAnsi="arial" w:cs="arial"/>
            <w:b/>
            <w:bCs/>
            <w:i/>
            <w:color w:val="0077CC"/>
            <w:kern w:val="32"/>
            <w:sz w:val="28"/>
            <w:szCs w:val="32"/>
            <w:u w:val="single"/>
            <w:shd w:val="clear" w:color="auto" w:fill="FFFFFF"/>
            <w:lang w:val="en-US" w:eastAsia="en-US" w:bidi="ar-SA"/>
          </w:rPr>
          <w:t>Yazdi Integrated Health Group Ltd. v. Unihealth Management Ltd., [2015] B.C.J. No. 1490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N.H. Smith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March 2 and 9, 2015 by written submissions.</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July 13, 2015.</w:t>
      </w:r>
    </w:p>
    <w:p>
      <w:pPr>
        <w:spacing w:before="120" w:line="260" w:lineRule="atLeast"/>
        <w:jc w:val="center"/>
        <w:rPr>
          <w:lang w:val="en-US" w:eastAsia="en-US" w:bidi="ar-SA"/>
        </w:rPr>
      </w:pPr>
      <w:r>
        <w:rPr>
          <w:rFonts w:ascii="arial" w:eastAsia="arial" w:hAnsi="arial" w:cs="arial"/>
          <w:color w:val="000000"/>
          <w:sz w:val="20"/>
          <w:lang w:val="en-US" w:eastAsia="en-US" w:bidi="ar-SA"/>
        </w:rPr>
        <w:t>Docket: S-127759</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[2015] B.C.J. No. 1490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2015 BCSC 1208</w:t>
      </w:r>
    </w:p>
    <w:p>
      <w:pPr>
        <w:spacing w:before="120" w:line="260" w:lineRule="atLeast"/>
        <w:rPr>
          <w:lang w:val="en-US" w:eastAsia="en-US" w:bidi="ar-SA"/>
        </w:rPr>
      </w:pPr>
      <w:r>
        <w:rPr>
          <w:rFonts w:ascii="arial" w:eastAsia="arial" w:hAnsi="arial" w:cs="arial"/>
          <w:color w:val="000000"/>
          <w:sz w:val="20"/>
          <w:lang w:val="en-US" w:eastAsia="en-US" w:bidi="ar-SA"/>
        </w:rPr>
        <w:t>Between Yazdi Integrated Health Group Ltd., Plaintiff, and Unihealth Management Ltd. and Fastlane Capital Corporation,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(38 paras.)</w:t>
      </w:r>
    </w:p>
    <w:p>
      <w:pPr>
        <w:jc w:val="both"/>
        <w:rPr>
          <w:lang w:val="en-US" w:eastAsia="en-US" w:bidi="ar-SA"/>
        </w:rPr>
      </w:pPr>
      <w:bookmarkStart w:id="141" w:name="Counsel_32"/>
      <w:bookmarkEnd w:id="14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42" style="position:absolute;z-index:25169715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 O.J. Kowarsky.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S.H. Stephens.</w:t>
      </w:r>
      <w:r>
        <w:rPr>
          <w:lang w:val="en-US" w:eastAsia="en-US" w:bidi="ar-SA"/>
        </w:rPr>
        <w:cr/>
      </w:r>
    </w:p>
    <w:p>
      <w:pPr>
        <w:spacing w:after="240"/>
        <w:rPr>
          <w:lang w:val="en-US" w:eastAsia="en-US" w:bidi="ar-SA"/>
        </w:rPr>
      </w:pPr>
      <w:bookmarkStart w:id="142" w:name="Judgment_32"/>
      <w:bookmarkEnd w:id="142"/>
      <w:r>
        <w:pict>
          <v:line id="_x0000_s1143" style="position:absolute;z-index:251737088" from="0,12pt" to="512pt,12pt" strokecolor="#009ddb" strokeweight="1.5pt">
            <v:stroke linestyle="single"/>
          </v:line>
        </w:pict>
      </w:r>
    </w:p>
    <w:p>
      <w:pPr>
        <w:spacing w:before="120" w:line="240" w:lineRule="atLeast"/>
        <w:ind w:firstLine="240"/>
        <w:rPr>
          <w:lang w:val="en-US" w:eastAsia="en-US" w:bidi="ar-SA"/>
        </w:rPr>
      </w:pPr>
      <w:r>
        <w:rPr>
          <w:rFonts w:ascii="arial" w:eastAsia="arial" w:hAnsi="arial" w:cs="arial"/>
          <w:color w:val="000000"/>
          <w:sz w:val="18"/>
          <w:lang w:val="en-US" w:eastAsia="en-US" w:bidi="ar-SA"/>
        </w:rPr>
        <w:t>[Editor's note: A correction was released by the Court July 17, 2015; the change has been made to the text and the correction is appended to this document.]</w:t>
      </w:r>
    </w:p>
    <w:p>
      <w:pPr>
        <w:spacing w:line="260" w:lineRule="atLeast"/>
        <w:jc w:val="center"/>
        <w:rPr>
          <w:lang w:val="en-US" w:eastAsia="en-US" w:bidi="ar-SA"/>
        </w:rPr>
      </w:pPr>
      <w:r>
        <w:rPr>
          <w:lang w:val="en-US" w:eastAsia="en-US" w:bidi="ar-SA"/>
        </w:rPr>
        <w:br/>
      </w: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43" w:name="N.H. SMITH J."/>
            <w:bookmarkEnd w:id="143"/>
            <w:r>
              <w:rPr>
                <w:rFonts w:ascii="arial" w:eastAsia="arial" w:hAnsi="arial" w:cs="arial"/>
                <w:b/>
                <w:color w:val="000000"/>
                <w:sz w:val="30"/>
                <w:lang w:val="en-US" w:eastAsia="en-US" w:bidi="ar-SA"/>
              </w:rPr>
              <w:t>N.H. SMITH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an order dated February 11, 2014, the action of the plaintiff, Yazdi Integrated Health Group Ltd. ("Yazdi"), was dismissed by consent as against the defendant, Fastlane Capital Corporation ("Fastlane"), with Fastlane given leave to make submissions on costs. Fastlane has now seeks special costs or, in the alternative, double costs from the date of an offer to settle.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background to this action is set out in </w:t>
      </w:r>
      <w:r>
        <w:rPr>
          <w:rFonts w:ascii="arial" w:eastAsia="arial" w:hAnsi="arial" w:cs="arial"/>
          <w:i/>
          <w:color w:val="000000"/>
          <w:sz w:val="20"/>
          <w:lang w:val="en-US" w:eastAsia="en-US" w:bidi="ar-SA"/>
        </w:rPr>
        <w:t>Yazdi Integrated Health Group Ltd. v. Unihealth Management Ltd.,</w:t>
      </w:r>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2014 BCSC 332</w:t>
        </w:r>
      </w:hyperlink>
      <w:r>
        <w:rPr>
          <w:rFonts w:ascii="arial" w:eastAsia="arial" w:hAnsi="arial" w:cs="arial"/>
          <w:color w:val="000000"/>
          <w:sz w:val="20"/>
          <w:lang w:val="en-US" w:eastAsia="en-US" w:bidi="ar-SA"/>
        </w:rPr>
        <w:t>. In summary, the plaintiff entered into a franchise agreement with the defendant Unihealth Management Ltd. ("Unihealth") on May 25, 2011. That agreement required the plaintiff to operate an alternative health clinic at a specific location owned by the defendant Fastlane. Unihealth occupied the property pursuant to a lease (the "Head Lease") that was to expire less than a year after the date of the franchise agreement.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Yazdi entered into a sublease with Unihealth, then purchased the property from Fastlane and took an assignment of the Head Lease, becoming both the landlord under the Head Lease and the tenant under the sublease. After the Head Lease expired, Yazdi argued that Unihealth was still in occupation as an over holding tenant and sought unpaid rent.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a summary trial application by Yazdi, I rejected that claim, saying that Yazdi continued to operate its own business in its own property after the Head Lease expired and there was no evidence of continued possession by Unihealth in any meaningful legal or practical sense. I also found that Mr. Yazdi, the principal of the plaintiff company, had formed the intention to assert that claim almost immediately after entering into the franchise agreement, if not at the same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One issue raised in the pleadings was whether the Head Lease had in fact expired or whether Unihealth had exercised an option to renew it. The option to renew was created by a sublease agreement between Yazdi, Unihealth and Fastlane dated June 1, 2011. Unihealth was required to give notice of its intention to exercise the option between June 30 and September 30, 2011.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Prior to the commencement of this action Kimberley Catliff, an owner and director of Fastlane, sent an email, dated August 14, 2012, to Unihealth's counsel confirming that Unihealth had exercised its option to renew the Head Lease in August 2011. A copy of the email was forwarded to counsel for Yazdi.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That was apparently an error because Unihealth had not exercised the option. Ms. Catliff's email was sent almost a year after the period in which Unihealth could have exercised the option had expired and more than nine months after the sale of the property to Yazdi completed.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Yazdi alleged in its notice of civil claim, filed on November 5, 2012, that it had been fraudulently induced to buy the property by representations that the Head Lease had not been renewed. The relevant portions of the notice of civil claim read: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17 On or about June 10, 2011, the Defendant Fastlane advised the Plaintiff Yazdi of its intention to sell the Premises. The Defendant Fastlane led the Plaintiff Yazdi to believe that the extension to the Head Lease, upon which its right to operate the Franchise at the Premises depended, had not been exercised.</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20 On August 12, 2011 the Plaintiff Yazdi and the Defendant Fastlane entered into a Contract of Purchase and Sale of the Premises with an indicated completion of sale date of October 26, 2011 and possession date of October 27, 2011. At this time there was no indication from either defendant that the Defendant Unihealth had exercised its option to extend the term of the Head Lease.</w:t>
      </w:r>
    </w:p>
    <w:p>
      <w:pPr>
        <w:spacing w:before="120" w:line="260" w:lineRule="atLeast"/>
        <w:ind w:left="720"/>
        <w:rPr>
          <w:lang w:val="en-US" w:eastAsia="en-US" w:bidi="ar-SA"/>
        </w:rPr>
      </w:pPr>
      <w:r>
        <w:rPr>
          <w:rFonts w:ascii="arial" w:eastAsia="arial" w:hAnsi="arial" w:cs="arial"/>
          <w:color w:val="000000"/>
          <w:sz w:val="20"/>
          <w:lang w:val="en-US" w:eastAsia="en-US" w:bidi="ar-SA"/>
        </w:rPr>
        <w:t>21 If the Head Lease had been extended by the Defendant Unihealth, which is not admitted but in fact denied, the Defendant Fastlane did not notify the Plaintiff Yazdi of same but instead deliberately hid this fact and/or fraudulently misrepresented this information from the Plaintiff Yazdi for the express purpose of inducing the Plaintiff Yazdi to purchase the Premises at an amount in excess of the market rate for such a property on the express or implied understanding that the Head Lease would expire on March 31, 2012.</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23 On or about November 1, 2011 the Plaintiff Yazdi purchased the Premises, thus becoming the owner of the Premises.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an amended notice of civil claim filed on January 14, 2012 the plaintiff added an alternative claim that Fastlane had negligently failed to advise it that the Head Lease had been extended.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its response to civil claim, Fastlane said it had no knowledge of any actual or purported renewal until sometime in 2012. In a reply to a notice to admit, dated February 18, 2013, Fastlane formally admitted that it did not receive notice of extension of the Head Lease during the time when Unihealth had a right to give that notice. Therefore, it was clear from a very early point in the litigation that the plaintiff and Fastlane took the same position on this factual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Unihealth was the only party asserting in its pleadings that the Head Lease had been renewed. The order dismissing the claim against Fastlane was made at the opening of the summary trial, after Unihealth abandoned that assertion and admitted there had been no renewal.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On June 18, 2013 counsel for Yazdi wrote to counsel for Fastlane, proposing that Fastlane adjourn a summary trial application while the plaintiff pursued a summary trial against Unihealth. If successful against Unihealth, Yazdi would "come to terms" with Fastlane regarding a consent dismissal order or a notice of discontinuance. That letter purported to be a formal offer to settle pursuant to R. 9-1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For reasons discussed below, I find that it was not.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July 11, 2013, counsel for Fastlane sent a formal offer to settle offering to waive costs in exchange for a notice of discontinuance and a signed release.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Yazdi attests that it could not abandon its claim against Fastlane as long as Unihealth maintained the Head Lease had been renewed. It says Ms. Catliff's statement before the litigation began created uncertainty. I agree that, at the time Yazdi's notice of civil claim was filed, Ms. Catliff's email was not known to be incorrect. But, in my view, nothing Ms. Catliff said and no position taken by Unihealth could alter the fact that the misrepresentation claim against Fastlane-at least on the basis on which it was pleaded-had no possibility of success.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Yazdi alleged in paragraph 17 of the notice of civil claim that on June 10, 2011 Fastlane led it to believe that the option to extend the Head Lease had not been exercised. Yet on Yazdi's own pleadings and on the facts that were before the court on the summary trial application, no such representation could possibly have been relied upon on that date. The period during which Unihealth could exercise that option had not even begun. As paragraph 14 of the notice of civil claim acknowledges, Yazdi was a party to the agreement that created the option and specified when it could be exercised.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Similarly, Yazdi alleges in paragraph 20 that it entered into the contract of purchase and sale on August 12, 2011 and there was no indication at that time that the option had been exercised. But even if Yazdi understood the option had not been exercised by August 12, 2011, it would have known that the time in which it could be exercised would not expire for another six weeks.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notice of civil claim refers to further alleged representations made after the expiry of Unihealth's option: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22 On November 1, 2011, the Defendant Fastlane and the Plaintiff Yazdi entered into an Assignment of Lease in which the Defendant Fastlane represented to the Plaintiff Yazdi that there was no extension of the Head Lease, which was set to expire on March 31, 2012.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an affidavit that was before the Court on the summary trial application, Mr. Yazdi said that in October 2011 he had documents confirming that the Head Lease had not been renewed.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27 By October 10, 2011, on the basis of the documentation Fastlane had provided, it was clear that Unihealth had not exercised the Second Option to renew the Head Lease. Therefore I removed the subjects and proceeded with closing the purchase of the Premises on October 31, 2011. I did this knowing that as the new landlord of the Premises I would be able to charge Unihealth rent when the Head Lease expired on March 31, 2012 and, of course, as the Franchisee, I would not be responsible for rental payments when the Head Lease expired.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There is nothing to indicate what those documents were or whether they would have been a complete answer to Unihealth's assertion that it had exercised the option.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only representation made by Fastlane on which there was clear evidence was the one made by Ms. Catliff long after the fact. Although that representation was incorrect and may have been confusing until Fastlane made its position clear in the pleadings, it could not have been a representation that Yazdi relied upon in entering into the transaction.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Rule 14-9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states that "costs of a proceeding must be awarded to the successful party unless the court otherwise orders." In </w:t>
      </w:r>
      <w:r>
        <w:rPr>
          <w:rFonts w:ascii="arial" w:eastAsia="arial" w:hAnsi="arial" w:cs="arial"/>
          <w:i/>
          <w:color w:val="000000"/>
          <w:sz w:val="20"/>
          <w:lang w:val="en-US" w:eastAsia="en-US" w:bidi="ar-SA"/>
        </w:rPr>
        <w:t>Service Corporation International (Canada) Ltd. (Graham Funeral Ltd.) v. Nunes-Pottinger Funeral Services &amp; Crematorium Ltd.,</w:t>
      </w:r>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2012 BCSC 1588</w:t>
        </w:r>
      </w:hyperlink>
      <w:r>
        <w:rPr>
          <w:rFonts w:ascii="arial" w:eastAsia="arial" w:hAnsi="arial" w:cs="arial"/>
          <w:color w:val="000000"/>
          <w:sz w:val="20"/>
          <w:lang w:val="en-US" w:eastAsia="en-US" w:bidi="ar-SA"/>
        </w:rPr>
        <w:t xml:space="preserve"> at para. 11, I stated that: "[a]t the most basic level, the successful party is the plaintiff who establishes liability under a cause of action and obtains a remedy, or the defendant who obtains a dismissal of the plaintiff's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Vesuna v. British Columbia (Transportation),</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2011 BCSC 1618</w:t>
        </w:r>
      </w:hyperlink>
      <w:r>
        <w:rPr>
          <w:rFonts w:ascii="arial" w:eastAsia="arial" w:hAnsi="arial" w:cs="arial"/>
          <w:color w:val="000000"/>
          <w:sz w:val="20"/>
          <w:lang w:val="en-US" w:eastAsia="en-US" w:bidi="ar-SA"/>
        </w:rPr>
        <w:t xml:space="preserve"> at para. 8, Griffin J. set out the basic principles for departing from the normal rule: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 rule that a successful party is entitled to his costs is not departed from except for good reason. The court must act judicially and upon proper material connected with the case or related to the subject matter of the proceeding: </w:t>
      </w:r>
      <w:r>
        <w:rPr>
          <w:rFonts w:ascii="arial" w:eastAsia="arial" w:hAnsi="arial" w:cs="arial"/>
          <w:i/>
          <w:color w:val="000000"/>
          <w:sz w:val="20"/>
          <w:lang w:val="en-US" w:eastAsia="en-US" w:bidi="ar-SA"/>
        </w:rPr>
        <w:t>Currie v. Thomas Estate</w:t>
      </w:r>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(1985), 19 D.L.R. (4th) 594</w:t>
        </w:r>
      </w:hyperlink>
      <w:r>
        <w:rPr>
          <w:rFonts w:ascii="arial" w:eastAsia="arial" w:hAnsi="arial" w:cs="arial"/>
          <w:color w:val="000000"/>
          <w:sz w:val="20"/>
          <w:lang w:val="en-US" w:eastAsia="en-US" w:bidi="ar-SA"/>
        </w:rPr>
        <w:t xml:space="preserve"> (B.C.C.A.). Unless special circumstances can be established that would warrant depriving the successful party of an award of costs following trial, the successful party should receive their costs: </w:t>
      </w:r>
      <w:r>
        <w:rPr>
          <w:rFonts w:ascii="arial" w:eastAsia="arial" w:hAnsi="arial" w:cs="arial"/>
          <w:i/>
          <w:color w:val="000000"/>
          <w:sz w:val="20"/>
          <w:lang w:val="en-US" w:eastAsia="en-US" w:bidi="ar-SA"/>
        </w:rPr>
        <w:t>Sutherland v. Attorney General of Canada,</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2008 BCCA 27</w:t>
        </w:r>
      </w:hyperlink>
      <w:r>
        <w:rPr>
          <w:rFonts w:ascii="arial" w:eastAsia="arial" w:hAnsi="arial" w:cs="arial"/>
          <w:color w:val="000000"/>
          <w:sz w:val="20"/>
          <w:lang w:val="en-US" w:eastAsia="en-US" w:bidi="ar-SA"/>
        </w:rPr>
        <w:t>, para. 26-27.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fact that Yazdi believed it had reason to consider Fastlane a necessary party to the litigation or that it made a strategic decision to maintain the claim are not sufficient reasons to depart from the normal rule. If those were factors to be considered, very few successful defendants would ever be entitled to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Yazdi submits that Fastlane is not the successful party because the order dismissing the case against it was made by consent and the allegations against Fastlane were never weighed by the court. No authority is cited for that proposition, which in my view is contrary to the general principle that a consent order has the same force and effect as any other order. While it is certainly common for consent dismissal orders to be made without costs that is simply part of the agreement between the parties on which the order is based. In this case, Fastlane's right to seeks costs was specifically preserved.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More important, none of the arguments advanced by Yazdi explain why it was necessary to maintain the action as one alleging fraud, particularly when the fraud allegation was particularized in a way that could not possibly have been true.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Fastlane submits that an award of special costs is warranted on the basis of improper allegations of fraud and relies on </w:t>
      </w:r>
      <w:r>
        <w:rPr>
          <w:rFonts w:ascii="arial" w:eastAsia="arial" w:hAnsi="arial" w:cs="arial"/>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(1994), </w:t>
      </w:r>
      <w:hyperlink r:id="rId291" w:history="1">
        <w:r>
          <w:rPr>
            <w:rFonts w:ascii="arial" w:eastAsia="arial" w:hAnsi="arial" w:cs="arial"/>
            <w:i/>
            <w:color w:val="0077CC"/>
            <w:sz w:val="20"/>
            <w:u w:val="single"/>
            <w:shd w:val="clear" w:color="auto" w:fill="FFFFFF"/>
            <w:lang w:val="en-US" w:eastAsia="en-US" w:bidi="ar-SA"/>
          </w:rPr>
          <w:t>[1995] 9 B.C.L.R. (3d) 242</w:t>
        </w:r>
      </w:hyperlink>
      <w:r>
        <w:rPr>
          <w:rFonts w:ascii="arial" w:eastAsia="arial" w:hAnsi="arial" w:cs="arial"/>
          <w:color w:val="000000"/>
          <w:sz w:val="20"/>
          <w:lang w:val="en-US" w:eastAsia="en-US" w:bidi="ar-SA"/>
        </w:rPr>
        <w:t xml:space="preserve"> at para. 23 (C.A.) and the decisions of this Court in </w:t>
      </w:r>
      <w:r>
        <w:rPr>
          <w:rFonts w:ascii="arial" w:eastAsia="arial" w:hAnsi="arial" w:cs="arial"/>
          <w:i/>
          <w:color w:val="000000"/>
          <w:sz w:val="20"/>
          <w:lang w:val="en-US" w:eastAsia="en-US" w:bidi="ar-SA"/>
        </w:rPr>
        <w:t>Albion Securities Co. v. Milne</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[1999] B.C.J. No. 2358</w:t>
        </w:r>
      </w:hyperlink>
      <w:r>
        <w:rPr>
          <w:rFonts w:ascii="arial" w:eastAsia="arial" w:hAnsi="arial" w:cs="arial"/>
          <w:color w:val="000000"/>
          <w:sz w:val="20"/>
          <w:lang w:val="en-US" w:eastAsia="en-US" w:bidi="ar-SA"/>
        </w:rPr>
        <w:t xml:space="preserve"> at para. 18 (S.C.); </w:t>
      </w:r>
      <w:r>
        <w:rPr>
          <w:rFonts w:ascii="arial" w:eastAsia="arial" w:hAnsi="arial" w:cs="arial"/>
          <w:i/>
          <w:color w:val="000000"/>
          <w:sz w:val="20"/>
          <w:lang w:val="en-US" w:eastAsia="en-US" w:bidi="ar-SA"/>
        </w:rPr>
        <w:t>Hung v. Gardiner</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2003 BCSC 285</w:t>
        </w:r>
      </w:hyperlink>
      <w:r>
        <w:rPr>
          <w:rFonts w:ascii="arial" w:eastAsia="arial" w:hAnsi="arial" w:cs="arial"/>
          <w:color w:val="000000"/>
          <w:sz w:val="20"/>
          <w:lang w:val="en-US" w:eastAsia="en-US" w:bidi="ar-SA"/>
        </w:rPr>
        <w:t xml:space="preserve"> at para. 16; and </w:t>
      </w:r>
      <w:r>
        <w:rPr>
          <w:rFonts w:ascii="arial" w:eastAsia="arial" w:hAnsi="arial" w:cs="arial"/>
          <w:i/>
          <w:color w:val="000000"/>
          <w:sz w:val="20"/>
          <w:lang w:val="en-US" w:eastAsia="en-US" w:bidi="ar-SA"/>
        </w:rPr>
        <w:t>Parker v. Thompson</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2014 BCSC 2180</w:t>
        </w:r>
      </w:hyperlink>
      <w:r>
        <w:rPr>
          <w:rFonts w:ascii="arial" w:eastAsia="arial" w:hAnsi="arial" w:cs="arial"/>
          <w:color w:val="000000"/>
          <w:sz w:val="20"/>
          <w:lang w:val="en-US" w:eastAsia="en-US" w:bidi="ar-SA"/>
        </w:rPr>
        <w:t xml:space="preserve"> at para. 27.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Gichuru v. Smith</w:t>
      </w:r>
      <w:r>
        <w:rPr>
          <w:rFonts w:ascii="arial" w:eastAsia="arial" w:hAnsi="arial" w:cs="arial"/>
          <w:color w:val="000000"/>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2014 BCCA 414</w:t>
        </w:r>
      </w:hyperlink>
      <w:r>
        <w:rPr>
          <w:rFonts w:ascii="arial" w:eastAsia="arial" w:hAnsi="arial" w:cs="arial"/>
          <w:color w:val="000000"/>
          <w:sz w:val="20"/>
          <w:lang w:val="en-US" w:eastAsia="en-US" w:bidi="ar-SA"/>
        </w:rPr>
        <w:t xml:space="preserve"> at para. 78, the BC Court of Appeal noted that the test for special costs is set out in </w:t>
      </w:r>
      <w:r>
        <w:rPr>
          <w:rFonts w:ascii="arial" w:eastAsia="arial" w:hAnsi="arial" w:cs="arial"/>
          <w:i/>
          <w:color w:val="000000"/>
          <w:sz w:val="20"/>
          <w:lang w:val="en-US" w:eastAsia="en-US" w:bidi="ar-SA"/>
        </w:rPr>
        <w:t>Garcia</w:t>
      </w:r>
      <w:r>
        <w:rPr>
          <w:rFonts w:ascii="arial" w:eastAsia="arial" w:hAnsi="arial" w:cs="arial"/>
          <w:color w:val="000000"/>
          <w:sz w:val="20"/>
          <w:lang w:val="en-US" w:eastAsia="en-US" w:bidi="ar-SA"/>
        </w:rPr>
        <w:t xml:space="preserve"> at para. 17:</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...it is my opinion that the single standard for the awarding of special costs is that the conduct in question properly be categorized as "reprehensible". As Chief Justice Esson said in </w:t>
      </w:r>
      <w:r>
        <w:rPr>
          <w:rFonts w:ascii="arial" w:eastAsia="arial" w:hAnsi="arial" w:cs="arial"/>
          <w:i/>
          <w:color w:val="000000"/>
          <w:sz w:val="20"/>
          <w:lang w:val="en-US" w:eastAsia="en-US" w:bidi="ar-SA"/>
        </w:rPr>
        <w:t>Leung v. Leung</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[1993] B.C.J. No. 2909</w:t>
        </w:r>
      </w:hyperlink>
      <w:r>
        <w:rPr>
          <w:rFonts w:ascii="arial" w:eastAsia="arial" w:hAnsi="arial" w:cs="arial"/>
          <w:color w:val="000000"/>
          <w:sz w:val="20"/>
          <w:lang w:val="en-US" w:eastAsia="en-US" w:bidi="ar-SA"/>
        </w:rPr>
        <w:t xml:space="preserve"> the word reprehensible is a word of wide meaning. It encompasses scandalous or outrageous conduct but it also encompasses milder forms of misconduct deserving of reproof or rebuke. Accordingly, the standard represented by the word reprehensible, taken in that sense, must represent a general and all-encompassing expression of the applicable standard for the award of special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Special costs may be awarded against a party who fails to prove allegations of fraud where the allegations are made recklessly, with malice or where there is no evidentiary support for the allegation: </w:t>
      </w:r>
      <w:r>
        <w:rPr>
          <w:rFonts w:ascii="arial" w:eastAsia="arial" w:hAnsi="arial" w:cs="arial"/>
          <w:i/>
          <w:color w:val="000000"/>
          <w:sz w:val="20"/>
          <w:lang w:val="en-US" w:eastAsia="en-US" w:bidi="ar-SA"/>
        </w:rPr>
        <w:t>Knight's Mineral Exploration &amp; Co. v. Corcoran &amp; Co.</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[1994] B.C.J. No. 397</w:t>
        </w:r>
      </w:hyperlink>
      <w:r>
        <w:rPr>
          <w:rFonts w:ascii="arial" w:eastAsia="arial" w:hAnsi="arial" w:cs="arial"/>
          <w:color w:val="000000"/>
          <w:sz w:val="20"/>
          <w:lang w:val="en-US" w:eastAsia="en-US" w:bidi="ar-SA"/>
        </w:rPr>
        <w:t xml:space="preserve"> at para. 4 (S.C.); </w:t>
      </w:r>
      <w:r>
        <w:rPr>
          <w:rFonts w:ascii="arial" w:eastAsia="arial" w:hAnsi="arial" w:cs="arial"/>
          <w:i/>
          <w:color w:val="000000"/>
          <w:sz w:val="20"/>
          <w:lang w:val="en-US" w:eastAsia="en-US" w:bidi="ar-SA"/>
        </w:rPr>
        <w:t>Albion</w:t>
      </w:r>
      <w:r>
        <w:rPr>
          <w:rFonts w:ascii="arial" w:eastAsia="arial" w:hAnsi="arial" w:cs="arial"/>
          <w:color w:val="000000"/>
          <w:sz w:val="20"/>
          <w:lang w:val="en-US" w:eastAsia="en-US" w:bidi="ar-SA"/>
        </w:rPr>
        <w:t xml:space="preserve"> at para. 18; and </w:t>
      </w:r>
      <w:r>
        <w:rPr>
          <w:rFonts w:ascii="arial" w:eastAsia="arial" w:hAnsi="arial" w:cs="arial"/>
          <w:i/>
          <w:color w:val="000000"/>
          <w:sz w:val="20"/>
          <w:lang w:val="en-US" w:eastAsia="en-US" w:bidi="ar-SA"/>
        </w:rPr>
        <w:t>Parker</w:t>
      </w:r>
      <w:r>
        <w:rPr>
          <w:rFonts w:ascii="arial" w:eastAsia="arial" w:hAnsi="arial" w:cs="arial"/>
          <w:color w:val="000000"/>
          <w:sz w:val="20"/>
          <w:lang w:val="en-US" w:eastAsia="en-US" w:bidi="ar-SA"/>
        </w:rPr>
        <w:t xml:space="preserve"> at para. 27.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O'Connell Electric Ltd. v. British Columbia Hydro and Power Authority,</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2006 BCSC 1632</w:t>
        </w:r>
      </w:hyperlink>
      <w:r>
        <w:rPr>
          <w:rFonts w:ascii="arial" w:eastAsia="arial" w:hAnsi="arial" w:cs="arial"/>
          <w:color w:val="000000"/>
          <w:sz w:val="20"/>
          <w:lang w:val="en-US" w:eastAsia="en-US" w:bidi="ar-SA"/>
        </w:rPr>
        <w:t xml:space="preserve"> at para. 25, Myers J. concluded that: "the threshold issue for an order for special costs appears to me to be whether the plaintiff had a sufficient factual basis upon which to make the allegations of fraud, dishonesty or conspiracy."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Where there is a sufficient factual basis for alleging fraud, pleadings should not be second guessed by the court: </w:t>
      </w:r>
      <w:r>
        <w:rPr>
          <w:rFonts w:ascii="arial" w:eastAsia="arial" w:hAnsi="arial" w:cs="arial"/>
          <w:i/>
          <w:color w:val="000000"/>
          <w:sz w:val="20"/>
          <w:lang w:val="en-US" w:eastAsia="en-US" w:bidi="ar-SA"/>
        </w:rPr>
        <w:t>Doyle Const. Co. v. Carling O'Keefe Breweries of Can. Ltd.</w:t>
      </w:r>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(1988), 27 B.C.L.R. (2d) 81</w:t>
        </w:r>
      </w:hyperlink>
      <w:r>
        <w:rPr>
          <w:rFonts w:ascii="arial" w:eastAsia="arial" w:hAnsi="arial" w:cs="arial"/>
          <w:color w:val="000000"/>
          <w:sz w:val="20"/>
          <w:lang w:val="en-US" w:eastAsia="en-US" w:bidi="ar-SA"/>
        </w:rPr>
        <w:t xml:space="preserve"> at 88 (C.A.); see also </w:t>
      </w:r>
      <w:r>
        <w:rPr>
          <w:rFonts w:ascii="arial" w:eastAsia="arial" w:hAnsi="arial" w:cs="arial"/>
          <w:i/>
          <w:color w:val="000000"/>
          <w:sz w:val="20"/>
          <w:lang w:val="en-US" w:eastAsia="en-US" w:bidi="ar-SA"/>
        </w:rPr>
        <w:t>Hanson v. Inland Ice Co. Ltd.</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2006 BCSC 224</w:t>
        </w:r>
      </w:hyperlink>
      <w:r>
        <w:rPr>
          <w:rFonts w:ascii="arial" w:eastAsia="arial" w:hAnsi="arial" w:cs="arial"/>
          <w:color w:val="000000"/>
          <w:sz w:val="20"/>
          <w:lang w:val="en-US" w:eastAsia="en-US" w:bidi="ar-SA"/>
        </w:rPr>
        <w:t xml:space="preserve"> at para. 16.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An unsuccessful attempt to prove fraud or dishonesty on a balance of probabilities does not lead inexorably to the conclusion that the unsuccessful party should be held liable for special costs costs, since not all such attempts will be correctly considered to amount to "reprehensible, scandalous or outrageous conduct": </w:t>
      </w:r>
      <w:r>
        <w:rPr>
          <w:rFonts w:ascii="arial" w:eastAsia="arial" w:hAnsi="arial" w:cs="arial"/>
          <w:i/>
          <w:color w:val="000000"/>
          <w:sz w:val="20"/>
          <w:lang w:val="en-US" w:eastAsia="en-US" w:bidi="ar-SA"/>
        </w:rPr>
        <w:t>Young v. Young</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[1993] 4 S.C.R. 3</w:t>
        </w:r>
      </w:hyperlink>
      <w:r>
        <w:rPr>
          <w:rFonts w:ascii="arial" w:eastAsia="arial" w:hAnsi="arial" w:cs="arial"/>
          <w:color w:val="000000"/>
          <w:sz w:val="20"/>
          <w:lang w:val="en-US" w:eastAsia="en-US" w:bidi="ar-SA"/>
        </w:rPr>
        <w:t xml:space="preserve"> at 134. However, when a party makes and pursues such allegations unsuccessfully and with access to information sufficient to conclude that the other party was merely negligent and neither dishonest nor fraudulent, special costs are appropriate: </w:t>
      </w:r>
      <w:r>
        <w:rPr>
          <w:rFonts w:ascii="arial" w:eastAsia="arial" w:hAnsi="arial" w:cs="arial"/>
          <w:i/>
          <w:color w:val="000000"/>
          <w:sz w:val="20"/>
          <w:lang w:val="en-US" w:eastAsia="en-US" w:bidi="ar-SA"/>
        </w:rPr>
        <w:t>Hamilton v. Open Window Bakery Ltd.,</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2004 SCC 9</w:t>
        </w:r>
      </w:hyperlink>
      <w:r>
        <w:rPr>
          <w:rFonts w:ascii="arial" w:eastAsia="arial" w:hAnsi="arial" w:cs="arial"/>
          <w:color w:val="000000"/>
          <w:sz w:val="20"/>
          <w:lang w:val="en-US" w:eastAsia="en-US" w:bidi="ar-SA"/>
        </w:rPr>
        <w:t xml:space="preserve"> at para. 26.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As I have said, there was no factual basis for the fraud allegation in this case. Even if Yazdi believed there had been a representation on which it had relied,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have been sufficient for the remedy it was seeking. Such improper and reckless pleading of fraud should be discouraged. However, this case differs from cases such as </w:t>
      </w:r>
      <w:r>
        <w:rPr>
          <w:rFonts w:ascii="arial" w:eastAsia="arial" w:hAnsi="arial" w:cs="arial"/>
          <w:i/>
          <w:color w:val="000000"/>
          <w:sz w:val="20"/>
          <w:lang w:val="en-US" w:eastAsia="en-US" w:bidi="ar-SA"/>
        </w:rPr>
        <w:t>Young</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Hamilton</w:t>
      </w:r>
      <w:r>
        <w:rPr>
          <w:rFonts w:ascii="arial" w:eastAsia="arial" w:hAnsi="arial" w:cs="arial"/>
          <w:color w:val="000000"/>
          <w:sz w:val="20"/>
          <w:lang w:val="en-US" w:eastAsia="en-US" w:bidi="ar-SA"/>
        </w:rPr>
        <w:t xml:space="preserve"> in that the fraud allegations were not pursued to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reprehensible nature of the pleading is somewhat relieved by counsel's letter of June 18, 2013. That letter did not qualify as an offer to settle under R. 9-1. It was not sent to all parties, as the rule requires, and did not really offer a settlement, only the prospect of a future settlement depending on the outcome of the proceedings against Unihealth. However, it did provide a clear indication, at a relatively early stage of the litigation, that the fraud allegation was unlikely to be pursued. In the circumstances, I decline to order special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However, I find it is appropriate to give effect to Fastlane's offer to settle of July 11, 2013. Unlike Yazdi's purported offer a few weeks earlier, Fastlane's offer did meet the requirements of R. 9-1.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Yazdi says the consequences of accepting the offer were not clear. Fastlane was asking for discontinuance, rather than a consent dismissal order. A discontinuance would have preserved Yazdi's right to make a new claim if later facts warranted it, but the form of release that was enclosed would have barred any such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rationale for awarding double costs against a litigant for not accepting a reasonable offer to settle is set out in </w:t>
      </w:r>
      <w:r>
        <w:rPr>
          <w:rFonts w:ascii="arial" w:eastAsia="arial" w:hAnsi="arial" w:cs="arial"/>
          <w:i/>
          <w:color w:val="000000"/>
          <w:sz w:val="20"/>
          <w:lang w:val="en-US" w:eastAsia="en-US" w:bidi="ar-SA"/>
        </w:rPr>
        <w:t>Hartshorne v. Hartshorne</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2011 BCCA 29</w:t>
        </w:r>
      </w:hyperlink>
      <w:r>
        <w:rPr>
          <w:rFonts w:ascii="arial" w:eastAsia="arial" w:hAnsi="arial" w:cs="arial"/>
          <w:color w:val="000000"/>
          <w:sz w:val="20"/>
          <w:lang w:val="en-US" w:eastAsia="en-US" w:bidi="ar-SA"/>
        </w:rPr>
        <w:t xml:space="preserve"> at para. 25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An award of double costs is a punitive measure against a litigant for that party's failure, in all of the circumstances, to have accepted an offer to settle that should have been accepted. Litigants are to be reminded that costs rules are in place "to encourage the early settlement of disputes by rewarding the party who makes a reasonable settlement offer and penalizing the party who declines to accept such an offer" (</w:t>
      </w:r>
      <w:r>
        <w:rPr>
          <w:rFonts w:ascii="arial" w:eastAsia="arial" w:hAnsi="arial" w:cs="arial"/>
          <w:i/>
          <w:color w:val="000000"/>
          <w:sz w:val="20"/>
          <w:lang w:val="en-US" w:eastAsia="en-US" w:bidi="ar-SA"/>
        </w:rPr>
        <w:t>A.E. v. D.W.J.,</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2009 BCSC 505</w:t>
        </w:r>
      </w:hyperlink>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91 B.C.L.R. (4th) 372</w:t>
        </w:r>
      </w:hyperlink>
      <w:r>
        <w:rPr>
          <w:rFonts w:ascii="arial" w:eastAsia="arial" w:hAnsi="arial" w:cs="arial"/>
          <w:color w:val="000000"/>
          <w:sz w:val="20"/>
          <w:lang w:val="en-US" w:eastAsia="en-US" w:bidi="ar-SA"/>
        </w:rPr>
        <w:t xml:space="preserve"> at para. 61, citing </w:t>
      </w:r>
      <w:r>
        <w:rPr>
          <w:rFonts w:ascii="arial" w:eastAsia="arial" w:hAnsi="arial" w:cs="arial"/>
          <w:i/>
          <w:color w:val="000000"/>
          <w:sz w:val="20"/>
          <w:lang w:val="en-US" w:eastAsia="en-US" w:bidi="ar-SA"/>
        </w:rPr>
        <w:t>MacKenzie v. Brooks,</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1999 BCCA 623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Skidmore v. Blackmore</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(1995), 2 B.C.L.R. (3d) 201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Radke v. Parry,</w:t>
      </w:r>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2008 BCSC 1397</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Although ambiguity in an offer is a factor to be considered, the over-riding test is the one stated in R. 9-1(6)(a) and in </w:t>
      </w:r>
      <w:r>
        <w:rPr>
          <w:rFonts w:ascii="arial" w:eastAsia="arial" w:hAnsi="arial" w:cs="arial"/>
          <w:i/>
          <w:color w:val="000000"/>
          <w:sz w:val="20"/>
          <w:lang w:val="en-US" w:eastAsia="en-US" w:bidi="ar-SA"/>
        </w:rPr>
        <w:t>Hartshorne</w:t>
      </w:r>
      <w:r>
        <w:rPr>
          <w:rFonts w:ascii="arial" w:eastAsia="arial" w:hAnsi="arial" w:cs="arial"/>
          <w:color w:val="000000"/>
          <w:sz w:val="20"/>
          <w:lang w:val="en-US" w:eastAsia="en-US" w:bidi="ar-SA"/>
        </w:rPr>
        <w:t xml:space="preserve">: whether the offer "ought reasonably to have been accepted." On the question of ambiguity, I refer to </w:t>
      </w:r>
      <w:r>
        <w:rPr>
          <w:rFonts w:ascii="arial" w:eastAsia="arial" w:hAnsi="arial" w:cs="arial"/>
          <w:i/>
          <w:color w:val="000000"/>
          <w:sz w:val="20"/>
          <w:lang w:val="en-US" w:eastAsia="en-US" w:bidi="ar-SA"/>
        </w:rPr>
        <w:t>Ballen v. Ballen</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2000 BCSC 261</w:t>
        </w:r>
      </w:hyperlink>
      <w:r>
        <w:rPr>
          <w:rFonts w:ascii="arial" w:eastAsia="arial" w:hAnsi="arial" w:cs="arial"/>
          <w:color w:val="000000"/>
          <w:sz w:val="20"/>
          <w:lang w:val="en-US" w:eastAsia="en-US" w:bidi="ar-SA"/>
        </w:rPr>
        <w:t xml:space="preserve"> at paras. 21-22:</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[21] Counsel for the defendants then referred to </w:t>
      </w:r>
      <w:r>
        <w:rPr>
          <w:rFonts w:ascii="arial" w:eastAsia="arial" w:hAnsi="arial" w:cs="arial"/>
          <w:i/>
          <w:color w:val="000000"/>
          <w:sz w:val="20"/>
          <w:lang w:val="en-US" w:eastAsia="en-US" w:bidi="ar-SA"/>
        </w:rPr>
        <w:t>Carlson v. Stewart</w:t>
      </w:r>
      <w:r>
        <w:rPr>
          <w:rFonts w:ascii="arial" w:eastAsia="arial" w:hAnsi="arial" w:cs="arial"/>
          <w:color w:val="000000"/>
          <w:sz w:val="20"/>
          <w:lang w:val="en-US" w:eastAsia="en-US" w:bidi="ar-SA"/>
        </w:rPr>
        <w:t xml:space="preserve"> (1999), (BCSC) wherein Taylor J. as he then was set out the approach to be taken to determine whether an offer to settle is ambiguous. The germane excerpt from his reasons is as follows:</w:t>
      </w:r>
    </w:p>
    <w:p>
      <w:pPr>
        <w:spacing w:before="120" w:line="260" w:lineRule="atLeast"/>
        <w:ind w:left="1080"/>
        <w:rPr>
          <w:lang w:val="en-US" w:eastAsia="en-US" w:bidi="ar-SA"/>
        </w:rPr>
      </w:pPr>
      <w:r>
        <w:rPr>
          <w:rFonts w:ascii="arial" w:eastAsia="arial" w:hAnsi="arial" w:cs="arial"/>
          <w:color w:val="000000"/>
          <w:sz w:val="20"/>
          <w:lang w:val="en-US" w:eastAsia="en-US" w:bidi="ar-SA"/>
        </w:rPr>
        <w:t>The offer to settle by a defendant must be unambiguous and this court should be reticent to conclude ambiguity particularly with that issue is only raised by the plaintiff after the trial.</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[22] Here the plaintiff, through her counsel, made no inquiry as to the terms of the offer nor did her counsel complain about ambiguities. As observed by Boyle J. in </w:t>
      </w:r>
      <w:r>
        <w:rPr>
          <w:rFonts w:ascii="arial" w:eastAsia="arial" w:hAnsi="arial" w:cs="arial"/>
          <w:i/>
          <w:color w:val="000000"/>
          <w:sz w:val="20"/>
          <w:lang w:val="en-US" w:eastAsia="en-US" w:bidi="ar-SA"/>
        </w:rPr>
        <w:t>Keller v. Whyte</w:t>
      </w:r>
      <w:r>
        <w:rPr>
          <w:rFonts w:ascii="arial" w:eastAsia="arial" w:hAnsi="arial" w:cs="arial"/>
          <w:color w:val="000000"/>
          <w:sz w:val="20"/>
          <w:lang w:val="en-US" w:eastAsia="en-US" w:bidi="ar-SA"/>
        </w:rPr>
        <w:t xml:space="preserve"> (1996), </w:t>
      </w:r>
      <w:hyperlink r:id="rId719" w:history="1">
        <w:r>
          <w:rPr>
            <w:rFonts w:ascii="arial" w:eastAsia="arial" w:hAnsi="arial" w:cs="arial"/>
            <w:i/>
            <w:color w:val="0077CC"/>
            <w:sz w:val="20"/>
            <w:u w:val="single"/>
            <w:shd w:val="clear" w:color="auto" w:fill="FFFFFF"/>
            <w:lang w:val="en-US" w:eastAsia="en-US" w:bidi="ar-SA"/>
          </w:rPr>
          <w:t>[1996] B.C.J. No. 705</w:t>
        </w:r>
      </w:hyperlink>
      <w:r>
        <w:rPr>
          <w:rFonts w:ascii="arial" w:eastAsia="arial" w:hAnsi="arial" w:cs="arial"/>
          <w:color w:val="000000"/>
          <w:sz w:val="20"/>
          <w:lang w:val="en-US" w:eastAsia="en-US" w:bidi="ar-SA"/>
        </w:rPr>
        <w:t xml:space="preserve"> (BCSC) at paragraph 11...</w:t>
      </w:r>
    </w:p>
    <w:p>
      <w:pPr>
        <w:spacing w:before="120" w:line="260" w:lineRule="atLeast"/>
        <w:ind w:left="1080"/>
        <w:rPr>
          <w:lang w:val="en-US" w:eastAsia="en-US" w:bidi="ar-SA"/>
        </w:rPr>
      </w:pPr>
      <w:r>
        <w:rPr>
          <w:rFonts w:ascii="arial" w:eastAsia="arial" w:hAnsi="arial" w:cs="arial"/>
          <w:color w:val="000000"/>
          <w:sz w:val="20"/>
          <w:lang w:val="en-US" w:eastAsia="en-US" w:bidi="ar-SA"/>
        </w:rPr>
        <w:t>The strength goes out of the protest when no response was made at 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is no evidence that counsel for the plaintiff made any effort to clarify the offer to settle. The offer of discontinuance with a release would have had the same effect as a consent dismissal order and would have made the somewhat less onerous impact of discontinuance alone illusory. However, it would only have deprived the plaintiff of the ability to bring a future claim for which there was no factual basis. The plaintiff was given an opportunity to abandon and ill-conceived and unprovable claim without incurring any cost consequences. In the circumstances, I find that was an offer that ought reasonably to have been accepted.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therefore award Fastlane ordinary costs for all steps to the date of its offer, July 11, 2013, and double costs thereafter.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N.H. SMITH J.</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 * * * *</w:t>
      </w:r>
    </w:p>
    <w:p>
      <w:pPr>
        <w:spacing w:line="260" w:lineRule="atLeast"/>
        <w:jc w:val="center"/>
        <w:rPr>
          <w:lang w:val="en-US" w:eastAsia="en-US" w:bidi="ar-SA"/>
        </w:rPr>
      </w:pPr>
      <w:r>
        <w:rPr>
          <w:lang w:val="en-US" w:eastAsia="en-US" w:bidi="ar-SA"/>
        </w:rPr>
        <w:br/>
      </w:r>
      <w:r>
        <w:rPr>
          <w:rFonts w:ascii="arial" w:eastAsia="arial" w:hAnsi="arial" w:cs="arial"/>
          <w:b/>
          <w:color w:val="000000"/>
          <w:sz w:val="20"/>
          <w:lang w:val="en-US" w:eastAsia="en-US" w:bidi="ar-SA"/>
        </w:rPr>
        <w:t>CORRECTION</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Released: July 17, 2015</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Please be advised that the attached Reasons for Judgment of Mr. Justice N. Smith dated July 13, 2015 have been amended as follows: On the front page of the Judgment, the name for the Defendant's counsel has been amended.</w:t>
      </w:r>
      <w:r>
        <w:rPr>
          <w:lang w:val="en-US" w:eastAsia="en-US" w:bidi="ar-SA"/>
        </w:rPr>
        <w:cr/>
      </w:r>
    </w:p>
    <w:p>
      <w:pPr>
        <w:rPr>
          <w:lang w:val="en-US" w:eastAsia="en-US" w:bidi="ar-SA"/>
        </w:rPr>
      </w:pPr>
    </w:p>
    <w:p>
      <w:pPr>
        <w:ind w:left="200"/>
        <w:rPr>
          <w:lang w:val="en-US" w:eastAsia="en-US" w:bidi="ar-SA"/>
        </w:rPr>
      </w:pPr>
      <w:r>
        <w:rPr>
          <w:lang w:val="en-US" w:eastAsia="en-US" w:bidi="ar-SA"/>
        </w:rPr>
        <w:br/>
      </w:r>
      <w:r>
        <w:pict>
          <v:line id="_x0000_s1144" style="position:absolute;z-index:251771904"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Musqueam Indian Band Board of Review v. Musqueam Indian Band, [2013] B.C.J. No. 1672</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Myatt v. Holicza, [2000] I.L.R. para. G-1349</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Nederland Holdings Inc. v. British Columbia, [2017] B.C.J. No. 2353</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Neilson v. Lam, [2011] B.C.J. No. 1798</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Nelson v. British Columbia, [2019] B.C.J. No. 1942</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Olds College v. Huxley, [2019] B.C.J. No. 2356</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Osler Developments Ltd. (c.o.b. the Coast Westerly Hotel) v. British Columbia, [2001] I.L.R. para. G-1414</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Owimar v. Insurance Corp. of British Columbia, [2019] B.C.J. No. 1353</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Parranto v. Brummel, [2014] B.C.J. No. 892</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Pausch v. Vancouver Coastal Health Authority (c.o.b. UBC Hospital), [2015] B.C.J. No. 278</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Popat v. MacLennan, [2014] B.C.J. No. 2171</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Pruden v. Gagnon, [2015] B.C.J. No. 2409</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Radha Holdings Ltd. v. Quantum Properties Brooklyn Inc., [2016] B.C.J. No. 1567</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Real Organics &amp; Naturals House Ltd. v. Canadian Phytopharmaceutical Corp., [2019] B.C.J. No. 436</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Rostas v. Hyde Creek Recreation, [2019] B.C.J. No. 1974</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Royal Bank of Canada v. B.M.P. Global Distribution Inc., [2011] B.C.J. No. 2323</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Sampson v. Scaletta, [2016] B.C.J. No. 2892</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Schaffer v. Murphy, [2000] I.L.R. para. M-1250</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Shahgaidi v. Zhang, [2018] B.C.J. No. 3734</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Shaman v. Meek, [2019] B.C.J. No. 11</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Shiner v. Port Alberni (City), [2004] B.C.J. No. 1673</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Slater Vecchio LLP v. Arvanitis, [2020] B.C.J. No. 439</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Sophie's Gold &amp; Gift Shop Ltd. v. Lloyd's Underwriters, Lloyd's, London, [2001] I.L.R. para. G-1476</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Starko Estate v. Harbour Cove Investment Corp., [2009] B.C.J. No. 2130</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Stewart v. Vancouver (City) Police Department, [2009] B.C.J. No. 2802</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Stuart v. Hugh, [2011] B.C.J. No. 627</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Sull Estate v. Pengelly, [2019] B.C.J. No. 1756</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Sunstone (Marine Drive) Holdings Inc. v. Vancouver Pacific Development Corp., [2015] B.C.J. No. 297</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Taherkhani v. Este, [2020] B.C.J. No. 128</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True Colors Painting Ltd. v. 0846747 BC Ltd. (c.o.b. G&amp;D Linemarking), [2015] B.C.J. No. 334</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UA Full-Time Salaried Officers v. UA of Journeymen and Apprentices of the Plumbing and Pipe Fitting Industry, [2019] B.C.J. No. 2514</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Virk v. Brar, [2011] B.C.J. No. 410</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Wiens v. Serene Lea Farms Ltd., [2001] I.L.R. para. G-1378</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Williams-Quitzau v. Chow, [2010] B.C.J. No. 2979</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Willson v. Angela Gibson Law Corp., [2008] B.C.J. No. 1899</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Wong v. British Columbia (Securities Commission), [2011] B.C.J. No. 191</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Wood v. Langley (Township), [2015] B.C.J. No. 1245</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Yang v. Fourso, [2017] B.C.J. No. 2859</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Yazdi Integrated Health Group Ltd. v. Unihealth Management Ltd., [2015] B.C.J. No. 1490</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8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lowerRoman"/>
      <w:lvlText w:val="(%1)"/>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ii)"/>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5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47. (5)"/>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lowerRoman"/>
      <w:lvlText w:val="(%1)"/>
      <w:lvlJc w:val="left"/>
      <w:pPr>
        <w:tabs>
          <w:tab w:val="num" w:pos="2920"/>
        </w:tabs>
        <w:ind w:left="29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ii)"/>
      <w:lvlJc w:val="left"/>
      <w:pPr>
        <w:tabs>
          <w:tab w:val="num" w:pos="2920"/>
        </w:tabs>
        <w:ind w:left="29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26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3.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2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3.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3.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3.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5"/>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2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5"/>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6"/>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a)(i)"/>
      <w:lvlJc w:val="left"/>
      <w:pPr>
        <w:tabs>
          <w:tab w:val="num" w:pos="2560"/>
        </w:tabs>
        <w:ind w:left="25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ii)"/>
      <w:lvlJc w:val="left"/>
      <w:pPr>
        <w:tabs>
          <w:tab w:val="num" w:pos="2560"/>
        </w:tabs>
        <w:ind w:left="25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2(b)"/>
      <w:lvlJc w:val="left"/>
      <w:pPr>
        <w:tabs>
          <w:tab w:val="num" w:pos="1840"/>
        </w:tabs>
        <w:ind w:left="184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2(c)"/>
      <w:lvlJc w:val="left"/>
      <w:pPr>
        <w:tabs>
          <w:tab w:val="num" w:pos="1840"/>
        </w:tabs>
        <w:ind w:left="184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2(d)"/>
      <w:lvlJc w:val="left"/>
      <w:pPr>
        <w:tabs>
          <w:tab w:val="num" w:pos="1840"/>
        </w:tabs>
        <w:ind w:left="184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lowerRoman"/>
      <w:lvlText w:val="(%1)"/>
      <w:lvlJc w:val="left"/>
      <w:pPr>
        <w:tabs>
          <w:tab w:val="num" w:pos="1840"/>
        </w:tabs>
        <w:ind w:left="184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ii)"/>
      <w:lvlJc w:val="left"/>
      <w:pPr>
        <w:tabs>
          <w:tab w:val="num" w:pos="1840"/>
        </w:tabs>
        <w:ind w:left="184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2(e)"/>
      <w:lvlJc w:val="left"/>
      <w:pPr>
        <w:tabs>
          <w:tab w:val="num" w:pos="1840"/>
        </w:tabs>
        <w:ind w:left="184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1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1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10."/>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lowerRoman"/>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1DC6271"/>
    <w:multiLevelType w:val="multilevel"/>
    <w:tmpl w:val="00000001"/>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6FFEBB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8D35514"/>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9400EDE"/>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97DD447"/>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103FFBDF"/>
    <w:multiLevelType w:val="multilevel"/>
    <w:tmpl w:val="00000001"/>
    <w:lvl w:ilvl="0">
      <w:start w:val="1"/>
      <w:numFmt w:val="decimal"/>
      <w:lvlText w:val="(1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107DA3A7"/>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10B759B6"/>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189EA224"/>
    <w:multiLevelType w:val="multilevel"/>
    <w:tmpl w:val="00000001"/>
    <w:lvl w:ilvl="0">
      <w:start w:val="1"/>
      <w:numFmt w:val="decimal"/>
      <w:lvlText w:val="5(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19CC30A3"/>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1F3BA25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1F9C2916"/>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2A0E312D"/>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2EF98237"/>
    <w:multiLevelType w:val="multilevel"/>
    <w:tmpl w:val="00000001"/>
    <w:lvl w:ilvl="0">
      <w:start w:val="1"/>
      <w:numFmt w:val="decimal"/>
      <w:lvlText w:val="2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32613F53"/>
    <w:multiLevelType w:val="multilevel"/>
    <w:tmpl w:val="00000001"/>
    <w:lvl w:ilvl="0">
      <w:start w:val="1"/>
      <w:numFmt w:val="decimal"/>
      <w:lvlText w:val="1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3BDF5288"/>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43343CBC"/>
    <w:multiLevelType w:val="multilevel"/>
    <w:tmpl w:val="00000001"/>
    <w:lvl w:ilvl="0">
      <w:start w:val="1"/>
      <w:numFmt w:val="decimal"/>
      <w:lvlText w:val="3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46A67ECA"/>
    <w:multiLevelType w:val="multilevel"/>
    <w:tmpl w:val="00000001"/>
    <w:lvl w:ilvl="0">
      <w:start w:val="1"/>
      <w:numFmt w:val="decimal"/>
      <w:lvlText w:val="10."/>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47E935A1"/>
    <w:multiLevelType w:val="multilevel"/>
    <w:tmpl w:val="00000001"/>
    <w:lvl w:ilvl="0">
      <w:start w:val="1"/>
      <w:numFmt w:val="decimal"/>
      <w:lvlText w:val="i)"/>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493C6B30"/>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4BCE5730"/>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4C64E016"/>
    <w:multiLevelType w:val="multilevel"/>
    <w:tmpl w:val="00000001"/>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682904A9"/>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7B505A40"/>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7F0C437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7"/>
  </w:num>
  <w:num w:numId="88">
    <w:abstractNumId w:val="102"/>
  </w:num>
  <w:num w:numId="89">
    <w:abstractNumId w:val="103"/>
  </w:num>
  <w:num w:numId="90">
    <w:abstractNumId w:val="91"/>
  </w:num>
  <w:num w:numId="91">
    <w:abstractNumId w:val="109"/>
  </w:num>
  <w:num w:numId="92">
    <w:abstractNumId w:val="96"/>
  </w:num>
  <w:num w:numId="93">
    <w:abstractNumId w:val="104"/>
  </w:num>
  <w:num w:numId="94">
    <w:abstractNumId w:val="107"/>
  </w:num>
  <w:num w:numId="95">
    <w:abstractNumId w:val="105"/>
  </w:num>
  <w:num w:numId="96">
    <w:abstractNumId w:val="106"/>
  </w:num>
  <w:num w:numId="97">
    <w:abstractNumId w:val="94"/>
  </w:num>
  <w:num w:numId="98">
    <w:abstractNumId w:val="95"/>
  </w:num>
  <w:num w:numId="99">
    <w:abstractNumId w:val="99"/>
  </w:num>
  <w:num w:numId="100">
    <w:abstractNumId w:val="90"/>
  </w:num>
  <w:num w:numId="101">
    <w:abstractNumId w:val="108"/>
  </w:num>
  <w:num w:numId="102">
    <w:abstractNumId w:val="92"/>
  </w:num>
  <w:num w:numId="103">
    <w:abstractNumId w:val="89"/>
  </w:num>
  <w:num w:numId="104">
    <w:abstractNumId w:val="98"/>
  </w:num>
  <w:num w:numId="105">
    <w:abstractNumId w:val="110"/>
  </w:num>
  <w:num w:numId="106">
    <w:abstractNumId w:val="101"/>
  </w:num>
  <w:num w:numId="107">
    <w:abstractNumId w:val="88"/>
  </w:num>
  <w:num w:numId="108">
    <w:abstractNumId w:val="86"/>
  </w:num>
  <w:num w:numId="109">
    <w:abstractNumId w:val="100"/>
  </w:num>
  <w:num w:numId="110">
    <w:abstractNumId w:val="97"/>
  </w:num>
  <w:num w:numId="111">
    <w:abstractNumId w:val="9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P1-JCRC-B24Y-00000-00&amp;context=" TargetMode="External" /><Relationship Id="rId100" Type="http://schemas.openxmlformats.org/officeDocument/2006/relationships/hyperlink" Target="https://advance.lexis.com/api/document?collection=cases-ca&amp;id=urn:contentItem:5F7T-S7N1-JJ1H-X337-00000-00&amp;context=" TargetMode="External" /><Relationship Id="rId101" Type="http://schemas.openxmlformats.org/officeDocument/2006/relationships/hyperlink" Target="https://advance.lexis.com/api/document?collection=cases-ca&amp;id=urn:contentItem:5F7T-S7K1-F528-G32K-00000-00&amp;context=" TargetMode="External" /><Relationship Id="rId102" Type="http://schemas.openxmlformats.org/officeDocument/2006/relationships/hyperlink" Target="https://advance.lexis.com/api/document?collection=cases-ca&amp;id=urn:contentItem:5GCC-XVC1-F900-G4X2-00000-00&amp;context=" TargetMode="External" /><Relationship Id="rId103" Type="http://schemas.openxmlformats.org/officeDocument/2006/relationships/hyperlink" Target="https://advance.lexis.com/api/document?collection=cases-ca&amp;id=urn:contentItem:5F7T-S7N1-JW09-M134-00000-00&amp;context=" TargetMode="External" /><Relationship Id="rId104" Type="http://schemas.openxmlformats.org/officeDocument/2006/relationships/header" Target="header16.xml" /><Relationship Id="rId105" Type="http://schemas.openxmlformats.org/officeDocument/2006/relationships/header" Target="header17.xml" /><Relationship Id="rId106" Type="http://schemas.openxmlformats.org/officeDocument/2006/relationships/footer" Target="footer16.xml" /><Relationship Id="rId107" Type="http://schemas.openxmlformats.org/officeDocument/2006/relationships/footer" Target="footer17.xml" /><Relationship Id="rId108" Type="http://schemas.openxmlformats.org/officeDocument/2006/relationships/header" Target="header18.xml" /><Relationship Id="rId109" Type="http://schemas.openxmlformats.org/officeDocument/2006/relationships/footer" Target="footer18.xml" /><Relationship Id="rId11" Type="http://schemas.openxmlformats.org/officeDocument/2006/relationships/hyperlink" Target="https://advance.lexis.com/api/document?collection=cases-ca&amp;id=urn:contentItem:5F7T-S7K1-JX3N-B2W2-00000-00&amp;context=" TargetMode="External" /><Relationship Id="rId110" Type="http://schemas.openxmlformats.org/officeDocument/2006/relationships/hyperlink" Target="https://advance.lexis.com/api/document?collection=cases-ca&amp;id=urn:contentItem:5XR2-99N1-FG12-6323-00000-00&amp;context=" TargetMode="External" /><Relationship Id="rId111" Type="http://schemas.openxmlformats.org/officeDocument/2006/relationships/hyperlink" Target="https://advance.lexis.com/api/document?collection=cases-ca&amp;id=urn:contentItem:5F8T-N3V1-JTGH-B1GX-00000-00&amp;context=" TargetMode="External" /><Relationship Id="rId112" Type="http://schemas.openxmlformats.org/officeDocument/2006/relationships/hyperlink" Target="https://advance.lexis.com/api/document?collection=cases-ca&amp;id=urn:contentItem:5F7T-S7G1-JNY7-X44R-00000-00&amp;context=" TargetMode="External" /><Relationship Id="rId113" Type="http://schemas.openxmlformats.org/officeDocument/2006/relationships/hyperlink" Target="https://advance.lexis.com/api/document?collection=cases-ca&amp;id=urn:contentItem:5F7T-S7H1-JG02-S3D7-00000-00&amp;context=" TargetMode="External" /><Relationship Id="rId114" Type="http://schemas.openxmlformats.org/officeDocument/2006/relationships/hyperlink" Target="https://advance.lexis.com/api/document?collection=legislation-ca&amp;id=urn:contentItem:5F41-1FG1-FC1F-M0N7-00000-00&amp;context=" TargetMode="External" /><Relationship Id="rId115" Type="http://schemas.openxmlformats.org/officeDocument/2006/relationships/hyperlink" Target="https://advance.lexis.com/api/document?collection=cases-ca&amp;id=urn:contentItem:5F8T-N3V1-FH4C-X1XS-00000-00&amp;context=" TargetMode="External" /><Relationship Id="rId116" Type="http://schemas.openxmlformats.org/officeDocument/2006/relationships/hyperlink" Target="https://advance.lexis.com/api/document?collection=cases-ca&amp;id=urn:contentItem:5GC0-VTK1-JFDC-X3Y8-00000-00&amp;context=" TargetMode="External" /><Relationship Id="rId117" Type="http://schemas.openxmlformats.org/officeDocument/2006/relationships/hyperlink" Target="https://advance.lexis.com/api/document?collection=cases-ca&amp;id=urn:contentItem:5RT3-H8C1-FJM6-64BT-00000-00&amp;context=" TargetMode="External" /><Relationship Id="rId118" Type="http://schemas.openxmlformats.org/officeDocument/2006/relationships/hyperlink" Target="https://advance.lexis.com/api/document?collection=cases-ca&amp;id=urn:contentItem:5W3V-85S1-JJD0-G2P0-00000-00&amp;context=" TargetMode="External" /><Relationship Id="rId119" Type="http://schemas.openxmlformats.org/officeDocument/2006/relationships/hyperlink" Target="https://advance.lexis.com/api/document?collection=cases-ca&amp;id=urn:contentItem:5W0M-V0B1-K054-G2T0-00000-00&amp;context=" TargetMode="External" /><Relationship Id="rId12" Type="http://schemas.openxmlformats.org/officeDocument/2006/relationships/hyperlink" Target="https://advance.lexis.com/api/document?collection=cases-ca&amp;id=urn:contentItem:5F7T-S701-JGPY-X1J0-00000-00&amp;context=" TargetMode="External" /><Relationship Id="rId120" Type="http://schemas.openxmlformats.org/officeDocument/2006/relationships/hyperlink" Target="https://advance.lexis.com/api/document?collection=cases-ca&amp;id=urn:contentItem:5F16-93D1-JG02-S09P-00000-00&amp;context=" TargetMode="External" /><Relationship Id="rId121" Type="http://schemas.openxmlformats.org/officeDocument/2006/relationships/hyperlink" Target="https://advance.lexis.com/api/document?collection=cases-ca&amp;id=urn:contentItem:5T2X-72H1-JNJT-B2V8-00000-00&amp;context=" TargetMode="External" /><Relationship Id="rId122" Type="http://schemas.openxmlformats.org/officeDocument/2006/relationships/hyperlink" Target="https://advance.lexis.com/api/document?collection=cases-ca&amp;id=urn:contentItem:5XJK-1NT1-FGCG-S1FD-00000-00&amp;context=" TargetMode="External" /><Relationship Id="rId123" Type="http://schemas.openxmlformats.org/officeDocument/2006/relationships/hyperlink" Target="https://advance.lexis.com/api/document?collection=cases-ca&amp;id=urn:contentItem:5RXP-NCC1-JT42-S4X3-00000-00&amp;context=" TargetMode="External" /><Relationship Id="rId124" Type="http://schemas.openxmlformats.org/officeDocument/2006/relationships/hyperlink" Target="https://advance.lexis.com/api/document?collection=cases-ca&amp;id=urn:contentItem:5F7T-S761-F81W-21VB-00000-00&amp;context=" TargetMode="External" /><Relationship Id="rId125" Type="http://schemas.openxmlformats.org/officeDocument/2006/relationships/hyperlink" Target="https://advance.lexis.com/api/document?collection=cases-ca&amp;id=urn:contentItem:5F7T-S771-JN14-G2BP-00000-00&amp;context=" TargetMode="External" /><Relationship Id="rId126" Type="http://schemas.openxmlformats.org/officeDocument/2006/relationships/hyperlink" Target="https://advance.lexis.com/api/document?collection=cases-ca&amp;id=urn:contentItem:5F7T-S741-F57G-S1KJ-00000-00&amp;context=" TargetMode="External" /><Relationship Id="rId127" Type="http://schemas.openxmlformats.org/officeDocument/2006/relationships/hyperlink" Target="https://advance.lexis.com/api/document?collection=cases-ca&amp;id=urn:contentItem:5F7T-S7K1-DY33-B1C4-00000-00&amp;context=" TargetMode="External" /><Relationship Id="rId128" Type="http://schemas.openxmlformats.org/officeDocument/2006/relationships/hyperlink" Target="https://advance.lexis.com/api/document?collection=cases-ca&amp;id=urn:contentItem:5F7T-S7P1-JNJT-B2CB-00000-00&amp;context=" TargetMode="External" /><Relationship Id="rId129" Type="http://schemas.openxmlformats.org/officeDocument/2006/relationships/hyperlink" Target="https://advance.lexis.com/api/document?collection=cases-ca&amp;id=urn:contentItem:5F8T-N3V1-JF75-M3K1-00000-00&amp;context=" TargetMode="External" /><Relationship Id="rId13" Type="http://schemas.openxmlformats.org/officeDocument/2006/relationships/hyperlink" Target="https://advance.lexis.com/api/document?collection=cases-ca&amp;id=urn:contentItem:5F7T-S7H1-JG02-S3RB-00000-00&amp;context=" TargetMode="External" /><Relationship Id="rId130" Type="http://schemas.openxmlformats.org/officeDocument/2006/relationships/hyperlink" Target="https://advance.lexis.com/api/document?collection=cases-ca&amp;id=urn:contentItem:5F8T-N3S1-JBDT-B032-00000-00&amp;context=" TargetMode="External" /><Relationship Id="rId131" Type="http://schemas.openxmlformats.org/officeDocument/2006/relationships/hyperlink" Target="https://advance.lexis.com/api/document?collection=cases-ca&amp;id=urn:contentItem:5F7T-S6R1-F4GK-M0T1-00000-00&amp;context=" TargetMode="External" /><Relationship Id="rId132" Type="http://schemas.openxmlformats.org/officeDocument/2006/relationships/hyperlink" Target="https://advance.lexis.com/api/document?collection=cases-ca&amp;id=urn:contentItem:5F8N-K6W1-JF1Y-B522-00000-00&amp;context=" TargetMode="External" /><Relationship Id="rId133" Type="http://schemas.openxmlformats.org/officeDocument/2006/relationships/hyperlink" Target="https://advance.lexis.com/api/document?collection=cases-ca&amp;id=urn:contentItem:5F8N-K731-JS0R-242F-00000-00&amp;context=" TargetMode="External" /><Relationship Id="rId134" Type="http://schemas.openxmlformats.org/officeDocument/2006/relationships/hyperlink" Target="https://advance.lexis.com/api/document?collection=cases-ca&amp;id=urn:contentItem:5F7T-S771-JJD0-G1JV-00000-00&amp;context=" TargetMode="External" /><Relationship Id="rId135" Type="http://schemas.openxmlformats.org/officeDocument/2006/relationships/hyperlink" Target="https://advance.lexis.com/api/document?collection=cases-ca&amp;id=urn:contentItem:5F7T-S7M1-F4W2-6274-00000-00&amp;context=" TargetMode="External" /><Relationship Id="rId136" Type="http://schemas.openxmlformats.org/officeDocument/2006/relationships/header" Target="header19.xml" /><Relationship Id="rId137" Type="http://schemas.openxmlformats.org/officeDocument/2006/relationships/header" Target="header20.xml" /><Relationship Id="rId138" Type="http://schemas.openxmlformats.org/officeDocument/2006/relationships/footer" Target="footer19.xml" /><Relationship Id="rId139" Type="http://schemas.openxmlformats.org/officeDocument/2006/relationships/footer" Target="footer20.xml" /><Relationship Id="rId14" Type="http://schemas.openxmlformats.org/officeDocument/2006/relationships/hyperlink" Target="https://advance.lexis.com/api/document?collection=cases-ca&amp;id=urn:contentItem:5F81-YH41-JX8W-M072-00000-00&amp;context=" TargetMode="External" /><Relationship Id="rId140" Type="http://schemas.openxmlformats.org/officeDocument/2006/relationships/header" Target="header21.xml" /><Relationship Id="rId141" Type="http://schemas.openxmlformats.org/officeDocument/2006/relationships/footer" Target="footer21.xml" /><Relationship Id="rId142" Type="http://schemas.openxmlformats.org/officeDocument/2006/relationships/hyperlink" Target="https://advance.lexis.com/api/document?collection=cases-ca&amp;id=urn:contentItem:5K6Y-81T1-F7VM-S3VJ-00000-00&amp;context=" TargetMode="External" /><Relationship Id="rId143" Type="http://schemas.openxmlformats.org/officeDocument/2006/relationships/header" Target="header22.xml" /><Relationship Id="rId144" Type="http://schemas.openxmlformats.org/officeDocument/2006/relationships/header" Target="header23.xml" /><Relationship Id="rId145" Type="http://schemas.openxmlformats.org/officeDocument/2006/relationships/footer" Target="footer22.xml" /><Relationship Id="rId146" Type="http://schemas.openxmlformats.org/officeDocument/2006/relationships/footer" Target="footer23.xml" /><Relationship Id="rId147" Type="http://schemas.openxmlformats.org/officeDocument/2006/relationships/header" Target="header24.xml" /><Relationship Id="rId148" Type="http://schemas.openxmlformats.org/officeDocument/2006/relationships/footer" Target="footer24.xml" /><Relationship Id="rId149" Type="http://schemas.openxmlformats.org/officeDocument/2006/relationships/hyperlink" Target="https://advance.lexis.com/api/document?collection=cases-ca&amp;id=urn:contentItem:5WND-DFH1-FJM6-60VY-00000-00&amp;context=" TargetMode="External" /><Relationship Id="rId15" Type="http://schemas.openxmlformats.org/officeDocument/2006/relationships/hyperlink" Target="https://advance.lexis.com/api/document?collection=cases-ca&amp;id=urn:contentItem:5F7T-S6W1-F956-S0MJ-00000-00&amp;context=" TargetMode="External" /><Relationship Id="rId150" Type="http://schemas.openxmlformats.org/officeDocument/2006/relationships/hyperlink" Target="https://advance.lexis.com/api/document?collection=legislation-ca&amp;id=urn:contentItem:5F41-1FG1-FC1F-M0TW-00000-00&amp;context=" TargetMode="External" /><Relationship Id="rId151" Type="http://schemas.openxmlformats.org/officeDocument/2006/relationships/hyperlink" Target="https://advance.lexis.com/api/document?collection=cases-ca&amp;id=urn:contentItem:5WND-DFH1-FJM6-60W7-00000-00&amp;context=" TargetMode="External" /><Relationship Id="rId152" Type="http://schemas.openxmlformats.org/officeDocument/2006/relationships/header" Target="header25.xml" /><Relationship Id="rId153" Type="http://schemas.openxmlformats.org/officeDocument/2006/relationships/header" Target="header26.xml" /><Relationship Id="rId154" Type="http://schemas.openxmlformats.org/officeDocument/2006/relationships/footer" Target="footer25.xml" /><Relationship Id="rId155" Type="http://schemas.openxmlformats.org/officeDocument/2006/relationships/footer" Target="footer26.xml" /><Relationship Id="rId156" Type="http://schemas.openxmlformats.org/officeDocument/2006/relationships/header" Target="header27.xml" /><Relationship Id="rId157" Type="http://schemas.openxmlformats.org/officeDocument/2006/relationships/footer" Target="footer27.xml" /><Relationship Id="rId158" Type="http://schemas.openxmlformats.org/officeDocument/2006/relationships/hyperlink" Target="https://advance.lexis.com/api/document?collection=cases-ca&amp;id=urn:contentItem:5F7T-S7P1-JNJT-B2GW-00000-00&amp;context=" TargetMode="External" /><Relationship Id="rId159" Type="http://schemas.openxmlformats.org/officeDocument/2006/relationships/hyperlink" Target="https://advance.lexis.com/api/document?collection=cases-ca&amp;id=urn:contentItem:5F7T-S7P1-JG02-S3YC-00000-00&amp;context=" TargetMode="External" /><Relationship Id="rId16" Type="http://schemas.openxmlformats.org/officeDocument/2006/relationships/hyperlink" Target="https://advance.lexis.com/api/document?collection=cases-ca&amp;id=urn:contentItem:5F8T-N3T1-JJSF-234H-00000-00&amp;context=" TargetMode="External" /><Relationship Id="rId160" Type="http://schemas.openxmlformats.org/officeDocument/2006/relationships/header" Target="header28.xml" /><Relationship Id="rId161" Type="http://schemas.openxmlformats.org/officeDocument/2006/relationships/header" Target="header29.xml" /><Relationship Id="rId162" Type="http://schemas.openxmlformats.org/officeDocument/2006/relationships/footer" Target="footer28.xml" /><Relationship Id="rId163" Type="http://schemas.openxmlformats.org/officeDocument/2006/relationships/footer" Target="footer29.xml" /><Relationship Id="rId164" Type="http://schemas.openxmlformats.org/officeDocument/2006/relationships/header" Target="header30.xml" /><Relationship Id="rId165" Type="http://schemas.openxmlformats.org/officeDocument/2006/relationships/footer" Target="footer30.xml" /><Relationship Id="rId166" Type="http://schemas.openxmlformats.org/officeDocument/2006/relationships/hyperlink" Target="https://advance.lexis.com/api/document?collection=cases-ca&amp;id=urn:contentItem:5GCC-XVC1-F900-G4SY-00000-00&amp;context=" TargetMode="External" /><Relationship Id="rId167" Type="http://schemas.openxmlformats.org/officeDocument/2006/relationships/hyperlink" Target="https://advance.lexis.com/api/document?collection=cases-ca&amp;id=urn:contentItem:5GCC-XVC1-F900-G4P8-00000-00&amp;context=" TargetMode="External" /><Relationship Id="rId168" Type="http://schemas.openxmlformats.org/officeDocument/2006/relationships/hyperlink" Target="https://advance.lexis.com/api/document?collection=cases-ca&amp;id=urn:contentItem:5F7T-S7K1-F528-G2V7-00000-00&amp;context=" TargetMode="External" /><Relationship Id="rId169" Type="http://schemas.openxmlformats.org/officeDocument/2006/relationships/hyperlink" Target="https://advance.lexis.com/api/document?collection=cases-ca&amp;id=urn:contentItem:5F7T-S7J1-JGBH-B282-00000-00&amp;context=" TargetMode="External" /><Relationship Id="rId17" Type="http://schemas.openxmlformats.org/officeDocument/2006/relationships/hyperlink" Target="https://advance.lexis.com/api/document?collection=cases-ca&amp;id=urn:contentItem:5F7T-S7H1-JCRC-B0RV-00000-00&amp;context=" TargetMode="External" /><Relationship Id="rId170" Type="http://schemas.openxmlformats.org/officeDocument/2006/relationships/hyperlink" Target="https://advance.lexis.com/api/document?collection=cases-ca&amp;id=urn:contentItem:5F7T-S7M1-JPP5-22SN-00000-00&amp;context=" TargetMode="External" /><Relationship Id="rId171" Type="http://schemas.openxmlformats.org/officeDocument/2006/relationships/hyperlink" Target="https://advance.lexis.com/api/document?collection=cases-ca&amp;id=urn:contentItem:5F7T-S7K1-F1H1-223T-00000-00&amp;context=" TargetMode="External" /><Relationship Id="rId172" Type="http://schemas.openxmlformats.org/officeDocument/2006/relationships/hyperlink" Target="https://advance.lexis.com/api/document?collection=cases-ca&amp;id=urn:contentItem:5F7T-S7H1-FCSB-S3PW-00000-00&amp;context=" TargetMode="External" /><Relationship Id="rId173" Type="http://schemas.openxmlformats.org/officeDocument/2006/relationships/hyperlink" Target="https://advance.lexis.com/api/document?collection=cases-ca&amp;id=urn:contentItem:5GCC-XVB1-JGHR-M4GV-00000-00&amp;context=" TargetMode="External" /><Relationship Id="rId174" Type="http://schemas.openxmlformats.org/officeDocument/2006/relationships/hyperlink" Target="https://advance.lexis.com/api/document?collection=cases-ca&amp;id=urn:contentItem:5F7T-S7M1-DYMS-62GR-00000-00&amp;context=" TargetMode="External" /><Relationship Id="rId175" Type="http://schemas.openxmlformats.org/officeDocument/2006/relationships/header" Target="header31.xml" /><Relationship Id="rId176" Type="http://schemas.openxmlformats.org/officeDocument/2006/relationships/header" Target="header32.xml" /><Relationship Id="rId177" Type="http://schemas.openxmlformats.org/officeDocument/2006/relationships/footer" Target="footer31.xml" /><Relationship Id="rId178" Type="http://schemas.openxmlformats.org/officeDocument/2006/relationships/footer" Target="footer32.xml" /><Relationship Id="rId179" Type="http://schemas.openxmlformats.org/officeDocument/2006/relationships/header" Target="header33.xml" /><Relationship Id="rId18" Type="http://schemas.openxmlformats.org/officeDocument/2006/relationships/hyperlink" Target="https://advance.lexis.com/api/document?collection=cases-ca&amp;id=urn:contentItem:5F7F-5RG1-F4NT-X0F5-00000-00&amp;context=" TargetMode="External" /><Relationship Id="rId180" Type="http://schemas.openxmlformats.org/officeDocument/2006/relationships/footer" Target="footer33.xml" /><Relationship Id="rId181" Type="http://schemas.openxmlformats.org/officeDocument/2006/relationships/hyperlink" Target="https://advance.lexis.com/api/document?collection=cases-ca&amp;id=urn:contentItem:5GCC-XVB1-JSXV-G061-00000-00&amp;context=" TargetMode="External" /><Relationship Id="rId182" Type="http://schemas.openxmlformats.org/officeDocument/2006/relationships/hyperlink" Target="https://advance.lexis.com/api/document?collection=cases-ca&amp;id=urn:contentItem:5F7T-S7N1-JGHR-M38N-00000-00&amp;context=" TargetMode="External" /><Relationship Id="rId183" Type="http://schemas.openxmlformats.org/officeDocument/2006/relationships/hyperlink" Target="https://advance.lexis.com/api/document?collection=cases-ca&amp;id=urn:contentItem:5F7T-S6Y1-FJDY-X23K-00000-00&amp;context=" TargetMode="External" /><Relationship Id="rId184" Type="http://schemas.openxmlformats.org/officeDocument/2006/relationships/hyperlink" Target="https://advance.lexis.com/api/document?collection=cases-ca&amp;id=urn:contentItem:5F7T-S7D1-FFFC-B1DT-00000-00&amp;context=" TargetMode="External" /><Relationship Id="rId185" Type="http://schemas.openxmlformats.org/officeDocument/2006/relationships/hyperlink" Target="https://advance.lexis.com/api/document?collection=cases-ca&amp;id=urn:contentItem:5F7T-S7F1-FJTD-G3D8-00000-00&amp;context=" TargetMode="External" /><Relationship Id="rId186" Type="http://schemas.openxmlformats.org/officeDocument/2006/relationships/hyperlink" Target="https://advance.lexis.com/api/document?collection=cases-ca&amp;id=urn:contentItem:5F7T-S7H1-JFSV-G34D-00000-00&amp;context=" TargetMode="External" /><Relationship Id="rId187" Type="http://schemas.openxmlformats.org/officeDocument/2006/relationships/hyperlink" Target="https://advance.lexis.com/api/document?collection=cases-ca&amp;id=urn:contentItem:5F7T-S6Y1-JNY7-X2P3-00000-00&amp;context=" TargetMode="External" /><Relationship Id="rId188" Type="http://schemas.openxmlformats.org/officeDocument/2006/relationships/hyperlink" Target="https://advance.lexis.com/api/document?collection=cases-ca&amp;id=urn:contentItem:5F7T-S711-JNS1-M0XF-00000-00&amp;context=" TargetMode="External" /><Relationship Id="rId189" Type="http://schemas.openxmlformats.org/officeDocument/2006/relationships/hyperlink" Target="https://advance.lexis.com/api/document?collection=cases-ca&amp;id=urn:contentItem:5F7T-S7K1-DY33-B1N9-00000-00&amp;context=" TargetMode="External" /><Relationship Id="rId19" Type="http://schemas.openxmlformats.org/officeDocument/2006/relationships/hyperlink" Target="https://advance.lexis.com/api/document?collection=cases-ca&amp;id=urn:contentItem:5F7F-5RG1-JG02-S0CN-00000-00&amp;context=" TargetMode="External" /><Relationship Id="rId190" Type="http://schemas.openxmlformats.org/officeDocument/2006/relationships/hyperlink" Target="https://advance.lexis.com/api/document?collection=cases-ca&amp;id=urn:contentItem:5F7T-S7P1-JP4G-6233-00000-00&amp;context=" TargetMode="External" /><Relationship Id="rId191" Type="http://schemas.openxmlformats.org/officeDocument/2006/relationships/hyperlink" Target="https://advance.lexis.com/api/document?collection=cases-ca&amp;id=urn:contentItem:5F7T-S7M1-JFSV-G3NS-00000-00&amp;context=" TargetMode="External" /><Relationship Id="rId192" Type="http://schemas.openxmlformats.org/officeDocument/2006/relationships/hyperlink" Target="https://advance.lexis.com/api/document?collection=cases-ca&amp;id=urn:contentItem:5F7T-S7J1-JYYX-627J-00000-00&amp;context=" TargetMode="External" /><Relationship Id="rId193" Type="http://schemas.openxmlformats.org/officeDocument/2006/relationships/hyperlink" Target="https://advance.lexis.com/api/document?collection=cases-ca&amp;id=urn:contentItem:5F8P-SCY1-JC5P-G1C1-00000-00&amp;context=" TargetMode="External" /><Relationship Id="rId194" Type="http://schemas.openxmlformats.org/officeDocument/2006/relationships/hyperlink" Target="https://advance.lexis.com/api/document?collection=cases-ca&amp;id=urn:contentItem:5F7T-S7D1-JN6B-S0XF-00000-00&amp;context=" TargetMode="External" /><Relationship Id="rId195" Type="http://schemas.openxmlformats.org/officeDocument/2006/relationships/hyperlink" Target="https://advance.lexis.com/api/document?collection=cases-ca&amp;id=urn:contentItem:5F7T-S7F1-DXWW-2473-00000-00&amp;context=" TargetMode="External" /><Relationship Id="rId196" Type="http://schemas.openxmlformats.org/officeDocument/2006/relationships/hyperlink" Target="https://advance.lexis.com/api/document?collection=cases-ca&amp;id=urn:contentItem:5F7T-S731-DY33-B0R1-00000-00&amp;context=" TargetMode="External" /><Relationship Id="rId197" Type="http://schemas.openxmlformats.org/officeDocument/2006/relationships/hyperlink" Target="https://advance.lexis.com/api/document?collection=cases-ca&amp;id=urn:contentItem:5F7T-S7C1-F7VM-S3PP-00000-00&amp;context=" TargetMode="External" /><Relationship Id="rId198" Type="http://schemas.openxmlformats.org/officeDocument/2006/relationships/hyperlink" Target="https://advance.lexis.com/api/document?collection=cases-ca&amp;id=urn:contentItem:5F81-VJX1-FFTT-X1G9-00000-00&amp;context=" TargetMode="External" /><Relationship Id="rId199" Type="http://schemas.openxmlformats.org/officeDocument/2006/relationships/hyperlink" Target="https://advance.lexis.com/api/document?collection=cases-ca&amp;id=urn:contentItem:5F8P-SGB1-JBT7-X32R-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8T-N3T1-JJSF-233X-00000-00&amp;context=" TargetMode="External" /><Relationship Id="rId200" Type="http://schemas.openxmlformats.org/officeDocument/2006/relationships/hyperlink" Target="https://advance.lexis.com/api/document?collection=cases-ca&amp;id=urn:contentItem:5F7T-S7B1-JCJ5-201R-00000-00&amp;context=" TargetMode="External" /><Relationship Id="rId201" Type="http://schemas.openxmlformats.org/officeDocument/2006/relationships/hyperlink" Target="https://advance.lexis.com/api/document?collection=cases-ca&amp;id=urn:contentItem:5F7H-KW51-JS0R-203P-00000-00&amp;context=" TargetMode="External" /><Relationship Id="rId202" Type="http://schemas.openxmlformats.org/officeDocument/2006/relationships/hyperlink" Target="https://advance.lexis.com/api/document?collection=cases-ca&amp;id=urn:contentItem:5F7T-S7P1-JP4G-61KF-00000-00&amp;context=" TargetMode="External" /><Relationship Id="rId203" Type="http://schemas.openxmlformats.org/officeDocument/2006/relationships/hyperlink" Target="https://advance.lexis.com/api/document?collection=cases-ca&amp;id=urn:contentItem:5F8T-N3V1-JF75-M3K6-00000-00&amp;context=" TargetMode="External" /><Relationship Id="rId204" Type="http://schemas.openxmlformats.org/officeDocument/2006/relationships/hyperlink" Target="https://advance.lexis.com/api/document?collection=cases-ca&amp;id=urn:contentItem:5F81-VJX1-JKPJ-G1VM-00000-00&amp;context=" TargetMode="External" /><Relationship Id="rId205" Type="http://schemas.openxmlformats.org/officeDocument/2006/relationships/hyperlink" Target="https://advance.lexis.com/api/document?collection=cases-ca&amp;id=urn:contentItem:5F7T-S7M1-JCRC-B1T4-00000-00&amp;context=" TargetMode="External" /><Relationship Id="rId206" Type="http://schemas.openxmlformats.org/officeDocument/2006/relationships/hyperlink" Target="https://advance.lexis.com/api/document?collection=cases-ca&amp;id=urn:contentItem:5F7T-S7H1-FCSB-S3VF-00000-00&amp;context=" TargetMode="External" /><Relationship Id="rId207" Type="http://schemas.openxmlformats.org/officeDocument/2006/relationships/hyperlink" Target="https://advance.lexis.com/api/document?collection=cases-ca&amp;id=urn:contentItem:5F7T-S7J1-JYYX-62FB-00000-00&amp;context=" TargetMode="External" /><Relationship Id="rId208" Type="http://schemas.openxmlformats.org/officeDocument/2006/relationships/hyperlink" Target="https://advance.lexis.com/api/document?collection=cases-ca&amp;id=urn:contentItem:5F7T-S7K1-JWXF-20T6-00000-00&amp;context=" TargetMode="External" /><Relationship Id="rId209" Type="http://schemas.openxmlformats.org/officeDocument/2006/relationships/hyperlink" Target="https://advance.lexis.com/api/document?collection=cases-ca&amp;id=urn:contentItem:5F16-93C1-FFMK-M188-00000-00&amp;context=" TargetMode="External" /><Relationship Id="rId21" Type="http://schemas.openxmlformats.org/officeDocument/2006/relationships/hyperlink" Target="https://advance.lexis.com/api/document?collection=legislation-ca&amp;id=urn:contentItem:5VYK-WB61-JJD0-G4F3-00000-00&amp;context=" TargetMode="External" /><Relationship Id="rId210" Type="http://schemas.openxmlformats.org/officeDocument/2006/relationships/hyperlink" Target="https://advance.lexis.com/api/document?collection=cases-ca&amp;id=urn:contentItem:5F16-93B1-JKB3-X3T5-00000-00&amp;context=" TargetMode="External" /><Relationship Id="rId211" Type="http://schemas.openxmlformats.org/officeDocument/2006/relationships/hyperlink" Target="https://advance.lexis.com/api/document?collection=cases-ca&amp;id=urn:contentItem:5F7T-S7G1-JPP5-21XC-00000-00&amp;context=" TargetMode="External" /><Relationship Id="rId212" Type="http://schemas.openxmlformats.org/officeDocument/2006/relationships/hyperlink" Target="https://advance.lexis.com/api/document?collection=cases-ca&amp;id=urn:contentItem:5F7T-S7J1-JGBH-B2FV-00000-00&amp;context=" TargetMode="External" /><Relationship Id="rId213" Type="http://schemas.openxmlformats.org/officeDocument/2006/relationships/hyperlink" Target="https://advance.lexis.com/api/document?collection=cases-ca&amp;id=urn:contentItem:5F81-VJX1-F5T5-M40W-00000-00&amp;context=" TargetMode="External" /><Relationship Id="rId214" Type="http://schemas.openxmlformats.org/officeDocument/2006/relationships/hyperlink" Target="https://advance.lexis.com/api/document?collection=cases-ca&amp;id=urn:contentItem:5F7T-S781-JSC5-M49F-00000-00&amp;context=" TargetMode="External" /><Relationship Id="rId215" Type="http://schemas.openxmlformats.org/officeDocument/2006/relationships/hyperlink" Target="https://advance.lexis.com/api/document?collection=cases-ca&amp;id=urn:contentItem:5F7T-S7F1-JK4W-M1SJ-00000-00&amp;context=" TargetMode="External" /><Relationship Id="rId216" Type="http://schemas.openxmlformats.org/officeDocument/2006/relationships/hyperlink" Target="https://advance.lexis.com/api/document?collection=cases-ca&amp;id=urn:contentItem:5F8T-N3R1-JNS1-M0NC-00000-00&amp;context=" TargetMode="External" /><Relationship Id="rId217" Type="http://schemas.openxmlformats.org/officeDocument/2006/relationships/header" Target="header34.xml" /><Relationship Id="rId218" Type="http://schemas.openxmlformats.org/officeDocument/2006/relationships/header" Target="header35.xml" /><Relationship Id="rId219" Type="http://schemas.openxmlformats.org/officeDocument/2006/relationships/footer" Target="footer34.xml" /><Relationship Id="rId22" Type="http://schemas.openxmlformats.org/officeDocument/2006/relationships/hyperlink" Target="https://advance.lexis.com/api/document?collection=cases-ca&amp;id=urn:contentItem:5F7T-S751-JX3N-B134-00000-00&amp;context=" TargetMode="External" /><Relationship Id="rId220" Type="http://schemas.openxmlformats.org/officeDocument/2006/relationships/footer" Target="footer35.xml" /><Relationship Id="rId221" Type="http://schemas.openxmlformats.org/officeDocument/2006/relationships/header" Target="header36.xml" /><Relationship Id="rId222" Type="http://schemas.openxmlformats.org/officeDocument/2006/relationships/footer" Target="footer36.xml" /><Relationship Id="rId223" Type="http://schemas.openxmlformats.org/officeDocument/2006/relationships/hyperlink" Target="https://advance.lexis.com/api/document?collection=cases-ca&amp;id=urn:contentItem:5HCY-W481-JJ1H-X3Y0-00000-00&amp;context=" TargetMode="External" /><Relationship Id="rId224" Type="http://schemas.openxmlformats.org/officeDocument/2006/relationships/hyperlink" Target="https://advance.lexis.com/api/document?collection=cases-ca&amp;id=urn:contentItem:5F7T-S741-DY89-M3J2-00000-00&amp;context=" TargetMode="External" /><Relationship Id="rId225" Type="http://schemas.openxmlformats.org/officeDocument/2006/relationships/hyperlink" Target="https://advance.lexis.com/api/document?collection=cases-ca&amp;id=urn:contentItem:5F7T-S7P1-JBDT-B0YC-00000-00&amp;context=" TargetMode="External" /><Relationship Id="rId226" Type="http://schemas.openxmlformats.org/officeDocument/2006/relationships/hyperlink" Target="https://advance.lexis.com/api/document?collection=cases-ca&amp;id=urn:contentItem:5F7T-S711-F27X-60R5-00000-00&amp;context=" TargetMode="External" /><Relationship Id="rId227" Type="http://schemas.openxmlformats.org/officeDocument/2006/relationships/header" Target="header37.xml" /><Relationship Id="rId228" Type="http://schemas.openxmlformats.org/officeDocument/2006/relationships/header" Target="header38.xml" /><Relationship Id="rId229" Type="http://schemas.openxmlformats.org/officeDocument/2006/relationships/footer" Target="footer37.xml" /><Relationship Id="rId23" Type="http://schemas.openxmlformats.org/officeDocument/2006/relationships/hyperlink" Target="https://advance.lexis.com/api/document?collection=cases-ca&amp;id=urn:contentItem:5F16-9341-DY33-B4CD-00000-00&amp;context=" TargetMode="External" /><Relationship Id="rId230" Type="http://schemas.openxmlformats.org/officeDocument/2006/relationships/footer" Target="footer38.xml" /><Relationship Id="rId231" Type="http://schemas.openxmlformats.org/officeDocument/2006/relationships/header" Target="header39.xml" /><Relationship Id="rId232" Type="http://schemas.openxmlformats.org/officeDocument/2006/relationships/footer" Target="footer39.xml" /><Relationship Id="rId233" Type="http://schemas.openxmlformats.org/officeDocument/2006/relationships/hyperlink" Target="https://advance.lexis.com/api/document?collection=cases-ca&amp;id=urn:contentItem:5KCD-3JR1-JGHR-M0N6-00000-00&amp;context=" TargetMode="External" /><Relationship Id="rId234" Type="http://schemas.openxmlformats.org/officeDocument/2006/relationships/hyperlink" Target="https://advance.lexis.com/api/document?collection=cases-ca&amp;id=urn:contentItem:5F7T-S701-JBT7-X22V-00000-00&amp;context=" TargetMode="External" /><Relationship Id="rId235" Type="http://schemas.openxmlformats.org/officeDocument/2006/relationships/hyperlink" Target="https://advance.lexis.com/api/document?collection=cases-ca&amp;id=urn:contentItem:5F7T-S741-F1H1-21RG-00000-00&amp;context=" TargetMode="External" /><Relationship Id="rId236" Type="http://schemas.openxmlformats.org/officeDocument/2006/relationships/hyperlink" Target="https://advance.lexis.com/api/document?collection=cases-ca&amp;id=urn:contentItem:5HX7-VJ11-FCSB-S400-00000-00&amp;context=" TargetMode="External" /><Relationship Id="rId237" Type="http://schemas.openxmlformats.org/officeDocument/2006/relationships/hyperlink" Target="https://advance.lexis.com/api/document?collection=cases-ca&amp;id=urn:contentItem:5F7T-S721-F06F-2327-00000-00&amp;context=" TargetMode="External" /><Relationship Id="rId238" Type="http://schemas.openxmlformats.org/officeDocument/2006/relationships/hyperlink" Target="https://advance.lexis.com/api/document?collection=cases-ca&amp;id=urn:contentItem:5F7T-S7M1-JNCK-22HM-00000-00&amp;context=" TargetMode="External" /><Relationship Id="rId239" Type="http://schemas.openxmlformats.org/officeDocument/2006/relationships/header" Target="header40.xml" /><Relationship Id="rId24" Type="http://schemas.openxmlformats.org/officeDocument/2006/relationships/hyperlink" Target="https://advance.lexis.com/api/document?collection=cases-ca&amp;id=urn:contentItem:5F7T-S741-F528-G225-00000-00&amp;context=" TargetMode="External" /><Relationship Id="rId240" Type="http://schemas.openxmlformats.org/officeDocument/2006/relationships/header" Target="header41.xml" /><Relationship Id="rId241" Type="http://schemas.openxmlformats.org/officeDocument/2006/relationships/footer" Target="footer40.xml" /><Relationship Id="rId242" Type="http://schemas.openxmlformats.org/officeDocument/2006/relationships/footer" Target="footer41.xml" /><Relationship Id="rId243" Type="http://schemas.openxmlformats.org/officeDocument/2006/relationships/header" Target="header42.xml" /><Relationship Id="rId244" Type="http://schemas.openxmlformats.org/officeDocument/2006/relationships/footer" Target="footer42.xml" /><Relationship Id="rId245" Type="http://schemas.openxmlformats.org/officeDocument/2006/relationships/hyperlink" Target="https://advance.lexis.com/api/document?collection=cases-ca&amp;id=urn:contentItem:5VR5-SFJ1-DY89-M32N-00000-00&amp;context=" TargetMode="External" /><Relationship Id="rId246" Type="http://schemas.openxmlformats.org/officeDocument/2006/relationships/header" Target="header43.xml" /><Relationship Id="rId247" Type="http://schemas.openxmlformats.org/officeDocument/2006/relationships/header" Target="header44.xml" /><Relationship Id="rId248" Type="http://schemas.openxmlformats.org/officeDocument/2006/relationships/footer" Target="footer43.xml" /><Relationship Id="rId249" Type="http://schemas.openxmlformats.org/officeDocument/2006/relationships/footer" Target="footer44.xml" /><Relationship Id="rId25" Type="http://schemas.openxmlformats.org/officeDocument/2006/relationships/hyperlink" Target="https://advance.lexis.com/api/document?collection=cases-ca&amp;id=urn:contentItem:5F81-VJV1-F8D9-M0MG-00000-00&amp;context=" TargetMode="External" /><Relationship Id="rId250" Type="http://schemas.openxmlformats.org/officeDocument/2006/relationships/header" Target="header45.xml" /><Relationship Id="rId251" Type="http://schemas.openxmlformats.org/officeDocument/2006/relationships/footer" Target="footer45.xml" /><Relationship Id="rId252" Type="http://schemas.openxmlformats.org/officeDocument/2006/relationships/hyperlink" Target="https://advance.lexis.com/api/document?collection=cases-ca&amp;id=urn:contentItem:5XCF-HB91-JC5P-G2B9-00000-00&amp;context=" TargetMode="External" /><Relationship Id="rId253" Type="http://schemas.openxmlformats.org/officeDocument/2006/relationships/hyperlink" Target="https://advance.lexis.com/api/document?collection=cases-ca&amp;id=urn:contentItem:5F7T-S7K1-JKHB-62RD-00000-00&amp;context=" TargetMode="External" /><Relationship Id="rId254" Type="http://schemas.openxmlformats.org/officeDocument/2006/relationships/hyperlink" Target="https://advance.lexis.com/api/document?collection=cases-ca&amp;id=urn:contentItem:5F7T-S771-JJD0-G10X-00000-00&amp;context=" TargetMode="External" /><Relationship Id="rId255" Type="http://schemas.openxmlformats.org/officeDocument/2006/relationships/hyperlink" Target="https://advance.lexis.com/api/document?collection=cases-ca&amp;id=urn:contentItem:5F7T-S7C1-F4NT-X3JG-00000-00&amp;context=" TargetMode="External" /><Relationship Id="rId256" Type="http://schemas.openxmlformats.org/officeDocument/2006/relationships/hyperlink" Target="https://advance.lexis.com/api/document?collection=cases-ca&amp;id=urn:contentItem:5F7T-S7H1-JCRC-B164-00000-00&amp;context=" TargetMode="External" /><Relationship Id="rId257" Type="http://schemas.openxmlformats.org/officeDocument/2006/relationships/hyperlink" Target="https://advance.lexis.com/api/document?collection=cases-ca&amp;id=urn:contentItem:5F7T-S7C1-F4NT-X3WG-00000-00&amp;context=" TargetMode="External" /><Relationship Id="rId258" Type="http://schemas.openxmlformats.org/officeDocument/2006/relationships/hyperlink" Target="https://advance.lexis.com/api/document?collection=cases-ca&amp;id=urn:contentItem:5F7T-S7D1-JS5Y-B2J4-00000-00&amp;context=" TargetMode="External" /><Relationship Id="rId259" Type="http://schemas.openxmlformats.org/officeDocument/2006/relationships/hyperlink" Target="https://advance.lexis.com/api/document?collection=cases-ca&amp;id=urn:contentItem:5F7T-S741-F7VM-S2N8-00000-00&amp;context=" TargetMode="External" /><Relationship Id="rId26" Type="http://schemas.openxmlformats.org/officeDocument/2006/relationships/hyperlink" Target="https://advance.lexis.com/api/document?collection=cases-ca&amp;id=urn:contentItem:5F81-VJT1-FD4T-B21R-00000-00&amp;context=" TargetMode="External" /><Relationship Id="rId260" Type="http://schemas.openxmlformats.org/officeDocument/2006/relationships/hyperlink" Target="https://advance.lexis.com/api/document?collection=cases-ca&amp;id=urn:contentItem:5F7T-S7N1-JGHR-M3D7-00000-00&amp;context=" TargetMode="External" /><Relationship Id="rId261" Type="http://schemas.openxmlformats.org/officeDocument/2006/relationships/hyperlink" Target="https://advance.lexis.com/api/document?collection=cases-ca&amp;id=urn:contentItem:5F8T-N3N1-JWXF-24ST-00000-00&amp;context=" TargetMode="External" /><Relationship Id="rId262" Type="http://schemas.openxmlformats.org/officeDocument/2006/relationships/hyperlink" Target="https://advance.lexis.com/api/document?collection=cases-ca&amp;id=urn:contentItem:5F16-93C1-JKHB-63S3-00000-00&amp;context=" TargetMode="External" /><Relationship Id="rId263" Type="http://schemas.openxmlformats.org/officeDocument/2006/relationships/hyperlink" Target="https://advance.lexis.com/api/document?collection=cases-ca&amp;id=urn:contentItem:5F7T-S751-JG02-S29T-00000-00&amp;context=" TargetMode="External" /><Relationship Id="rId264" Type="http://schemas.openxmlformats.org/officeDocument/2006/relationships/hyperlink" Target="https://advance.lexis.com/api/document?collection=cases-ca&amp;id=urn:contentItem:5F7T-S761-JS5Y-B1KW-00000-00&amp;context=" TargetMode="External" /><Relationship Id="rId265" Type="http://schemas.openxmlformats.org/officeDocument/2006/relationships/hyperlink" Target="https://advance.lexis.com/api/document?collection=cases-ca&amp;id=urn:contentItem:5F7T-S7H1-JS5Y-B2TC-00000-00&amp;context=" TargetMode="External" /><Relationship Id="rId266" Type="http://schemas.openxmlformats.org/officeDocument/2006/relationships/hyperlink" Target="https://advance.lexis.com/api/document?collection=cases-ca&amp;id=urn:contentItem:5F7T-S7N1-JC5P-G23W-00000-00&amp;context=" TargetMode="External" /><Relationship Id="rId267" Type="http://schemas.openxmlformats.org/officeDocument/2006/relationships/hyperlink" Target="https://advance.lexis.com/api/document?collection=cases-ca&amp;id=urn:contentItem:5F7T-S6T1-F2F4-G1FF-00000-00&amp;context=" TargetMode="External" /><Relationship Id="rId268" Type="http://schemas.openxmlformats.org/officeDocument/2006/relationships/hyperlink" Target="https://advance.lexis.com/api/document?collection=cases-ca&amp;id=urn:contentItem:5F7T-S7M1-JJK6-S22N-00000-00&amp;context=" TargetMode="External" /><Relationship Id="rId269" Type="http://schemas.openxmlformats.org/officeDocument/2006/relationships/hyperlink" Target="https://advance.lexis.com/api/document?collection=cases-ca&amp;id=urn:contentItem:5F7T-S6V1-F2TK-22G9-00000-00&amp;context=" TargetMode="External" /><Relationship Id="rId27" Type="http://schemas.openxmlformats.org/officeDocument/2006/relationships/hyperlink" Target="https://advance.lexis.com/api/document?collection=cases-ca&amp;id=urn:contentItem:5F7T-S7G1-JX3N-B215-00000-00&amp;context=" TargetMode="External" /><Relationship Id="rId270" Type="http://schemas.openxmlformats.org/officeDocument/2006/relationships/hyperlink" Target="https://advance.lexis.com/api/document?collection=cases-ca&amp;id=urn:contentItem:5F7T-S6X1-K0BB-S0D3-00000-00&amp;context=" TargetMode="External" /><Relationship Id="rId271" Type="http://schemas.openxmlformats.org/officeDocument/2006/relationships/hyperlink" Target="https://advance.lexis.com/api/document?collection=cases-ca&amp;id=urn:contentItem:5F7T-S6W1-JB7K-21F4-00000-00&amp;context=" TargetMode="External" /><Relationship Id="rId272" Type="http://schemas.openxmlformats.org/officeDocument/2006/relationships/hyperlink" Target="https://advance.lexis.com/api/document?collection=cases-ca&amp;id=urn:contentItem:5F7T-S6X1-JTNR-M3X3-00000-00&amp;context=" TargetMode="External" /><Relationship Id="rId273" Type="http://schemas.openxmlformats.org/officeDocument/2006/relationships/hyperlink" Target="https://advance.lexis.com/api/document?collection=cases-ca&amp;id=urn:contentItem:5F7T-S7C1-JXG3-X05F-00000-00&amp;context=" TargetMode="External" /><Relationship Id="rId274" Type="http://schemas.openxmlformats.org/officeDocument/2006/relationships/hyperlink" Target="https://advance.lexis.com/api/document?collection=cases-ca&amp;id=urn:contentItem:5F7T-S6Y1-F4GK-M1WK-00000-00&amp;context=" TargetMode="External" /><Relationship Id="rId275" Type="http://schemas.openxmlformats.org/officeDocument/2006/relationships/hyperlink" Target="https://advance.lexis.com/api/document?collection=cases-ca&amp;id=urn:contentItem:5F8T-N3V1-JTGH-B1C7-00000-00&amp;context=" TargetMode="External" /><Relationship Id="rId276" Type="http://schemas.openxmlformats.org/officeDocument/2006/relationships/hyperlink" Target="https://advance.lexis.com/api/document?collection=cases-ca&amp;id=urn:contentItem:5F7V-3DD1-FG68-G2C6-00000-00&amp;context=" TargetMode="External" /><Relationship Id="rId277" Type="http://schemas.openxmlformats.org/officeDocument/2006/relationships/hyperlink" Target="https://advance.lexis.com/api/document?collection=cases-ca&amp;id=urn:contentItem:5F8T-N3S1-JT99-24KB-00000-00&amp;context=" TargetMode="External" /><Relationship Id="rId278" Type="http://schemas.openxmlformats.org/officeDocument/2006/relationships/header" Target="header46.xml" /><Relationship Id="rId279" Type="http://schemas.openxmlformats.org/officeDocument/2006/relationships/header" Target="header47.xml" /><Relationship Id="rId28" Type="http://schemas.openxmlformats.org/officeDocument/2006/relationships/hyperlink" Target="https://advance.lexis.com/api/document?collection=cases-ca&amp;id=urn:contentItem:5F7T-S721-FG12-61KV-00000-00&amp;context=" TargetMode="External" /><Relationship Id="rId280" Type="http://schemas.openxmlformats.org/officeDocument/2006/relationships/footer" Target="footer46.xml" /><Relationship Id="rId281" Type="http://schemas.openxmlformats.org/officeDocument/2006/relationships/footer" Target="footer47.xml" /><Relationship Id="rId282" Type="http://schemas.openxmlformats.org/officeDocument/2006/relationships/header" Target="header48.xml" /><Relationship Id="rId283" Type="http://schemas.openxmlformats.org/officeDocument/2006/relationships/footer" Target="footer48.xml" /><Relationship Id="rId284" Type="http://schemas.openxmlformats.org/officeDocument/2006/relationships/hyperlink" Target="https://advance.lexis.com/api/document?collection=cases-ca&amp;id=urn:contentItem:5F7T-S7M1-JPP5-22NS-00000-00&amp;context=" TargetMode="External" /><Relationship Id="rId285" Type="http://schemas.openxmlformats.org/officeDocument/2006/relationships/hyperlink" Target="https://advance.lexis.com/api/document?collection=cases-ca&amp;id=urn:contentItem:5F7T-S7K1-DY33-B1VS-00000-00&amp;context=" TargetMode="External" /><Relationship Id="rId286" Type="http://schemas.openxmlformats.org/officeDocument/2006/relationships/hyperlink" Target="https://advance.lexis.com/api/document?collection=cases-ca&amp;id=urn:contentItem:5F7T-S6X1-F06F-22SH-00000-00&amp;context=" TargetMode="External" /><Relationship Id="rId287" Type="http://schemas.openxmlformats.org/officeDocument/2006/relationships/hyperlink" Target="https://advance.lexis.com/api/document?collection=cases-ca&amp;id=urn:contentItem:5F82-1SB1-FBFS-S42M-00000-00&amp;context=" TargetMode="External" /><Relationship Id="rId288" Type="http://schemas.openxmlformats.org/officeDocument/2006/relationships/hyperlink" Target="https://advance.lexis.com/api/document?collection=cases-ca&amp;id=urn:contentItem:5F7T-S731-F1WF-M229-00000-00&amp;context=" TargetMode="External" /><Relationship Id="rId289" Type="http://schemas.openxmlformats.org/officeDocument/2006/relationships/hyperlink" Target="https://advance.lexis.com/api/document?collection=cases-ca&amp;id=urn:contentItem:5F7T-S7H1-JS5Y-B35X-00000-00&amp;context=" TargetMode="External" /><Relationship Id="rId29" Type="http://schemas.openxmlformats.org/officeDocument/2006/relationships/hyperlink" Target="https://advance.lexis.com/api/document?collection=cases-ca&amp;id=urn:contentItem:5F7T-S7N1-F06F-24TK-00000-00&amp;context=" TargetMode="External" /><Relationship Id="rId290" Type="http://schemas.openxmlformats.org/officeDocument/2006/relationships/hyperlink" Target="https://advance.lexis.com/api/document?collection=cases-ca&amp;id=urn:contentItem:5F7T-S7H1-JCRC-B0XG-00000-00&amp;context=" TargetMode="External" /><Relationship Id="rId291" Type="http://schemas.openxmlformats.org/officeDocument/2006/relationships/hyperlink" Target="https://advance.lexis.com/api/document?collection=cases-ca&amp;id=urn:contentItem:5F7T-S731-JC0G-63HG-00000-00&amp;context=" TargetMode="External" /><Relationship Id="rId292" Type="http://schemas.openxmlformats.org/officeDocument/2006/relationships/hyperlink" Target="https://advance.lexis.com/api/document?collection=cases-ca&amp;id=urn:contentItem:5F7T-S741-F2F4-G2FP-00000-00&amp;context=" TargetMode="External" /><Relationship Id="rId293" Type="http://schemas.openxmlformats.org/officeDocument/2006/relationships/hyperlink" Target="https://advance.lexis.com/api/document?collection=cases-ca&amp;id=urn:contentItem:5F7T-S741-F57G-S21M-00000-00&amp;context=" TargetMode="External" /><Relationship Id="rId294" Type="http://schemas.openxmlformats.org/officeDocument/2006/relationships/hyperlink" Target="https://advance.lexis.com/api/document?collection=cases-ca&amp;id=urn:contentItem:5F7T-S791-FJTD-G2PM-00000-00&amp;context=" TargetMode="External" /><Relationship Id="rId295" Type="http://schemas.openxmlformats.org/officeDocument/2006/relationships/hyperlink" Target="https://advance.lexis.com/api/document?collection=cases-ca&amp;id=urn:contentItem:5F7T-S7F1-DXWW-24FY-00000-00&amp;context=" TargetMode="External" /><Relationship Id="rId296" Type="http://schemas.openxmlformats.org/officeDocument/2006/relationships/hyperlink" Target="https://advance.lexis.com/api/document?collection=cases-ca&amp;id=urn:contentItem:5F7T-S7J1-JNS1-M20W-00000-00&amp;context=" TargetMode="External" /><Relationship Id="rId297" Type="http://schemas.openxmlformats.org/officeDocument/2006/relationships/hyperlink" Target="https://advance.lexis.com/api/document?collection=cases-ca&amp;id=urn:contentItem:5F7T-S7K1-JX3N-B2TD-00000-00&amp;context=" TargetMode="External" /><Relationship Id="rId298" Type="http://schemas.openxmlformats.org/officeDocument/2006/relationships/hyperlink" Target="https://advance.lexis.com/api/document?collection=cases-ca&amp;id=urn:contentItem:5F7T-S781-F06F-23YH-00000-00&amp;context=" TargetMode="External" /><Relationship Id="rId299" Type="http://schemas.openxmlformats.org/officeDocument/2006/relationships/hyperlink" Target="https://advance.lexis.com/api/document?collection=cases-ca&amp;id=urn:contentItem:5F8T-N3V1-JTGH-B1GJ-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N1-JW09-M163-00000-00&amp;context=" TargetMode="External" /><Relationship Id="rId300" Type="http://schemas.openxmlformats.org/officeDocument/2006/relationships/hyperlink" Target="https://advance.lexis.com/api/document?collection=cases-ca&amp;id=urn:contentItem:5F7T-S751-JNS1-M1T9-00000-00&amp;context=" TargetMode="External" /><Relationship Id="rId301" Type="http://schemas.openxmlformats.org/officeDocument/2006/relationships/hyperlink" Target="https://advance.lexis.com/api/document?collection=cases-ca&amp;id=urn:contentItem:5F7T-S731-DY33-B0X4-00000-00&amp;context=" TargetMode="External" /><Relationship Id="rId302" Type="http://schemas.openxmlformats.org/officeDocument/2006/relationships/hyperlink" Target="https://advance.lexis.com/api/document?collection=cases-ca&amp;id=urn:contentItem:5F7T-S721-F5T5-M2H4-00000-00&amp;context=" TargetMode="External" /><Relationship Id="rId303" Type="http://schemas.openxmlformats.org/officeDocument/2006/relationships/hyperlink" Target="https://advance.lexis.com/api/document?collection=cases-ca&amp;id=urn:contentItem:5F7T-S751-JX3N-B0V9-00000-00&amp;context=" TargetMode="External" /><Relationship Id="rId304" Type="http://schemas.openxmlformats.org/officeDocument/2006/relationships/hyperlink" Target="https://advance.lexis.com/api/document?collection=cases-ca&amp;id=urn:contentItem:5F7T-S7H1-JS5Y-B33G-00000-00&amp;context=" TargetMode="External" /><Relationship Id="rId305" Type="http://schemas.openxmlformats.org/officeDocument/2006/relationships/hyperlink" Target="https://advance.lexis.com/api/document?collection=cases-ca&amp;id=urn:contentItem:5F7T-S7G1-JN6B-S1G9-00000-00&amp;context=" TargetMode="External" /><Relationship Id="rId306" Type="http://schemas.openxmlformats.org/officeDocument/2006/relationships/hyperlink" Target="https://advance.lexis.com/api/document?collection=cases-ca&amp;id=urn:contentItem:5F7T-S7D1-JXG3-X12H-00000-00&amp;context=" TargetMode="External" /><Relationship Id="rId307" Type="http://schemas.openxmlformats.org/officeDocument/2006/relationships/hyperlink" Target="https://advance.lexis.com/api/document?collection=cases-ca&amp;id=urn:contentItem:5F7T-S771-JN14-G2K0-00000-00&amp;context=" TargetMode="External" /><Relationship Id="rId308" Type="http://schemas.openxmlformats.org/officeDocument/2006/relationships/hyperlink" Target="https://advance.lexis.com/api/document?collection=cases-ca&amp;id=urn:contentItem:5F7T-S7C1-F7VM-S3MP-00000-00&amp;context=" TargetMode="External" /><Relationship Id="rId309" Type="http://schemas.openxmlformats.org/officeDocument/2006/relationships/hyperlink" Target="https://advance.lexis.com/api/document?collection=cases-ca&amp;id=urn:contentItem:5F7T-S7D1-FFFC-B1H2-00000-00&amp;context=" TargetMode="External" /><Relationship Id="rId31" Type="http://schemas.openxmlformats.org/officeDocument/2006/relationships/hyperlink" Target="https://advance.lexis.com/api/document?collection=cases-ca&amp;id=urn:contentItem:5F7F-5RG1-FCSB-S0HN-00000-00&amp;context=" TargetMode="External" /><Relationship Id="rId310" Type="http://schemas.openxmlformats.org/officeDocument/2006/relationships/hyperlink" Target="https://advance.lexis.com/api/document?collection=cases-ca&amp;id=urn:contentItem:5F7T-S781-DYMS-61D4-00000-00&amp;context=" TargetMode="External" /><Relationship Id="rId311" Type="http://schemas.openxmlformats.org/officeDocument/2006/relationships/hyperlink" Target="https://advance.lexis.com/api/document?collection=cases-ca&amp;id=urn:contentItem:5F7T-S7F1-DXWW-24FD-00000-00&amp;context=" TargetMode="External" /><Relationship Id="rId312" Type="http://schemas.openxmlformats.org/officeDocument/2006/relationships/hyperlink" Target="https://advance.lexis.com/api/document?collection=cases-ca&amp;id=urn:contentItem:5F7T-S7D1-JN6B-S0X4-00000-00&amp;context=" TargetMode="External" /><Relationship Id="rId313" Type="http://schemas.openxmlformats.org/officeDocument/2006/relationships/hyperlink" Target="https://advance.lexis.com/api/document?collection=cases-ca&amp;id=urn:contentItem:5F7T-S7F1-JBT7-X2TF-00000-00&amp;context=" TargetMode="External" /><Relationship Id="rId314" Type="http://schemas.openxmlformats.org/officeDocument/2006/relationships/hyperlink" Target="https://advance.lexis.com/api/document?collection=cases-ca&amp;id=urn:contentItem:5F7T-S7F1-F7VM-S3X0-00000-00&amp;context=" TargetMode="External" /><Relationship Id="rId315" Type="http://schemas.openxmlformats.org/officeDocument/2006/relationships/hyperlink" Target="https://advance.lexis.com/api/document?collection=cases-ca&amp;id=urn:contentItem:5F7T-S7K1-F1H1-21YN-00000-00&amp;context=" TargetMode="External" /><Relationship Id="rId316" Type="http://schemas.openxmlformats.org/officeDocument/2006/relationships/hyperlink" Target="https://advance.lexis.com/api/document?collection=cases-ca&amp;id=urn:contentItem:5F7T-S7M1-JNCK-22PT-00000-00&amp;context=" TargetMode="External" /><Relationship Id="rId317" Type="http://schemas.openxmlformats.org/officeDocument/2006/relationships/hyperlink" Target="https://advance.lexis.com/api/document?collection=cases-ca&amp;id=urn:contentItem:5F7T-S7J1-JNS1-M223-00000-00&amp;context=" TargetMode="External" /><Relationship Id="rId318" Type="http://schemas.openxmlformats.org/officeDocument/2006/relationships/hyperlink" Target="https://advance.lexis.com/api/document?collection=cases-ca&amp;id=urn:contentItem:5F7T-S771-F361-M1VH-00000-00&amp;context=" TargetMode="External" /><Relationship Id="rId319" Type="http://schemas.openxmlformats.org/officeDocument/2006/relationships/hyperlink" Target="https://advance.lexis.com/api/document?collection=cases-ca&amp;id=urn:contentItem:5F7T-S7H1-FCSB-S3RP-00000-00&amp;context=" TargetMode="External" /><Relationship Id="rId32" Type="http://schemas.openxmlformats.org/officeDocument/2006/relationships/hyperlink" Target="https://advance.lexis.com/api/document?collection=cases-ca&amp;id=urn:contentItem:5F7T-S711-FJDY-X376-00000-00&amp;context=" TargetMode="External" /><Relationship Id="rId320" Type="http://schemas.openxmlformats.org/officeDocument/2006/relationships/header" Target="header49.xml" /><Relationship Id="rId321" Type="http://schemas.openxmlformats.org/officeDocument/2006/relationships/header" Target="header50.xml" /><Relationship Id="rId322" Type="http://schemas.openxmlformats.org/officeDocument/2006/relationships/footer" Target="footer49.xml" /><Relationship Id="rId323" Type="http://schemas.openxmlformats.org/officeDocument/2006/relationships/footer" Target="footer50.xml" /><Relationship Id="rId324" Type="http://schemas.openxmlformats.org/officeDocument/2006/relationships/header" Target="header51.xml" /><Relationship Id="rId325" Type="http://schemas.openxmlformats.org/officeDocument/2006/relationships/footer" Target="footer51.xml" /><Relationship Id="rId326" Type="http://schemas.openxmlformats.org/officeDocument/2006/relationships/hyperlink" Target="https://advance.lexis.com/api/document?collection=cases-ca&amp;id=urn:contentItem:5NR9-3941-F8KH-X012-00000-00&amp;context=" TargetMode="External" /><Relationship Id="rId327" Type="http://schemas.openxmlformats.org/officeDocument/2006/relationships/hyperlink" Target="https://advance.lexis.com/api/document?collection=cases-ca&amp;id=urn:contentItem:5F7T-S6V1-JFKM-61CW-00000-00&amp;context=" TargetMode="External" /><Relationship Id="rId328" Type="http://schemas.openxmlformats.org/officeDocument/2006/relationships/hyperlink" Target="https://advance.lexis.com/api/document?collection=cases-ca&amp;id=urn:contentItem:5F7T-S7J1-JGBH-B2H4-00000-00&amp;context=" TargetMode="External" /><Relationship Id="rId329" Type="http://schemas.openxmlformats.org/officeDocument/2006/relationships/hyperlink" Target="https://advance.lexis.com/api/document?collection=cases-ca&amp;id=urn:contentItem:5F7T-S7M1-DYMS-62CY-00000-00&amp;context=" TargetMode="External" /><Relationship Id="rId33" Type="http://schemas.openxmlformats.org/officeDocument/2006/relationships/hyperlink" Target="https://advance.lexis.com/api/document?collection=cases-ca&amp;id=urn:contentItem:5F7T-S711-F4W2-61P2-00000-00&amp;context=" TargetMode="External" /><Relationship Id="rId330" Type="http://schemas.openxmlformats.org/officeDocument/2006/relationships/hyperlink" Target="https://advance.lexis.com/api/document?collection=cases-ca&amp;id=urn:contentItem:5F7T-S761-JS5Y-B1XS-00000-00&amp;context=" TargetMode="External" /><Relationship Id="rId331" Type="http://schemas.openxmlformats.org/officeDocument/2006/relationships/hyperlink" Target="https://advance.lexis.com/api/document?collection=cases-ca&amp;id=urn:contentItem:5F7T-S751-JGHR-M1V2-00000-00&amp;context=" TargetMode="External" /><Relationship Id="rId332" Type="http://schemas.openxmlformats.org/officeDocument/2006/relationships/hyperlink" Target="https://advance.lexis.com/api/document?collection=cases-ca&amp;id=urn:contentItem:5F7T-S751-JNS1-M1WN-00000-00&amp;context=" TargetMode="External" /><Relationship Id="rId333" Type="http://schemas.openxmlformats.org/officeDocument/2006/relationships/hyperlink" Target="https://advance.lexis.com/api/document?collection=cases-ca&amp;id=urn:contentItem:5F7T-S741-F1H1-21VJ-00000-00&amp;context=" TargetMode="External" /><Relationship Id="rId334" Type="http://schemas.openxmlformats.org/officeDocument/2006/relationships/hyperlink" Target="https://advance.lexis.com/api/document?collection=cases-ca&amp;id=urn:contentItem:5F7T-S781-F900-G0VP-00000-00&amp;context=" TargetMode="External" /><Relationship Id="rId335" Type="http://schemas.openxmlformats.org/officeDocument/2006/relationships/header" Target="header52.xml" /><Relationship Id="rId336" Type="http://schemas.openxmlformats.org/officeDocument/2006/relationships/header" Target="header53.xml" /><Relationship Id="rId337" Type="http://schemas.openxmlformats.org/officeDocument/2006/relationships/footer" Target="footer52.xml" /><Relationship Id="rId338" Type="http://schemas.openxmlformats.org/officeDocument/2006/relationships/footer" Target="footer53.xml" /><Relationship Id="rId339" Type="http://schemas.openxmlformats.org/officeDocument/2006/relationships/header" Target="header54.xml" /><Relationship Id="rId34" Type="http://schemas.openxmlformats.org/officeDocument/2006/relationships/hyperlink" Target="https://advance.lexis.com/api/document?collection=cases-ca&amp;id=urn:contentItem:5F2P-NNM1-JCRC-B521-00000-00&amp;context=" TargetMode="External" /><Relationship Id="rId340" Type="http://schemas.openxmlformats.org/officeDocument/2006/relationships/footer" Target="footer54.xml" /><Relationship Id="rId341" Type="http://schemas.openxmlformats.org/officeDocument/2006/relationships/hyperlink" Target="https://advance.lexis.com/api/document?collection=cases-ca&amp;id=urn:contentItem:5K6Y-81T1-F7VM-S3S1-00000-00&amp;context=" TargetMode="External" /><Relationship Id="rId342" Type="http://schemas.openxmlformats.org/officeDocument/2006/relationships/header" Target="header55.xml" /><Relationship Id="rId343" Type="http://schemas.openxmlformats.org/officeDocument/2006/relationships/header" Target="header56.xml" /><Relationship Id="rId344" Type="http://schemas.openxmlformats.org/officeDocument/2006/relationships/footer" Target="footer55.xml" /><Relationship Id="rId345" Type="http://schemas.openxmlformats.org/officeDocument/2006/relationships/footer" Target="footer56.xml" /><Relationship Id="rId346" Type="http://schemas.openxmlformats.org/officeDocument/2006/relationships/header" Target="header57.xml" /><Relationship Id="rId347" Type="http://schemas.openxmlformats.org/officeDocument/2006/relationships/footer" Target="footer57.xml" /><Relationship Id="rId348" Type="http://schemas.openxmlformats.org/officeDocument/2006/relationships/hyperlink" Target="https://advance.lexis.com/api/document?collection=cases-ca&amp;id=urn:contentItem:5TVN-7GH1-JKHB-60XN-00000-00&amp;context=" TargetMode="External" /><Relationship Id="rId349" Type="http://schemas.openxmlformats.org/officeDocument/2006/relationships/hyperlink" Target="https://advance.lexis.com/api/document?collection=cases-ca&amp;id=urn:contentItem:5F7T-S7M1-JFSV-G3R4-00000-00&amp;context=" TargetMode="External" /><Relationship Id="rId35" Type="http://schemas.openxmlformats.org/officeDocument/2006/relationships/hyperlink" Target="https://advance.lexis.com/api/document?collection=cases-ca&amp;id=urn:contentItem:5F81-VJV1-JBM1-M46H-00000-00&amp;context=" TargetMode="External" /><Relationship Id="rId350" Type="http://schemas.openxmlformats.org/officeDocument/2006/relationships/hyperlink" Target="https://advance.lexis.com/api/document?collection=cases-ca&amp;id=urn:contentItem:5F7T-S7J1-JGBH-B2HV-00000-00&amp;context=" TargetMode="External" /><Relationship Id="rId351" Type="http://schemas.openxmlformats.org/officeDocument/2006/relationships/hyperlink" Target="https://advance.lexis.com/api/document?collection=cases-ca&amp;id=urn:contentItem:5F8T-N3V1-FC1F-M4C7-00000-00&amp;context=" TargetMode="External" /><Relationship Id="rId352" Type="http://schemas.openxmlformats.org/officeDocument/2006/relationships/hyperlink" Target="https://advance.lexis.com/api/document?collection=cases-ca&amp;id=urn:contentItem:5F8T-N3V1-FC1F-M41M-00000-00&amp;context=" TargetMode="External" /><Relationship Id="rId353" Type="http://schemas.openxmlformats.org/officeDocument/2006/relationships/hyperlink" Target="https://advance.lexis.com/api/document?collection=cases-ca&amp;id=urn:contentItem:5F8T-N3V1-JTGH-B132-00000-00&amp;context=" TargetMode="External" /><Relationship Id="rId354" Type="http://schemas.openxmlformats.org/officeDocument/2006/relationships/hyperlink" Target="https://advance.lexis.com/api/document?collection=cases-ca&amp;id=urn:contentItem:5F7T-S771-F2TK-22YP-00000-00&amp;context=" TargetMode="External" /><Relationship Id="rId355" Type="http://schemas.openxmlformats.org/officeDocument/2006/relationships/hyperlink" Target="https://advance.lexis.com/api/document?collection=cases-ca&amp;id=urn:contentItem:5F7T-S751-JG02-S26G-00000-00&amp;context=" TargetMode="External" /><Relationship Id="rId356" Type="http://schemas.openxmlformats.org/officeDocument/2006/relationships/hyperlink" Target="https://advance.lexis.com/api/document?collection=cases-ca&amp;id=urn:contentItem:5F81-VJW1-FGY5-M2PJ-00000-00&amp;context=" TargetMode="External" /><Relationship Id="rId357" Type="http://schemas.openxmlformats.org/officeDocument/2006/relationships/hyperlink" Target="https://advance.lexis.com/api/document?collection=cases-ca&amp;id=urn:contentItem:5F8P-SBT1-F8KH-X2MK-00000-00&amp;context=" TargetMode="External" /><Relationship Id="rId358" Type="http://schemas.openxmlformats.org/officeDocument/2006/relationships/hyperlink" Target="https://advance.lexis.com/api/document?collection=cases-ca&amp;id=urn:contentItem:5F81-VJS1-JN6B-S38D-00000-00&amp;context=" TargetMode="External" /><Relationship Id="rId359" Type="http://schemas.openxmlformats.org/officeDocument/2006/relationships/hyperlink" Target="https://advance.lexis.com/api/document?collection=cases-ca&amp;id=urn:contentItem:5F7T-S701-JK4W-M10D-00000-00&amp;context=" TargetMode="External" /><Relationship Id="rId36" Type="http://schemas.openxmlformats.org/officeDocument/2006/relationships/hyperlink" Target="https://advance.lexis.com/api/document?collection=cases-ca&amp;id=urn:contentItem:5F7T-S701-JBT7-X209-00000-00&amp;context=" TargetMode="External" /><Relationship Id="rId360" Type="http://schemas.openxmlformats.org/officeDocument/2006/relationships/hyperlink" Target="https://advance.lexis.com/api/document?collection=cases-ca&amp;id=urn:contentItem:5F8P-SFS1-FFMK-M0X6-00000-00&amp;context=" TargetMode="External" /><Relationship Id="rId361" Type="http://schemas.openxmlformats.org/officeDocument/2006/relationships/hyperlink" Target="https://advance.lexis.com/api/document?collection=cases-ca&amp;id=urn:contentItem:5F7T-S7D1-JS5Y-B28F-00000-00&amp;context=" TargetMode="External" /><Relationship Id="rId362" Type="http://schemas.openxmlformats.org/officeDocument/2006/relationships/hyperlink" Target="https://advance.lexis.com/api/document?collection=cases-ca&amp;id=urn:contentItem:5F7T-S7N1-F57G-S2H5-00000-00&amp;context=" TargetMode="External" /><Relationship Id="rId363" Type="http://schemas.openxmlformats.org/officeDocument/2006/relationships/hyperlink" Target="https://advance.lexis.com/api/document?collection=cases-ca&amp;id=urn:contentItem:5F7T-S7F1-FBN1-21CS-00000-00&amp;context=" TargetMode="External" /><Relationship Id="rId364" Type="http://schemas.openxmlformats.org/officeDocument/2006/relationships/header" Target="header58.xml" /><Relationship Id="rId365" Type="http://schemas.openxmlformats.org/officeDocument/2006/relationships/header" Target="header59.xml" /><Relationship Id="rId366" Type="http://schemas.openxmlformats.org/officeDocument/2006/relationships/footer" Target="footer58.xml" /><Relationship Id="rId367" Type="http://schemas.openxmlformats.org/officeDocument/2006/relationships/footer" Target="footer59.xml" /><Relationship Id="rId368" Type="http://schemas.openxmlformats.org/officeDocument/2006/relationships/header" Target="header60.xml" /><Relationship Id="rId369" Type="http://schemas.openxmlformats.org/officeDocument/2006/relationships/footer" Target="footer60.xml" /><Relationship Id="rId37" Type="http://schemas.openxmlformats.org/officeDocument/2006/relationships/hyperlink" Target="https://advance.lexis.com/api/document?collection=cases-ca&amp;id=urn:contentItem:5F7T-S6V1-F956-S0HR-00000-00&amp;context=" TargetMode="External" /><Relationship Id="rId370" Type="http://schemas.openxmlformats.org/officeDocument/2006/relationships/hyperlink" Target="https://advance.lexis.com/api/document?collection=cases-ca&amp;id=urn:contentItem:5V6F-TFX1-JW09-M4B4-00000-00&amp;context=" TargetMode="External" /><Relationship Id="rId371" Type="http://schemas.openxmlformats.org/officeDocument/2006/relationships/hyperlink" Target="https://advance.lexis.com/api/document?collection=legislation-ca&amp;id=urn:contentItem:5F41-1FG1-FC1F-M0TR-00000-00&amp;context=" TargetMode="External" /><Relationship Id="rId372" Type="http://schemas.openxmlformats.org/officeDocument/2006/relationships/hyperlink" Target="https://advance.lexis.com/api/document?collection=cases-ca&amp;id=urn:contentItem:5KW8-4D01-FGRY-B15D-00000-00&amp;context=" TargetMode="External" /><Relationship Id="rId373" Type="http://schemas.openxmlformats.org/officeDocument/2006/relationships/hyperlink" Target="https://advance.lexis.com/api/document?collection=cases-ca&amp;id=urn:contentItem:5N7W-D6K1-F1WF-M2W0-00000-00&amp;context=" TargetMode="External" /><Relationship Id="rId374" Type="http://schemas.openxmlformats.org/officeDocument/2006/relationships/hyperlink" Target="https://advance.lexis.com/api/document?collection=cases-ca&amp;id=urn:contentItem:5F16-9301-JC5P-G1FD-00000-00&amp;context=" TargetMode="External" /><Relationship Id="rId375" Type="http://schemas.openxmlformats.org/officeDocument/2006/relationships/hyperlink" Target="https://advance.lexis.com/api/document?collection=cases-ca&amp;id=urn:contentItem:5F7H-KWB1-JCJ5-21R0-00000-00&amp;context=" TargetMode="External" /><Relationship Id="rId376" Type="http://schemas.openxmlformats.org/officeDocument/2006/relationships/hyperlink" Target="https://advance.lexis.com/api/document?collection=cases-ca&amp;id=urn:contentItem:5F16-9351-JNY7-X34J-00000-00&amp;context=" TargetMode="External" /><Relationship Id="rId377" Type="http://schemas.openxmlformats.org/officeDocument/2006/relationships/hyperlink" Target="https://advance.lexis.com/api/document?collection=cases-ca&amp;id=urn:contentItem:5F8T-N3R1-FBV7-B04W-00000-00&amp;context=" TargetMode="External" /><Relationship Id="rId378" Type="http://schemas.openxmlformats.org/officeDocument/2006/relationships/hyperlink" Target="https://advance.lexis.com/api/document?collection=cases-ca&amp;id=urn:contentItem:5GC3-0GC1-F5DR-24NH-00000-00&amp;context=" TargetMode="External" /><Relationship Id="rId379" Type="http://schemas.openxmlformats.org/officeDocument/2006/relationships/hyperlink" Target="https://advance.lexis.com/api/document?collection=cases-ca&amp;id=urn:contentItem:5F8T-N3R1-JBDT-B550-00000-00&amp;context=" TargetMode="External" /><Relationship Id="rId38" Type="http://schemas.openxmlformats.org/officeDocument/2006/relationships/hyperlink" Target="https://advance.lexis.com/api/document?collection=cases-ca&amp;id=urn:contentItem:5F7T-S6W1-F8SS-62KT-00000-00&amp;context=" TargetMode="External" /><Relationship Id="rId380" Type="http://schemas.openxmlformats.org/officeDocument/2006/relationships/hyperlink" Target="https://advance.lexis.com/api/document?collection=legislation-ca&amp;id=urn:contentItem:5F41-1FK1-DY33-B0XJ-00000-00&amp;context=" TargetMode="External" /><Relationship Id="rId381" Type="http://schemas.openxmlformats.org/officeDocument/2006/relationships/hyperlink" Target="https://advance.lexis.com/api/document?collection=cases-ca&amp;id=urn:contentItem:5F7T-S721-F956-S1KP-00000-00&amp;context=" TargetMode="External" /><Relationship Id="rId382" Type="http://schemas.openxmlformats.org/officeDocument/2006/relationships/hyperlink" Target="https://advance.lexis.com/api/document?collection=cases-ca&amp;id=urn:contentItem:5F7T-S761-JCBX-S0KW-00000-00&amp;context=" TargetMode="External" /><Relationship Id="rId383" Type="http://schemas.openxmlformats.org/officeDocument/2006/relationships/hyperlink" Target="https://advance.lexis.com/api/document?collection=legislation-ca&amp;id=urn:contentItem:5F41-1FG1-JGHR-M2X7-00000-00&amp;context=" TargetMode="External" /><Relationship Id="rId384" Type="http://schemas.openxmlformats.org/officeDocument/2006/relationships/hyperlink" Target="https://advance.lexis.com/api/document?collection=legislation-ca&amp;id=urn:contentItem:5F41-1FG1-FBN1-210D-00000-00&amp;context=" TargetMode="External" /><Relationship Id="rId385" Type="http://schemas.openxmlformats.org/officeDocument/2006/relationships/hyperlink" Target="https://advance.lexis.com/api/document?collection=legislation-ca&amp;id=urn:contentItem:5TTT-FT11-FFMK-M4SS-00000-00&amp;context=" TargetMode="External" /><Relationship Id="rId386" Type="http://schemas.openxmlformats.org/officeDocument/2006/relationships/hyperlink" Target="https://advance.lexis.com/api/document?collection=cases-ca&amp;id=urn:contentItem:5V1S-DH61-DYMS-63DC-00000-00&amp;context=" TargetMode="External" /><Relationship Id="rId387" Type="http://schemas.openxmlformats.org/officeDocument/2006/relationships/hyperlink" Target="https://advance.lexis.com/api/document?collection=cases-ca&amp;id=urn:contentItem:5F7T-S741-F2F4-G230-00000-00&amp;context=" TargetMode="External" /><Relationship Id="rId388" Type="http://schemas.openxmlformats.org/officeDocument/2006/relationships/hyperlink" Target="https://advance.lexis.com/api/document?collection=cases-ca&amp;id=urn:contentItem:5F7T-S771-JWBS-61HJ-00000-00&amp;context=" TargetMode="External" /><Relationship Id="rId389" Type="http://schemas.openxmlformats.org/officeDocument/2006/relationships/hyperlink" Target="https://advance.lexis.com/api/document?collection=cases-ca&amp;id=urn:contentItem:5F7T-S6W1-F956-S103-00000-00&amp;context=" TargetMode="External" /><Relationship Id="rId39" Type="http://schemas.openxmlformats.org/officeDocument/2006/relationships/hyperlink" Target="https://advance.lexis.com/api/document?collection=cases-ca&amp;id=urn:contentItem:5F8T-N3V1-JTGH-B15N-00000-00&amp;context=" TargetMode="External" /><Relationship Id="rId390" Type="http://schemas.openxmlformats.org/officeDocument/2006/relationships/hyperlink" Target="https://advance.lexis.com/api/document?collection=cases-ca&amp;id=urn:contentItem:5F7T-S6X1-F7ND-G3J4-00000-00&amp;context=" TargetMode="External" /><Relationship Id="rId391" Type="http://schemas.openxmlformats.org/officeDocument/2006/relationships/hyperlink" Target="https://advance.lexis.com/api/document?collection=cases-ca&amp;id=urn:contentItem:5F7T-S7N1-JGHR-M33T-00000-00&amp;context=" TargetMode="External" /><Relationship Id="rId392" Type="http://schemas.openxmlformats.org/officeDocument/2006/relationships/hyperlink" Target="https://advance.lexis.com/api/document?collection=cases-ca&amp;id=urn:contentItem:5F8T-N3V1-JTGH-B1D5-00000-00&amp;context=" TargetMode="External" /><Relationship Id="rId393" Type="http://schemas.openxmlformats.org/officeDocument/2006/relationships/image" Target="media/image1.jpeg" /><Relationship Id="rId394" Type="http://schemas.openxmlformats.org/officeDocument/2006/relationships/hyperlink" Target="https://advance.lexis.com/api/document?collection=cases-ca&amp;id=urn:contentItem:5F8T-N3V1-FC1F-M455-00000-00&amp;context=" TargetMode="External" /><Relationship Id="rId395" Type="http://schemas.openxmlformats.org/officeDocument/2006/relationships/hyperlink" Target="https://advance.lexis.com/api/document?collection=legislation-ca&amp;id=urn:contentItem:5W2C-X5N1-JNCK-20M3-00000-00&amp;context=" TargetMode="External" /><Relationship Id="rId396" Type="http://schemas.openxmlformats.org/officeDocument/2006/relationships/hyperlink" Target="https://advance.lexis.com/api/document?collection=cases-ca&amp;id=urn:contentItem:5F7T-S701-F8KH-X151-00000-00&amp;context=" TargetMode="External" /><Relationship Id="rId397" Type="http://schemas.openxmlformats.org/officeDocument/2006/relationships/hyperlink" Target="https://advance.lexis.com/api/document?collection=cases-ca&amp;id=urn:contentItem:5F8T-N3V1-JTGH-B175-00000-00&amp;context=" TargetMode="External" /><Relationship Id="rId398" Type="http://schemas.openxmlformats.org/officeDocument/2006/relationships/hyperlink" Target="https://advance.lexis.com/api/document?collection=cases-ca&amp;id=urn:contentItem:5RYS-K5V1-FD4T-B458-00000-00&amp;context=" TargetMode="External" /><Relationship Id="rId399" Type="http://schemas.openxmlformats.org/officeDocument/2006/relationships/image" Target="media/image2.jpeg" /><Relationship Id="rId4" Type="http://schemas.openxmlformats.org/officeDocument/2006/relationships/header" Target="header1.xml" /><Relationship Id="rId40" Type="http://schemas.openxmlformats.org/officeDocument/2006/relationships/hyperlink" Target="https://advance.lexis.com/api/document?collection=cases-ca&amp;id=urn:contentItem:5F8T-N3P1-F7ND-G18P-00000-00&amp;context=" TargetMode="External" /><Relationship Id="rId400" Type="http://schemas.openxmlformats.org/officeDocument/2006/relationships/header" Target="header61.xml" /><Relationship Id="rId401" Type="http://schemas.openxmlformats.org/officeDocument/2006/relationships/header" Target="header62.xml" /><Relationship Id="rId402" Type="http://schemas.openxmlformats.org/officeDocument/2006/relationships/footer" Target="footer61.xml" /><Relationship Id="rId403" Type="http://schemas.openxmlformats.org/officeDocument/2006/relationships/footer" Target="footer62.xml" /><Relationship Id="rId404" Type="http://schemas.openxmlformats.org/officeDocument/2006/relationships/header" Target="header63.xml" /><Relationship Id="rId405" Type="http://schemas.openxmlformats.org/officeDocument/2006/relationships/footer" Target="footer63.xml" /><Relationship Id="rId406" Type="http://schemas.openxmlformats.org/officeDocument/2006/relationships/hyperlink" Target="https://advance.lexis.com/api/document?collection=cases-ca&amp;id=urn:contentItem:5F7T-S7C1-JXG3-X0GS-00000-00&amp;context=" TargetMode="External" /><Relationship Id="rId407" Type="http://schemas.openxmlformats.org/officeDocument/2006/relationships/hyperlink" Target="https://advance.lexis.com/api/document?collection=cases-ca&amp;id=urn:contentItem:5F7T-S711-F5KY-B10P-00000-00&amp;context=" TargetMode="External" /><Relationship Id="rId408" Type="http://schemas.openxmlformats.org/officeDocument/2006/relationships/hyperlink" Target="https://advance.lexis.com/api/document?collection=cases-ca&amp;id=urn:contentItem:5F7T-S741-FJM6-61FN-00000-00&amp;context=" TargetMode="External" /><Relationship Id="rId409" Type="http://schemas.openxmlformats.org/officeDocument/2006/relationships/hyperlink" Target="https://advance.lexis.com/api/document?collection=cases-ca&amp;id=urn:contentItem:5F7T-S7C1-JSRM-60WP-00000-00&amp;context=" TargetMode="External" /><Relationship Id="rId41" Type="http://schemas.openxmlformats.org/officeDocument/2006/relationships/hyperlink" Target="https://advance.lexis.com/api/document?collection=cases-ca&amp;id=urn:contentItem:5F8T-N3P1-FC6N-X141-00000-00&amp;context=" TargetMode="External" /><Relationship Id="rId410" Type="http://schemas.openxmlformats.org/officeDocument/2006/relationships/hyperlink" Target="https://advance.lexis.com/api/document?collection=cases-ca&amp;id=urn:contentItem:5F8T-N3V1-FC1F-M428-00000-00&amp;context=" TargetMode="External" /><Relationship Id="rId411" Type="http://schemas.openxmlformats.org/officeDocument/2006/relationships/header" Target="header64.xml" /><Relationship Id="rId412" Type="http://schemas.openxmlformats.org/officeDocument/2006/relationships/header" Target="header65.xml" /><Relationship Id="rId413" Type="http://schemas.openxmlformats.org/officeDocument/2006/relationships/footer" Target="footer64.xml" /><Relationship Id="rId414" Type="http://schemas.openxmlformats.org/officeDocument/2006/relationships/footer" Target="footer65.xml" /><Relationship Id="rId415" Type="http://schemas.openxmlformats.org/officeDocument/2006/relationships/header" Target="header66.xml" /><Relationship Id="rId416" Type="http://schemas.openxmlformats.org/officeDocument/2006/relationships/footer" Target="footer66.xml" /><Relationship Id="rId417" Type="http://schemas.openxmlformats.org/officeDocument/2006/relationships/hyperlink" Target="https://advance.lexis.com/api/document?collection=cases-ca&amp;id=urn:contentItem:5YGT-CP71-JB7K-22WT-00000-00&amp;context=" TargetMode="External" /><Relationship Id="rId418" Type="http://schemas.openxmlformats.org/officeDocument/2006/relationships/hyperlink" Target="https://advance.lexis.com/api/document?collection=cases-ca&amp;id=urn:contentItem:5KMV-YFM1-FJDY-X3S6-00000-00&amp;context=" TargetMode="External" /><Relationship Id="rId419" Type="http://schemas.openxmlformats.org/officeDocument/2006/relationships/hyperlink" Target="https://advance.lexis.com/api/document?collection=cases-ca&amp;id=urn:contentItem:5MTP-GH21-JX8W-M4T3-00000-00&amp;context=" TargetMode="External" /><Relationship Id="rId42" Type="http://schemas.openxmlformats.org/officeDocument/2006/relationships/hyperlink" Target="https://advance.lexis.com/api/document?collection=cases-ca&amp;id=urn:contentItem:5F8T-N3P1-FC6N-X169-00000-00&amp;context=" TargetMode="External" /><Relationship Id="rId420" Type="http://schemas.openxmlformats.org/officeDocument/2006/relationships/hyperlink" Target="https://advance.lexis.com/api/document?collection=cases-ca&amp;id=urn:contentItem:5WSC-T661-F528-G256-00000-00&amp;context=" TargetMode="External" /><Relationship Id="rId421" Type="http://schemas.openxmlformats.org/officeDocument/2006/relationships/hyperlink" Target="https://advance.lexis.com/api/document?collection=cases-ca&amp;id=urn:contentItem:5WMJ-98H1-DY89-M0R4-00000-00&amp;context=" TargetMode="External" /><Relationship Id="rId422" Type="http://schemas.openxmlformats.org/officeDocument/2006/relationships/hyperlink" Target="https://advance.lexis.com/api/document?collection=cases-ca&amp;id=urn:contentItem:5YGT-CP71-JB7K-22X4-00000-00&amp;context=" TargetMode="External" /><Relationship Id="rId423" Type="http://schemas.openxmlformats.org/officeDocument/2006/relationships/hyperlink" Target="https://advance.lexis.com/api/document?collection=cases-ca&amp;id=urn:contentItem:5Y4C-FMS1-JJD0-G0RK-00000-00&amp;context=" TargetMode="External" /><Relationship Id="rId424" Type="http://schemas.openxmlformats.org/officeDocument/2006/relationships/hyperlink" Target="https://advance.lexis.com/api/document?collection=cases-ca&amp;id=urn:contentItem:5F7T-S7J1-JNS1-M2HV-00000-00&amp;context=" TargetMode="External" /><Relationship Id="rId425" Type="http://schemas.openxmlformats.org/officeDocument/2006/relationships/hyperlink" Target="https://advance.lexis.com/api/document?collection=cases-ca&amp;id=urn:contentItem:5F8T-N3V1-JFKM-606W-00000-00&amp;context=" TargetMode="External" /><Relationship Id="rId426" Type="http://schemas.openxmlformats.org/officeDocument/2006/relationships/hyperlink" Target="https://advance.lexis.com/api/document?collection=cases-ca&amp;id=urn:contentItem:5F7T-S7C1-F4NT-X3SW-00000-00&amp;context=" TargetMode="External" /><Relationship Id="rId427" Type="http://schemas.openxmlformats.org/officeDocument/2006/relationships/hyperlink" Target="https://advance.lexis.com/api/document?collection=cases-ca&amp;id=urn:contentItem:5HBF-Y861-FGRY-B2CN-00000-00&amp;context=" TargetMode="External" /><Relationship Id="rId428" Type="http://schemas.openxmlformats.org/officeDocument/2006/relationships/hyperlink" Target="https://advance.lexis.com/api/document?collection=cases-ca&amp;id=urn:contentItem:5F8P-SFT1-FG68-G12F-00000-00&amp;context=" TargetMode="External" /><Relationship Id="rId429" Type="http://schemas.openxmlformats.org/officeDocument/2006/relationships/hyperlink" Target="https://advance.lexis.com/api/document?collection=cases-ca&amp;id=urn:contentItem:5F7T-XPW1-JCJ5-22PH-00000-00&amp;context=" TargetMode="External" /><Relationship Id="rId43" Type="http://schemas.openxmlformats.org/officeDocument/2006/relationships/hyperlink" Target="https://advance.lexis.com/api/document?collection=cases-ca&amp;id=urn:contentItem:5F8P-SBT1-FGY5-M1XV-00000-00&amp;context=" TargetMode="External" /><Relationship Id="rId430" Type="http://schemas.openxmlformats.org/officeDocument/2006/relationships/hyperlink" Target="https://advance.lexis.com/api/document?collection=cases-ca&amp;id=urn:contentItem:5F8T-N3T1-JJSF-23KN-00000-00&amp;context=" TargetMode="External" /><Relationship Id="rId431" Type="http://schemas.openxmlformats.org/officeDocument/2006/relationships/hyperlink" Target="https://advance.lexis.com/api/document?collection=cases-ca&amp;id=urn:contentItem:5F7T-S7F1-FBN1-21KN-00000-00&amp;context=" TargetMode="External" /><Relationship Id="rId432" Type="http://schemas.openxmlformats.org/officeDocument/2006/relationships/hyperlink" Target="https://advance.lexis.com/api/document?collection=cases-ca&amp;id=urn:contentItem:5F7T-S7N1-JGHR-M32N-00000-00&amp;context=" TargetMode="External" /><Relationship Id="rId433" Type="http://schemas.openxmlformats.org/officeDocument/2006/relationships/header" Target="header67.xml" /><Relationship Id="rId434" Type="http://schemas.openxmlformats.org/officeDocument/2006/relationships/header" Target="header68.xml" /><Relationship Id="rId435" Type="http://schemas.openxmlformats.org/officeDocument/2006/relationships/footer" Target="footer67.xml" /><Relationship Id="rId436" Type="http://schemas.openxmlformats.org/officeDocument/2006/relationships/footer" Target="footer68.xml" /><Relationship Id="rId437" Type="http://schemas.openxmlformats.org/officeDocument/2006/relationships/header" Target="header69.xml" /><Relationship Id="rId438" Type="http://schemas.openxmlformats.org/officeDocument/2006/relationships/footer" Target="footer69.xml" /><Relationship Id="rId439" Type="http://schemas.openxmlformats.org/officeDocument/2006/relationships/hyperlink" Target="https://advance.lexis.com/api/document?collection=cases-ca&amp;id=urn:contentItem:5K6Y-81T1-F7VM-S3XS-00000-00&amp;context=" TargetMode="External" /><Relationship Id="rId44" Type="http://schemas.openxmlformats.org/officeDocument/2006/relationships/hyperlink" Target="https://advance.lexis.com/api/document?collection=cases-ca&amp;id=urn:contentItem:5F7T-S6X1-F06F-22SJ-00000-00&amp;context=" TargetMode="External" /><Relationship Id="rId440" Type="http://schemas.openxmlformats.org/officeDocument/2006/relationships/header" Target="header70.xml" /><Relationship Id="rId441" Type="http://schemas.openxmlformats.org/officeDocument/2006/relationships/header" Target="header71.xml" /><Relationship Id="rId442" Type="http://schemas.openxmlformats.org/officeDocument/2006/relationships/footer" Target="footer70.xml" /><Relationship Id="rId443" Type="http://schemas.openxmlformats.org/officeDocument/2006/relationships/footer" Target="footer71.xml" /><Relationship Id="rId444" Type="http://schemas.openxmlformats.org/officeDocument/2006/relationships/header" Target="header72.xml" /><Relationship Id="rId445" Type="http://schemas.openxmlformats.org/officeDocument/2006/relationships/footer" Target="footer72.xml" /><Relationship Id="rId446" Type="http://schemas.openxmlformats.org/officeDocument/2006/relationships/hyperlink" Target="https://advance.lexis.com/api/document?collection=cases-ca&amp;id=urn:contentItem:5F7T-S7J1-JGBH-B266-00000-00&amp;context=" TargetMode="External" /><Relationship Id="rId447" Type="http://schemas.openxmlformats.org/officeDocument/2006/relationships/hyperlink" Target="https://advance.lexis.com/api/document?collection=cases-ca&amp;id=urn:contentItem:5F7T-S7G1-JBT7-X4BV-00000-00&amp;context=" TargetMode="External" /><Relationship Id="rId448" Type="http://schemas.openxmlformats.org/officeDocument/2006/relationships/image" Target="media/image3.png" /><Relationship Id="rId449" Type="http://schemas.openxmlformats.org/officeDocument/2006/relationships/image" Target="media/image4.png" /><Relationship Id="rId45" Type="http://schemas.openxmlformats.org/officeDocument/2006/relationships/hyperlink" Target="https://advance.lexis.com/api/document?collection=cases-ca&amp;id=urn:contentItem:5F7T-S7D1-JS5Y-B2HY-00000-00&amp;context=" TargetMode="External" /><Relationship Id="rId450" Type="http://schemas.openxmlformats.org/officeDocument/2006/relationships/hyperlink" Target="https://advance.lexis.com/api/document?collection=cases-ca&amp;id=urn:contentItem:5F7T-S721-F5T5-M236-00000-00&amp;context=" TargetMode="External" /><Relationship Id="rId451" Type="http://schemas.openxmlformats.org/officeDocument/2006/relationships/hyperlink" Target="https://advance.lexis.com/api/document?collection=cases-ca&amp;id=urn:contentItem:5F7T-S701-F8KH-X18G-00000-00&amp;context=" TargetMode="External" /><Relationship Id="rId452" Type="http://schemas.openxmlformats.org/officeDocument/2006/relationships/hyperlink" Target="https://advance.lexis.com/api/document?collection=cases-ca&amp;id=urn:contentItem:5F7T-S711-JB2B-S11F-00000-00&amp;context=" TargetMode="External" /><Relationship Id="rId453" Type="http://schemas.openxmlformats.org/officeDocument/2006/relationships/hyperlink" Target="https://advance.lexis.com/api/document?collection=cases-ca&amp;id=urn:contentItem:5F7T-S7D1-DY89-M40T-00000-00&amp;context=" TargetMode="External" /><Relationship Id="rId454" Type="http://schemas.openxmlformats.org/officeDocument/2006/relationships/hyperlink" Target="https://advance.lexis.com/api/document?collection=cases-ca&amp;id=urn:contentItem:5F7T-S7H1-FCSB-S3J2-00000-00&amp;context=" TargetMode="External" /><Relationship Id="rId455" Type="http://schemas.openxmlformats.org/officeDocument/2006/relationships/hyperlink" Target="https://advance.lexis.com/api/document?collection=cases-ca&amp;id=urn:contentItem:5F7T-S7C1-JS0R-227B-00000-00&amp;context=" TargetMode="External" /><Relationship Id="rId456" Type="http://schemas.openxmlformats.org/officeDocument/2006/relationships/hyperlink" Target="https://advance.lexis.com/api/document?collection=cases-ca&amp;id=urn:contentItem:5F7T-S7C1-FGRY-B0HP-00000-00&amp;context=" TargetMode="External" /><Relationship Id="rId457" Type="http://schemas.openxmlformats.org/officeDocument/2006/relationships/hyperlink" Target="https://advance.lexis.com/api/document?collection=cases-ca&amp;id=urn:contentItem:5F81-VJT1-FD4T-B22J-00000-00&amp;context=" TargetMode="External" /><Relationship Id="rId458" Type="http://schemas.openxmlformats.org/officeDocument/2006/relationships/hyperlink" Target="https://advance.lexis.com/api/document?collection=cases-ca&amp;id=urn:contentItem:5F7T-S6Y1-JPP5-21HP-00000-00&amp;context=" TargetMode="External" /><Relationship Id="rId459" Type="http://schemas.openxmlformats.org/officeDocument/2006/relationships/hyperlink" Target="https://advance.lexis.com/api/document?collection=cases-ca&amp;id=urn:contentItem:5F7T-S6Y1-JTNR-M4P6-00000-00&amp;context=" TargetMode="External" /><Relationship Id="rId46" Type="http://schemas.openxmlformats.org/officeDocument/2006/relationships/hyperlink" Target="https://advance.lexis.com/api/document?collection=cases-ca&amp;id=urn:contentItem:5F7T-S7H1-JFSV-G32N-00000-00&amp;context=" TargetMode="External" /><Relationship Id="rId460" Type="http://schemas.openxmlformats.org/officeDocument/2006/relationships/hyperlink" Target="https://advance.lexis.com/api/document?collection=cases-ca&amp;id=urn:contentItem:5F7T-S7D1-JG02-S34T-00000-00&amp;context=" TargetMode="External" /><Relationship Id="rId461" Type="http://schemas.openxmlformats.org/officeDocument/2006/relationships/hyperlink" Target="https://advance.lexis.com/api/document?collection=cases-ca&amp;id=urn:contentItem:5F7T-S7G1-F5KY-B1R2-00000-00&amp;context=" TargetMode="External" /><Relationship Id="rId462" Type="http://schemas.openxmlformats.org/officeDocument/2006/relationships/hyperlink" Target="https://advance.lexis.com/api/document?collection=cases-ca&amp;id=urn:contentItem:5F7T-S711-F4GK-M2CF-00000-00&amp;context=" TargetMode="External" /><Relationship Id="rId463" Type="http://schemas.openxmlformats.org/officeDocument/2006/relationships/hyperlink" Target="https://advance.lexis.com/api/document?collection=cases-ca&amp;id=urn:contentItem:5F7T-S7B1-FH4C-X39F-00000-00&amp;context=" TargetMode="External" /><Relationship Id="rId464" Type="http://schemas.openxmlformats.org/officeDocument/2006/relationships/hyperlink" Target="https://advance.lexis.com/api/document?collection=cases-ca&amp;id=urn:contentItem:5F7T-S7F1-F7VM-S48F-00000-00&amp;context=" TargetMode="External" /><Relationship Id="rId465" Type="http://schemas.openxmlformats.org/officeDocument/2006/relationships/hyperlink" Target="https://advance.lexis.com/api/document?collection=cases-ca&amp;id=urn:contentItem:5F7T-S711-JNY7-X33S-00000-00&amp;context=" TargetMode="External" /><Relationship Id="rId466" Type="http://schemas.openxmlformats.org/officeDocument/2006/relationships/header" Target="header73.xml" /><Relationship Id="rId467" Type="http://schemas.openxmlformats.org/officeDocument/2006/relationships/header" Target="header74.xml" /><Relationship Id="rId468" Type="http://schemas.openxmlformats.org/officeDocument/2006/relationships/footer" Target="footer73.xml" /><Relationship Id="rId469" Type="http://schemas.openxmlformats.org/officeDocument/2006/relationships/footer" Target="footer74.xml" /><Relationship Id="rId47" Type="http://schemas.openxmlformats.org/officeDocument/2006/relationships/hyperlink" Target="https://advance.lexis.com/api/document?collection=cases-ca&amp;id=urn:contentItem:5F8T-N3V1-FC1F-M49S-00000-00&amp;context=" TargetMode="External" /><Relationship Id="rId470" Type="http://schemas.openxmlformats.org/officeDocument/2006/relationships/header" Target="header75.xml" /><Relationship Id="rId471" Type="http://schemas.openxmlformats.org/officeDocument/2006/relationships/footer" Target="footer75.xml" /><Relationship Id="rId472" Type="http://schemas.openxmlformats.org/officeDocument/2006/relationships/hyperlink" Target="https://advance.lexis.com/api/document?collection=cases-ca&amp;id=urn:contentItem:5F7T-S7K1-JWXF-20RG-00000-00&amp;context=" TargetMode="External" /><Relationship Id="rId473" Type="http://schemas.openxmlformats.org/officeDocument/2006/relationships/hyperlink" Target="https://advance.lexis.com/api/document?collection=cases-ca&amp;id=urn:contentItem:5F7T-S7K1-JX3N-B2SG-00000-00&amp;context=" TargetMode="External" /><Relationship Id="rId474" Type="http://schemas.openxmlformats.org/officeDocument/2006/relationships/hyperlink" Target="https://advance.lexis.com/api/document?collection=legislation-ca&amp;id=urn:contentItem:5VYK-W9V1-JS0R-23WX-00000-00&amp;context=" TargetMode="External" /><Relationship Id="rId475" Type="http://schemas.openxmlformats.org/officeDocument/2006/relationships/hyperlink" Target="https://advance.lexis.com/api/document?collection=cases-ca&amp;id=urn:contentItem:5F7T-S751-JGHR-M1YR-00000-00&amp;context=" TargetMode="External" /><Relationship Id="rId476" Type="http://schemas.openxmlformats.org/officeDocument/2006/relationships/hyperlink" Target="https://advance.lexis.com/api/document?collection=cases-ca&amp;id=urn:contentItem:5F8T-N3V1-JF75-M3KJ-00000-00&amp;context=" TargetMode="External" /><Relationship Id="rId477" Type="http://schemas.openxmlformats.org/officeDocument/2006/relationships/hyperlink" Target="https://advance.lexis.com/api/document?collection=cases-ca&amp;id=urn:contentItem:5F7T-S7D1-FFFC-B1B4-00000-00&amp;context=" TargetMode="External" /><Relationship Id="rId478" Type="http://schemas.openxmlformats.org/officeDocument/2006/relationships/hyperlink" Target="https://advance.lexis.com/api/document?collection=cases-ca&amp;id=urn:contentItem:5F7T-S7H1-JCRC-B0RW-00000-00&amp;context=" TargetMode="External" /><Relationship Id="rId479" Type="http://schemas.openxmlformats.org/officeDocument/2006/relationships/header" Target="header76.xml" /><Relationship Id="rId48" Type="http://schemas.openxmlformats.org/officeDocument/2006/relationships/hyperlink" Target="https://advance.lexis.com/api/document?collection=cases-ca&amp;id=urn:contentItem:5F8T-N3T1-JGHR-M26Y-00000-00&amp;context=" TargetMode="External" /><Relationship Id="rId480" Type="http://schemas.openxmlformats.org/officeDocument/2006/relationships/header" Target="header77.xml" /><Relationship Id="rId481" Type="http://schemas.openxmlformats.org/officeDocument/2006/relationships/footer" Target="footer76.xml" /><Relationship Id="rId482" Type="http://schemas.openxmlformats.org/officeDocument/2006/relationships/footer" Target="footer77.xml" /><Relationship Id="rId483" Type="http://schemas.openxmlformats.org/officeDocument/2006/relationships/header" Target="header78.xml" /><Relationship Id="rId484" Type="http://schemas.openxmlformats.org/officeDocument/2006/relationships/footer" Target="footer78.xml" /><Relationship Id="rId485" Type="http://schemas.openxmlformats.org/officeDocument/2006/relationships/hyperlink" Target="https://advance.lexis.com/api/document?collection=cases-ca&amp;id=urn:contentItem:5F7T-S7K1-DY33-B1S7-00000-00&amp;context=" TargetMode="External" /><Relationship Id="rId486" Type="http://schemas.openxmlformats.org/officeDocument/2006/relationships/hyperlink" Target="https://advance.lexis.com/api/document?collection=cases-ca&amp;id=urn:contentItem:5F16-93B1-JWR6-S53H-00000-00&amp;context=" TargetMode="External" /><Relationship Id="rId487" Type="http://schemas.openxmlformats.org/officeDocument/2006/relationships/hyperlink" Target="https://advance.lexis.com/api/document?collection=cases-ca&amp;id=urn:contentItem:5F8T-N3T1-JGHR-M1PM-00000-00&amp;context=" TargetMode="External" /><Relationship Id="rId488" Type="http://schemas.openxmlformats.org/officeDocument/2006/relationships/header" Target="header79.xml" /><Relationship Id="rId489" Type="http://schemas.openxmlformats.org/officeDocument/2006/relationships/header" Target="header80.xml" /><Relationship Id="rId49" Type="http://schemas.openxmlformats.org/officeDocument/2006/relationships/hyperlink" Target="https://advance.lexis.com/api/document?collection=cases-ca&amp;id=urn:contentItem:5F8T-N3T1-JFKM-6557-00000-00&amp;context=" TargetMode="External" /><Relationship Id="rId490" Type="http://schemas.openxmlformats.org/officeDocument/2006/relationships/footer" Target="footer79.xml" /><Relationship Id="rId491" Type="http://schemas.openxmlformats.org/officeDocument/2006/relationships/footer" Target="footer80.xml" /><Relationship Id="rId492" Type="http://schemas.openxmlformats.org/officeDocument/2006/relationships/header" Target="header81.xml" /><Relationship Id="rId493" Type="http://schemas.openxmlformats.org/officeDocument/2006/relationships/footer" Target="footer81.xml" /><Relationship Id="rId494" Type="http://schemas.openxmlformats.org/officeDocument/2006/relationships/hyperlink" Target="https://advance.lexis.com/api/document?collection=cases-ca&amp;id=urn:contentItem:5X40-GCJ1-JNCK-22VS-00000-00&amp;context=" TargetMode="External" /><Relationship Id="rId495" Type="http://schemas.openxmlformats.org/officeDocument/2006/relationships/hyperlink" Target="https://advance.lexis.com/api/document?collection=cases-ca&amp;id=urn:contentItem:5VYB-X071-JJD0-G0S6-00000-00&amp;context=" TargetMode="External" /><Relationship Id="rId496" Type="http://schemas.openxmlformats.org/officeDocument/2006/relationships/hyperlink" Target="https://advance.lexis.com/api/document?collection=cases-ca&amp;id=urn:contentItem:5F7T-S6Y1-DY33-B06C-00000-00&amp;context=" TargetMode="External" /><Relationship Id="rId497" Type="http://schemas.openxmlformats.org/officeDocument/2006/relationships/hyperlink" Target="https://advance.lexis.com/api/document?collection=cases-ca&amp;id=urn:contentItem:5F7T-S6T1-FD4T-B028-00000-00&amp;context=" TargetMode="External" /><Relationship Id="rId498" Type="http://schemas.openxmlformats.org/officeDocument/2006/relationships/hyperlink" Target="https://advance.lexis.com/api/document?collection=cases-ca&amp;id=urn:contentItem:5K6Y-81K1-JKHB-63FD-00000-00&amp;context=" TargetMode="External" /><Relationship Id="rId499" Type="http://schemas.openxmlformats.org/officeDocument/2006/relationships/hyperlink" Target="https://advance.lexis.com/api/document?collection=cases-ca&amp;id=urn:contentItem:5F7T-S6W1-JF75-M375-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cases-ca&amp;id=urn:contentItem:5F7T-S7N1-DXWW-20DF-00000-00&amp;context=" TargetMode="External" /><Relationship Id="rId500" Type="http://schemas.openxmlformats.org/officeDocument/2006/relationships/hyperlink" Target="https://advance.lexis.com/api/document?collection=cases-ca&amp;id=urn:contentItem:5F7T-S7N1-JJ1H-X2KW-00000-00&amp;context=" TargetMode="External" /><Relationship Id="rId501" Type="http://schemas.openxmlformats.org/officeDocument/2006/relationships/hyperlink" Target="https://advance.lexis.com/api/document?collection=cases-ca&amp;id=urn:contentItem:5FX0-KKR1-JCBX-S2K8-00000-00&amp;context=" TargetMode="External" /><Relationship Id="rId502" Type="http://schemas.openxmlformats.org/officeDocument/2006/relationships/hyperlink" Target="https://advance.lexis.com/api/document?collection=cases-ca&amp;id=urn:contentItem:5VVK-8581-F016-S374-00000-00&amp;context=" TargetMode="External" /><Relationship Id="rId503" Type="http://schemas.openxmlformats.org/officeDocument/2006/relationships/hyperlink" Target="https://advance.lexis.com/api/document?collection=cases-ca&amp;id=urn:contentItem:5PWM-06C1-JX8W-M4Y6-00000-00&amp;context=" TargetMode="External" /><Relationship Id="rId504" Type="http://schemas.openxmlformats.org/officeDocument/2006/relationships/hyperlink" Target="https://advance.lexis.com/api/document?collection=cases-ca&amp;id=urn:contentItem:5F7T-S6W1-F528-G1H3-00000-00&amp;context=" TargetMode="External" /><Relationship Id="rId505" Type="http://schemas.openxmlformats.org/officeDocument/2006/relationships/hyperlink" Target="https://advance.lexis.com/api/document?collection=cases-ca&amp;id=urn:contentItem:5F7T-S791-JCJ5-2553-00000-00&amp;context=" TargetMode="External" /><Relationship Id="rId506" Type="http://schemas.openxmlformats.org/officeDocument/2006/relationships/hyperlink" Target="https://advance.lexis.com/api/document?collection=cases-ca&amp;id=urn:contentItem:5F7T-S711-FJDY-X32D-00000-00&amp;context=" TargetMode="External" /><Relationship Id="rId507" Type="http://schemas.openxmlformats.org/officeDocument/2006/relationships/hyperlink" Target="https://advance.lexis.com/api/document?collection=cases-ca&amp;id=urn:contentItem:5F7T-S741-F2F4-G2B8-00000-00&amp;context=" TargetMode="External" /><Relationship Id="rId508" Type="http://schemas.openxmlformats.org/officeDocument/2006/relationships/hyperlink" Target="https://advance.lexis.com/api/document?collection=cases-ca&amp;id=urn:contentItem:5NHR-M691-FH4C-X2C9-00000-00&amp;context=" TargetMode="External" /><Relationship Id="rId509" Type="http://schemas.openxmlformats.org/officeDocument/2006/relationships/hyperlink" Target="https://advance.lexis.com/api/document?collection=cases-ca&amp;id=urn:contentItem:5F8T-N3V1-JF75-M39V-00000-00&amp;context=" TargetMode="External" /><Relationship Id="rId51" Type="http://schemas.openxmlformats.org/officeDocument/2006/relationships/header" Target="header4.xml" /><Relationship Id="rId510" Type="http://schemas.openxmlformats.org/officeDocument/2006/relationships/hyperlink" Target="https://advance.lexis.com/api/document?collection=cases-ca&amp;id=urn:contentItem:5F7T-S7M1-JCRC-B1J7-00000-00&amp;context=" TargetMode="External" /><Relationship Id="rId511" Type="http://schemas.openxmlformats.org/officeDocument/2006/relationships/hyperlink" Target="https://advance.lexis.com/api/document?collection=cases-ca&amp;id=urn:contentItem:5SXV-YM51-F1WF-M2P7-00000-00&amp;context=" TargetMode="External" /><Relationship Id="rId512" Type="http://schemas.openxmlformats.org/officeDocument/2006/relationships/hyperlink" Target="https://advance.lexis.com/api/document?collection=cases-ca&amp;id=urn:contentItem:5S06-BNC1-JFSV-G1RF-00000-00&amp;context=" TargetMode="External" /><Relationship Id="rId513" Type="http://schemas.openxmlformats.org/officeDocument/2006/relationships/hyperlink" Target="https://advance.lexis.com/api/document?collection=cases-ca&amp;id=urn:contentItem:5F7T-S7P1-JCRC-B24V-00000-00&amp;context=" TargetMode="External" /><Relationship Id="rId514" Type="http://schemas.openxmlformats.org/officeDocument/2006/relationships/hyperlink" Target="https://advance.lexis.com/api/document?collection=cases-ca&amp;id=urn:contentItem:5F7T-S7H1-F016-S3R1-00000-00&amp;context=" TargetMode="External" /><Relationship Id="rId515" Type="http://schemas.openxmlformats.org/officeDocument/2006/relationships/hyperlink" Target="https://advance.lexis.com/api/document?collection=cases-ca&amp;id=urn:contentItem:5F7T-S7G1-JN6B-S1F9-00000-00&amp;context=" TargetMode="External" /><Relationship Id="rId516" Type="http://schemas.openxmlformats.org/officeDocument/2006/relationships/hyperlink" Target="https://advance.lexis.com/api/document?collection=cases-ca&amp;id=urn:contentItem:5F7T-S751-JG02-S227-00000-00&amp;context=" TargetMode="External" /><Relationship Id="rId517" Type="http://schemas.openxmlformats.org/officeDocument/2006/relationships/hyperlink" Target="https://advance.lexis.com/api/document?collection=cases-ca&amp;id=urn:contentItem:5F7T-S7M1-JPP5-22RG-00000-00&amp;context=" TargetMode="External" /><Relationship Id="rId518" Type="http://schemas.openxmlformats.org/officeDocument/2006/relationships/hyperlink" Target="https://advance.lexis.com/api/document?collection=cases-ca&amp;id=urn:contentItem:5F7T-S731-JNJT-B288-00000-00&amp;context=" TargetMode="External" /><Relationship Id="rId519" Type="http://schemas.openxmlformats.org/officeDocument/2006/relationships/hyperlink" Target="https://advance.lexis.com/api/document?collection=cases-ca&amp;id=urn:contentItem:5F7T-S761-FFMK-M0YP-00000-00&amp;context=" TargetMode="External" /><Relationship Id="rId52" Type="http://schemas.openxmlformats.org/officeDocument/2006/relationships/header" Target="header5.xml" /><Relationship Id="rId520" Type="http://schemas.openxmlformats.org/officeDocument/2006/relationships/hyperlink" Target="https://advance.lexis.com/api/document?collection=cases-ca&amp;id=urn:contentItem:5F7T-S7K1-JSJC-X125-00000-00&amp;context=" TargetMode="External" /><Relationship Id="rId521" Type="http://schemas.openxmlformats.org/officeDocument/2006/relationships/hyperlink" Target="https://advance.lexis.com/api/document?collection=cases-ca&amp;id=urn:contentItem:5VX3-4C71-DY89-M31F-00000-00&amp;context=" TargetMode="External" /><Relationship Id="rId522" Type="http://schemas.openxmlformats.org/officeDocument/2006/relationships/hyperlink" Target="https://advance.lexis.com/api/document?collection=cases-ca&amp;id=urn:contentItem:5X05-23H1-JCBX-S140-00000-00&amp;context=" TargetMode="External" /><Relationship Id="rId523" Type="http://schemas.openxmlformats.org/officeDocument/2006/relationships/hyperlink" Target="https://advance.lexis.com/api/document?collection=cases-ca&amp;id=urn:contentItem:5G5M-B9W1-FGCG-S01Y-00000-00&amp;context=" TargetMode="External" /><Relationship Id="rId524" Type="http://schemas.openxmlformats.org/officeDocument/2006/relationships/hyperlink" Target="https://advance.lexis.com/api/document?collection=cases-ca&amp;id=urn:contentItem:5KH1-G391-F4W2-624P-00000-00&amp;context=" TargetMode="External" /><Relationship Id="rId525" Type="http://schemas.openxmlformats.org/officeDocument/2006/relationships/hyperlink" Target="https://advance.lexis.com/api/document?collection=cases-ca&amp;id=urn:contentItem:5KK5-B2W1-JF1Y-B0VF-00000-00&amp;context=" TargetMode="External" /><Relationship Id="rId526" Type="http://schemas.openxmlformats.org/officeDocument/2006/relationships/hyperlink" Target="https://advance.lexis.com/api/document?collection=cases-ca&amp;id=urn:contentItem:5NK7-F0K1-JFDC-X3HD-00000-00&amp;context=" TargetMode="External" /><Relationship Id="rId527" Type="http://schemas.openxmlformats.org/officeDocument/2006/relationships/hyperlink" Target="https://advance.lexis.com/api/document?collection=cases-ca&amp;id=urn:contentItem:5F7T-S7M1-JJK6-S1WR-00000-00&amp;context=" TargetMode="External" /><Relationship Id="rId528" Type="http://schemas.openxmlformats.org/officeDocument/2006/relationships/header" Target="header82.xml" /><Relationship Id="rId529" Type="http://schemas.openxmlformats.org/officeDocument/2006/relationships/header" Target="header83.xml" /><Relationship Id="rId53" Type="http://schemas.openxmlformats.org/officeDocument/2006/relationships/footer" Target="footer4.xml" /><Relationship Id="rId530" Type="http://schemas.openxmlformats.org/officeDocument/2006/relationships/footer" Target="footer82.xml" /><Relationship Id="rId531" Type="http://schemas.openxmlformats.org/officeDocument/2006/relationships/footer" Target="footer83.xml" /><Relationship Id="rId532" Type="http://schemas.openxmlformats.org/officeDocument/2006/relationships/header" Target="header84.xml" /><Relationship Id="rId533" Type="http://schemas.openxmlformats.org/officeDocument/2006/relationships/footer" Target="footer84.xml" /><Relationship Id="rId534" Type="http://schemas.openxmlformats.org/officeDocument/2006/relationships/hyperlink" Target="https://advance.lexis.com/api/document?collection=cases-ca&amp;id=urn:contentItem:5GCC-XVC1-F900-G4TT-00000-00&amp;context=" TargetMode="External" /><Relationship Id="rId535" Type="http://schemas.openxmlformats.org/officeDocument/2006/relationships/hyperlink" Target="https://advance.lexis.com/api/document?collection=cases-ca&amp;id=urn:contentItem:5F7T-S7F1-DXWW-241G-00000-00&amp;context=" TargetMode="External" /><Relationship Id="rId536" Type="http://schemas.openxmlformats.org/officeDocument/2006/relationships/hyperlink" Target="https://advance.lexis.com/api/document?collection=cases-ca&amp;id=urn:contentItem:5F7T-S7C1-JS0R-221X-00000-00&amp;context=" TargetMode="External" /><Relationship Id="rId537" Type="http://schemas.openxmlformats.org/officeDocument/2006/relationships/hyperlink" Target="https://advance.lexis.com/api/document?collection=cases-ca&amp;id=urn:contentItem:5F7T-S6V1-JFKM-60W1-00000-00&amp;context=" TargetMode="External" /><Relationship Id="rId538" Type="http://schemas.openxmlformats.org/officeDocument/2006/relationships/hyperlink" Target="https://advance.lexis.com/api/document?collection=cases-ca&amp;id=urn:contentItem:5GCC-XVB1-JSXV-G06J-00000-00&amp;context=" TargetMode="External" /><Relationship Id="rId539" Type="http://schemas.openxmlformats.org/officeDocument/2006/relationships/hyperlink" Target="https://advance.lexis.com/api/document?collection=cases-ca&amp;id=urn:contentItem:5F7T-S761-FFMK-M14X-00000-00&amp;context=" TargetMode="External" /><Relationship Id="rId54" Type="http://schemas.openxmlformats.org/officeDocument/2006/relationships/footer" Target="footer5.xml" /><Relationship Id="rId540" Type="http://schemas.openxmlformats.org/officeDocument/2006/relationships/hyperlink" Target="https://advance.lexis.com/api/document?collection=cases-ca&amp;id=urn:contentItem:5F81-VJX1-FGCG-S2PB-00000-00&amp;context=" TargetMode="External" /><Relationship Id="rId541" Type="http://schemas.openxmlformats.org/officeDocument/2006/relationships/hyperlink" Target="https://advance.lexis.com/api/document?collection=cases-ca&amp;id=urn:contentItem:5F7T-S7M1-F4W2-6216-00000-00&amp;context=" TargetMode="External" /><Relationship Id="rId542" Type="http://schemas.openxmlformats.org/officeDocument/2006/relationships/hyperlink" Target="https://advance.lexis.com/api/document?collection=cases-ca&amp;id=urn:contentItem:5F8P-SFC1-JXG3-X3XY-00000-00&amp;context=" TargetMode="External" /><Relationship Id="rId543" Type="http://schemas.openxmlformats.org/officeDocument/2006/relationships/hyperlink" Target="https://advance.lexis.com/api/document?collection=cases-ca&amp;id=urn:contentItem:5F8P-SDC1-JJ6S-6098-00000-00&amp;context=" TargetMode="External" /><Relationship Id="rId544" Type="http://schemas.openxmlformats.org/officeDocument/2006/relationships/hyperlink" Target="https://advance.lexis.com/api/document?collection=cases-ca&amp;id=urn:contentItem:5F81-VJT1-JWJ0-G31X-00000-00&amp;context=" TargetMode="External" /><Relationship Id="rId545" Type="http://schemas.openxmlformats.org/officeDocument/2006/relationships/hyperlink" Target="https://advance.lexis.com/api/document?collection=cases-ca&amp;id=urn:contentItem:5F7T-S6T1-JP9P-G0X4-00000-00&amp;context=" TargetMode="External" /><Relationship Id="rId546" Type="http://schemas.openxmlformats.org/officeDocument/2006/relationships/hyperlink" Target="https://advance.lexis.com/api/document?collection=cases-ca&amp;id=urn:contentItem:5F7T-S7D1-JN6B-S12M-00000-00&amp;context=" TargetMode="External" /><Relationship Id="rId547" Type="http://schemas.openxmlformats.org/officeDocument/2006/relationships/hyperlink" Target="https://advance.lexis.com/api/document?collection=cases-ca&amp;id=urn:contentItem:5F7T-S7P1-JSJC-X18P-00000-00&amp;context=" TargetMode="External" /><Relationship Id="rId548" Type="http://schemas.openxmlformats.org/officeDocument/2006/relationships/header" Target="header85.xml" /><Relationship Id="rId549" Type="http://schemas.openxmlformats.org/officeDocument/2006/relationships/header" Target="header86.xml" /><Relationship Id="rId55" Type="http://schemas.openxmlformats.org/officeDocument/2006/relationships/header" Target="header6.xml" /><Relationship Id="rId550" Type="http://schemas.openxmlformats.org/officeDocument/2006/relationships/footer" Target="footer85.xml" /><Relationship Id="rId551" Type="http://schemas.openxmlformats.org/officeDocument/2006/relationships/footer" Target="footer86.xml" /><Relationship Id="rId552" Type="http://schemas.openxmlformats.org/officeDocument/2006/relationships/header" Target="header87.xml" /><Relationship Id="rId553" Type="http://schemas.openxmlformats.org/officeDocument/2006/relationships/footer" Target="footer87.xml" /><Relationship Id="rId554" Type="http://schemas.openxmlformats.org/officeDocument/2006/relationships/hyperlink" Target="https://advance.lexis.com/api/document?collection=cases-ca&amp;id=urn:contentItem:5Y4B-VPB1-F956-S1K1-00000-00&amp;context=" TargetMode="External" /><Relationship Id="rId555" Type="http://schemas.openxmlformats.org/officeDocument/2006/relationships/hyperlink" Target="https://advance.lexis.com/api/document?collection=cases-ca&amp;id=urn:contentItem:5NPW-RDN1-JXG3-X2B1-00000-00&amp;context=" TargetMode="External" /><Relationship Id="rId556" Type="http://schemas.openxmlformats.org/officeDocument/2006/relationships/hyperlink" Target="https://advance.lexis.com/api/document?collection=cases-ca&amp;id=urn:contentItem:5PVF-9W91-JP4G-63NW-00000-00&amp;context=" TargetMode="External" /><Relationship Id="rId557" Type="http://schemas.openxmlformats.org/officeDocument/2006/relationships/hyperlink" Target="https://advance.lexis.com/api/document?collection=cases-ca&amp;id=urn:contentItem:5F7T-S711-F5KY-B17W-00000-00&amp;context=" TargetMode="External" /><Relationship Id="rId558" Type="http://schemas.openxmlformats.org/officeDocument/2006/relationships/hyperlink" Target="https://advance.lexis.com/api/document?collection=cases-ca&amp;id=urn:contentItem:5SV3-2NS1-F1WF-M3K1-00000-00&amp;context=" TargetMode="External" /><Relationship Id="rId559" Type="http://schemas.openxmlformats.org/officeDocument/2006/relationships/hyperlink" Target="https://advance.lexis.com/api/document?collection=cases-ca&amp;id=urn:contentItem:5GCC-XVC1-JSRM-60HK-00000-00&amp;context=" TargetMode="External" /><Relationship Id="rId56" Type="http://schemas.openxmlformats.org/officeDocument/2006/relationships/footer" Target="footer6.xml" /><Relationship Id="rId560" Type="http://schemas.openxmlformats.org/officeDocument/2006/relationships/hyperlink" Target="https://advance.lexis.com/api/document?collection=cases-ca&amp;id=urn:contentItem:5F7T-S6T1-F2F4-G1JJ-00000-00&amp;context=" TargetMode="External" /><Relationship Id="rId561" Type="http://schemas.openxmlformats.org/officeDocument/2006/relationships/hyperlink" Target="https://advance.lexis.com/api/document?collection=cases-ca&amp;id=urn:contentItem:5F7T-S771-JN14-G2DF-00000-00&amp;context=" TargetMode="External" /><Relationship Id="rId562" Type="http://schemas.openxmlformats.org/officeDocument/2006/relationships/hyperlink" Target="https://advance.lexis.com/api/document?collection=cases-ca&amp;id=urn:contentItem:5F7T-S7C1-F7VM-S3SN-00000-00&amp;context=" TargetMode="External" /><Relationship Id="rId563" Type="http://schemas.openxmlformats.org/officeDocument/2006/relationships/hyperlink" Target="https://advance.lexis.com/api/document?collection=cases-ca&amp;id=urn:contentItem:5HDT-KH51-JS5Y-B2M1-00000-00&amp;context=" TargetMode="External" /><Relationship Id="rId564" Type="http://schemas.openxmlformats.org/officeDocument/2006/relationships/hyperlink" Target="https://advance.lexis.com/api/document?collection=cases-ca&amp;id=urn:contentItem:5F7T-S7M1-DYMS-623G-00000-00&amp;context=" TargetMode="External" /><Relationship Id="rId565" Type="http://schemas.openxmlformats.org/officeDocument/2006/relationships/hyperlink" Target="https://advance.lexis.com/api/document?collection=cases-ca&amp;id=urn:contentItem:5F8T-N3T1-JJSF-23F8-00000-00&amp;context=" TargetMode="External" /><Relationship Id="rId566" Type="http://schemas.openxmlformats.org/officeDocument/2006/relationships/hyperlink" Target="https://advance.lexis.com/api/document?collection=legislation-ca&amp;id=urn:contentItem:5F41-1FN1-JBDT-B0J5-00000-00&amp;context=" TargetMode="External" /><Relationship Id="rId567" Type="http://schemas.openxmlformats.org/officeDocument/2006/relationships/hyperlink" Target="https://advance.lexis.com/api/document?collection=cases-ca&amp;id=urn:contentItem:5G8T-89T1-JNCK-22VY-00000-00&amp;context=" TargetMode="External" /><Relationship Id="rId568" Type="http://schemas.openxmlformats.org/officeDocument/2006/relationships/hyperlink" Target="https://advance.lexis.com/api/document?collection=cases-ca&amp;id=urn:contentItem:5F7T-S781-F900-G167-00000-00&amp;context=" TargetMode="External" /><Relationship Id="rId569" Type="http://schemas.openxmlformats.org/officeDocument/2006/relationships/hyperlink" Target="https://advance.lexis.com/api/document?collection=cases-ca&amp;id=urn:contentItem:5F7T-S721-F8D9-M0MT-00000-00&amp;context=" TargetMode="External" /><Relationship Id="rId57" Type="http://schemas.openxmlformats.org/officeDocument/2006/relationships/hyperlink" Target="https://advance.lexis.com/api/document?collection=cases-ca&amp;id=urn:contentItem:5K6Y-81T1-F7VM-S3JW-00000-00&amp;context=" TargetMode="External" /><Relationship Id="rId570" Type="http://schemas.openxmlformats.org/officeDocument/2006/relationships/hyperlink" Target="https://advance.lexis.com/api/document?collection=cases-ca&amp;id=urn:contentItem:5S18-5CC1-JJ1H-X023-00000-00&amp;context=" TargetMode="External" /><Relationship Id="rId571" Type="http://schemas.openxmlformats.org/officeDocument/2006/relationships/hyperlink" Target="https://advance.lexis.com/api/document?collection=cases-ca&amp;id=urn:contentItem:5FX0-MRR1-JSJC-X152-00000-00&amp;context=" TargetMode="External" /><Relationship Id="rId572" Type="http://schemas.openxmlformats.org/officeDocument/2006/relationships/hyperlink" Target="https://advance.lexis.com/api/document?collection=cases-ca&amp;id=urn:contentItem:5F81-VJX1-JJYN-B529-00000-00&amp;context=" TargetMode="External" /><Relationship Id="rId573" Type="http://schemas.openxmlformats.org/officeDocument/2006/relationships/hyperlink" Target="https://advance.lexis.com/api/document?collection=cases-ca&amp;id=urn:contentItem:5F8T-N3V1-FC1F-M4DC-00000-00&amp;context=" TargetMode="External" /><Relationship Id="rId574" Type="http://schemas.openxmlformats.org/officeDocument/2006/relationships/hyperlink" Target="https://advance.lexis.com/api/document?collection=cases-ca&amp;id=urn:contentItem:5F7F-5RH1-FD4T-B0F0-00000-00&amp;context=" TargetMode="External" /><Relationship Id="rId575" Type="http://schemas.openxmlformats.org/officeDocument/2006/relationships/hyperlink" Target="https://advance.lexis.com/api/document?collection=cases-ca&amp;id=urn:contentItem:5F8P-SFF1-JGPY-X529-00000-00&amp;context=" TargetMode="External" /><Relationship Id="rId576" Type="http://schemas.openxmlformats.org/officeDocument/2006/relationships/hyperlink" Target="https://advance.lexis.com/api/document?collection=cases-ca&amp;id=urn:contentItem:5FX0-KKR1-JCBX-S2K3-00000-00&amp;context=" TargetMode="External" /><Relationship Id="rId577" Type="http://schemas.openxmlformats.org/officeDocument/2006/relationships/hyperlink" Target="https://advance.lexis.com/api/document?collection=cases-ca&amp;id=urn:contentItem:5PF4-4KK1-JJ6S-64T1-00000-00&amp;context=" TargetMode="External" /><Relationship Id="rId578" Type="http://schemas.openxmlformats.org/officeDocument/2006/relationships/hyperlink" Target="https://advance.lexis.com/api/document?collection=cases-ca&amp;id=urn:contentItem:5F7T-S7K1-F1H1-22DB-00000-00&amp;context=" TargetMode="External" /><Relationship Id="rId579" Type="http://schemas.openxmlformats.org/officeDocument/2006/relationships/hyperlink" Target="https://advance.lexis.com/api/document?collection=cases-ca&amp;id=urn:contentItem:5F7T-S751-JBM1-M227-00000-00&amp;context=" TargetMode="External" /><Relationship Id="rId58" Type="http://schemas.openxmlformats.org/officeDocument/2006/relationships/header" Target="header7.xml" /><Relationship Id="rId580" Type="http://schemas.openxmlformats.org/officeDocument/2006/relationships/hyperlink" Target="https://advance.lexis.com/api/document?collection=cases-ca&amp;id=urn:contentItem:5F7T-S7G1-JPP5-2239-00000-00&amp;context=" TargetMode="External" /><Relationship Id="rId581" Type="http://schemas.openxmlformats.org/officeDocument/2006/relationships/hyperlink" Target="https://advance.lexis.com/api/document?collection=cases-ca&amp;id=urn:contentItem:5F7T-S6X1-F7ND-G3V4-00000-00&amp;context=" TargetMode="External" /><Relationship Id="rId582" Type="http://schemas.openxmlformats.org/officeDocument/2006/relationships/hyperlink" Target="https://advance.lexis.com/api/document?collection=cases-ca&amp;id=urn:contentItem:5F7T-S761-FGJR-22F0-00000-00&amp;context=" TargetMode="External" /><Relationship Id="rId583" Type="http://schemas.openxmlformats.org/officeDocument/2006/relationships/hyperlink" Target="https://advance.lexis.com/api/document?collection=cases-ca&amp;id=urn:contentItem:5F7T-S7H1-F4GK-M325-00000-00&amp;context=" TargetMode="External" /><Relationship Id="rId584" Type="http://schemas.openxmlformats.org/officeDocument/2006/relationships/header" Target="header88.xml" /><Relationship Id="rId585" Type="http://schemas.openxmlformats.org/officeDocument/2006/relationships/header" Target="header89.xml" /><Relationship Id="rId586" Type="http://schemas.openxmlformats.org/officeDocument/2006/relationships/footer" Target="footer88.xml" /><Relationship Id="rId587" Type="http://schemas.openxmlformats.org/officeDocument/2006/relationships/footer" Target="footer89.xml" /><Relationship Id="rId588" Type="http://schemas.openxmlformats.org/officeDocument/2006/relationships/header" Target="header90.xml" /><Relationship Id="rId589" Type="http://schemas.openxmlformats.org/officeDocument/2006/relationships/footer" Target="footer90.xml" /><Relationship Id="rId59" Type="http://schemas.openxmlformats.org/officeDocument/2006/relationships/header" Target="header8.xml" /><Relationship Id="rId590" Type="http://schemas.openxmlformats.org/officeDocument/2006/relationships/hyperlink" Target="https://advance.lexis.com/api/document?collection=cases-ca&amp;id=urn:contentItem:5GCC-XVC1-F900-G4WP-00000-00&amp;context=" TargetMode="External" /><Relationship Id="rId591" Type="http://schemas.openxmlformats.org/officeDocument/2006/relationships/hyperlink" Target="https://advance.lexis.com/api/document?collection=cases-ca&amp;id=urn:contentItem:5F7T-S7P1-JCRC-B23D-00000-00&amp;context=" TargetMode="External" /><Relationship Id="rId592" Type="http://schemas.openxmlformats.org/officeDocument/2006/relationships/hyperlink" Target="https://advance.lexis.com/api/document?collection=cases-ca&amp;id=urn:contentItem:5F82-1SK1-FGJR-245K-00000-00&amp;context=" TargetMode="External" /><Relationship Id="rId593" Type="http://schemas.openxmlformats.org/officeDocument/2006/relationships/hyperlink" Target="https://advance.lexis.com/api/document?collection=cases-ca&amp;id=urn:contentItem:5F7T-S7H1-F016-S46N-00000-00&amp;context=" TargetMode="External" /><Relationship Id="rId594" Type="http://schemas.openxmlformats.org/officeDocument/2006/relationships/hyperlink" Target="https://advance.lexis.com/api/document?collection=cases-ca&amp;id=urn:contentItem:5F7T-S7K1-JWXF-2141-00000-00&amp;context=" TargetMode="External" /><Relationship Id="rId595" Type="http://schemas.openxmlformats.org/officeDocument/2006/relationships/hyperlink" Target="https://advance.lexis.com/api/document?collection=cases-ca&amp;id=urn:contentItem:5F7T-S7J1-FGCG-S094-00000-00&amp;context=" TargetMode="External" /><Relationship Id="rId596" Type="http://schemas.openxmlformats.org/officeDocument/2006/relationships/hyperlink" Target="https://advance.lexis.com/api/document?collection=cases-ca&amp;id=urn:contentItem:5GCC-XVB1-JGHR-M4KR-00000-00&amp;context=" TargetMode="External" /><Relationship Id="rId597" Type="http://schemas.openxmlformats.org/officeDocument/2006/relationships/hyperlink" Target="https://advance.lexis.com/api/document?collection=cases-ca&amp;id=urn:contentItem:5F16-93D1-JN6B-S1WR-00000-00&amp;context=" TargetMode="External" /><Relationship Id="rId598" Type="http://schemas.openxmlformats.org/officeDocument/2006/relationships/hyperlink" Target="https://advance.lexis.com/api/document?collection=cases-ca&amp;id=urn:contentItem:5F81-VJY1-JPGX-S4YD-00000-00&amp;context=" TargetMode="External" /><Relationship Id="rId599" Type="http://schemas.openxmlformats.org/officeDocument/2006/relationships/hyperlink" Target="https://advance.lexis.com/api/document?collection=cases-ca&amp;id=urn:contentItem:5F81-VJY1-JWBS-64JB-00000-00&amp;context=" TargetMode="External" /><Relationship Id="rId6" Type="http://schemas.openxmlformats.org/officeDocument/2006/relationships/footer" Target="footer1.xml" /><Relationship Id="rId60" Type="http://schemas.openxmlformats.org/officeDocument/2006/relationships/footer" Target="footer7.xml" /><Relationship Id="rId600" Type="http://schemas.openxmlformats.org/officeDocument/2006/relationships/hyperlink" Target="https://advance.lexis.com/api/document?collection=cases-ca&amp;id=urn:contentItem:5F8P-SDD1-JFSV-G3BT-00000-00&amp;context=" TargetMode="External" /><Relationship Id="rId601" Type="http://schemas.openxmlformats.org/officeDocument/2006/relationships/hyperlink" Target="https://advance.lexis.com/api/document?collection=cases-ca&amp;id=urn:contentItem:5FX0-MRR1-JSJC-X155-00000-00&amp;context=" TargetMode="External" /><Relationship Id="rId602" Type="http://schemas.openxmlformats.org/officeDocument/2006/relationships/hyperlink" Target="https://advance.lexis.com/api/document?collection=cases-ca&amp;id=urn:contentItem:5F7T-S7K1-JKHB-62S4-00000-00&amp;context=" TargetMode="External" /><Relationship Id="rId603" Type="http://schemas.openxmlformats.org/officeDocument/2006/relationships/header" Target="header91.xml" /><Relationship Id="rId604" Type="http://schemas.openxmlformats.org/officeDocument/2006/relationships/header" Target="header92.xml" /><Relationship Id="rId605" Type="http://schemas.openxmlformats.org/officeDocument/2006/relationships/footer" Target="footer91.xml" /><Relationship Id="rId606" Type="http://schemas.openxmlformats.org/officeDocument/2006/relationships/footer" Target="footer92.xml" /><Relationship Id="rId607" Type="http://schemas.openxmlformats.org/officeDocument/2006/relationships/header" Target="header93.xml" /><Relationship Id="rId608" Type="http://schemas.openxmlformats.org/officeDocument/2006/relationships/footer" Target="footer93.xml" /><Relationship Id="rId609" Type="http://schemas.openxmlformats.org/officeDocument/2006/relationships/hyperlink" Target="https://advance.lexis.com/api/document?collection=cases-ca&amp;id=urn:contentItem:5XWH-RRS1-JWBS-6160-00000-00&amp;context=" TargetMode="External" /><Relationship Id="rId61" Type="http://schemas.openxmlformats.org/officeDocument/2006/relationships/footer" Target="footer8.xml" /><Relationship Id="rId610" Type="http://schemas.openxmlformats.org/officeDocument/2006/relationships/hyperlink" Target="https://advance.lexis.com/api/document?collection=cases-ca&amp;id=urn:contentItem:5GCC-XVB1-JSXV-G0F3-00000-00&amp;context=" TargetMode="External" /><Relationship Id="rId611" Type="http://schemas.openxmlformats.org/officeDocument/2006/relationships/hyperlink" Target="https://advance.lexis.com/api/document?collection=cases-ca&amp;id=urn:contentItem:5F7T-S7F1-F7VM-S4FJ-00000-00&amp;context=" TargetMode="External" /><Relationship Id="rId612" Type="http://schemas.openxmlformats.org/officeDocument/2006/relationships/hyperlink" Target="https://advance.lexis.com/api/document?collection=cases-ca&amp;id=urn:contentItem:5F7T-S7J1-JGBH-B220-00000-00&amp;context=" TargetMode="External" /><Relationship Id="rId613" Type="http://schemas.openxmlformats.org/officeDocument/2006/relationships/hyperlink" Target="https://advance.lexis.com/api/document?collection=cases-ca&amp;id=urn:contentItem:5F7T-S7N1-JJ1H-X2WV-00000-00&amp;context=" TargetMode="External" /><Relationship Id="rId614" Type="http://schemas.openxmlformats.org/officeDocument/2006/relationships/hyperlink" Target="https://advance.lexis.com/api/document?collection=cases-ca&amp;id=urn:contentItem:5F7T-S6T1-DY89-M335-00000-00&amp;context=" TargetMode="External" /><Relationship Id="rId615" Type="http://schemas.openxmlformats.org/officeDocument/2006/relationships/header" Target="header94.xml" /><Relationship Id="rId616" Type="http://schemas.openxmlformats.org/officeDocument/2006/relationships/header" Target="header95.xml" /><Relationship Id="rId617" Type="http://schemas.openxmlformats.org/officeDocument/2006/relationships/footer" Target="footer94.xml" /><Relationship Id="rId618" Type="http://schemas.openxmlformats.org/officeDocument/2006/relationships/footer" Target="footer95.xml" /><Relationship Id="rId619" Type="http://schemas.openxmlformats.org/officeDocument/2006/relationships/header" Target="header96.xml" /><Relationship Id="rId62" Type="http://schemas.openxmlformats.org/officeDocument/2006/relationships/header" Target="header9.xml" /><Relationship Id="rId620" Type="http://schemas.openxmlformats.org/officeDocument/2006/relationships/footer" Target="footer96.xml" /><Relationship Id="rId621" Type="http://schemas.openxmlformats.org/officeDocument/2006/relationships/hyperlink" Target="https://advance.lexis.com/api/document?collection=cases-ca&amp;id=urn:contentItem:5F7T-S7K1-DY33-B1FT-00000-00&amp;context=" TargetMode="External" /><Relationship Id="rId622" Type="http://schemas.openxmlformats.org/officeDocument/2006/relationships/hyperlink" Target="https://advance.lexis.com/api/document?collection=cases-ca&amp;id=urn:contentItem:5F7T-S6V1-JFKM-6132-00000-00&amp;context=" TargetMode="External" /><Relationship Id="rId623" Type="http://schemas.openxmlformats.org/officeDocument/2006/relationships/hyperlink" Target="https://advance.lexis.com/api/document?collection=cases-ca&amp;id=urn:contentItem:5F7T-S7H1-F016-S3NK-00000-00&amp;context=" TargetMode="External" /><Relationship Id="rId624" Type="http://schemas.openxmlformats.org/officeDocument/2006/relationships/hyperlink" Target="https://advance.lexis.com/api/document?collection=cases-ca&amp;id=urn:contentItem:5F7T-S761-FFMK-M15W-00000-00&amp;context=" TargetMode="External" /><Relationship Id="rId625" Type="http://schemas.openxmlformats.org/officeDocument/2006/relationships/hyperlink" Target="https://advance.lexis.com/api/document?collection=cases-ca&amp;id=urn:contentItem:5F7T-S711-FJDY-X352-00000-00&amp;context=" TargetMode="External" /><Relationship Id="rId626" Type="http://schemas.openxmlformats.org/officeDocument/2006/relationships/hyperlink" Target="https://advance.lexis.com/api/document?collection=cases-ca&amp;id=urn:contentItem:5F7T-S701-JJ6S-61WS-00000-00&amp;context=" TargetMode="External" /><Relationship Id="rId627" Type="http://schemas.openxmlformats.org/officeDocument/2006/relationships/hyperlink" Target="https://advance.lexis.com/api/document?collection=cases-ca&amp;id=urn:contentItem:5F8T-N3T1-JGHR-M27Y-00000-00&amp;context=" TargetMode="External" /><Relationship Id="rId628" Type="http://schemas.openxmlformats.org/officeDocument/2006/relationships/hyperlink" Target="https://advance.lexis.com/api/document?collection=cases-ca&amp;id=urn:contentItem:5F7T-S731-JC0G-637P-00000-00&amp;context=" TargetMode="External" /><Relationship Id="rId629" Type="http://schemas.openxmlformats.org/officeDocument/2006/relationships/hyperlink" Target="https://advance.lexis.com/api/document?collection=cases-ca&amp;id=urn:contentItem:5F7T-S7H1-JFKM-627T-00000-00&amp;context=" TargetMode="External" /><Relationship Id="rId63" Type="http://schemas.openxmlformats.org/officeDocument/2006/relationships/footer" Target="footer9.xml" /><Relationship Id="rId630" Type="http://schemas.openxmlformats.org/officeDocument/2006/relationships/hyperlink" Target="https://advance.lexis.com/api/document?collection=cases-ca&amp;id=urn:contentItem:5F7T-S6W1-F4GK-M1F5-00000-00&amp;context=" TargetMode="External" /><Relationship Id="rId631" Type="http://schemas.openxmlformats.org/officeDocument/2006/relationships/hyperlink" Target="https://advance.lexis.com/api/document?collection=cases-ca&amp;id=urn:contentItem:5F7T-S6W1-JYYX-61X7-00000-00&amp;context=" TargetMode="External" /><Relationship Id="rId632" Type="http://schemas.openxmlformats.org/officeDocument/2006/relationships/hyperlink" Target="https://advance.lexis.com/api/document?collection=cases-ca&amp;id=urn:contentItem:5F7T-S771-F361-M1HH-00000-00&amp;context=" TargetMode="External" /><Relationship Id="rId633" Type="http://schemas.openxmlformats.org/officeDocument/2006/relationships/hyperlink" Target="https://advance.lexis.com/api/document?collection=cases-ca&amp;id=urn:contentItem:5F7T-S7K1-JSJC-X16N-00000-00&amp;context=" TargetMode="External" /><Relationship Id="rId634" Type="http://schemas.openxmlformats.org/officeDocument/2006/relationships/header" Target="header97.xml" /><Relationship Id="rId635" Type="http://schemas.openxmlformats.org/officeDocument/2006/relationships/header" Target="header98.xml" /><Relationship Id="rId636" Type="http://schemas.openxmlformats.org/officeDocument/2006/relationships/footer" Target="footer97.xml" /><Relationship Id="rId637" Type="http://schemas.openxmlformats.org/officeDocument/2006/relationships/footer" Target="footer98.xml" /><Relationship Id="rId638" Type="http://schemas.openxmlformats.org/officeDocument/2006/relationships/header" Target="header99.xml" /><Relationship Id="rId639" Type="http://schemas.openxmlformats.org/officeDocument/2006/relationships/footer" Target="footer99.xml" /><Relationship Id="rId64" Type="http://schemas.openxmlformats.org/officeDocument/2006/relationships/hyperlink" Target="https://advance.lexis.com/api/document?collection=cases-ca&amp;id=urn:contentItem:5R32-47Y1-F2TK-220W-00000-00&amp;context=" TargetMode="External" /><Relationship Id="rId640" Type="http://schemas.openxmlformats.org/officeDocument/2006/relationships/hyperlink" Target="https://advance.lexis.com/api/document?collection=cases-ca&amp;id=urn:contentItem:5K6Y-81T1-F7VM-S3T8-00000-00&amp;context=" TargetMode="External" /><Relationship Id="rId641" Type="http://schemas.openxmlformats.org/officeDocument/2006/relationships/header" Target="header100.xml" /><Relationship Id="rId642" Type="http://schemas.openxmlformats.org/officeDocument/2006/relationships/header" Target="header101.xml" /><Relationship Id="rId643" Type="http://schemas.openxmlformats.org/officeDocument/2006/relationships/footer" Target="footer100.xml" /><Relationship Id="rId644" Type="http://schemas.openxmlformats.org/officeDocument/2006/relationships/footer" Target="footer101.xml" /><Relationship Id="rId645" Type="http://schemas.openxmlformats.org/officeDocument/2006/relationships/header" Target="header102.xml" /><Relationship Id="rId646" Type="http://schemas.openxmlformats.org/officeDocument/2006/relationships/footer" Target="footer102.xml" /><Relationship Id="rId647" Type="http://schemas.openxmlformats.org/officeDocument/2006/relationships/hyperlink" Target="https://advance.lexis.com/api/document?collection=cases-ca&amp;id=urn:contentItem:5F7T-S7P1-F2TK-23CD-00000-00&amp;context=" TargetMode="External" /><Relationship Id="rId648" Type="http://schemas.openxmlformats.org/officeDocument/2006/relationships/hyperlink" Target="https://advance.lexis.com/api/document?collection=cases-ca&amp;id=urn:contentItem:5F7T-S741-F2F4-G293-00000-00&amp;context=" TargetMode="External" /><Relationship Id="rId649" Type="http://schemas.openxmlformats.org/officeDocument/2006/relationships/hyperlink" Target="https://advance.lexis.com/api/document?collection=cases-ca&amp;id=urn:contentItem:5F7T-S7F1-DXWW-23RG-00000-00&amp;context=" TargetMode="External" /><Relationship Id="rId65" Type="http://schemas.openxmlformats.org/officeDocument/2006/relationships/hyperlink" Target="https://advance.lexis.com/api/document?collection=legislation-ca&amp;id=urn:contentItem:5VYK-W9T1-FGCG-S31G-00000-00&amp;context=" TargetMode="External" /><Relationship Id="rId650" Type="http://schemas.openxmlformats.org/officeDocument/2006/relationships/hyperlink" Target="https://advance.lexis.com/api/document?collection=cases-ca&amp;id=urn:contentItem:5F7T-S7J1-FGCG-S0FC-00000-00&amp;context=" TargetMode="External" /><Relationship Id="rId651" Type="http://schemas.openxmlformats.org/officeDocument/2006/relationships/hyperlink" Target="https://advance.lexis.com/api/document?collection=cases-ca&amp;id=urn:contentItem:5F8P-SGB1-JKB3-X1MC-00000-00&amp;context=" TargetMode="External" /><Relationship Id="rId652" Type="http://schemas.openxmlformats.org/officeDocument/2006/relationships/hyperlink" Target="https://advance.lexis.com/api/document?collection=cases-ca&amp;id=urn:contentItem:5F81-VJX1-FGY5-M3V3-00000-00&amp;context=" TargetMode="External" /><Relationship Id="rId653" Type="http://schemas.openxmlformats.org/officeDocument/2006/relationships/hyperlink" Target="https://advance.lexis.com/api/document?collection=cases-ca&amp;id=urn:contentItem:5F8T-N3V1-JF75-M3TF-00000-00&amp;context=" TargetMode="External" /><Relationship Id="rId654" Type="http://schemas.openxmlformats.org/officeDocument/2006/relationships/header" Target="header103.xml" /><Relationship Id="rId655" Type="http://schemas.openxmlformats.org/officeDocument/2006/relationships/header" Target="header104.xml" /><Relationship Id="rId656" Type="http://schemas.openxmlformats.org/officeDocument/2006/relationships/footer" Target="footer103.xml" /><Relationship Id="rId657" Type="http://schemas.openxmlformats.org/officeDocument/2006/relationships/footer" Target="footer104.xml" /><Relationship Id="rId658" Type="http://schemas.openxmlformats.org/officeDocument/2006/relationships/header" Target="header105.xml" /><Relationship Id="rId659" Type="http://schemas.openxmlformats.org/officeDocument/2006/relationships/footer" Target="footer105.xml" /><Relationship Id="rId66" Type="http://schemas.openxmlformats.org/officeDocument/2006/relationships/hyperlink" Target="https://advance.lexis.com/api/document?collection=cases-ca&amp;id=urn:contentItem:5F7T-S7N1-JC5P-G2C9-00000-00&amp;context=" TargetMode="External" /><Relationship Id="rId660" Type="http://schemas.openxmlformats.org/officeDocument/2006/relationships/hyperlink" Target="https://advance.lexis.com/api/document?collection=cases-ca&amp;id=urn:contentItem:5F7T-S7H1-FCSB-S3MT-00000-00&amp;context=" TargetMode="External" /><Relationship Id="rId661" Type="http://schemas.openxmlformats.org/officeDocument/2006/relationships/hyperlink" Target="https://advance.lexis.com/api/document?collection=cases-ca&amp;id=urn:contentItem:5F7T-S7H1-F4GK-M347-00000-00&amp;context=" TargetMode="External" /><Relationship Id="rId662" Type="http://schemas.openxmlformats.org/officeDocument/2006/relationships/hyperlink" Target="https://advance.lexis.com/api/document?collection=cases-ca&amp;id=urn:contentItem:5F7T-S761-F81W-21MS-00000-00&amp;context=" TargetMode="External" /><Relationship Id="rId663" Type="http://schemas.openxmlformats.org/officeDocument/2006/relationships/hyperlink" Target="https://advance.lexis.com/api/document?collection=cases-ca&amp;id=urn:contentItem:5F7T-S721-F956-S1DP-00000-00&amp;context=" TargetMode="External" /><Relationship Id="rId664" Type="http://schemas.openxmlformats.org/officeDocument/2006/relationships/header" Target="header106.xml" /><Relationship Id="rId665" Type="http://schemas.openxmlformats.org/officeDocument/2006/relationships/header" Target="header107.xml" /><Relationship Id="rId666" Type="http://schemas.openxmlformats.org/officeDocument/2006/relationships/footer" Target="footer106.xml" /><Relationship Id="rId667" Type="http://schemas.openxmlformats.org/officeDocument/2006/relationships/footer" Target="footer107.xml" /><Relationship Id="rId668" Type="http://schemas.openxmlformats.org/officeDocument/2006/relationships/header" Target="header108.xml" /><Relationship Id="rId669" Type="http://schemas.openxmlformats.org/officeDocument/2006/relationships/footer" Target="footer108.xml" /><Relationship Id="rId67" Type="http://schemas.openxmlformats.org/officeDocument/2006/relationships/hyperlink" Target="https://advance.lexis.com/api/document?collection=cases-ca&amp;id=urn:contentItem:5F7T-S7P1-JG02-S42M-00000-00&amp;context=" TargetMode="External" /><Relationship Id="rId670" Type="http://schemas.openxmlformats.org/officeDocument/2006/relationships/hyperlink" Target="https://advance.lexis.com/api/document?collection=cases-ca&amp;id=urn:contentItem:5F7T-S7K1-F528-G30P-00000-00&amp;context=" TargetMode="External" /><Relationship Id="rId671" Type="http://schemas.openxmlformats.org/officeDocument/2006/relationships/hyperlink" Target="https://advance.lexis.com/api/document?collection=cases-ca&amp;id=urn:contentItem:5F8X-3XY1-JKHB-64ST-00000-00&amp;context=" TargetMode="External" /><Relationship Id="rId672" Type="http://schemas.openxmlformats.org/officeDocument/2006/relationships/hyperlink" Target="https://advance.lexis.com/api/document?collection=cases-ca&amp;id=urn:contentItem:5F7T-S761-JS5Y-B1J8-00000-00&amp;context=" TargetMode="External" /><Relationship Id="rId673" Type="http://schemas.openxmlformats.org/officeDocument/2006/relationships/hyperlink" Target="https://advance.lexis.com/api/document?collection=cases-ca&amp;id=urn:contentItem:5F7T-S7C1-F7ND-G040-00000-00&amp;context=" TargetMode="External" /><Relationship Id="rId674" Type="http://schemas.openxmlformats.org/officeDocument/2006/relationships/hyperlink" Target="https://advance.lexis.com/api/document?collection=cases-ca&amp;id=urn:contentItem:5F7T-S7F1-FJTD-G3FY-00000-00&amp;context=" TargetMode="External" /><Relationship Id="rId675" Type="http://schemas.openxmlformats.org/officeDocument/2006/relationships/hyperlink" Target="https://advance.lexis.com/api/document?collection=cases-ca&amp;id=urn:contentItem:5F7T-S7K1-F1H1-22F0-00000-00&amp;context=" TargetMode="External" /><Relationship Id="rId676" Type="http://schemas.openxmlformats.org/officeDocument/2006/relationships/header" Target="header109.xml" /><Relationship Id="rId677" Type="http://schemas.openxmlformats.org/officeDocument/2006/relationships/header" Target="header110.xml" /><Relationship Id="rId678" Type="http://schemas.openxmlformats.org/officeDocument/2006/relationships/footer" Target="footer109.xml" /><Relationship Id="rId679" Type="http://schemas.openxmlformats.org/officeDocument/2006/relationships/footer" Target="footer110.xml" /><Relationship Id="rId68" Type="http://schemas.openxmlformats.org/officeDocument/2006/relationships/hyperlink" Target="https://advance.lexis.com/api/document?collection=cases-ca&amp;id=urn:contentItem:5K2W-7K31-F06F-212X-00000-00&amp;context=" TargetMode="External" /><Relationship Id="rId680" Type="http://schemas.openxmlformats.org/officeDocument/2006/relationships/header" Target="header111.xml" /><Relationship Id="rId681" Type="http://schemas.openxmlformats.org/officeDocument/2006/relationships/footer" Target="footer111.xml" /><Relationship Id="rId682" Type="http://schemas.openxmlformats.org/officeDocument/2006/relationships/hyperlink" Target="https://advance.lexis.com/api/document?collection=cases-ca&amp;id=urn:contentItem:5G9F-PW81-F2F4-G0M6-00000-00&amp;context=" TargetMode="External" /><Relationship Id="rId683" Type="http://schemas.openxmlformats.org/officeDocument/2006/relationships/hyperlink" Target="https://advance.lexis.com/api/document?collection=cases-ca&amp;id=urn:contentItem:5F8T-N3V1-JTGH-B1DH-00000-00&amp;context=" TargetMode="External" /><Relationship Id="rId684" Type="http://schemas.openxmlformats.org/officeDocument/2006/relationships/hyperlink" Target="https://advance.lexis.com/api/document?collection=cases-ca&amp;id=urn:contentItem:5F81-VJY1-JPGX-S4N1-00000-00&amp;context=" TargetMode="External" /><Relationship Id="rId685" Type="http://schemas.openxmlformats.org/officeDocument/2006/relationships/hyperlink" Target="https://advance.lexis.com/api/document?collection=cases-ca&amp;id=urn:contentItem:5F8T-N3V1-FH4C-X22N-00000-00&amp;context=" TargetMode="External" /><Relationship Id="rId686" Type="http://schemas.openxmlformats.org/officeDocument/2006/relationships/hyperlink" Target="https://advance.lexis.com/api/document?collection=cases-ca&amp;id=urn:contentItem:5F7T-S7N1-JJ1H-X30J-00000-00&amp;context=" TargetMode="External" /><Relationship Id="rId687" Type="http://schemas.openxmlformats.org/officeDocument/2006/relationships/hyperlink" Target="https://advance.lexis.com/api/document?collection=cases-ca&amp;id=urn:contentItem:5F8T-N3T1-JJSF-23DG-00000-00&amp;context=" TargetMode="External" /><Relationship Id="rId688" Type="http://schemas.openxmlformats.org/officeDocument/2006/relationships/hyperlink" Target="https://advance.lexis.com/api/document?collection=cases-ca&amp;id=urn:contentItem:5F8T-N3T1-JFKM-652P-00000-00&amp;context=" TargetMode="External" /><Relationship Id="rId689" Type="http://schemas.openxmlformats.org/officeDocument/2006/relationships/header" Target="header112.xml" /><Relationship Id="rId69" Type="http://schemas.openxmlformats.org/officeDocument/2006/relationships/hyperlink" Target="https://advance.lexis.com/api/document?collection=cases-ca&amp;id=urn:contentItem:5F7T-S7F1-FBN1-21WM-00000-00&amp;context=" TargetMode="External" /><Relationship Id="rId690" Type="http://schemas.openxmlformats.org/officeDocument/2006/relationships/header" Target="header113.xml" /><Relationship Id="rId691" Type="http://schemas.openxmlformats.org/officeDocument/2006/relationships/footer" Target="footer112.xml" /><Relationship Id="rId692" Type="http://schemas.openxmlformats.org/officeDocument/2006/relationships/footer" Target="footer113.xml" /><Relationship Id="rId693" Type="http://schemas.openxmlformats.org/officeDocument/2006/relationships/header" Target="header114.xml" /><Relationship Id="rId694" Type="http://schemas.openxmlformats.org/officeDocument/2006/relationships/footer" Target="footer114.xml" /><Relationship Id="rId695" Type="http://schemas.openxmlformats.org/officeDocument/2006/relationships/hyperlink" Target="https://advance.lexis.com/api/document?collection=cases-ca&amp;id=urn:contentItem:5S9C-3741-F7VM-S1J1-00000-00&amp;context=" TargetMode="External" /><Relationship Id="rId696" Type="http://schemas.openxmlformats.org/officeDocument/2006/relationships/hyperlink" Target="https://advance.lexis.com/api/document?collection=cases-ca&amp;id=urn:contentItem:5F8T-N3V1-JF75-M3VR-00000-00&amp;context=" TargetMode="External" /><Relationship Id="rId697" Type="http://schemas.openxmlformats.org/officeDocument/2006/relationships/hyperlink" Target="https://advance.lexis.com/api/document?collection=cases-ca&amp;id=urn:contentItem:5F7T-S7G1-JPP5-21V6-00000-00&amp;context=" TargetMode="External" /><Relationship Id="rId698" Type="http://schemas.openxmlformats.org/officeDocument/2006/relationships/header" Target="header115.xml" /><Relationship Id="rId699" Type="http://schemas.openxmlformats.org/officeDocument/2006/relationships/header" Target="header116.xml" /><Relationship Id="rId7" Type="http://schemas.openxmlformats.org/officeDocument/2006/relationships/footer" Target="footer2.xml" /><Relationship Id="rId70" Type="http://schemas.openxmlformats.org/officeDocument/2006/relationships/hyperlink" Target="https://advance.lexis.com/api/document?collection=cases-ca&amp;id=urn:contentItem:5G74-D9V1-F2TK-22FC-00000-00&amp;context=" TargetMode="External" /><Relationship Id="rId700" Type="http://schemas.openxmlformats.org/officeDocument/2006/relationships/footer" Target="footer115.xml" /><Relationship Id="rId701" Type="http://schemas.openxmlformats.org/officeDocument/2006/relationships/footer" Target="footer116.xml" /><Relationship Id="rId702" Type="http://schemas.openxmlformats.org/officeDocument/2006/relationships/header" Target="header117.xml" /><Relationship Id="rId703" Type="http://schemas.openxmlformats.org/officeDocument/2006/relationships/footer" Target="footer117.xml" /><Relationship Id="rId704" Type="http://schemas.openxmlformats.org/officeDocument/2006/relationships/hyperlink" Target="https://advance.lexis.com/api/document?collection=cases-ca&amp;id=urn:contentItem:5GH6-XBG1-JK4W-M12C-00000-00&amp;context=" TargetMode="External" /><Relationship Id="rId705" Type="http://schemas.openxmlformats.org/officeDocument/2006/relationships/hyperlink" Target="https://advance.lexis.com/api/document?collection=cases-ca&amp;id=urn:contentItem:5F7T-S7P1-JP4G-61KP-00000-00&amp;context=" TargetMode="External" /><Relationship Id="rId706" Type="http://schemas.openxmlformats.org/officeDocument/2006/relationships/hyperlink" Target="https://advance.lexis.com/api/document?collection=cases-ca&amp;id=urn:contentItem:5F7T-S7N1-JWR6-S2FS-00000-00&amp;context=" TargetMode="External" /><Relationship Id="rId707" Type="http://schemas.openxmlformats.org/officeDocument/2006/relationships/hyperlink" Target="https://advance.lexis.com/api/document?collection=cases-ca&amp;id=urn:contentItem:5F7T-S7M1-JPP5-22M2-00000-00&amp;context=" TargetMode="External" /><Relationship Id="rId708" Type="http://schemas.openxmlformats.org/officeDocument/2006/relationships/hyperlink" Target="https://advance.lexis.com/api/document?collection=cases-ca&amp;id=urn:contentItem:5F7T-S6W1-JYYX-61KD-00000-00&amp;context=" TargetMode="External" /><Relationship Id="rId709" Type="http://schemas.openxmlformats.org/officeDocument/2006/relationships/hyperlink" Target="https://advance.lexis.com/api/document?collection=cases-ca&amp;id=urn:contentItem:5F7T-S7G1-FCYK-208R-00000-00&amp;context=" TargetMode="External" /><Relationship Id="rId71" Type="http://schemas.openxmlformats.org/officeDocument/2006/relationships/hyperlink" Target="https://advance.lexis.com/api/document?collection=cases-ca&amp;id=urn:contentItem:5F8T-N3V1-FH4C-X1XK-00000-00&amp;context=" TargetMode="External" /><Relationship Id="rId710" Type="http://schemas.openxmlformats.org/officeDocument/2006/relationships/hyperlink" Target="https://advance.lexis.com/api/document?collection=cases-ca&amp;id=urn:contentItem:5F7T-S771-F361-M1SY-00000-00&amp;context=" TargetMode="External" /><Relationship Id="rId711" Type="http://schemas.openxmlformats.org/officeDocument/2006/relationships/hyperlink" Target="https://advance.lexis.com/api/document?collection=cases-ca&amp;id=urn:contentItem:5F7T-S7C1-FCSB-S23K-00000-00&amp;context=" TargetMode="External" /><Relationship Id="rId712" Type="http://schemas.openxmlformats.org/officeDocument/2006/relationships/hyperlink" Target="https://advance.lexis.com/api/document?collection=cases-ca&amp;id=urn:contentItem:5GCC-XVB1-JGHR-M4R9-00000-00&amp;context=" TargetMode="External" /><Relationship Id="rId713" Type="http://schemas.openxmlformats.org/officeDocument/2006/relationships/hyperlink" Target="https://advance.lexis.com/api/document?collection=cases-ca&amp;id=urn:contentItem:5F7T-S721-F8D9-M0N1-00000-00&amp;context=" TargetMode="External" /><Relationship Id="rId714" Type="http://schemas.openxmlformats.org/officeDocument/2006/relationships/hyperlink" Target="https://advance.lexis.com/api/document?collection=cases-ca&amp;id=urn:contentItem:5F7T-S7F1-JBT7-X2P0-00000-00&amp;context=" TargetMode="External" /><Relationship Id="rId715" Type="http://schemas.openxmlformats.org/officeDocument/2006/relationships/hyperlink" Target="https://advance.lexis.com/api/document?collection=cases-ca&amp;id=urn:contentItem:5F7T-S6Y1-JNY7-X2BH-00000-00&amp;context=" TargetMode="External" /><Relationship Id="rId716" Type="http://schemas.openxmlformats.org/officeDocument/2006/relationships/hyperlink" Target="https://advance.lexis.com/api/document?collection=cases-ca&amp;id=urn:contentItem:5F7T-S7F1-DXWW-23D0-00000-00&amp;context=" TargetMode="External" /><Relationship Id="rId717" Type="http://schemas.openxmlformats.org/officeDocument/2006/relationships/hyperlink" Target="https://advance.lexis.com/api/document?collection=cases-ca&amp;id=urn:contentItem:5F8T-N3V1-JTGH-B10F-00000-00&amp;context=" TargetMode="External" /><Relationship Id="rId718" Type="http://schemas.openxmlformats.org/officeDocument/2006/relationships/hyperlink" Target="https://advance.lexis.com/api/document?collection=cases-ca&amp;id=urn:contentItem:5F7T-S771-JSJC-X00T-00000-00&amp;context=" TargetMode="External" /><Relationship Id="rId719" Type="http://schemas.openxmlformats.org/officeDocument/2006/relationships/hyperlink" Target="https://advance.lexis.com/api/document?collection=cases-ca&amp;id=urn:contentItem:5F7T-S741-DY89-M38G-00000-00&amp;context=" TargetMode="External" /><Relationship Id="rId72" Type="http://schemas.openxmlformats.org/officeDocument/2006/relationships/hyperlink" Target="https://advance.lexis.com/api/document?collection=cases-ca&amp;id=urn:contentItem:5F7T-S7N1-JW09-M0YW-00000-00&amp;context=" TargetMode="External" /><Relationship Id="rId720" Type="http://schemas.openxmlformats.org/officeDocument/2006/relationships/numbering" Target="numbering.xml" /><Relationship Id="rId721" Type="http://schemas.openxmlformats.org/officeDocument/2006/relationships/styles" Target="styles.xml" /><Relationship Id="rId73" Type="http://schemas.openxmlformats.org/officeDocument/2006/relationships/hyperlink" Target="https://advance.lexis.com/api/document?collection=cases-ca&amp;id=urn:contentItem:5F7T-S7F1-JFKM-61VX-00000-00&amp;context=" TargetMode="External" /><Relationship Id="rId74" Type="http://schemas.openxmlformats.org/officeDocument/2006/relationships/hyperlink" Target="https://advance.lexis.com/api/document?collection=cases-ca&amp;id=urn:contentItem:5F7T-S7P1-JNJT-B2HS-00000-00&amp;context=" TargetMode="External" /><Relationship Id="rId75" Type="http://schemas.openxmlformats.org/officeDocument/2006/relationships/hyperlink" Target="https://advance.lexis.com/api/document?collection=legislation-ca&amp;id=urn:contentItem:5F41-1FM1-JG59-220F-00000-00&amp;context=" TargetMode="External" /><Relationship Id="rId76" Type="http://schemas.openxmlformats.org/officeDocument/2006/relationships/hyperlink" Target="https://advance.lexis.com/api/document?collection=cases-ca&amp;id=urn:contentItem:5F7T-S7F1-FFFC-B1NK-00000-00&amp;context=" TargetMode="External" /><Relationship Id="rId77" Type="http://schemas.openxmlformats.org/officeDocument/2006/relationships/hyperlink" Target="https://advance.lexis.com/api/document?collection=cases-ca&amp;id=urn:contentItem:5F16-9361-JW5H-X4B7-00000-00&amp;context=" TargetMode="External" /><Relationship Id="rId78" Type="http://schemas.openxmlformats.org/officeDocument/2006/relationships/hyperlink" Target="https://advance.lexis.com/api/document?collection=cases-ca&amp;id=urn:contentItem:5MJ7-NBJ1-F1WF-M27C-00000-00&amp;context=" TargetMode="External" /><Relationship Id="rId79" Type="http://schemas.openxmlformats.org/officeDocument/2006/relationships/hyperlink" Target="https://advance.lexis.com/api/document?collection=cases-ca&amp;id=urn:contentItem:5N5Y-0C91-JF1Y-B3TT-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7T-S7N1-JW09-M0W3-00000-00&amp;context=" TargetMode="External" /><Relationship Id="rId81" Type="http://schemas.openxmlformats.org/officeDocument/2006/relationships/hyperlink" Target="https://advance.lexis.com/api/document?collection=cases-ca&amp;id=urn:contentItem:5F81-VJW1-JF75-M1FG-00000-00&amp;context=" TargetMode="External" /><Relationship Id="rId82" Type="http://schemas.openxmlformats.org/officeDocument/2006/relationships/hyperlink" Target="https://advance.lexis.com/api/document?collection=cases-ca&amp;id=urn:contentItem:5F7T-S7N1-JJ1H-X2XK-00000-00&amp;context=" TargetMode="External" /><Relationship Id="rId83" Type="http://schemas.openxmlformats.org/officeDocument/2006/relationships/header" Target="header10.xml" /><Relationship Id="rId84" Type="http://schemas.openxmlformats.org/officeDocument/2006/relationships/header" Target="header11.xml" /><Relationship Id="rId85" Type="http://schemas.openxmlformats.org/officeDocument/2006/relationships/footer" Target="footer10.xml" /><Relationship Id="rId86" Type="http://schemas.openxmlformats.org/officeDocument/2006/relationships/footer" Target="footer11.xml" /><Relationship Id="rId87" Type="http://schemas.openxmlformats.org/officeDocument/2006/relationships/header" Target="header12.xml" /><Relationship Id="rId88" Type="http://schemas.openxmlformats.org/officeDocument/2006/relationships/footer" Target="footer12.xml" /><Relationship Id="rId89" Type="http://schemas.openxmlformats.org/officeDocument/2006/relationships/hyperlink" Target="https://advance.lexis.com/api/document?collection=cases-ca&amp;id=urn:contentItem:5F7T-S7M1-DYMS-628H-00000-00&amp;context=" TargetMode="External" /><Relationship Id="rId9" Type="http://schemas.openxmlformats.org/officeDocument/2006/relationships/footer" Target="footer3.xml" /><Relationship Id="rId90" Type="http://schemas.openxmlformats.org/officeDocument/2006/relationships/header" Target="header13.xml" /><Relationship Id="rId91" Type="http://schemas.openxmlformats.org/officeDocument/2006/relationships/header" Target="header14.xml" /><Relationship Id="rId92" Type="http://schemas.openxmlformats.org/officeDocument/2006/relationships/footer" Target="footer13.xml" /><Relationship Id="rId93" Type="http://schemas.openxmlformats.org/officeDocument/2006/relationships/footer" Target="footer14.xml" /><Relationship Id="rId94" Type="http://schemas.openxmlformats.org/officeDocument/2006/relationships/header" Target="header15.xml" /><Relationship Id="rId95" Type="http://schemas.openxmlformats.org/officeDocument/2006/relationships/footer" Target="footer15.xml" /><Relationship Id="rId96" Type="http://schemas.openxmlformats.org/officeDocument/2006/relationships/hyperlink" Target="https://advance.lexis.com/api/document?collection=cases-ca&amp;id=urn:contentItem:5X9Y-P6S1-F873-B001-00000-00&amp;context=" TargetMode="External" /><Relationship Id="rId97" Type="http://schemas.openxmlformats.org/officeDocument/2006/relationships/hyperlink" Target="https://advance.lexis.com/api/document?collection=cases-ca&amp;id=urn:contentItem:5F7T-S7M1-JCRC-B1PP-00000-00&amp;context=" TargetMode="External" /><Relationship Id="rId98" Type="http://schemas.openxmlformats.org/officeDocument/2006/relationships/hyperlink" Target="https://advance.lexis.com/api/document?collection=cases-ca&amp;id=urn:contentItem:5F7T-S7K1-F528-G34N-00000-00&amp;context=" TargetMode="External" /><Relationship Id="rId99" Type="http://schemas.openxmlformats.org/officeDocument/2006/relationships/hyperlink" Target="https://advance.lexis.com/api/document?collection=cases-ca&amp;id=urn:contentItem:5F7T-S7P1-JNJT-B2V3-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Yazdi Integrated Health Group Ltd. v. Unihealth Management Ltd., [2015] B.C.J. No. 1490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115053355</vt:lpwstr>
  </property>
  <property fmtid="{D5CDD505-2E9C-101B-9397-08002B2CF9AE}" pid="3" name="LADocCount">
    <vt:i4>39</vt:i4>
  </property>
  <property fmtid="{D5CDD505-2E9C-101B-9397-08002B2CF9AE}" pid="4" name="Language">
    <vt:lpwstr>en-CA</vt:lpwstr>
  </property>
  <property fmtid="{D5CDD505-2E9C-101B-9397-08002B2CF9AE}" pid="5" name="UserPermID">
    <vt:lpwstr>urn:user:PA187417739</vt:lpwstr>
  </property>
</Properties>
</file>