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280" w:lineRule="exact"/>
      </w:pPr>
      <w:r>
        <w:rPr>
          <w:sz w:val="2"/>
        </w:rPr>
      </w:r>
    </w:p>
    <w:p>
      <w:pPr>
        <w:bidi/>
        <w:spacing w:after="0" w:before="0" w:line="280" w:lineRule="exact"/>
      </w:pPr>
      <w:r>
        <w:rPr>
          <w:sz w:val="2"/>
        </w:rPr>
      </w:r>
    </w:p>
    <w:p>
      <w:pPr>
        <w:bidi/>
        <w:spacing w:after="0" w:before="0" w:line="28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B91C4B"/>
            <w:tcBorders>
              <w:top w:val="single" w:sz="4" w:space="0" w:color="EA580C"/>
              <w:left w:val="single" w:sz="4" w:space="0" w:color="EA580C"/>
              <w:bottom w:val="single" w:sz="4" w:space="0" w:color="EA580C"/>
              <w:right w:val="single" w:sz="4" w:space="0" w:color="EA580C"/>
            </w:tcBorders>
            <w:tcMar>
              <w:top w:w="500" w:type="dxa"/>
              <w:bottom w:w="500" w:type="dxa"/>
              <w:left w:w="450" w:type="dxa"/>
              <w:right w:w="450" w:type="dxa"/>
            </w:tcMar>
          </w:tcPr>
          <w:p>
            <w:pPr>
              <w:bidi/>
              <w:spacing w:before="0" w:after="200" w:line="300" w:lineRule="auto"/>
            </w:pPr>
            <w:r>
              <w:rPr>
                <w:rFonts w:ascii="Arial" w:hAnsi="Arial" w:cs="Arial" w:eastAsia="Arial"/>
                <w:b/>
                <w:bCs/>
                <w:color w:val="FFE9A8"/>
                <w:sz w:val="24"/>
                <w:szCs w:val="24"/>
                <w:rtl/>
              </w:rPr>
              <w:t>חוברת 2 · מרתון</w:t>
            </w:r>
          </w:p>
          <w:p>
            <w:pPr>
              <w:bidi/>
              <w:spacing w:before="0" w:after="40" w:line="240" w:lineRule="auto"/>
            </w:pPr>
            <w:r>
              <w:rPr>
                <w:rFonts w:ascii="Arial" w:hAnsi="Arial" w:cs="Arial" w:eastAsia="Arial"/>
                <w:b/>
                <w:bCs/>
                <w:color w:val="FFFFFF"/>
                <w:sz w:val="88"/>
                <w:szCs w:val="88"/>
                <w:rtl/>
              </w:rPr>
              <w:t>דיני משפחה</w:t>
            </w:r>
          </w:p>
          <w:p>
            <w:pPr>
              <w:bidi/>
              <w:spacing w:before="0" w:after="280" w:line="264" w:lineRule="auto"/>
            </w:pPr>
            <w:r>
              <w:rPr>
                <w:rFonts w:ascii="Arial" w:hAnsi="Arial" w:cs="Arial" w:eastAsia="Arial"/>
                <w:b/>
                <w:bCs/>
                <w:color w:val="FFE9A8"/>
                <w:sz w:val="48"/>
                <w:szCs w:val="48"/>
                <w:rtl/>
              </w:rPr>
              <w:t>מרתון למבחן</w:t>
            </w:r>
          </w:p>
          <w:p>
            <w:pPr>
              <w:bidi/>
              <w:spacing w:before="0" w:after="320" w:line="312" w:lineRule="auto"/>
            </w:pPr>
            <w:r>
              <w:rPr>
                <w:rFonts w:ascii="Arial" w:hAnsi="Arial" w:cs="Arial" w:eastAsia="Arial"/>
                <w:color w:val="FFFFFF"/>
                <w:sz w:val="26"/>
                <w:szCs w:val="26"/>
                <w:rtl/>
              </w:rPr>
              <w:t>כל החומר בתמצית מפורטת: טבלאות, שרשראות פסיקה, עצי החלטה ורשימות ״חייבים לזכור״</w:t>
            </w:r>
          </w:p>
          <w:p>
            <w:pPr>
              <w:bidi/>
              <w:spacing w:before="0" w:after="40" w:line="300" w:lineRule="auto"/>
            </w:pPr>
            <w:r>
              <w:rPr>
                <w:rFonts w:ascii="Arial" w:hAnsi="Arial" w:cs="Arial" w:eastAsia="Arial"/>
                <w:color w:val="E5E7EB"/>
                <w:sz w:val="22"/>
                <w:szCs w:val="22"/>
                <w:rtl/>
              </w:rPr>
              <w:t>13 פרקים</w:t>
            </w:r>
          </w:p>
        </w:tc>
      </w:tr>
    </w:tbl>
    <w:p>
      <w:pPr>
        <w:bidi/>
        <w:spacing w:after="0" w:before="0" w:line="60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F3F4F6"/>
            <w:tcBorders>
              <w:top w:val="single" w:sz="6" w:space="0" w:color="B91C4B"/>
              <w:left w:val="single" w:sz="6" w:space="0" w:color="B91C4B"/>
              <w:bottom w:val="single" w:sz="6" w:space="0" w:color="B91C4B"/>
              <w:right w:val="single" w:sz="6" w:space="0" w:color="B91C4B"/>
            </w:tcBorders>
            <w:tcMar>
              <w:top w:w="220" w:type="dxa"/>
              <w:bottom w:w="220" w:type="dxa"/>
              <w:left w:w="300" w:type="dxa"/>
              <w:right w:w="300" w:type="dxa"/>
            </w:tcMar>
          </w:tcPr>
          <w:p>
            <w:pPr>
              <w:bidi/>
              <w:spacing w:before="0" w:after="0" w:line="300" w:lineRule="auto"/>
            </w:pPr>
            <w:r>
              <w:rPr>
                <w:rFonts w:ascii="Arial" w:hAnsi="Arial" w:cs="Arial" w:eastAsia="Arial"/>
                <w:color w:val="6B7280"/>
                <w:sz w:val="22"/>
                <w:szCs w:val="22"/>
                <w:rtl/>
              </w:rPr>
              <w:t>הוכן ונערך ע״י</w:t>
            </w:r>
          </w:p>
          <w:p>
            <w:pPr>
              <w:bidi/>
              <w:spacing w:before="0" w:after="0" w:line="300" w:lineRule="auto"/>
            </w:pPr>
            <w:r>
              <w:rPr>
                <w:rFonts w:ascii="Arial" w:hAnsi="Arial" w:cs="Arial" w:eastAsia="Arial"/>
                <w:b/>
                <w:bCs/>
                <w:color w:val="B91C4B"/>
                <w:sz w:val="52"/>
                <w:szCs w:val="52"/>
                <w:rtl/>
              </w:rPr>
              <w:t>אילן פרץ</w:t>
            </w:r>
          </w:p>
        </w:tc>
      </w:tr>
    </w:tbl>
    <w:p>
      <w:pPr>
        <w:bidi/>
      </w:pPr>
      <w:r>
        <w:br w:type="page"/>
      </w:r>
    </w:p>
    <w:p>
      <w:pPr>
        <w:bidi/>
        <w:spacing w:before="0" w:after="40" w:line="300" w:lineRule="auto"/>
      </w:pPr>
      <w:r>
        <w:rPr>
          <w:rFonts w:ascii="Arial" w:hAnsi="Arial" w:cs="Arial" w:eastAsia="Arial"/>
          <w:b/>
          <w:bCs/>
          <w:color w:val="1E2A4A"/>
          <w:sz w:val="48"/>
          <w:szCs w:val="48"/>
          <w:rtl/>
        </w:rPr>
        <w:t>תוכן העניינים</w:t>
      </w:r>
    </w:p>
    <w:p>
      <w:pPr>
        <w:bidi/>
        <w:spacing w:before="0" w:after="240" w:line="300" w:lineRule="auto"/>
      </w:pPr>
      <w:r>
        <w:rPr>
          <w:rFonts w:ascii="Arial" w:hAnsi="Arial" w:cs="Arial" w:eastAsia="Arial"/>
          <w:color w:val="6B7280"/>
          <w:sz w:val="22"/>
          <w:szCs w:val="22"/>
          <w:rtl/>
        </w:rPr>
        <w:t>חזרה מרוכזת ומלאה על כל החומר — לימים שלפני המבחן</w:t>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1E4FA3"/>
            <w:tcBorders>
              <w:top w:val="single" w:sz="4" w:space="0" w:color="1E4FA3"/>
              <w:left w:val="single" w:sz="4" w:space="0" w:color="1E4FA3"/>
              <w:bottom w:val="single" w:sz="4" w:space="0" w:color="1E4FA3"/>
              <w:right w:val="single" w:sz="4" w:space="0" w:color="1E4FA3"/>
            </w:tcBorders>
          </w:tcPr>
          <w:p>
            <w:pPr>
              <w:bidi/>
              <w:spacing w:before="0" w:after="0" w:line="300" w:lineRule="auto"/>
              <w:jc w:val="center"/>
            </w:pPr>
            <w:r>
              <w:rPr>
                <w:rFonts w:ascii="Arial" w:hAnsi="Arial" w:cs="Arial" w:eastAsia="Arial"/>
                <w:b/>
                <w:bCs/>
                <w:color w:val="FFFFFF"/>
                <w:sz w:val="24"/>
                <w:szCs w:val="24"/>
                <w:rtl/>
              </w:rPr>
              <w:t>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מבוא – מערכת השיפוט הכפולה בדיני המשפחה</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F7C7A"/>
            <w:tcBorders>
              <w:top w:val="single" w:sz="4" w:space="0" w:color="0F7C7A"/>
              <w:left w:val="single" w:sz="4" w:space="0" w:color="0F7C7A"/>
              <w:bottom w:val="single" w:sz="4" w:space="0" w:color="0F7C7A"/>
              <w:right w:val="single" w:sz="4" w:space="0" w:color="0F7C7A"/>
            </w:tcBorders>
          </w:tcPr>
          <w:p>
            <w:pPr>
              <w:bidi/>
              <w:spacing w:before="0" w:after="0" w:line="300" w:lineRule="auto"/>
              <w:jc w:val="center"/>
            </w:pPr>
            <w:r>
              <w:rPr>
                <w:rFonts w:ascii="Arial" w:hAnsi="Arial" w:cs="Arial" w:eastAsia="Arial"/>
                <w:b/>
                <w:bCs/>
                <w:color w:val="FFFFFF"/>
                <w:sz w:val="24"/>
                <w:szCs w:val="24"/>
                <w:rtl/>
              </w:rPr>
              <w:t>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הסמכות הייחודית של בית הדין הרבני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6B3FA0"/>
            <w:tcBorders>
              <w:top w:val="single" w:sz="4" w:space="0" w:color="6B3FA0"/>
              <w:left w:val="single" w:sz="4" w:space="0" w:color="6B3FA0"/>
              <w:bottom w:val="single" w:sz="4" w:space="0" w:color="6B3FA0"/>
              <w:right w:val="single" w:sz="4" w:space="0" w:color="6B3FA0"/>
            </w:tcBorders>
          </w:tcPr>
          <w:p>
            <w:pPr>
              <w:bidi/>
              <w:spacing w:before="0" w:after="0" w:line="300" w:lineRule="auto"/>
              <w:jc w:val="center"/>
            </w:pPr>
            <w:r>
              <w:rPr>
                <w:rFonts w:ascii="Arial" w:hAnsi="Arial" w:cs="Arial" w:eastAsia="Arial"/>
                <w:b/>
                <w:bCs/>
                <w:color w:val="FFFFFF"/>
                <w:sz w:val="24"/>
                <w:szCs w:val="24"/>
                <w:rtl/>
              </w:rPr>
              <w:t>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כריכה ומירוץ סמכויות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5304A"/>
            <w:tcBorders>
              <w:top w:val="single" w:sz="4" w:space="0" w:color="B5304A"/>
              <w:left w:val="single" w:sz="4" w:space="0" w:color="B5304A"/>
              <w:bottom w:val="single" w:sz="4" w:space="0" w:color="B5304A"/>
              <w:right w:val="single" w:sz="4" w:space="0" w:color="B5304A"/>
            </w:tcBorders>
          </w:tcPr>
          <w:p>
            <w:pPr>
              <w:bidi/>
              <w:spacing w:before="0" w:after="0" w:line="300" w:lineRule="auto"/>
              <w:jc w:val="center"/>
            </w:pPr>
            <w:r>
              <w:rPr>
                <w:rFonts w:ascii="Arial" w:hAnsi="Arial" w:cs="Arial" w:eastAsia="Arial"/>
                <w:b/>
                <w:bCs/>
                <w:color w:val="FFFFFF"/>
                <w:sz w:val="24"/>
                <w:szCs w:val="24"/>
                <w:rtl/>
              </w:rPr>
              <w:t>4</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סמכות נמשכת, סמכות בהסכמה (סעיף 9), בוררות בבתי הדין ומעמדו העצמאי של הקטין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C25A12"/>
            <w:tcBorders>
              <w:top w:val="single" w:sz="4" w:space="0" w:color="C25A12"/>
              <w:left w:val="single" w:sz="4" w:space="0" w:color="C25A12"/>
              <w:bottom w:val="single" w:sz="4" w:space="0" w:color="C25A12"/>
              <w:right w:val="single" w:sz="4" w:space="0" w:color="C25A12"/>
            </w:tcBorders>
          </w:tcPr>
          <w:p>
            <w:pPr>
              <w:bidi/>
              <w:spacing w:before="0" w:after="0" w:line="300" w:lineRule="auto"/>
              <w:jc w:val="center"/>
            </w:pPr>
            <w:r>
              <w:rPr>
                <w:rFonts w:ascii="Arial" w:hAnsi="Arial" w:cs="Arial" w:eastAsia="Arial"/>
                <w:b/>
                <w:bCs/>
                <w:color w:val="FFFFFF"/>
                <w:sz w:val="24"/>
                <w:szCs w:val="24"/>
                <w:rtl/>
              </w:rPr>
              <w:t>5</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בית המשפט לענייני משפחה והליך יישוב הסכסוך</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E7D4F"/>
            <w:tcBorders>
              <w:top w:val="single" w:sz="4" w:space="0" w:color="2E7D4F"/>
              <w:left w:val="single" w:sz="4" w:space="0" w:color="2E7D4F"/>
              <w:bottom w:val="single" w:sz="4" w:space="0" w:color="2E7D4F"/>
              <w:right w:val="single" w:sz="4" w:space="0" w:color="2E7D4F"/>
            </w:tcBorders>
          </w:tcPr>
          <w:p>
            <w:pPr>
              <w:bidi/>
              <w:spacing w:before="0" w:after="0" w:line="300" w:lineRule="auto"/>
              <w:jc w:val="center"/>
            </w:pPr>
            <w:r>
              <w:rPr>
                <w:rFonts w:ascii="Arial" w:hAnsi="Arial" w:cs="Arial" w:eastAsia="Arial"/>
                <w:b/>
                <w:bCs/>
                <w:color w:val="FFFFFF"/>
                <w:sz w:val="24"/>
                <w:szCs w:val="24"/>
                <w:rtl/>
              </w:rPr>
              <w:t>6</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אישה – הדין המהותי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3949AB"/>
            <w:tcBorders>
              <w:top w:val="single" w:sz="4" w:space="0" w:color="3949AB"/>
              <w:left w:val="single" w:sz="4" w:space="0" w:color="3949AB"/>
              <w:bottom w:val="single" w:sz="4" w:space="0" w:color="3949AB"/>
              <w:right w:val="single" w:sz="4" w:space="0" w:color="3949AB"/>
            </w:tcBorders>
          </w:tcPr>
          <w:p>
            <w:pPr>
              <w:bidi/>
              <w:spacing w:before="0" w:after="0" w:line="300" w:lineRule="auto"/>
              <w:jc w:val="center"/>
            </w:pPr>
            <w:r>
              <w:rPr>
                <w:rFonts w:ascii="Arial" w:hAnsi="Arial" w:cs="Arial" w:eastAsia="Arial"/>
                <w:b/>
                <w:bCs/>
                <w:color w:val="FFFFFF"/>
                <w:sz w:val="24"/>
                <w:szCs w:val="24"/>
                <w:rtl/>
              </w:rPr>
              <w:t>7</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בדין הדתי ובעיות הכשרות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C2F7E"/>
            <w:tcBorders>
              <w:top w:val="single" w:sz="4" w:space="0" w:color="9C2F7E"/>
              <w:left w:val="single" w:sz="4" w:space="0" w:color="9C2F7E"/>
              <w:bottom w:val="single" w:sz="4" w:space="0" w:color="9C2F7E"/>
              <w:right w:val="single" w:sz="4" w:space="0" w:color="9C2F7E"/>
            </w:tcBorders>
          </w:tcPr>
          <w:p>
            <w:pPr>
              <w:bidi/>
              <w:spacing w:before="0" w:after="0" w:line="300" w:lineRule="auto"/>
              <w:jc w:val="center"/>
            </w:pPr>
            <w:r>
              <w:rPr>
                <w:rFonts w:ascii="Arial" w:hAnsi="Arial" w:cs="Arial" w:eastAsia="Arial"/>
                <w:b/>
                <w:bCs/>
                <w:color w:val="FFFFFF"/>
                <w:sz w:val="24"/>
                <w:szCs w:val="24"/>
                <w:rtl/>
              </w:rPr>
              <w:t>8</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פרטיים ונישואין אזרחיים – תוקפם והתרתם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A6B00"/>
            <w:tcBorders>
              <w:top w:val="single" w:sz="4" w:space="0" w:color="9A6B00"/>
              <w:left w:val="single" w:sz="4" w:space="0" w:color="9A6B00"/>
              <w:bottom w:val="single" w:sz="4" w:space="0" w:color="9A6B00"/>
              <w:right w:val="single" w:sz="4" w:space="0" w:color="9A6B00"/>
            </w:tcBorders>
          </w:tcPr>
          <w:p>
            <w:pPr>
              <w:bidi/>
              <w:spacing w:before="0" w:after="0" w:line="300" w:lineRule="auto"/>
              <w:jc w:val="center"/>
            </w:pPr>
            <w:r>
              <w:rPr>
                <w:rFonts w:ascii="Arial" w:hAnsi="Arial" w:cs="Arial" w:eastAsia="Arial"/>
                <w:b/>
                <w:bCs/>
                <w:color w:val="FFFFFF"/>
                <w:sz w:val="24"/>
                <w:szCs w:val="24"/>
                <w:rtl/>
              </w:rPr>
              <w:t>9</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רישום נישואין ועריכת נישואין וגירושין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B7FA0"/>
            <w:tcBorders>
              <w:top w:val="single" w:sz="4" w:space="0" w:color="0B7FA0"/>
              <w:left w:val="single" w:sz="4" w:space="0" w:color="0B7FA0"/>
              <w:bottom w:val="single" w:sz="4" w:space="0" w:color="0B7FA0"/>
              <w:right w:val="single" w:sz="4" w:space="0" w:color="0B7FA0"/>
            </w:tcBorders>
          </w:tcPr>
          <w:p>
            <w:pPr>
              <w:bidi/>
              <w:spacing w:before="0" w:after="0" w:line="300" w:lineRule="auto"/>
              <w:jc w:val="center"/>
            </w:pPr>
            <w:r>
              <w:rPr>
                <w:rFonts w:ascii="Arial" w:hAnsi="Arial" w:cs="Arial" w:eastAsia="Arial"/>
                <w:b/>
                <w:bCs/>
                <w:color w:val="FFFFFF"/>
                <w:sz w:val="24"/>
                <w:szCs w:val="24"/>
                <w:rtl/>
              </w:rPr>
              <w:t>10</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ילדים ומשמורת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83227"/>
            <w:tcBorders>
              <w:top w:val="single" w:sz="4" w:space="0" w:color="B83227"/>
              <w:left w:val="single" w:sz="4" w:space="0" w:color="B83227"/>
              <w:bottom w:val="single" w:sz="4" w:space="0" w:color="B83227"/>
              <w:right w:val="single" w:sz="4" w:space="0" w:color="B83227"/>
            </w:tcBorders>
          </w:tcPr>
          <w:p>
            <w:pPr>
              <w:bidi/>
              <w:spacing w:before="0" w:after="0" w:line="300" w:lineRule="auto"/>
              <w:jc w:val="center"/>
            </w:pPr>
            <w:r>
              <w:rPr>
                <w:rFonts w:ascii="Arial" w:hAnsi="Arial" w:cs="Arial" w:eastAsia="Arial"/>
                <w:b/>
                <w:bCs/>
                <w:color w:val="FFFFFF"/>
                <w:sz w:val="24"/>
                <w:szCs w:val="24"/>
                <w:rtl/>
              </w:rPr>
              <w:t>11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הלכת השיתוף</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55741A"/>
            <w:tcBorders>
              <w:top w:val="single" w:sz="4" w:space="0" w:color="55741A"/>
              <w:left w:val="single" w:sz="4" w:space="0" w:color="55741A"/>
              <w:bottom w:val="single" w:sz="4" w:space="0" w:color="55741A"/>
              <w:right w:val="single" w:sz="4" w:space="0" w:color="55741A"/>
            </w:tcBorders>
          </w:tcPr>
          <w:p>
            <w:pPr>
              <w:bidi/>
              <w:spacing w:before="0" w:after="0" w:line="300" w:lineRule="auto"/>
              <w:jc w:val="center"/>
            </w:pPr>
            <w:r>
              <w:rPr>
                <w:rFonts w:ascii="Arial" w:hAnsi="Arial" w:cs="Arial" w:eastAsia="Arial"/>
                <w:b/>
                <w:bCs/>
                <w:color w:val="FFFFFF"/>
                <w:sz w:val="24"/>
                <w:szCs w:val="24"/>
                <w:rtl/>
              </w:rPr>
              <w:t>12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חוק יחסי ממון ואיזון משאבים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C3E70"/>
            <w:tcBorders>
              <w:top w:val="single" w:sz="4" w:space="0" w:color="2C3E70"/>
              <w:left w:val="single" w:sz="4" w:space="0" w:color="2C3E70"/>
              <w:bottom w:val="single" w:sz="4" w:space="0" w:color="2C3E70"/>
              <w:right w:val="single" w:sz="4" w:space="0" w:color="2C3E70"/>
            </w:tcBorders>
          </w:tcPr>
          <w:p>
            <w:pPr>
              <w:bidi/>
              <w:spacing w:before="0" w:after="0" w:line="300" w:lineRule="auto"/>
              <w:jc w:val="center"/>
            </w:pPr>
            <w:r>
              <w:rPr>
                <w:rFonts w:ascii="Arial" w:hAnsi="Arial" w:cs="Arial" w:eastAsia="Arial"/>
                <w:b/>
                <w:bCs/>
                <w:color w:val="FFFFFF"/>
                <w:sz w:val="24"/>
                <w:szCs w:val="24"/>
                <w:rtl/>
              </w:rPr>
              <w:t>13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הסכמי ממון ונספח ירושה על פי דין</w:t>
            </w:r>
          </w:p>
        </w:tc>
      </w:tr>
    </w:tbl>
    <w:p>
      <w:pPr>
        <w:bidi/>
        <w:spacing w:after="0" w:before="0" w:line="80" w:lineRule="exact"/>
      </w:pPr>
      <w:r>
        <w:rPr>
          <w:sz w:val="2"/>
        </w:rPr>
      </w:r>
    </w:p>
    <w:p>
      <w:pPr>
        <w:bidi/>
        <w:spacing w:after="0" w:before="0" w:line="200" w:lineRule="exact"/>
      </w:pPr>
      <w:r>
        <w:rPr>
          <w:sz w:val="2"/>
        </w:rPr>
      </w:r>
    </w:p>
    <w:p>
      <w:pPr>
        <w:bidi/>
        <w:spacing w:before="0" w:after="80" w:line="300" w:lineRule="auto"/>
      </w:pPr>
      <w:r>
        <w:rPr>
          <w:rFonts w:ascii="Arial" w:hAnsi="Arial" w:cs="Arial" w:eastAsia="Arial"/>
          <w:b/>
          <w:bCs/>
          <w:color w:val="1F2430"/>
          <w:sz w:val="21"/>
          <w:szCs w:val="21"/>
          <w:rtl/>
        </w:rPr>
        <w:t>מקרא התיבות הצבעוניות:</w:t>
      </w:r>
    </w:p>
    <w:p>
      <w:pPr>
        <w:bidi/>
        <w:spacing w:before="0" w:after="80" w:line="300" w:lineRule="auto"/>
      </w:pPr>
      <w:r>
        <w:rPr>
          <w:rFonts w:ascii="Arial" w:hAnsi="Arial" w:cs="Arial" w:eastAsia="Arial"/>
          <w:b/>
          <w:bCs/>
          <w:color w:val="2F6FD6"/>
          <w:sz w:val="20"/>
          <w:szCs w:val="20"/>
          <w:rtl/>
        </w:rPr>
        <w:t xml:space="preserve"> ✦ הגדרה </w:t>
      </w:r>
      <w:r>
        <w:rPr>
          <w:rFonts w:ascii="Arial" w:hAnsi="Arial" w:cs="Arial" w:eastAsia="Arial"/>
          <w:sz w:val="20"/>
          <w:szCs w:val="20"/>
          <w:rtl/>
        </w:rPr>
        <w:t xml:space="preserve">   </w:t>
      </w:r>
      <w:r>
        <w:rPr>
          <w:rFonts w:ascii="Arial" w:hAnsi="Arial" w:cs="Arial" w:eastAsia="Arial"/>
          <w:b/>
          <w:bCs/>
          <w:color w:val="7B4FD0"/>
          <w:sz w:val="20"/>
          <w:szCs w:val="20"/>
          <w:rtl/>
        </w:rPr>
        <w:t xml:space="preserve"> § לשון החוק </w:t>
      </w:r>
      <w:r>
        <w:rPr>
          <w:rFonts w:ascii="Arial" w:hAnsi="Arial" w:cs="Arial" w:eastAsia="Arial"/>
          <w:sz w:val="20"/>
          <w:szCs w:val="20"/>
          <w:rtl/>
        </w:rPr>
        <w:t xml:space="preserve">   </w:t>
      </w:r>
      <w:r>
        <w:rPr>
          <w:rFonts w:ascii="Arial" w:hAnsi="Arial" w:cs="Arial" w:eastAsia="Arial"/>
          <w:b/>
          <w:bCs/>
          <w:color w:val="23935A"/>
          <w:sz w:val="20"/>
          <w:szCs w:val="20"/>
          <w:rtl/>
        </w:rPr>
        <w:t xml:space="preserve"> ⚖ פסק דין </w:t>
      </w:r>
      <w:r>
        <w:rPr>
          <w:rFonts w:ascii="Arial" w:hAnsi="Arial" w:cs="Arial" w:eastAsia="Arial"/>
          <w:sz w:val="20"/>
          <w:szCs w:val="20"/>
          <w:rtl/>
        </w:rPr>
        <w:t xml:space="preserve">   </w:t>
      </w:r>
      <w:r>
        <w:rPr>
          <w:rFonts w:ascii="Arial" w:hAnsi="Arial" w:cs="Arial" w:eastAsia="Arial"/>
          <w:b/>
          <w:bCs/>
          <w:color w:val="D99400"/>
          <w:sz w:val="20"/>
          <w:szCs w:val="20"/>
          <w:rtl/>
        </w:rPr>
        <w:t xml:space="preserve"> ★ טיפ למבחן </w:t>
      </w:r>
      <w:r>
        <w:rPr>
          <w:rFonts w:ascii="Arial" w:hAnsi="Arial" w:cs="Arial" w:eastAsia="Arial"/>
          <w:sz w:val="20"/>
          <w:szCs w:val="20"/>
          <w:rtl/>
        </w:rPr>
        <w:t xml:space="preserve">   </w:t>
      </w:r>
      <w:r>
        <w:rPr>
          <w:rFonts w:ascii="Arial" w:hAnsi="Arial" w:cs="Arial" w:eastAsia="Arial"/>
          <w:b/>
          <w:bCs/>
          <w:color w:val="D64545"/>
          <w:sz w:val="20"/>
          <w:szCs w:val="20"/>
          <w:rtl/>
        </w:rPr>
        <w:t xml:space="preserve"> ! שים לב! </w:t>
      </w:r>
      <w:r>
        <w:rPr>
          <w:rFonts w:ascii="Arial" w:hAnsi="Arial" w:cs="Arial" w:eastAsia="Arial"/>
          <w:sz w:val="20"/>
          <w:szCs w:val="20"/>
          <w:rtl/>
        </w:rPr>
        <w:t xml:space="preserve">   </w:t>
      </w:r>
      <w:r>
        <w:rPr>
          <w:rFonts w:ascii="Arial" w:hAnsi="Arial" w:cs="Arial" w:eastAsia="Arial"/>
          <w:b/>
          <w:bCs/>
          <w:color w:val="178F8F"/>
          <w:sz w:val="20"/>
          <w:szCs w:val="20"/>
          <w:rtl/>
        </w:rPr>
        <w:t xml:space="preserve"> ✎ דוגמה </w:t>
      </w:r>
      <w:r>
        <w:rPr>
          <w:rFonts w:ascii="Arial" w:hAnsi="Arial" w:cs="Arial" w:eastAsia="Arial"/>
          <w:sz w:val="20"/>
          <w:szCs w:val="20"/>
          <w:rtl/>
        </w:rPr>
        <w:t xml:space="preserve">   </w:t>
      </w:r>
      <w:r>
        <w:rPr>
          <w:rFonts w:ascii="Arial" w:hAnsi="Arial" w:cs="Arial" w:eastAsia="Arial"/>
          <w:b/>
          <w:bCs/>
          <w:color w:val="3F51B5"/>
          <w:sz w:val="20"/>
          <w:szCs w:val="20"/>
          <w:rtl/>
        </w:rPr>
        <w:t xml:space="preserve"> ✔ שורה תחתונה </w:t>
      </w:r>
      <w:r>
        <w:rPr>
          <w:rFonts w:ascii="Arial" w:hAnsi="Arial" w:cs="Arial" w:eastAsia="Arial"/>
          <w:sz w:val="20"/>
          <w:szCs w:val="20"/>
          <w:rtl/>
        </w:rPr>
        <w:t xml:space="preserve">   </w:t>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1E4FA3"/>
            <w:tcBorders>
              <w:top w:val="single" w:sz="4" w:space="0" w:color="1E4FA3"/>
              <w:left w:val="single" w:sz="4" w:space="0" w:color="1E4FA3"/>
              <w:bottom w:val="single" w:sz="4" w:space="0" w:color="1E4FA3"/>
              <w:right w:val="single" w:sz="4" w:space="0" w:color="1E4FA3"/>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w:t>
            </w:r>
          </w:p>
          <w:p>
            <w:pPr>
              <w:bidi/>
              <w:spacing w:before="0" w:after="0" w:line="264" w:lineRule="auto"/>
              <w:outlineLvl w:val="0"/>
            </w:pPr>
            <w:r>
              <w:rPr>
                <w:rFonts w:ascii="Arial" w:hAnsi="Arial" w:cs="Arial" w:eastAsia="Arial"/>
                <w:b/>
                <w:bCs/>
                <w:color w:val="FFFFFF"/>
                <w:sz w:val="42"/>
                <w:szCs w:val="42"/>
                <w:rtl/>
              </w:rPr>
              <w:t>מבוא – מערכת השיפוט הכפולה בדיני המשפחה</w:t>
            </w:r>
          </w:p>
        </w:tc>
      </w:tr>
    </w:tbl>
    <w:p>
      <w:pPr>
        <w:bidi/>
        <w:spacing w:after="0" w:before="0" w:line="20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1.1 הרעיון המרכזי: פיצול כפול</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סכסוך משפחתי</w:t>
      </w:r>
      <w:r>
        <w:rPr>
          <w:rFonts w:ascii="Arial" w:hAnsi="Arial" w:cs="Arial" w:eastAsia="Arial"/>
          <w:color w:val="1F2430"/>
          <w:sz w:val="19"/>
          <w:szCs w:val="19"/>
          <w:rtl/>
        </w:rPr>
        <w:t xml:space="preserve"> = טעון, רגשי, "דיני נפשות"; חוצה את כל ענפי המשפט ואף גובר עליהם (הסכם ממון טעון אישור; רישום בטאבו אינו מכריע).</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שני ערוצים שאינם נפגשים:</w:t>
      </w:r>
      <w:r>
        <w:rPr>
          <w:rFonts w:ascii="Arial" w:hAnsi="Arial" w:cs="Arial" w:eastAsia="Arial"/>
          <w:color w:val="1F2430"/>
          <w:sz w:val="19"/>
          <w:szCs w:val="19"/>
          <w:rtl/>
        </w:rPr>
        <w:t xml:space="preserve"> בית הדין הרבני ובית המשפט לענייני משפחה.</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שני מישורים: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סמכות שיפוט</w:t>
      </w:r>
      <w:r>
        <w:rPr>
          <w:rFonts w:ascii="Arial" w:hAnsi="Arial" w:cs="Arial" w:eastAsia="Arial"/>
          <w:color w:val="1F2430"/>
          <w:sz w:val="19"/>
          <w:szCs w:val="19"/>
          <w:rtl/>
        </w:rPr>
        <w:t xml:space="preserve"> (מי דן?) ו</w:t>
      </w:r>
      <w:r>
        <w:rPr>
          <w:rFonts w:ascii="Arial" w:hAnsi="Arial" w:cs="Arial" w:eastAsia="Arial"/>
          <w:color w:val="1F2430"/>
          <w:sz w:val="19"/>
          <w:szCs w:val="19"/>
          <w:highlight w:val="yellow"/>
          <w:rtl/>
        </w:rPr>
        <w:t>ברירת דין</w:t>
      </w:r>
      <w:r>
        <w:rPr>
          <w:rFonts w:ascii="Arial" w:hAnsi="Arial" w:cs="Arial" w:eastAsia="Arial"/>
          <w:color w:val="1F2430"/>
          <w:sz w:val="19"/>
          <w:szCs w:val="19"/>
          <w:rtl/>
        </w:rPr>
        <w:t xml:space="preserve"> (לפי איזה 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חובת יישוב סכסוך</w:t>
      </w:r>
      <w:r>
        <w:rPr>
          <w:rFonts w:ascii="Arial" w:hAnsi="Arial" w:cs="Arial" w:eastAsia="Arial"/>
          <w:color w:val="1F2430"/>
          <w:sz w:val="19"/>
          <w:szCs w:val="19"/>
          <w:rtl/>
        </w:rPr>
        <w:t xml:space="preserve"> (מיולי 2016): קודם בקשה ליישוב סכסוך ופגישות מהו״ת – רק אחר כך תביעה (פרק 5).</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שלושת שלבי הניתוח – לכל שאלת מבחן</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למי הסמכות? 2. איזה דין חל – אישי או טריטוריאלי? 3. מה קובע אותו דין לגופו של עניין?</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1.2 דבר המלך במועצתו (מנדט, 1922 – עדיין בתוקף)</w:t>
      </w:r>
    </w:p>
    <w:tbl>
      <w:tblPr>
        <w:tblW w:type="dxa" w:w="10206"/>
        <w:jc w:val="center"/>
        <w:tblLook w:firstColumn="1" w:firstRow="1" w:lastColumn="0" w:lastRow="0" w:noHBand="0" w:noVBand="1" w:val="04A0"/>
        <w:bidiVisual/>
        <w:tblLayout w:type="fixed"/>
      </w:tblPr>
      <w:tblGrid>
        <w:gridCol w:w="1243"/>
        <w:gridCol w:w="5493"/>
        <w:gridCol w:w="3469"/>
      </w:tblGrid>
      <w:tr>
        <w:trPr>
          <w:tblHeader/>
        </w:trPr>
        <w:tc>
          <w:tcPr>
            <w:tcW w:type="dxa" w:w="1244"/>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סימן</w:t>
            </w:r>
          </w:p>
        </w:tc>
        <w:tc>
          <w:tcPr>
            <w:tcW w:type="dxa" w:w="549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סמכות</w:t>
            </w:r>
          </w:p>
        </w:tc>
        <w:tc>
          <w:tcPr>
            <w:tcW w:type="dxa" w:w="3469"/>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w:t>
            </w:r>
          </w:p>
        </w:tc>
      </w:tr>
      <w:tr>
        <w:trPr>
          <w:cantSplit/>
        </w:trPr>
        <w:tc>
          <w:tcPr>
            <w:tcW w:type="dxa" w:w="124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51</w:t>
            </w:r>
          </w:p>
        </w:tc>
        <w:tc>
          <w:tcPr>
            <w:tcW w:type="dxa" w:w="54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ענייני מעמד אישי </w:t>
            </w:r>
            <w:r>
              <w:rPr>
                <w:rFonts w:ascii="Arial" w:hAnsi="Arial" w:cs="Arial" w:eastAsia="Arial"/>
                <w:b/>
                <w:bCs/>
                <w:color w:val="1F2430"/>
                <w:sz w:val="17"/>
                <w:szCs w:val="17"/>
                <w:rtl/>
              </w:rPr>
              <w:t>מסורים לבתי דין העדות הדתיות</w:t>
            </w:r>
          </w:p>
        </w:tc>
        <w:tc>
          <w:tcPr>
            <w:tcW w:type="dxa" w:w="346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דתי (הם בתי דין דתיים)</w:t>
            </w:r>
          </w:p>
        </w:tc>
      </w:tr>
      <w:tr>
        <w:trPr>
          <w:cantSplit/>
        </w:trPr>
        <w:tc>
          <w:tcPr>
            <w:tcW w:type="dxa" w:w="124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47</w:t>
            </w:r>
          </w:p>
        </w:tc>
        <w:tc>
          <w:tcPr>
            <w:tcW w:type="dxa" w:w="54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"יהא לבתי המשפט האזרחיים </w:t>
            </w:r>
            <w:r>
              <w:rPr>
                <w:rFonts w:ascii="Arial" w:hAnsi="Arial" w:cs="Arial" w:eastAsia="Arial"/>
                <w:b/>
                <w:bCs/>
                <w:color w:val="1F2430"/>
                <w:sz w:val="17"/>
                <w:szCs w:val="17"/>
                <w:rtl/>
              </w:rPr>
              <w:t>גם</w:t>
            </w:r>
            <w:r>
              <w:rPr>
                <w:rFonts w:ascii="Arial" w:hAnsi="Arial" w:cs="Arial" w:eastAsia="Arial"/>
                <w:color w:val="1F2430"/>
                <w:sz w:val="17"/>
                <w:szCs w:val="17"/>
                <w:rtl/>
              </w:rPr>
              <w:t xml:space="preserve"> שיפוט" = סמכות </w:t>
            </w:r>
            <w:r>
              <w:rPr>
                <w:rFonts w:ascii="Arial" w:hAnsi="Arial" w:cs="Arial" w:eastAsia="Arial"/>
                <w:b/>
                <w:bCs/>
                <w:color w:val="1F2430"/>
                <w:sz w:val="17"/>
                <w:szCs w:val="17"/>
                <w:rtl/>
              </w:rPr>
              <w:t>מקבילה</w:t>
            </w:r>
          </w:p>
        </w:tc>
        <w:tc>
          <w:tcPr>
            <w:tcW w:type="dxa" w:w="346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"לפי </w:t>
            </w:r>
            <w:r>
              <w:rPr>
                <w:rFonts w:ascii="Arial" w:hAnsi="Arial" w:cs="Arial" w:eastAsia="Arial"/>
                <w:b/>
                <w:bCs/>
                <w:color w:val="1F2430"/>
                <w:sz w:val="17"/>
                <w:szCs w:val="17"/>
                <w:rtl/>
              </w:rPr>
              <w:t>הדין האישי</w:t>
            </w:r>
            <w:r>
              <w:rPr>
                <w:rFonts w:ascii="Arial" w:hAnsi="Arial" w:cs="Arial" w:eastAsia="Arial"/>
                <w:color w:val="1F2430"/>
                <w:sz w:val="17"/>
                <w:szCs w:val="17"/>
                <w:rtl/>
              </w:rPr>
              <w:t xml:space="preserve"> החל", בכפוף לחוק</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ענייני המעמד האישי בסימן 51 (שבעה):</w:t>
      </w:r>
      <w:r>
        <w:rPr>
          <w:rFonts w:ascii="Arial" w:hAnsi="Arial" w:cs="Arial" w:eastAsia="Arial"/>
          <w:color w:val="1F2430"/>
          <w:sz w:val="19"/>
          <w:szCs w:val="19"/>
          <w:rtl/>
        </w:rPr>
        <w:t xml:space="preserve"> נישואין או גיטין, מזונות, כלכלה, אפוטרופסות, כשרות יוחסין של קטינים, איסור שימוש ברכוש של פסולים, הנהלת נכסי נעדרים. בקורס – </w:t>
      </w:r>
      <w:r>
        <w:rPr>
          <w:rFonts w:ascii="Arial" w:hAnsi="Arial" w:cs="Arial" w:eastAsia="Arial"/>
          <w:color w:val="1F2430"/>
          <w:sz w:val="19"/>
          <w:szCs w:val="19"/>
          <w:highlight w:val="yellow"/>
          <w:rtl/>
        </w:rPr>
        <w:t>נמכ״א</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91"/>
        <w:gridCol w:w="2377"/>
        <w:gridCol w:w="6537"/>
      </w:tblGrid>
      <w:tr>
        <w:trPr>
          <w:tblHeader/>
        </w:trPr>
        <w:tc>
          <w:tcPr>
            <w:tcW w:type="dxa" w:w="1291"/>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אות</w:t>
            </w:r>
          </w:p>
        </w:tc>
        <w:tc>
          <w:tcPr>
            <w:tcW w:type="dxa" w:w="237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עניין</w:t>
            </w:r>
          </w:p>
        </w:tc>
        <w:tc>
          <w:tcPr>
            <w:tcW w:type="dxa" w:w="653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פירוש</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w:t>
            </w:r>
          </w:p>
        </w:tc>
        <w:tc>
          <w:tcPr>
            <w:tcW w:type="dxa" w:w="237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w:t>
            </w:r>
          </w:p>
        </w:tc>
        <w:tc>
          <w:tcPr>
            <w:tcW w:type="dxa" w:w="653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עצם הקשר הזוגי</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w:t>
            </w:r>
          </w:p>
        </w:tc>
        <w:tc>
          <w:tcPr>
            <w:tcW w:type="dxa" w:w="237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מזונות</w:t>
            </w:r>
          </w:p>
        </w:tc>
        <w:tc>
          <w:tcPr>
            <w:tcW w:type="dxa" w:w="653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מזונות </w:t>
            </w:r>
            <w:r>
              <w:rPr>
                <w:rFonts w:ascii="Arial" w:hAnsi="Arial" w:cs="Arial" w:eastAsia="Arial"/>
                <w:b/>
                <w:bCs/>
                <w:color w:val="1F2430"/>
                <w:sz w:val="17"/>
                <w:szCs w:val="17"/>
                <w:rtl/>
              </w:rPr>
              <w:t>אישה</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w:t>
            </w:r>
          </w:p>
        </w:tc>
        <w:tc>
          <w:tcPr>
            <w:tcW w:type="dxa" w:w="237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כלכלה</w:t>
            </w:r>
          </w:p>
        </w:tc>
        <w:tc>
          <w:tcPr>
            <w:tcW w:type="dxa" w:w="653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מזונות </w:t>
            </w:r>
            <w:r>
              <w:rPr>
                <w:rFonts w:ascii="Arial" w:hAnsi="Arial" w:cs="Arial" w:eastAsia="Arial"/>
                <w:b/>
                <w:bCs/>
                <w:color w:val="1F2430"/>
                <w:sz w:val="17"/>
                <w:szCs w:val="17"/>
                <w:rtl/>
              </w:rPr>
              <w:t>ילדים</w:t>
            </w:r>
            <w:r>
              <w:rPr>
                <w:rFonts w:ascii="Arial" w:hAnsi="Arial" w:cs="Arial" w:eastAsia="Arial"/>
                <w:color w:val="1F2430"/>
                <w:sz w:val="17"/>
                <w:szCs w:val="17"/>
                <w:rtl/>
              </w:rPr>
              <w:t xml:space="preserve"> – לא רכוש!</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א</w:t>
            </w:r>
          </w:p>
        </w:tc>
        <w:tc>
          <w:tcPr>
            <w:tcW w:type="dxa" w:w="237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אפוטרופסות</w:t>
            </w:r>
          </w:p>
        </w:tc>
        <w:tc>
          <w:tcPr>
            <w:tcW w:type="dxa" w:w="653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ענייני ילדים – כולל </w:t>
            </w:r>
            <w:r>
              <w:rPr>
                <w:rFonts w:ascii="Arial" w:hAnsi="Arial" w:cs="Arial" w:eastAsia="Arial"/>
                <w:b/>
                <w:bCs/>
                <w:color w:val="1F2430"/>
                <w:sz w:val="17"/>
                <w:szCs w:val="17"/>
                <w:rtl/>
              </w:rPr>
              <w:t>חינוך</w:t>
            </w:r>
            <w:r>
              <w:rPr>
                <w:rFonts w:ascii="Arial" w:hAnsi="Arial" w:cs="Arial" w:eastAsia="Arial"/>
                <w:color w:val="1F2430"/>
                <w:sz w:val="17"/>
                <w:szCs w:val="17"/>
                <w:rtl/>
              </w:rPr>
              <w:t xml:space="preserve"> (תשובת המרצה)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פסקי דין של בתי הדין מחייבים כמו של בתי משפט; יש להם אמצעי אכיפה (צו עיכוב יציאה).</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רציונל הסמכות המקבילה:</w:t>
      </w:r>
      <w:r>
        <w:rPr>
          <w:rFonts w:ascii="Arial" w:hAnsi="Arial" w:cs="Arial" w:eastAsia="Arial"/>
          <w:color w:val="1F2430"/>
          <w:sz w:val="19"/>
          <w:szCs w:val="19"/>
          <w:rtl/>
        </w:rPr>
        <w:t xml:space="preserve"> לאפשר לנשים לברוח מקיפוח אפשרי בבית הדין – </w:t>
      </w:r>
      <w:r>
        <w:rPr>
          <w:rFonts w:ascii="Arial" w:hAnsi="Arial" w:cs="Arial" w:eastAsia="Arial"/>
          <w:b/>
          <w:bCs/>
          <w:color w:val="1F2430"/>
          <w:sz w:val="19"/>
          <w:szCs w:val="19"/>
          <w:rtl/>
        </w:rPr>
        <w:t>רק אם הן מגיעות ראשונות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התובע הראשון בוחר ערכאה – לא 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עד 1953 גם בית משפט אזרחי יכול היה לגרש.</w:t>
      </w:r>
    </w:p>
    <w:p>
      <w:pPr>
        <w:bidi/>
        <w:spacing w:before="0" w:after="100" w:line="300" w:lineRule="auto"/>
        <w:jc w:val="both"/>
      </w:pPr>
      <w:r>
        <w:rPr>
          <w:rFonts w:ascii="Arial" w:hAnsi="Arial" w:cs="Arial" w:eastAsia="Arial"/>
          <w:b/>
          <w:bCs/>
          <w:color w:val="1F2430"/>
          <w:sz w:val="19"/>
          <w:szCs w:val="19"/>
          <w:rtl/>
        </w:rPr>
        <w:t>עדות אחרות:</w:t>
      </w:r>
      <w:r>
        <w:rPr>
          <w:rFonts w:ascii="Arial" w:hAnsi="Arial" w:cs="Arial" w:eastAsia="Arial"/>
          <w:color w:val="1F2430"/>
          <w:sz w:val="19"/>
          <w:szCs w:val="19"/>
          <w:rtl/>
        </w:rPr>
        <w:t xml:space="preserve"> מוסלמים – סימן 52 (חוק הפרוצדורה העות׳מאני, רשימה ארוכה, דין שרעי); נוצרים – סימן 54 (נישואין, גירושין, מזונות); דרוזים – בתי דין משלהם. זוגות מעורבים / ספק דת – בית משפט אזרחי לפי חוק התרת נישואין (מקרים מיוחדים) 1969 (פרק 2).</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1.3 דין אישי מול טריטוריאלי</w:t>
      </w:r>
    </w:p>
    <w:tbl>
      <w:tblPr>
        <w:tblW w:type="dxa" w:w="10206"/>
        <w:jc w:val="center"/>
        <w:tblLook w:firstColumn="1" w:firstRow="1" w:lastColumn="0" w:lastRow="0" w:noHBand="0" w:noVBand="1" w:val="04A0"/>
        <w:bidiVisual/>
        <w:tblLayout w:type="fixed"/>
      </w:tblPr>
      <w:tblGrid>
        <w:gridCol w:w="1255"/>
        <w:gridCol w:w="4693"/>
        <w:gridCol w:w="4257"/>
      </w:tblGrid>
      <w:tr>
        <w:trPr>
          <w:tblHeader/>
        </w:trPr>
        <w:tc>
          <w:tcPr>
            <w:tcW w:type="dxa" w:w="1255"/>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p>
        </w:tc>
        <w:tc>
          <w:tcPr>
            <w:tcW w:type="dxa" w:w="4693"/>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 אישי</w:t>
            </w:r>
          </w:p>
        </w:tc>
        <w:tc>
          <w:tcPr>
            <w:tcW w:type="dxa" w:w="425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 טריטוריאלי</w:t>
            </w:r>
          </w:p>
        </w:tc>
      </w:tr>
      <w:tr>
        <w:trPr>
          <w:cantSplit/>
        </w:trPr>
        <w:tc>
          <w:tcPr>
            <w:tcW w:type="dxa" w:w="125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חל על</w:t>
            </w:r>
          </w:p>
        </w:tc>
        <w:tc>
          <w:tcPr>
            <w:tcW w:type="dxa" w:w="469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לפי השתייכות דתית</w:t>
            </w:r>
          </w:p>
        </w:tc>
        <w:tc>
          <w:tcPr>
            <w:tcW w:type="dxa" w:w="425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מי שבשטח המדינה</w:t>
            </w:r>
          </w:p>
        </w:tc>
      </w:tr>
      <w:tr>
        <w:trPr>
          <w:cantSplit/>
        </w:trPr>
        <w:tc>
          <w:tcPr>
            <w:tcW w:type="dxa" w:w="125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אחידות</w:t>
            </w:r>
          </w:p>
        </w:tc>
        <w:tc>
          <w:tcPr>
            <w:tcW w:type="dxa" w:w="469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לא אחיד (דין תורה / שרעי...)</w:t>
            </w:r>
          </w:p>
        </w:tc>
        <w:tc>
          <w:tcPr>
            <w:tcW w:type="dxa" w:w="425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אחיד, "עיוור" לדת</w:t>
            </w:r>
          </w:p>
        </w:tc>
      </w:tr>
      <w:tr>
        <w:trPr>
          <w:cantSplit/>
        </w:trPr>
        <w:tc>
          <w:tcPr>
            <w:tcW w:type="dxa" w:w="125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נושאים</w:t>
            </w:r>
          </w:p>
        </w:tc>
        <w:tc>
          <w:tcPr>
            <w:tcW w:type="dxa" w:w="469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מזונות אישה, מזונות ילדים</w:t>
            </w:r>
          </w:p>
        </w:tc>
        <w:tc>
          <w:tcPr>
            <w:tcW w:type="dxa" w:w="425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אימוץ, ירושה, רכוש, משמורת (חוק הכשרות)</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זילברג:</w:t>
      </w:r>
      <w:r>
        <w:rPr>
          <w:rFonts w:ascii="Arial" w:hAnsi="Arial" w:cs="Arial" w:eastAsia="Arial"/>
          <w:color w:val="1F2430"/>
          <w:sz w:val="19"/>
          <w:szCs w:val="19"/>
          <w:rtl/>
        </w:rPr>
        <w:t xml:space="preserve"> הסדרם "אינו דבר השווה לכל נפש... חוט של הווי ומסורת משוך עליהם".</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אימוץ וירושה:</w:t>
      </w:r>
      <w:r>
        <w:rPr>
          <w:rFonts w:ascii="Arial" w:hAnsi="Arial" w:cs="Arial" w:eastAsia="Arial"/>
          <w:color w:val="1F2430"/>
          <w:sz w:val="19"/>
          <w:szCs w:val="19"/>
          <w:rtl/>
        </w:rPr>
        <w:t xml:space="preserve"> בעבר ענייני מעמד אישי (דין דתי + שתי ערכאות) → החקיקה הוציאה אותם → דין </w:t>
      </w:r>
      <w:r>
        <w:rPr>
          <w:rFonts w:ascii="Arial" w:hAnsi="Arial" w:cs="Arial" w:eastAsia="Arial"/>
          <w:b/>
          <w:bCs/>
          <w:color w:val="1F2430"/>
          <w:sz w:val="19"/>
          <w:szCs w:val="19"/>
          <w:rtl/>
        </w:rPr>
        <w:t>אזרחי</w:t>
      </w:r>
      <w:r>
        <w:rPr>
          <w:rFonts w:ascii="Arial" w:hAnsi="Arial" w:cs="Arial" w:eastAsia="Arial"/>
          <w:color w:val="1F2430"/>
          <w:sz w:val="19"/>
          <w:szCs w:val="19"/>
          <w:rtl/>
        </w:rPr>
        <w:t xml:space="preserve"> (בירושה – שוויון בנים ובנות).</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155 לחוק הירושה:</w:t>
      </w:r>
      <w:r>
        <w:rPr>
          <w:rFonts w:ascii="Arial" w:hAnsi="Arial" w:cs="Arial" w:eastAsia="Arial"/>
          <w:color w:val="1F2430"/>
          <w:sz w:val="19"/>
          <w:szCs w:val="19"/>
          <w:rtl/>
        </w:rPr>
        <w:t xml:space="preserve"> בית דין דתי ידון בירושה רק אם </w:t>
      </w:r>
      <w:r>
        <w:rPr>
          <w:rFonts w:ascii="Arial" w:hAnsi="Arial" w:cs="Arial" w:eastAsia="Arial"/>
          <w:b/>
          <w:bCs/>
          <w:color w:val="1F2430"/>
          <w:sz w:val="19"/>
          <w:szCs w:val="19"/>
          <w:rtl/>
        </w:rPr>
        <w:t>כל</w:t>
      </w:r>
      <w:r>
        <w:rPr>
          <w:rFonts w:ascii="Arial" w:hAnsi="Arial" w:cs="Arial" w:eastAsia="Arial"/>
          <w:color w:val="1F2430"/>
          <w:sz w:val="19"/>
          <w:szCs w:val="19"/>
          <w:rtl/>
        </w:rPr>
        <w:t xml:space="preserve"> הצדדים הסכימו </w:t>
      </w:r>
      <w:r>
        <w:rPr>
          <w:rFonts w:ascii="Arial" w:hAnsi="Arial" w:cs="Arial" w:eastAsia="Arial"/>
          <w:b/>
          <w:bCs/>
          <w:color w:val="1F2430"/>
          <w:sz w:val="19"/>
          <w:szCs w:val="19"/>
          <w:rtl/>
        </w:rPr>
        <w:t>בכתב</w:t>
      </w:r>
      <w:r>
        <w:rPr>
          <w:rFonts w:ascii="Arial" w:hAnsi="Arial" w:cs="Arial" w:eastAsia="Arial"/>
          <w:color w:val="1F2430"/>
          <w:sz w:val="19"/>
          <w:szCs w:val="19"/>
          <w:rtl/>
        </w:rPr>
        <w:t>; יורש אחד מתנגד = אין סמכות. (המרצה: ירושה לא תילמד לעומק.)</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אפוטרופסות:</w:t>
      </w:r>
      <w:r>
        <w:rPr>
          <w:rFonts w:ascii="Arial" w:hAnsi="Arial" w:cs="Arial" w:eastAsia="Arial"/>
          <w:color w:val="1F2430"/>
          <w:sz w:val="19"/>
          <w:szCs w:val="19"/>
          <w:rtl/>
        </w:rPr>
        <w:t xml:space="preserve"> ברשימה של סימן 51 (סמכות לבית הדין), אבל הדין – </w:t>
      </w:r>
      <w:r>
        <w:rPr>
          <w:rFonts w:ascii="Arial" w:hAnsi="Arial" w:cs="Arial" w:eastAsia="Arial"/>
          <w:b/>
          <w:bCs/>
          <w:color w:val="1F2430"/>
          <w:sz w:val="19"/>
          <w:szCs w:val="19"/>
          <w:rtl/>
        </w:rPr>
        <w:t>חוק הכשרות המשפטית והאפוטרופסות</w:t>
      </w:r>
      <w:r>
        <w:rPr>
          <w:rFonts w:ascii="Arial" w:hAnsi="Arial" w:cs="Arial" w:eastAsia="Arial"/>
          <w:color w:val="1F2430"/>
          <w:sz w:val="19"/>
          <w:szCs w:val="19"/>
          <w:rtl/>
        </w:rPr>
        <w:t xml:space="preserve"> (טריטוריאלי, חוק מאוחר גובר); לקונה – מדין תורה.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הדין הולך אחר הדיין</w:t>
            </w:r>
          </w:p>
          <w:p>
            <w:pPr>
              <w:bidi/>
              <w:spacing w:before="0" w:after="60" w:line="300" w:lineRule="auto"/>
              <w:jc w:val="both"/>
            </w:pPr>
            <w:r>
              <w:rPr>
                <w:rFonts w:ascii="Arial" w:hAnsi="Arial" w:cs="Arial" w:eastAsia="Arial"/>
                <w:color w:val="1F2430"/>
                <w:sz w:val="18"/>
                <w:szCs w:val="18"/>
                <w:rtl/>
              </w:rPr>
              <w:t xml:space="preserve">ברירת מחדל פסיקתית: בהעדר הוראת חוק – ערכאה דתית = דין דתי, ערכאה אזרחית = דין אזרחי. </w:t>
            </w:r>
            <w:r>
              <w:rPr>
                <w:rFonts w:ascii="Arial" w:hAnsi="Arial" w:cs="Arial" w:eastAsia="Arial"/>
                <w:b/>
                <w:bCs/>
                <w:color w:val="1F2430"/>
                <w:sz w:val="18"/>
                <w:szCs w:val="18"/>
                <w:rtl/>
              </w:rPr>
              <w:t>כשיש הוראת חוק – פועלים לפיה</w:t>
            </w:r>
            <w:r>
              <w:rPr>
                <w:rFonts w:ascii="Arial" w:hAnsi="Arial" w:cs="Arial" w:eastAsia="Arial"/>
                <w:color w:val="1F2430"/>
                <w:sz w:val="18"/>
                <w:szCs w:val="18"/>
                <w:rtl/>
              </w:rPr>
              <w:t xml:space="preserve"> (למשל סעיף 2(א) לחוק המזונות: מזונות בן זוג לפי הדין האישי – בשתי הערכאות).</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1.4 חוק שיפוט בתי דין רבניים, 1953 – מפה</w:t>
      </w:r>
    </w:p>
    <w:tbl>
      <w:tblPr>
        <w:tblW w:type="dxa" w:w="10206"/>
        <w:jc w:val="center"/>
        <w:tblLook w:firstColumn="1" w:firstRow="1" w:lastColumn="0" w:lastRow="0" w:noHBand="0" w:noVBand="1" w:val="04A0"/>
        <w:bidiVisual/>
        <w:tblLayout w:type="fixed"/>
      </w:tblPr>
      <w:tblGrid>
        <w:gridCol w:w="1247"/>
        <w:gridCol w:w="7710"/>
        <w:gridCol w:w="1247"/>
      </w:tblGrid>
      <w:tr>
        <w:trPr>
          <w:tblHeader/>
        </w:trPr>
        <w:tc>
          <w:tcPr>
            <w:tcW w:type="dxa" w:w="1248"/>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7709"/>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c>
          <w:tcPr>
            <w:tcW w:type="dxa" w:w="1248"/>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נישואין וגירושין של יהודים בישראל, אזרחים או תושבים – </w:t>
            </w:r>
            <w:r>
              <w:rPr>
                <w:rFonts w:ascii="Arial" w:hAnsi="Arial" w:cs="Arial" w:eastAsia="Arial"/>
                <w:b/>
                <w:bCs/>
                <w:color w:val="1F2430"/>
                <w:sz w:val="17"/>
                <w:szCs w:val="17"/>
                <w:rtl/>
              </w:rPr>
              <w:t>ייחודי</w:t>
            </w:r>
            <w:r>
              <w:rPr>
                <w:rFonts w:ascii="Arial" w:hAnsi="Arial" w:cs="Arial" w:eastAsia="Arial"/>
                <w:color w:val="1F2430"/>
                <w:sz w:val="17"/>
                <w:szCs w:val="17"/>
                <w:rtl/>
              </w:rPr>
              <w:t xml:space="preserve"> לרבני; 4 תנאים </w:t>
            </w:r>
            <w:r>
              <w:rPr>
                <w:rFonts w:ascii="Arial" w:hAnsi="Arial" w:cs="Arial" w:eastAsia="Arial"/>
                <w:b/>
                <w:bCs/>
                <w:color w:val="1F2430"/>
                <w:sz w:val="17"/>
                <w:szCs w:val="17"/>
                <w:rtl/>
              </w:rPr>
              <w:t>מצטברים</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2</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"נישואין וגירושין של יהודים ייערכו בישראל על פי </w:t>
            </w:r>
            <w:r>
              <w:rPr>
                <w:rFonts w:ascii="Arial" w:hAnsi="Arial" w:cs="Arial" w:eastAsia="Arial"/>
                <w:b/>
                <w:bCs/>
                <w:color w:val="1F2430"/>
                <w:sz w:val="17"/>
                <w:szCs w:val="17"/>
                <w:rtl/>
              </w:rPr>
              <w:t>דין תורה</w:t>
            </w:r>
            <w:r>
              <w:rPr>
                <w:rFonts w:ascii="Arial" w:hAnsi="Arial" w:cs="Arial" w:eastAsia="Arial"/>
                <w:color w:val="1F2430"/>
                <w:sz w:val="17"/>
                <w:szCs w:val="17"/>
                <w:rtl/>
              </w:rPr>
              <w:t>" – ברירת דין</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1–2</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כריכה לתביעת גירושין</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4</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מזונות אישה שלא אגב גירושין</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3, 6</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 4ב</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בין-לאומית</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9</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סמכות בהסכמה בענייני מעמד אישי</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 xml:space="preserve">אחרי 1953: נישואין וגירושין – </w:t>
      </w:r>
      <w:r>
        <w:rPr>
          <w:rFonts w:ascii="Arial" w:hAnsi="Arial" w:cs="Arial" w:eastAsia="Arial"/>
          <w:b/>
          <w:bCs/>
          <w:color w:val="1F2430"/>
          <w:sz w:val="19"/>
          <w:szCs w:val="19"/>
          <w:rtl/>
        </w:rPr>
        <w:t>ייחודי</w:t>
      </w:r>
      <w:r>
        <w:rPr>
          <w:rFonts w:ascii="Arial" w:hAnsi="Arial" w:cs="Arial" w:eastAsia="Arial"/>
          <w:color w:val="1F2430"/>
          <w:sz w:val="19"/>
          <w:szCs w:val="19"/>
          <w:rtl/>
        </w:rPr>
        <w:t xml:space="preserve">; מזונות, כלכלה, אפוטרופסות – </w:t>
      </w:r>
      <w:r>
        <w:rPr>
          <w:rFonts w:ascii="Arial" w:hAnsi="Arial" w:cs="Arial" w:eastAsia="Arial"/>
          <w:b/>
          <w:bCs/>
          <w:color w:val="1F2430"/>
          <w:sz w:val="19"/>
          <w:szCs w:val="19"/>
          <w:rtl/>
        </w:rPr>
        <w:t>מקביל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המירוץ לא נעלם – הצטמצם</w:t>
      </w:r>
      <w:r>
        <w:rPr>
          <w:rFonts w:ascii="Arial" w:hAnsi="Arial" w:cs="Arial" w:eastAsia="Arial"/>
          <w:color w:val="1F2430"/>
          <w:sz w:val="19"/>
          <w:szCs w:val="19"/>
          <w:rtl/>
        </w:rPr>
        <w:t xml:space="preserve"> לנושאים המקבילים. על תביעת הגירושין עצמה </w:t>
      </w:r>
      <w:r>
        <w:rPr>
          <w:rFonts w:ascii="Arial" w:hAnsi="Arial" w:cs="Arial" w:eastAsia="Arial"/>
          <w:b/>
          <w:bCs/>
          <w:color w:val="1F2430"/>
          <w:sz w:val="19"/>
          <w:szCs w:val="19"/>
          <w:rtl/>
        </w:rPr>
        <w:t>אין מירוץ</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סידיס:</w:t>
      </w:r>
      <w:r>
        <w:rPr>
          <w:rFonts w:ascii="Arial" w:hAnsi="Arial" w:cs="Arial" w:eastAsia="Arial"/>
          <w:color w:val="1F2430"/>
          <w:sz w:val="19"/>
          <w:szCs w:val="19"/>
          <w:rtl/>
        </w:rPr>
        <w:t xml:space="preserve"> ענייני ממון "נשרו" מענייני הנישואין – </w:t>
      </w:r>
      <w:r>
        <w:rPr>
          <w:rFonts w:ascii="Arial" w:hAnsi="Arial" w:cs="Arial" w:eastAsia="Arial"/>
          <w:b/>
          <w:bCs/>
          <w:color w:val="1F2430"/>
          <w:sz w:val="19"/>
          <w:szCs w:val="19"/>
          <w:rtl/>
        </w:rPr>
        <w:t>חוץ מהכתובה</w:t>
      </w:r>
      <w:r>
        <w:rPr>
          <w:rFonts w:ascii="Arial" w:hAnsi="Arial" w:cs="Arial" w:eastAsia="Arial"/>
          <w:color w:val="1F2430"/>
          <w:sz w:val="19"/>
          <w:szCs w:val="19"/>
          <w:rtl/>
        </w:rPr>
        <w:t xml:space="preserve"> (נשארה ייחודית לרבני).</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כשרות עדים – רק בית הדין קובע; בג״ץ לא יתערב.</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1.5 כפיפות בתי הדין לחקיקה האזרחית</w:t>
      </w:r>
    </w:p>
    <w:p>
      <w:pPr>
        <w:bidi/>
        <w:spacing w:before="0" w:after="100" w:line="300" w:lineRule="auto"/>
        <w:jc w:val="both"/>
      </w:pPr>
      <w:r>
        <w:rPr>
          <w:rFonts w:ascii="Arial" w:hAnsi="Arial" w:cs="Arial" w:eastAsia="Arial"/>
          <w:b/>
          <w:bCs/>
          <w:color w:val="1F2430"/>
          <w:sz w:val="19"/>
          <w:szCs w:val="19"/>
          <w:rtl/>
        </w:rPr>
        <w:t>חוק שיווי זכויות האישה, 1951:</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w:t>
      </w:r>
      <w:r>
        <w:rPr>
          <w:rFonts w:ascii="Arial" w:hAnsi="Arial" w:cs="Arial" w:eastAsia="Arial"/>
          <w:color w:val="1F2430"/>
          <w:sz w:val="19"/>
          <w:szCs w:val="19"/>
          <w:rtl/>
        </w:rPr>
        <w:t xml:space="preserve"> (כיום 1א(א)): "דין אחד יהיה לאשה ולאיש".</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2:</w:t>
      </w:r>
      <w:r>
        <w:rPr>
          <w:rFonts w:ascii="Arial" w:hAnsi="Arial" w:cs="Arial" w:eastAsia="Arial"/>
          <w:color w:val="1F2430"/>
          <w:sz w:val="19"/>
          <w:szCs w:val="19"/>
          <w:rtl/>
        </w:rPr>
        <w:t xml:space="preserve"> לאישה נשואה כשרות מלאה לקניין; קנייניה מלפני הנישואין לא נפגעים (נגד "מה שקנתה אישה – קנה בעלה").</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3:</w:t>
      </w:r>
      <w:r>
        <w:rPr>
          <w:rFonts w:ascii="Arial" w:hAnsi="Arial" w:cs="Arial" w:eastAsia="Arial"/>
          <w:color w:val="1F2430"/>
          <w:sz w:val="19"/>
          <w:szCs w:val="19"/>
          <w:rtl/>
        </w:rPr>
        <w:t xml:space="preserve"> שני ההורים אפוטרופסים טבעיים; בית המשפט </w:t>
      </w:r>
      <w:r>
        <w:rPr>
          <w:rFonts w:ascii="Arial" w:hAnsi="Arial" w:cs="Arial" w:eastAsia="Arial"/>
          <w:b/>
          <w:bCs/>
          <w:color w:val="1F2430"/>
          <w:sz w:val="19"/>
          <w:szCs w:val="19"/>
          <w:rtl/>
        </w:rPr>
        <w:t>או בית הדין</w:t>
      </w:r>
      <w:r>
        <w:rPr>
          <w:rFonts w:ascii="Arial" w:hAnsi="Arial" w:cs="Arial" w:eastAsia="Arial"/>
          <w:color w:val="1F2430"/>
          <w:sz w:val="19"/>
          <w:szCs w:val="19"/>
          <w:rtl/>
        </w:rPr>
        <w:t xml:space="preserve"> – לפי טובת הילד.</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7(ב):</w:t>
      </w:r>
      <w:r>
        <w:rPr>
          <w:rFonts w:ascii="Arial" w:hAnsi="Arial" w:cs="Arial" w:eastAsia="Arial"/>
          <w:color w:val="1F2430"/>
          <w:sz w:val="19"/>
          <w:szCs w:val="19"/>
          <w:rtl/>
        </w:rPr>
        <w:t xml:space="preserve"> "כן ינהג לפי חוק זה </w:t>
      </w:r>
      <w:r>
        <w:rPr>
          <w:rFonts w:ascii="Arial" w:hAnsi="Arial" w:cs="Arial" w:eastAsia="Arial"/>
          <w:b/>
          <w:bCs/>
          <w:color w:val="1F2430"/>
          <w:sz w:val="19"/>
          <w:szCs w:val="19"/>
          <w:rtl/>
        </w:rPr>
        <w:t>כל בית דין</w:t>
      </w:r>
      <w:r>
        <w:rPr>
          <w:rFonts w:ascii="Arial" w:hAnsi="Arial" w:cs="Arial" w:eastAsia="Arial"/>
          <w:color w:val="1F2430"/>
          <w:sz w:val="19"/>
          <w:szCs w:val="19"/>
          <w:rtl/>
        </w:rPr>
        <w:t xml:space="preserve"> המוסמך לדון בענייני המעמד האישי".</w:t>
      </w:r>
    </w:p>
    <w:p>
      <w:pPr>
        <w:bidi/>
        <w:spacing w:before="0" w:after="100" w:line="300" w:lineRule="auto"/>
        <w:jc w:val="both"/>
      </w:pPr>
      <w:r>
        <w:rPr>
          <w:rFonts w:ascii="Arial" w:hAnsi="Arial" w:cs="Arial" w:eastAsia="Arial"/>
          <w:b/>
          <w:bCs/>
          <w:color w:val="1F2430"/>
          <w:sz w:val="19"/>
          <w:szCs w:val="19"/>
          <w:rtl/>
        </w:rPr>
        <w:t>שרשרת – בג״ץ 1000/92 בבלי:</w:t>
      </w:r>
      <w:r>
        <w:rPr>
          <w:rFonts w:ascii="Arial" w:hAnsi="Arial" w:cs="Arial" w:eastAsia="Arial"/>
          <w:color w:val="1F2430"/>
          <w:sz w:val="19"/>
          <w:szCs w:val="19"/>
          <w:rtl/>
        </w:rPr>
        <w:t xml:space="preserve"> נישאו 1957, אישה עקרת בית 30 שנה, הכול רשום על הבעל → בעל תבע גירושין ברבני, כרך רכוש ונתן גט (= תביעה כנה) → רבני חילק לפי רישום: 100-0 ("שוויון" פורמלי) → </w:t>
      </w:r>
      <w:r>
        <w:rPr>
          <w:rFonts w:ascii="Arial" w:hAnsi="Arial" w:cs="Arial" w:eastAsia="Arial"/>
          <w:b/>
          <w:bCs/>
          <w:color w:val="1F2430"/>
          <w:sz w:val="19"/>
          <w:szCs w:val="19"/>
          <w:rtl/>
        </w:rPr>
        <w:t>ברק:</w:t>
      </w:r>
      <w:r>
        <w:rPr>
          <w:rFonts w:ascii="Arial" w:hAnsi="Arial" w:cs="Arial" w:eastAsia="Arial"/>
          <w:color w:val="1F2430"/>
          <w:sz w:val="19"/>
          <w:szCs w:val="19"/>
          <w:rtl/>
        </w:rPr>
        <w:t xml:space="preserve"> נדרש שוויון </w:t>
      </w:r>
      <w:r>
        <w:rPr>
          <w:rFonts w:ascii="Arial" w:hAnsi="Arial" w:cs="Arial" w:eastAsia="Arial"/>
          <w:b/>
          <w:bCs/>
          <w:color w:val="1F2430"/>
          <w:sz w:val="19"/>
          <w:szCs w:val="19"/>
          <w:rtl/>
        </w:rPr>
        <w:t>מהותי</w:t>
      </w:r>
      <w:r>
        <w:rPr>
          <w:rFonts w:ascii="Arial" w:hAnsi="Arial" w:cs="Arial" w:eastAsia="Arial"/>
          <w:color w:val="1F2430"/>
          <w:sz w:val="19"/>
          <w:szCs w:val="19"/>
          <w:rtl/>
        </w:rPr>
        <w:t>; סעיף 1 לחוק שיווי זכויות + "</w:t>
      </w:r>
      <w:r>
        <w:rPr>
          <w:rFonts w:ascii="Arial" w:hAnsi="Arial" w:cs="Arial" w:eastAsia="Arial"/>
          <w:b/>
          <w:bCs/>
          <w:color w:val="1F2430"/>
          <w:sz w:val="19"/>
          <w:szCs w:val="19"/>
          <w:rtl/>
        </w:rPr>
        <w:t>הלכת השיתוף היא דין בישראל</w:t>
      </w:r>
      <w:r>
        <w:rPr>
          <w:rFonts w:ascii="Arial" w:hAnsi="Arial" w:cs="Arial" w:eastAsia="Arial"/>
          <w:color w:val="1F2430"/>
          <w:sz w:val="19"/>
          <w:szCs w:val="19"/>
          <w:rtl/>
        </w:rPr>
        <w:t xml:space="preserve">" → בענייני רכוש </w:t>
      </w:r>
      <w:r>
        <w:rPr>
          <w:rFonts w:ascii="Arial" w:hAnsi="Arial" w:cs="Arial" w:eastAsia="Arial"/>
          <w:color w:val="1F2430"/>
          <w:sz w:val="19"/>
          <w:szCs w:val="19"/>
          <w:highlight w:val="yellow"/>
          <w:rtl/>
        </w:rPr>
        <w:t>הדיין הולך אחר הדין</w:t>
      </w:r>
      <w:r>
        <w:rPr>
          <w:rFonts w:ascii="Arial" w:hAnsi="Arial" w:cs="Arial" w:eastAsia="Arial"/>
          <w:color w:val="1F2430"/>
          <w:sz w:val="19"/>
          <w:szCs w:val="19"/>
          <w:rtl/>
        </w:rPr>
        <w:t xml:space="preserve">. חידוש: התערבות ברמת </w:t>
      </w:r>
      <w:r>
        <w:rPr>
          <w:rFonts w:ascii="Arial" w:hAnsi="Arial" w:cs="Arial" w:eastAsia="Arial"/>
          <w:b/>
          <w:bCs/>
          <w:color w:val="1F2430"/>
          <w:sz w:val="19"/>
          <w:szCs w:val="19"/>
          <w:rtl/>
        </w:rPr>
        <w:t>הדין</w:t>
      </w:r>
      <w:r>
        <w:rPr>
          <w:rFonts w:ascii="Arial" w:hAnsi="Arial" w:cs="Arial" w:eastAsia="Arial"/>
          <w:color w:val="1F2430"/>
          <w:sz w:val="19"/>
          <w:szCs w:val="19"/>
          <w:rtl/>
        </w:rPr>
        <w:t>, לא רק הסמכות (פירוט – פרק 11).</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"או הלכת בבלי – או תלמוד בבלי":</w:t>
      </w:r>
      <w:r>
        <w:rPr>
          <w:rFonts w:ascii="Arial" w:hAnsi="Arial" w:cs="Arial" w:eastAsia="Arial"/>
          <w:color w:val="1F2430"/>
          <w:sz w:val="19"/>
          <w:szCs w:val="19"/>
          <w:rtl/>
        </w:rPr>
        <w:t xml:space="preserve"> מקבלת מחצית רכוש → מוותרת על כתובה; אין כפל מבצעים (גם באיזון משאבים – המרצה). חריג: בגידות/אלימות חמורות.</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13(ב) לחוק יחסי ממון:</w:t>
      </w:r>
      <w:r>
        <w:rPr>
          <w:rFonts w:ascii="Arial" w:hAnsi="Arial" w:cs="Arial" w:eastAsia="Arial"/>
          <w:color w:val="1F2430"/>
          <w:sz w:val="19"/>
          <w:szCs w:val="19"/>
          <w:rtl/>
        </w:rPr>
        <w:t xml:space="preserve"> גם בית דין דתי ינהג לפי החוק, אלא אם הצדדים </w:t>
      </w:r>
      <w:r>
        <w:rPr>
          <w:rFonts w:ascii="Arial" w:hAnsi="Arial" w:cs="Arial" w:eastAsia="Arial"/>
          <w:b/>
          <w:bCs/>
          <w:color w:val="1F2430"/>
          <w:sz w:val="19"/>
          <w:szCs w:val="19"/>
          <w:rtl/>
        </w:rPr>
        <w:t>הסכימו במפורש</w:t>
      </w:r>
      <w:r>
        <w:rPr>
          <w:rFonts w:ascii="Arial" w:hAnsi="Arial" w:cs="Arial" w:eastAsia="Arial"/>
          <w:color w:val="1F2430"/>
          <w:sz w:val="19"/>
          <w:szCs w:val="19"/>
          <w:rtl/>
        </w:rPr>
        <w:t xml:space="preserve"> לפניו לדין הדתי.</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המזונות:</w:t>
      </w:r>
      <w:r>
        <w:rPr>
          <w:rFonts w:ascii="Arial" w:hAnsi="Arial" w:cs="Arial" w:eastAsia="Arial"/>
          <w:color w:val="1F2430"/>
          <w:sz w:val="19"/>
          <w:szCs w:val="19"/>
          <w:rtl/>
        </w:rPr>
        <w:t xml:space="preserve"> סעיפים פרוצדורליים (10 – זמניים; 11 – עבר) חלים </w:t>
      </w:r>
      <w:r>
        <w:rPr>
          <w:rFonts w:ascii="Arial" w:hAnsi="Arial" w:cs="Arial" w:eastAsia="Arial"/>
          <w:b/>
          <w:bCs/>
          <w:color w:val="1F2430"/>
          <w:sz w:val="19"/>
          <w:szCs w:val="19"/>
          <w:rtl/>
        </w:rPr>
        <w:t>גם בבית הדין</w:t>
      </w:r>
      <w:r>
        <w:rPr>
          <w:rFonts w:ascii="Arial" w:hAnsi="Arial" w:cs="Arial" w:eastAsia="Arial"/>
          <w:color w:val="1F2430"/>
          <w:sz w:val="19"/>
          <w:szCs w:val="19"/>
          <w:rtl/>
        </w:rPr>
        <w:t xml:space="preserve"> (המרצה).</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1.6 ערעור ובג״ץ</w:t>
      </w:r>
    </w:p>
    <w:tbl>
      <w:tblPr>
        <w:tblW w:type="dxa" w:w="10206"/>
        <w:jc w:val="center"/>
        <w:tblLook w:firstColumn="1" w:firstRow="1" w:lastColumn="0" w:lastRow="0" w:noHBand="0" w:noVBand="1" w:val="04A0"/>
        <w:bidiVisual/>
        <w:tblLayout w:type="fixed"/>
      </w:tblPr>
      <w:tblGrid>
        <w:gridCol w:w="1512"/>
        <w:gridCol w:w="3780"/>
        <w:gridCol w:w="4914"/>
      </w:tblGrid>
      <w:tr>
        <w:trPr>
          <w:tblHeader/>
        </w:trPr>
        <w:tc>
          <w:tcPr>
            <w:tcW w:type="dxa" w:w="151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p>
        </w:tc>
        <w:tc>
          <w:tcPr>
            <w:tcW w:type="dxa" w:w="3780"/>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אזרחי</w:t>
            </w:r>
          </w:p>
        </w:tc>
        <w:tc>
          <w:tcPr>
            <w:tcW w:type="dxa" w:w="4913"/>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דתי</w:t>
            </w:r>
          </w:p>
        </w:tc>
      </w:tr>
      <w:tr>
        <w:trPr>
          <w:cantSplit/>
        </w:trPr>
        <w:tc>
          <w:tcPr>
            <w:tcW w:type="dxa" w:w="151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ראשונה</w:t>
            </w:r>
          </w:p>
        </w:tc>
        <w:tc>
          <w:tcPr>
            <w:tcW w:type="dxa" w:w="378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ביהמ״ש לענייני משפחה</w:t>
            </w:r>
          </w:p>
        </w:tc>
        <w:tc>
          <w:tcPr>
            <w:tcW w:type="dxa" w:w="491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דין רבני אזורי</w:t>
            </w:r>
          </w:p>
        </w:tc>
      </w:tr>
      <w:tr>
        <w:trPr>
          <w:cantSplit/>
        </w:trPr>
        <w:tc>
          <w:tcPr>
            <w:tcW w:type="dxa" w:w="151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ערעור</w:t>
            </w:r>
          </w:p>
        </w:tc>
        <w:tc>
          <w:tcPr>
            <w:tcW w:type="dxa" w:w="378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מחוזי – </w:t>
            </w:r>
            <w:r>
              <w:rPr>
                <w:rFonts w:ascii="Arial" w:hAnsi="Arial" w:cs="Arial" w:eastAsia="Arial"/>
                <w:b/>
                <w:bCs/>
                <w:color w:val="1F2430"/>
                <w:sz w:val="17"/>
                <w:szCs w:val="17"/>
                <w:rtl/>
              </w:rPr>
              <w:t>בזכות</w:t>
            </w:r>
          </w:p>
        </w:tc>
        <w:tc>
          <w:tcPr>
            <w:tcW w:type="dxa" w:w="491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בית הדין הרבני הגדול</w:t>
            </w:r>
          </w:p>
        </w:tc>
      </w:tr>
      <w:tr>
        <w:trPr>
          <w:cantSplit/>
        </w:trPr>
        <w:tc>
          <w:tcPr>
            <w:tcW w:type="dxa" w:w="151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הלאה</w:t>
            </w:r>
          </w:p>
        </w:tc>
        <w:tc>
          <w:tcPr>
            <w:tcW w:type="dxa" w:w="378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עליון – </w:t>
            </w:r>
            <w:r>
              <w:rPr>
                <w:rFonts w:ascii="Arial" w:hAnsi="Arial" w:cs="Arial" w:eastAsia="Arial"/>
                <w:b/>
                <w:bCs/>
                <w:color w:val="1F2430"/>
                <w:sz w:val="17"/>
                <w:szCs w:val="17"/>
                <w:rtl/>
              </w:rPr>
              <w:t>ברשות</w:t>
            </w:r>
          </w:p>
        </w:tc>
        <w:tc>
          <w:tcPr>
            <w:tcW w:type="dxa" w:w="491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עתירה</w:t>
            </w:r>
            <w:r>
              <w:rPr>
                <w:rFonts w:ascii="Arial" w:hAnsi="Arial" w:cs="Arial" w:eastAsia="Arial"/>
                <w:color w:val="1F2430"/>
                <w:sz w:val="17"/>
                <w:szCs w:val="17"/>
                <w:rtl/>
              </w:rPr>
              <w:t xml:space="preserve"> לבג״ץ (לא ערעור)</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15(ד)(4) לחוק-יסוד: השפיטה</w:t>
      </w:r>
      <w:r>
        <w:rPr>
          <w:rFonts w:ascii="Arial" w:hAnsi="Arial" w:cs="Arial" w:eastAsia="Arial"/>
          <w:color w:val="1F2430"/>
          <w:sz w:val="19"/>
          <w:szCs w:val="19"/>
          <w:rtl/>
        </w:rPr>
        <w:t xml:space="preserve"> – צו לבית דין דתי לדון / להימנע מלדון / ביטול החלטה שלא כדין. תנאי: טענת סמכות </w:t>
      </w:r>
      <w:r>
        <w:rPr>
          <w:rFonts w:ascii="Arial" w:hAnsi="Arial" w:cs="Arial" w:eastAsia="Arial"/>
          <w:b/>
          <w:bCs/>
          <w:color w:val="1F2430"/>
          <w:sz w:val="19"/>
          <w:szCs w:val="19"/>
          <w:rtl/>
        </w:rPr>
        <w:t>בהזדמנות הראשונה</w:t>
      </w:r>
      <w:r>
        <w:rPr>
          <w:rFonts w:ascii="Arial" w:hAnsi="Arial" w:cs="Arial" w:eastAsia="Arial"/>
          <w:color w:val="1F2430"/>
          <w:sz w:val="19"/>
          <w:szCs w:val="19"/>
          <w:rtl/>
        </w:rPr>
        <w:t xml:space="preserve"> (נמדד לפי בעל הדין).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15(ג)</w:t>
      </w:r>
      <w:r>
        <w:rPr>
          <w:rFonts w:ascii="Arial" w:hAnsi="Arial" w:cs="Arial" w:eastAsia="Arial"/>
          <w:color w:val="1F2430"/>
          <w:sz w:val="19"/>
          <w:szCs w:val="19"/>
          <w:rtl/>
        </w:rPr>
        <w:t xml:space="preserve"> – סמכות כללית, התערבות </w:t>
      </w:r>
      <w:r>
        <w:rPr>
          <w:rFonts w:ascii="Arial" w:hAnsi="Arial" w:cs="Arial" w:eastAsia="Arial"/>
          <w:b/>
          <w:bCs/>
          <w:color w:val="1F2430"/>
          <w:sz w:val="19"/>
          <w:szCs w:val="19"/>
          <w:rtl/>
        </w:rPr>
        <w:t>נדירה</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עילות התערבות – שרשראות:</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חריגה מסמכות:</w:t>
      </w:r>
      <w:r>
        <w:rPr>
          <w:rFonts w:ascii="Arial" w:hAnsi="Arial" w:cs="Arial" w:eastAsia="Arial"/>
          <w:color w:val="1F2430"/>
          <w:sz w:val="19"/>
          <w:szCs w:val="19"/>
          <w:rtl/>
        </w:rPr>
        <w:t xml:space="preserve"> אוה בסן (ספק יהודייה → אין סמכות); סבג (לא אזרחים ולא תושבים → צו עיכוב יציאה בוטל).</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אי-החלת דין אזרחי מחייב:</w:t>
      </w:r>
      <w:r>
        <w:rPr>
          <w:rFonts w:ascii="Arial" w:hAnsi="Arial" w:cs="Arial" w:eastAsia="Arial"/>
          <w:color w:val="1F2430"/>
          <w:sz w:val="19"/>
          <w:szCs w:val="19"/>
          <w:rtl/>
        </w:rPr>
        <w:t xml:space="preserve"> בבלי.</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b/>
          <w:bCs/>
          <w:color w:val="1F2430"/>
          <w:sz w:val="19"/>
          <w:szCs w:val="19"/>
          <w:rtl/>
        </w:rPr>
        <w:t>שימוש בסמכות שלא לתכליתה:</w:t>
      </w:r>
      <w:r>
        <w:rPr>
          <w:rFonts w:ascii="Arial" w:hAnsi="Arial" w:cs="Arial" w:eastAsia="Arial"/>
          <w:color w:val="1F2430"/>
          <w:sz w:val="19"/>
          <w:szCs w:val="19"/>
          <w:rtl/>
        </w:rPr>
        <w:t xml:space="preserve"> </w:t>
      </w:r>
      <w:r>
        <w:rPr>
          <w:rFonts w:ascii="Arial" w:hAnsi="Arial" w:cs="Arial" w:eastAsia="Arial"/>
          <w:b/>
          <w:bCs/>
          <w:color w:val="1F2430"/>
          <w:sz w:val="19"/>
          <w:szCs w:val="19"/>
          <w:rtl/>
        </w:rPr>
        <w:t>בג״ץ לב</w:t>
      </w:r>
      <w:r>
        <w:rPr>
          <w:rFonts w:ascii="Arial" w:hAnsi="Arial" w:cs="Arial" w:eastAsia="Arial"/>
          <w:color w:val="1F2430"/>
          <w:sz w:val="19"/>
          <w:szCs w:val="19"/>
          <w:rtl/>
        </w:rPr>
        <w:t xml:space="preserve"> – צו עיכוב יציאה נגד אישה כדי שלא תיפגש עם מאהב → בוטל: הצו נועד לאפשר את ההליך, לא למנוע יציאה מסיבות אישיות; כפיפות לעקרונות המשפט הציבורי וזכויות היסוד.</w:t>
      </w:r>
    </w:p>
    <w:p>
      <w:pPr>
        <w:bidi/>
        <w:spacing w:before="0" w:after="100" w:line="300" w:lineRule="auto"/>
        <w:jc w:val="both"/>
      </w:pPr>
      <w:r>
        <w:rPr>
          <w:rFonts w:ascii="Arial" w:hAnsi="Arial" w:cs="Arial" w:eastAsia="Arial"/>
          <w:b/>
          <w:bCs/>
          <w:color w:val="1F2430"/>
          <w:sz w:val="19"/>
          <w:szCs w:val="19"/>
          <w:rtl/>
        </w:rPr>
        <w:t>אין התערבות בפרשנות דין תורה – שרשרת כליפה/אקנין:</w:t>
      </w:r>
      <w:r>
        <w:rPr>
          <w:rFonts w:ascii="Arial" w:hAnsi="Arial" w:cs="Arial" w:eastAsia="Arial"/>
          <w:color w:val="1F2430"/>
          <w:sz w:val="19"/>
          <w:szCs w:val="19"/>
          <w:rtl/>
        </w:rPr>
        <w:t xml:space="preserve"> כליפה (1993) – העליון: מדור לפי דין תורה = גם דירה חלופית → אקנין (1994) – רבני: מדור ספציפי באותה דירה → בג״ץ דחה עתירה: </w:t>
      </w:r>
      <w:r>
        <w:rPr>
          <w:rFonts w:ascii="Arial" w:hAnsi="Arial" w:cs="Arial" w:eastAsia="Arial"/>
          <w:b/>
          <w:bCs/>
          <w:color w:val="1F2430"/>
          <w:sz w:val="19"/>
          <w:szCs w:val="19"/>
          <w:rtl/>
        </w:rPr>
        <w:t>פרשנות הערכאה האזרחית לדין האישי אינה מחייבת את בית הדין</w:t>
      </w:r>
      <w:r>
        <w:rPr>
          <w:rFonts w:ascii="Arial" w:hAnsi="Arial" w:cs="Arial" w:eastAsia="Arial"/>
          <w:color w:val="1F2430"/>
          <w:sz w:val="19"/>
          <w:szCs w:val="19"/>
          <w:rtl/>
        </w:rPr>
        <w:t>.</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1.7 מירוץ הסמכויות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מירוץ סמכויות</w:t>
            </w:r>
          </w:p>
          <w:p>
            <w:pPr>
              <w:bidi/>
              <w:spacing w:before="0" w:after="60" w:line="300" w:lineRule="auto"/>
              <w:jc w:val="both"/>
            </w:pPr>
            <w:r>
              <w:rPr>
                <w:rFonts w:ascii="Arial" w:hAnsi="Arial" w:cs="Arial" w:eastAsia="Arial"/>
                <w:color w:val="1F2430"/>
                <w:sz w:val="18"/>
                <w:szCs w:val="18"/>
                <w:rtl/>
              </w:rPr>
              <w:t xml:space="preserve">שתי ערכאות מוסמכות באותו עניין; כל צד ממהר להגיש ראשון לערכאה הנוחה לו. </w:t>
            </w:r>
            <w:r>
              <w:rPr>
                <w:rFonts w:ascii="Arial" w:hAnsi="Arial" w:cs="Arial" w:eastAsia="Arial"/>
                <w:b/>
                <w:bCs/>
                <w:color w:val="1F2430"/>
                <w:sz w:val="18"/>
                <w:szCs w:val="18"/>
                <w:rtl/>
              </w:rPr>
              <w:t>הראשון קונה סמכות.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למה זה חשוב?</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color w:val="1F2430"/>
          <w:sz w:val="19"/>
          <w:szCs w:val="19"/>
          <w:rtl/>
        </w:rPr>
        <w:t>פרשנות שונה לאותו דין (כליפה/אקנין; "השופט הוא המחוקק").</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color w:val="1F2430"/>
          <w:sz w:val="19"/>
          <w:szCs w:val="19"/>
          <w:rtl/>
        </w:rPr>
        <w:t>תוצאות מהותיות שונות (לפני בבלי: 100-0 מול 50-50).</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color w:val="1F2430"/>
          <w:sz w:val="19"/>
          <w:szCs w:val="19"/>
          <w:rtl/>
        </w:rPr>
        <w:t>סמכות נמשכת – חוזרים לאותה ערכאה בשינוי נסיבות (פרק 4).</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4. </w:t>
      </w:r>
      <w:r>
        <w:tab/>
      </w:r>
      <w:r>
        <w:rPr>
          <w:rFonts w:ascii="Arial" w:hAnsi="Arial" w:cs="Arial" w:eastAsia="Arial"/>
          <w:color w:val="1F2430"/>
          <w:sz w:val="19"/>
          <w:szCs w:val="19"/>
          <w:rtl/>
        </w:rPr>
        <w:t>אסטרטגיה: "אני רוצה להתגרש" ללא הצדקה → סיכון לכתובה ולמזונות (מורדת); אפשר לפצל תיקים.</w:t>
      </w:r>
    </w:p>
    <w:p>
      <w:pPr>
        <w:bidi/>
        <w:spacing w:before="0" w:after="100" w:line="300" w:lineRule="auto"/>
        <w:jc w:val="both"/>
      </w:pPr>
      <w:r>
        <w:rPr>
          <w:rFonts w:ascii="Arial" w:hAnsi="Arial" w:cs="Arial" w:eastAsia="Arial"/>
          <w:b/>
          <w:bCs/>
          <w:color w:val="1F2430"/>
          <w:sz w:val="19"/>
          <w:szCs w:val="19"/>
          <w:rtl/>
        </w:rPr>
        <w:t>סוגי סמכות:</w:t>
      </w:r>
    </w:p>
    <w:tbl>
      <w:tblPr>
        <w:tblW w:type="dxa" w:w="10206"/>
        <w:jc w:val="center"/>
        <w:tblLook w:firstColumn="1" w:firstRow="1" w:lastColumn="0" w:lastRow="0" w:noHBand="0" w:noVBand="1" w:val="04A0"/>
        <w:bidiVisual/>
        <w:tblLayout w:type="fixed"/>
      </w:tblPr>
      <w:tblGrid>
        <w:gridCol w:w="1316"/>
        <w:gridCol w:w="7572"/>
        <w:gridCol w:w="1316"/>
      </w:tblGrid>
      <w:tr>
        <w:trPr>
          <w:tblHeader/>
        </w:trPr>
        <w:tc>
          <w:tcPr>
            <w:tcW w:type="dxa" w:w="131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w:t>
            </w:r>
          </w:p>
        </w:tc>
        <w:tc>
          <w:tcPr>
            <w:tcW w:type="dxa" w:w="7571"/>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131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ייחודית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1</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מקבילה</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סימן 47, סעיף 4, חוק ביהמ״ש לענייני משפחה</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3, 5</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נכרכת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(רק ברבני, רק לגירושין)</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מוסכמת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סעיף 9</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אגבית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76 לחוק בתי המשפט – לשתי הערכאות (המרצה)</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1, 3</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נמשכת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פסיקה</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ריסון המירוץ:</w:t>
      </w:r>
      <w:r>
        <w:rPr>
          <w:rFonts w:ascii="Arial" w:hAnsi="Arial" w:cs="Arial" w:eastAsia="Arial"/>
          <w:color w:val="1F2430"/>
          <w:sz w:val="19"/>
          <w:szCs w:val="19"/>
          <w:rtl/>
        </w:rPr>
        <w:t xml:space="preserve"> חוק ההסדר – מגיש הבקשה </w:t>
      </w:r>
      <w:r>
        <w:rPr>
          <w:rFonts w:ascii="Arial" w:hAnsi="Arial" w:cs="Arial" w:eastAsia="Arial"/>
          <w:b/>
          <w:bCs/>
          <w:color w:val="1F2430"/>
          <w:sz w:val="19"/>
          <w:szCs w:val="19"/>
          <w:rtl/>
        </w:rPr>
        <w:t>הראשון</w:t>
      </w:r>
      <w:r>
        <w:rPr>
          <w:rFonts w:ascii="Arial" w:hAnsi="Arial" w:cs="Arial" w:eastAsia="Arial"/>
          <w:color w:val="1F2430"/>
          <w:sz w:val="19"/>
          <w:szCs w:val="19"/>
          <w:rtl/>
        </w:rPr>
        <w:t xml:space="preserve"> מקבל 15 ימים לבחור ערכאה (סעיף 4); בבלי – השוואת הדין ברכוש; פלמן – כיבוד הדדי, הראשון שהכריע בסמכות קובע, אלא "טעם מיוחד" (דו-צדדי).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הסכמה מראש בחתונה?</w:t>
            </w:r>
          </w:p>
          <w:p>
            <w:pPr>
              <w:bidi/>
              <w:spacing w:before="0" w:after="60" w:line="300" w:lineRule="auto"/>
              <w:jc w:val="both"/>
            </w:pPr>
            <w:r>
              <w:rPr>
                <w:rFonts w:ascii="Arial" w:hAnsi="Arial" w:cs="Arial" w:eastAsia="Arial"/>
                <w:color w:val="1F2430"/>
                <w:sz w:val="18"/>
                <w:szCs w:val="18"/>
                <w:rtl/>
              </w:rPr>
              <w:t>אפשרית, אך לא תחסום את הצד השני מלפנות לבית המשפט אם יקדים (המרצה).</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1.8 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שים לב</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"מעמד אישי = נישואין, גירושין, מזונות, </w:t>
            </w:r>
            <w:r>
              <w:rPr>
                <w:rFonts w:ascii="Arial" w:hAnsi="Arial" w:cs="Arial" w:eastAsia="Arial"/>
                <w:b/>
                <w:bCs/>
                <w:color w:val="1F2430"/>
                <w:sz w:val="18"/>
                <w:szCs w:val="18"/>
                <w:rtl/>
              </w:rPr>
              <w:t>רכוש</w:t>
            </w:r>
            <w:r>
              <w:rPr>
                <w:rFonts w:ascii="Arial" w:hAnsi="Arial" w:cs="Arial" w:eastAsia="Arial"/>
                <w:color w:val="1F2430"/>
                <w:sz w:val="18"/>
                <w:szCs w:val="18"/>
                <w:rtl/>
              </w:rPr>
              <w:t xml:space="preserve"> ואפוטרופסות" – </w:t>
            </w:r>
            <w:r>
              <w:rPr>
                <w:rFonts w:ascii="Arial" w:hAnsi="Arial" w:cs="Arial" w:eastAsia="Arial"/>
                <w:b/>
                <w:bCs/>
                <w:color w:val="1F2430"/>
                <w:sz w:val="18"/>
                <w:szCs w:val="18"/>
                <w:rtl/>
              </w:rPr>
              <w:t>שגוי</w:t>
            </w:r>
            <w:r>
              <w:rPr>
                <w:rFonts w:ascii="Arial" w:hAnsi="Arial" w:cs="Arial" w:eastAsia="Arial"/>
                <w:color w:val="1F2430"/>
                <w:sz w:val="18"/>
                <w:szCs w:val="18"/>
                <w:rtl/>
              </w:rPr>
              <w:t>: רכוש אינו מנמכ״א.</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"ביהמ״ש לענייני משפחה דן במזונות אישה לפי דין אזרחי" – </w:t>
            </w:r>
            <w:r>
              <w:rPr>
                <w:rFonts w:ascii="Arial" w:hAnsi="Arial" w:cs="Arial" w:eastAsia="Arial"/>
                <w:b/>
                <w:bCs/>
                <w:color w:val="1F2430"/>
                <w:sz w:val="18"/>
                <w:szCs w:val="18"/>
                <w:rtl/>
              </w:rPr>
              <w:t>שגוי</w:t>
            </w:r>
            <w:r>
              <w:rPr>
                <w:rFonts w:ascii="Arial" w:hAnsi="Arial" w:cs="Arial" w:eastAsia="Arial"/>
                <w:color w:val="1F2430"/>
                <w:sz w:val="18"/>
                <w:szCs w:val="18"/>
                <w:rtl/>
              </w:rPr>
              <w:t>: סעיף 2(א) לחוק המזונות + סימן 47 → דין אישי.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"בית הדין הרבני מחלק רכוש לפי דין תורה"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(בבלי; 13(ב)), אלא אם שני הצדדים הסכימו </w:t>
            </w:r>
            <w:r>
              <w:rPr>
                <w:rFonts w:ascii="Arial" w:hAnsi="Arial" w:cs="Arial" w:eastAsia="Arial"/>
                <w:b/>
                <w:bCs/>
                <w:color w:val="1F2430"/>
                <w:sz w:val="18"/>
                <w:szCs w:val="18"/>
                <w:rtl/>
              </w:rPr>
              <w:t>במפורש</w:t>
            </w:r>
            <w:r>
              <w:rPr>
                <w:rFonts w:ascii="Arial" w:hAnsi="Arial" w:cs="Arial" w:eastAsia="Arial"/>
                <w:color w:val="1F2430"/>
                <w:sz w:val="18"/>
                <w:szCs w:val="18"/>
                <w:rtl/>
              </w:rPr>
              <w:t xml:space="preserve"> לפניו.</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"סעיף 2 לחוק השיפוט מעניק סמכות"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הוא סעיף </w:t>
            </w:r>
            <w:r>
              <w:rPr>
                <w:rFonts w:ascii="Arial" w:hAnsi="Arial" w:cs="Arial" w:eastAsia="Arial"/>
                <w:b/>
                <w:bCs/>
                <w:color w:val="1F2430"/>
                <w:sz w:val="18"/>
                <w:szCs w:val="18"/>
                <w:rtl/>
              </w:rPr>
              <w:t>ברירת דין</w:t>
            </w:r>
            <w:r>
              <w:rPr>
                <w:rFonts w:ascii="Arial" w:hAnsi="Arial" w:cs="Arial" w:eastAsia="Arial"/>
                <w:color w:val="1F2430"/>
                <w:sz w:val="18"/>
                <w:szCs w:val="18"/>
                <w:rtl/>
              </w:rPr>
              <w:t>; הסמכות – בסעיף 1.</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"בג״ץ הוא ערכאת ערעור על בית הדין הגדול"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ערכאת </w:t>
            </w:r>
            <w:r>
              <w:rPr>
                <w:rFonts w:ascii="Arial" w:hAnsi="Arial" w:cs="Arial" w:eastAsia="Arial"/>
                <w:b/>
                <w:bCs/>
                <w:color w:val="1F2430"/>
                <w:sz w:val="18"/>
                <w:szCs w:val="18"/>
                <w:rtl/>
              </w:rPr>
              <w:t>פיקוח</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"בית דין דתי דן בירושה אם רוב היורשים מסכימים"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נדרשת הסכמת </w:t>
            </w:r>
            <w:r>
              <w:rPr>
                <w:rFonts w:ascii="Arial" w:hAnsi="Arial" w:cs="Arial" w:eastAsia="Arial"/>
                <w:b/>
                <w:bCs/>
                <w:color w:val="1F2430"/>
                <w:sz w:val="18"/>
                <w:szCs w:val="18"/>
                <w:rtl/>
              </w:rPr>
              <w:t>כל</w:t>
            </w:r>
            <w:r>
              <w:rPr>
                <w:rFonts w:ascii="Arial" w:hAnsi="Arial" w:cs="Arial" w:eastAsia="Arial"/>
                <w:color w:val="1F2430"/>
                <w:sz w:val="18"/>
                <w:szCs w:val="18"/>
                <w:rtl/>
              </w:rPr>
              <w:t xml:space="preserve"> הצדדים, </w:t>
            </w:r>
            <w:r>
              <w:rPr>
                <w:rFonts w:ascii="Arial" w:hAnsi="Arial" w:cs="Arial" w:eastAsia="Arial"/>
                <w:b/>
                <w:bCs/>
                <w:color w:val="1F2430"/>
                <w:sz w:val="18"/>
                <w:szCs w:val="18"/>
                <w:rtl/>
              </w:rPr>
              <w:t>בכתב</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"אחרי 1953 נגמר מירוץ הסמכויות"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הוא </w:t>
            </w:r>
            <w:r>
              <w:rPr>
                <w:rFonts w:ascii="Arial" w:hAnsi="Arial" w:cs="Arial" w:eastAsia="Arial"/>
                <w:b/>
                <w:bCs/>
                <w:color w:val="1F2430"/>
                <w:sz w:val="18"/>
                <w:szCs w:val="18"/>
                <w:rtl/>
              </w:rPr>
              <w:t>הצטמצם</w:t>
            </w:r>
            <w:r>
              <w:rPr>
                <w:rFonts w:ascii="Arial" w:hAnsi="Arial" w:cs="Arial" w:eastAsia="Arial"/>
                <w:color w:val="1F2430"/>
                <w:sz w:val="18"/>
                <w:szCs w:val="18"/>
                <w:rtl/>
              </w:rPr>
              <w:t xml:space="preserve"> לנושאים שבסמכות מקבילה.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"זוג מעורב יכול להתגרש בבית הדין הרבני בהסכמה" – </w:t>
            </w:r>
            <w:r>
              <w:rPr>
                <w:rFonts w:ascii="Arial" w:hAnsi="Arial" w:cs="Arial" w:eastAsia="Arial"/>
                <w:b/>
                <w:bCs/>
                <w:color w:val="1F2430"/>
                <w:sz w:val="18"/>
                <w:szCs w:val="18"/>
                <w:rtl/>
              </w:rPr>
              <w:t>שגוי</w:t>
            </w:r>
            <w:r>
              <w:rPr>
                <w:rFonts w:ascii="Arial" w:hAnsi="Arial" w:cs="Arial" w:eastAsia="Arial"/>
                <w:color w:val="1F2430"/>
                <w:sz w:val="18"/>
                <w:szCs w:val="18"/>
                <w:rtl/>
              </w:rPr>
              <w:t>: אין לבית דין דתי סמכות על בן דת אחרת (אוה בסן) → בית משפט אזרחי (פרק 2).</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טענת חוסר סמכות שלא הועלתה </w:t>
            </w:r>
            <w:r>
              <w:rPr>
                <w:rFonts w:ascii="Arial" w:hAnsi="Arial" w:cs="Arial" w:eastAsia="Arial"/>
                <w:b/>
                <w:bCs/>
                <w:color w:val="1F2430"/>
                <w:sz w:val="18"/>
                <w:szCs w:val="18"/>
                <w:rtl/>
              </w:rPr>
              <w:t>בהזדמנות הראשונה</w:t>
            </w:r>
            <w:r>
              <w:rPr>
                <w:rFonts w:ascii="Arial" w:hAnsi="Arial" w:cs="Arial" w:eastAsia="Arial"/>
                <w:color w:val="1F2430"/>
                <w:sz w:val="18"/>
                <w:szCs w:val="18"/>
                <w:rtl/>
              </w:rPr>
              <w:t xml:space="preserve"> – עלולה לאבוד (ותיחשב הסכמה בהתנהגות).</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1.9 עץ החלטה מהיר</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color w:val="1F2430"/>
          <w:sz w:val="19"/>
          <w:szCs w:val="19"/>
          <w:rtl/>
        </w:rPr>
        <w:t xml:space="preserve">האם זה עניין </w:t>
      </w:r>
      <w:r>
        <w:rPr>
          <w:rFonts w:ascii="Arial" w:hAnsi="Arial" w:cs="Arial" w:eastAsia="Arial"/>
          <w:b/>
          <w:bCs/>
          <w:color w:val="1F2430"/>
          <w:sz w:val="19"/>
          <w:szCs w:val="19"/>
          <w:rtl/>
        </w:rPr>
        <w:t>נישואין/גירושין</w:t>
      </w:r>
      <w:r>
        <w:rPr>
          <w:rFonts w:ascii="Arial" w:hAnsi="Arial" w:cs="Arial" w:eastAsia="Arial"/>
          <w:color w:val="1F2430"/>
          <w:sz w:val="19"/>
          <w:szCs w:val="19"/>
          <w:rtl/>
        </w:rPr>
        <w:t xml:space="preserve"> של יהודים (ותנאי סעיף 1 מתקיימים)? → </w:t>
      </w:r>
      <w:r>
        <w:rPr>
          <w:rFonts w:ascii="Arial" w:hAnsi="Arial" w:cs="Arial" w:eastAsia="Arial"/>
          <w:b/>
          <w:bCs/>
          <w:color w:val="1F2430"/>
          <w:sz w:val="19"/>
          <w:szCs w:val="19"/>
          <w:rtl/>
        </w:rPr>
        <w:t>רבני בלבד, דין תורה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color w:val="1F2430"/>
          <w:sz w:val="19"/>
          <w:szCs w:val="19"/>
          <w:rtl/>
        </w:rPr>
        <w:t xml:space="preserve">האם זה </w:t>
      </w:r>
      <w:r>
        <w:rPr>
          <w:rFonts w:ascii="Arial" w:hAnsi="Arial" w:cs="Arial" w:eastAsia="Arial"/>
          <w:b/>
          <w:bCs/>
          <w:color w:val="1F2430"/>
          <w:sz w:val="19"/>
          <w:szCs w:val="19"/>
          <w:rtl/>
        </w:rPr>
        <w:t>מזונות אישה / ילדים / אפוטרופסות</w:t>
      </w:r>
      <w:r>
        <w:rPr>
          <w:rFonts w:ascii="Arial" w:hAnsi="Arial" w:cs="Arial" w:eastAsia="Arial"/>
          <w:color w:val="1F2430"/>
          <w:sz w:val="19"/>
          <w:szCs w:val="19"/>
          <w:rtl/>
        </w:rPr>
        <w:t xml:space="preserve">? → </w:t>
      </w:r>
      <w:r>
        <w:rPr>
          <w:rFonts w:ascii="Arial" w:hAnsi="Arial" w:cs="Arial" w:eastAsia="Arial"/>
          <w:b/>
          <w:bCs/>
          <w:color w:val="1F2430"/>
          <w:sz w:val="19"/>
          <w:szCs w:val="19"/>
          <w:rtl/>
        </w:rPr>
        <w:t>סמכות מקבילה</w:t>
      </w:r>
      <w:r>
        <w:rPr>
          <w:rFonts w:ascii="Arial" w:hAnsi="Arial" w:cs="Arial" w:eastAsia="Arial"/>
          <w:color w:val="1F2430"/>
          <w:sz w:val="19"/>
          <w:szCs w:val="19"/>
          <w:rtl/>
        </w:rPr>
        <w:t xml:space="preserve"> – מי פתח ראשון? (אחרי חוק ההסדר: מי הגיש ראשון בקשה ליישוב סכסוך).</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color w:val="1F2430"/>
          <w:sz w:val="19"/>
          <w:szCs w:val="19"/>
          <w:rtl/>
        </w:rPr>
        <w:t xml:space="preserve">איזה דין? מזונות – </w:t>
      </w:r>
      <w:r>
        <w:rPr>
          <w:rFonts w:ascii="Arial" w:hAnsi="Arial" w:cs="Arial" w:eastAsia="Arial"/>
          <w:b/>
          <w:bCs/>
          <w:color w:val="1F2430"/>
          <w:sz w:val="19"/>
          <w:szCs w:val="19"/>
          <w:rtl/>
        </w:rPr>
        <w:t>אישי</w:t>
      </w:r>
      <w:r>
        <w:rPr>
          <w:rFonts w:ascii="Arial" w:hAnsi="Arial" w:cs="Arial" w:eastAsia="Arial"/>
          <w:color w:val="1F2430"/>
          <w:sz w:val="19"/>
          <w:szCs w:val="19"/>
          <w:rtl/>
        </w:rPr>
        <w:t xml:space="preserve"> בשתי הערכאות; משמורת – </w:t>
      </w:r>
      <w:r>
        <w:rPr>
          <w:rFonts w:ascii="Arial" w:hAnsi="Arial" w:cs="Arial" w:eastAsia="Arial"/>
          <w:b/>
          <w:bCs/>
          <w:color w:val="1F2430"/>
          <w:sz w:val="19"/>
          <w:szCs w:val="19"/>
          <w:rtl/>
        </w:rPr>
        <w:t>חוק הכשרות</w:t>
      </w:r>
      <w:r>
        <w:rPr>
          <w:rFonts w:ascii="Arial" w:hAnsi="Arial" w:cs="Arial" w:eastAsia="Arial"/>
          <w:color w:val="1F2430"/>
          <w:sz w:val="19"/>
          <w:szCs w:val="19"/>
          <w:rtl/>
        </w:rPr>
        <w:t xml:space="preserve">; רכוש – </w:t>
      </w:r>
      <w:r>
        <w:rPr>
          <w:rFonts w:ascii="Arial" w:hAnsi="Arial" w:cs="Arial" w:eastAsia="Arial"/>
          <w:b/>
          <w:bCs/>
          <w:color w:val="1F2430"/>
          <w:sz w:val="19"/>
          <w:szCs w:val="19"/>
          <w:rtl/>
        </w:rPr>
        <w:t>אזרחי</w:t>
      </w:r>
      <w:r>
        <w:rPr>
          <w:rFonts w:ascii="Arial" w:hAnsi="Arial" w:cs="Arial" w:eastAsia="Arial"/>
          <w:color w:val="1F2430"/>
          <w:sz w:val="19"/>
          <w:szCs w:val="19"/>
          <w:rtl/>
        </w:rPr>
        <w:t xml:space="preserve"> (בבלי, 13(ב)).</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4. </w:t>
      </w:r>
      <w:r>
        <w:tab/>
      </w:r>
      <w:r>
        <w:rPr>
          <w:rFonts w:ascii="Arial" w:hAnsi="Arial" w:cs="Arial" w:eastAsia="Arial"/>
          <w:b/>
          <w:bCs/>
          <w:color w:val="1F2430"/>
          <w:sz w:val="19"/>
          <w:szCs w:val="19"/>
          <w:rtl/>
        </w:rPr>
        <w:t>ירושה/אימוץ</w:t>
      </w:r>
      <w:r>
        <w:rPr>
          <w:rFonts w:ascii="Arial" w:hAnsi="Arial" w:cs="Arial" w:eastAsia="Arial"/>
          <w:color w:val="1F2430"/>
          <w:sz w:val="19"/>
          <w:szCs w:val="19"/>
          <w:rtl/>
        </w:rPr>
        <w:t xml:space="preserve">? → אזרחי; ירושה ברבני רק בהסכמת </w:t>
      </w:r>
      <w:r>
        <w:rPr>
          <w:rFonts w:ascii="Arial" w:hAnsi="Arial" w:cs="Arial" w:eastAsia="Arial"/>
          <w:b/>
          <w:bCs/>
          <w:color w:val="1F2430"/>
          <w:sz w:val="19"/>
          <w:szCs w:val="19"/>
          <w:rtl/>
        </w:rPr>
        <w:t>כולם בכתב</w:t>
      </w:r>
      <w:r>
        <w:rPr>
          <w:rFonts w:ascii="Arial" w:hAnsi="Arial" w:cs="Arial" w:eastAsia="Arial"/>
          <w:color w:val="1F2430"/>
          <w:sz w:val="19"/>
          <w:szCs w:val="19"/>
          <w:rtl/>
        </w:rPr>
        <w:t xml:space="preserve"> (155).</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5. </w:t>
      </w:r>
      <w:r>
        <w:tab/>
      </w:r>
      <w:r>
        <w:rPr>
          <w:rFonts w:ascii="Arial" w:hAnsi="Arial" w:cs="Arial" w:eastAsia="Arial"/>
          <w:color w:val="1F2430"/>
          <w:sz w:val="19"/>
          <w:szCs w:val="19"/>
          <w:rtl/>
        </w:rPr>
        <w:t xml:space="preserve">רוצים לתקוף החלטת בית הדין הגדול? → </w:t>
      </w:r>
      <w:r>
        <w:rPr>
          <w:rFonts w:ascii="Arial" w:hAnsi="Arial" w:cs="Arial" w:eastAsia="Arial"/>
          <w:b/>
          <w:bCs/>
          <w:color w:val="1F2430"/>
          <w:sz w:val="19"/>
          <w:szCs w:val="19"/>
          <w:rtl/>
        </w:rPr>
        <w:t>עתירה</w:t>
      </w:r>
      <w:r>
        <w:rPr>
          <w:rFonts w:ascii="Arial" w:hAnsi="Arial" w:cs="Arial" w:eastAsia="Arial"/>
          <w:color w:val="1F2430"/>
          <w:sz w:val="19"/>
          <w:szCs w:val="19"/>
          <w:rtl/>
        </w:rPr>
        <w:t xml:space="preserve"> לבג״ץ (15(ד)(4)), רק בעילה מוכרת – לא מחלוקת פרשנית.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סמכות ≠ דין; הראשון בוחר </w:t>
            </w:r>
            <w:r>
              <w:rPr>
                <w:rFonts w:ascii="Arial" w:hAnsi="Arial" w:cs="Arial" w:eastAsia="Arial"/>
                <w:b/>
                <w:bCs/>
                <w:color w:val="1F2430"/>
                <w:sz w:val="18"/>
                <w:szCs w:val="18"/>
                <w:rtl/>
              </w:rPr>
              <w:t>ערכאה</w:t>
            </w:r>
            <w:r>
              <w:rPr>
                <w:rFonts w:ascii="Arial" w:hAnsi="Arial" w:cs="Arial" w:eastAsia="Arial"/>
                <w:color w:val="1F2430"/>
                <w:sz w:val="18"/>
                <w:szCs w:val="18"/>
                <w:rtl/>
              </w:rPr>
              <w:t>, לא דין.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סימן 51 = בתי דין דתיים; סימן 47 = "גם" בתי משפט + דין אישי.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נמכ״א; "כלכלה" = מזונות ילדים; אפוטרופסות כוללת חינוך.</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1953: נישואין וגירושין – ייחודי (סעיף 1) ודין תורה (סעיף 2); השאר – מקביל.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סידיס: ממון נשר – חוץ מכתובה.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אימוץ וירושה – טריטוריאלי; סעיף 155 – הסכמת כולם בכתב.</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הדין הולך אחר הדיין – רק בהעדר חוק; בבלי: ברכוש הדיין הולך אחר הדין.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חוק שיווי זכויות: סעיפים 1, 2, 3, 7(ב) – מחייבים גם בתי דין.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ערעור אזרחי: מחוזי בזכות, עליון ברשות; דתי: בית הדין הגדול → עתירה לבג״ץ.</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15(ד)(4) – הזדמנות ראשונה; 15(ג) – נדיר.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לב: תכלית צו עיכוב יציאה; אקנין: אין התערבות בפרשנות.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המירוץ: פרשנות, תוצאות, סמכות נמשכת; ריסון – יישוב סכסוך, בבלי, פלמן.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0F7C7A"/>
            <w:tcBorders>
              <w:top w:val="single" w:sz="4" w:space="0" w:color="0F7C7A"/>
              <w:left w:val="single" w:sz="4" w:space="0" w:color="0F7C7A"/>
              <w:bottom w:val="single" w:sz="4" w:space="0" w:color="0F7C7A"/>
              <w:right w:val="single" w:sz="4" w:space="0" w:color="0F7C7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2</w:t>
            </w:r>
          </w:p>
          <w:p>
            <w:pPr>
              <w:bidi/>
              <w:spacing w:before="0" w:after="0" w:line="264" w:lineRule="auto"/>
              <w:outlineLvl w:val="0"/>
            </w:pPr>
            <w:r>
              <w:rPr>
                <w:rFonts w:ascii="Arial" w:hAnsi="Arial" w:cs="Arial" w:eastAsia="Arial"/>
                <w:b/>
                <w:bCs/>
                <w:color w:val="FFFFFF"/>
                <w:sz w:val="42"/>
                <w:szCs w:val="42"/>
                <w:rtl/>
              </w:rPr>
              <w:t>הסמכות הייחודית של בית הדין הרבני</w:t>
            </w:r>
          </w:p>
        </w:tc>
      </w:tr>
    </w:tbl>
    <w:p>
      <w:pPr>
        <w:bidi/>
        <w:spacing w:after="0" w:before="0" w:line="20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 השלד: חוק שיפוט בתי דין רבניים, 1953</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מה השתנה ב-1953:</w:t>
      </w:r>
      <w:r>
        <w:rPr>
          <w:rFonts w:ascii="Arial" w:hAnsi="Arial" w:cs="Arial" w:eastAsia="Arial"/>
          <w:color w:val="1F2430"/>
          <w:sz w:val="19"/>
          <w:szCs w:val="19"/>
          <w:rtl/>
        </w:rPr>
        <w:t xml:space="preserve"> עד אז גם בית משפט אזרחי יכול היה לגרש. מאז </w:t>
      </w:r>
      <w:r>
        <w:rPr>
          <w:rFonts w:ascii="Arial" w:hAnsi="Arial" w:cs="Arial" w:eastAsia="Arial"/>
          <w:color w:val="1F2430"/>
          <w:sz w:val="19"/>
          <w:szCs w:val="19"/>
          <w:highlight w:val="yellow"/>
          <w:rtl/>
        </w:rPr>
        <w:t>נישואין וגירושין של יהודים בסמכות ייחודית של בית הדין הרבני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מה נשאר כמו שהיה:</w:t>
      </w:r>
      <w:r>
        <w:rPr>
          <w:rFonts w:ascii="Arial" w:hAnsi="Arial" w:cs="Arial" w:eastAsia="Arial"/>
          <w:color w:val="1F2430"/>
          <w:sz w:val="19"/>
          <w:szCs w:val="19"/>
          <w:rtl/>
        </w:rPr>
        <w:t xml:space="preserve"> מזונות אישה, כלכלה ואפוטרופסות נשארו בסמכות מקבילה, ולכן מירוץ הסמכויות נמשך בנושאים האלה. על תביעת הגירושין עצמה אין מירוץ.</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סמכות ייחודית:</w:t>
      </w:r>
      <w:r>
        <w:rPr>
          <w:rFonts w:ascii="Arial" w:hAnsi="Arial" w:cs="Arial" w:eastAsia="Arial"/>
          <w:color w:val="1F2430"/>
          <w:sz w:val="19"/>
          <w:szCs w:val="19"/>
          <w:rtl/>
        </w:rPr>
        <w:t xml:space="preserve"> ערכאה אחת בלבד. </w:t>
      </w:r>
      <w:r>
        <w:rPr>
          <w:rFonts w:ascii="Arial" w:hAnsi="Arial" w:cs="Arial" w:eastAsia="Arial"/>
          <w:b/>
          <w:bCs/>
          <w:color w:val="1F2430"/>
          <w:sz w:val="19"/>
          <w:szCs w:val="19"/>
          <w:rtl/>
        </w:rPr>
        <w:t>סמכות מקבילה:</w:t>
      </w:r>
      <w:r>
        <w:rPr>
          <w:rFonts w:ascii="Arial" w:hAnsi="Arial" w:cs="Arial" w:eastAsia="Arial"/>
          <w:color w:val="1F2430"/>
          <w:sz w:val="19"/>
          <w:szCs w:val="19"/>
          <w:rtl/>
        </w:rPr>
        <w:t xml:space="preserve"> כמה ערכאות, וקובע מי שהגיע ראשון.</w:t>
      </w:r>
    </w:p>
    <w:tbl>
      <w:tblPr>
        <w:tblW w:type="dxa" w:w="10206"/>
        <w:jc w:val="center"/>
        <w:tblLook w:firstColumn="1" w:firstRow="1" w:lastColumn="0" w:lastRow="0" w:noHBand="0" w:noVBand="1" w:val="04A0"/>
        <w:bidiVisual/>
        <w:tblLayout w:type="fixed"/>
      </w:tblPr>
      <w:tblGrid>
        <w:gridCol w:w="1267"/>
        <w:gridCol w:w="7346"/>
        <w:gridCol w:w="1591"/>
      </w:tblGrid>
      <w:tr>
        <w:trPr>
          <w:tblHeader/>
        </w:trPr>
        <w:tc>
          <w:tcPr>
            <w:tcW w:type="dxa" w:w="126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734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נוסח</w:t>
            </w:r>
          </w:p>
        </w:tc>
        <w:tc>
          <w:tcPr>
            <w:tcW w:type="dxa" w:w="159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עוסק ב-</w:t>
            </w:r>
          </w:p>
        </w:tc>
      </w:tr>
      <w:tr>
        <w:trPr>
          <w:cantSplit/>
        </w:trPr>
        <w:tc>
          <w:tcPr>
            <w:tcW w:type="dxa" w:w="12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734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"עניני נישואין וגירושין של יהודים בישראל, אזרחי המדינה או תושביה, יהיו בשיפוטם הייחודי של בתי דין רבניים"</w:t>
            </w:r>
          </w:p>
        </w:tc>
        <w:tc>
          <w:tcPr>
            <w:tcW w:type="dxa" w:w="159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סמכות</w:t>
            </w:r>
          </w:p>
        </w:tc>
      </w:tr>
      <w:tr>
        <w:trPr>
          <w:cantSplit/>
        </w:trPr>
        <w:tc>
          <w:tcPr>
            <w:tcW w:type="dxa" w:w="12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2</w:t>
            </w:r>
          </w:p>
        </w:tc>
        <w:tc>
          <w:tcPr>
            <w:tcW w:type="dxa" w:w="734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"נישואין וגירושין של יהודים ייערכו בישראל על פי דין תורה"</w:t>
            </w:r>
          </w:p>
        </w:tc>
        <w:tc>
          <w:tcPr>
            <w:tcW w:type="dxa" w:w="159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highlight w:val="yellow"/>
                <w:rtl/>
              </w:rPr>
              <w:t>ברירת דין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למה לא ממהרים להגיש תביעת גירושין</w:t>
            </w:r>
          </w:p>
          <w:p>
            <w:pPr>
              <w:bidi/>
              <w:spacing w:before="0" w:after="60" w:line="300" w:lineRule="auto"/>
              <w:jc w:val="both"/>
            </w:pPr>
            <w:r>
              <w:rPr>
                <w:rFonts w:ascii="Arial" w:hAnsi="Arial" w:cs="Arial" w:eastAsia="Arial"/>
                <w:color w:val="1F2430"/>
                <w:sz w:val="18"/>
                <w:szCs w:val="18"/>
                <w:rtl/>
              </w:rPr>
              <w:t>לפי המרצה, אישה שאומרת "אני רוצה להתגרש" בלי הצדקה עלולה להפסיד כתובה ומזונות (מורדת). תביעת גירושין לבית הדין מגישים בדרך כלל כדי לכרוך אליה נושאים (פרק 3).</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2.2 ארבעה תנאים מצטברים</w:t>
      </w:r>
    </w:p>
    <w:tbl>
      <w:tblPr>
        <w:tblW w:type="dxa" w:w="10206"/>
        <w:jc w:val="center"/>
        <w:tblLook w:firstColumn="1" w:firstRow="1" w:lastColumn="0" w:lastRow="0" w:noHBand="0" w:noVBand="1" w:val="04A0"/>
        <w:bidiVisual/>
        <w:tblLayout w:type="fixed"/>
      </w:tblPr>
      <w:tblGrid>
        <w:gridCol w:w="1254"/>
        <w:gridCol w:w="2480"/>
        <w:gridCol w:w="6471"/>
      </w:tblGrid>
      <w:tr>
        <w:trPr>
          <w:tblHeader/>
        </w:trPr>
        <w:tc>
          <w:tcPr>
            <w:tcW w:type="dxa" w:w="1254"/>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w:t>
            </w:r>
          </w:p>
        </w:tc>
        <w:tc>
          <w:tcPr>
            <w:tcW w:type="dxa" w:w="248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w:t>
            </w:r>
          </w:p>
        </w:tc>
        <w:tc>
          <w:tcPr>
            <w:tcW w:type="dxa" w:w="647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 מרכזית</w:t>
            </w:r>
          </w:p>
        </w:tc>
      </w:tr>
      <w:tr>
        <w:trPr>
          <w:cantSplit/>
        </w:trPr>
        <w:tc>
          <w:tcPr>
            <w:tcW w:type="dxa" w:w="1254"/>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24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ענייני נישואין וגירושין</w:t>
            </w:r>
          </w:p>
        </w:tc>
        <w:tc>
          <w:tcPr>
            <w:tcW w:type="dxa" w:w="647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סידיס: הממון נשר, </w:t>
            </w:r>
            <w:r>
              <w:rPr>
                <w:rFonts w:ascii="Arial" w:hAnsi="Arial" w:cs="Arial" w:eastAsia="Arial"/>
                <w:color w:val="1F2430"/>
                <w:sz w:val="17"/>
                <w:szCs w:val="17"/>
                <w:highlight w:val="yellow"/>
                <w:rtl/>
              </w:rPr>
              <w:t>הכתובה נשארה</w:t>
            </w:r>
          </w:p>
        </w:tc>
      </w:tr>
      <w:tr>
        <w:trPr>
          <w:cantSplit/>
        </w:trPr>
        <w:tc>
          <w:tcPr>
            <w:tcW w:type="dxa" w:w="1254"/>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2</w:t>
            </w:r>
          </w:p>
        </w:tc>
        <w:tc>
          <w:tcPr>
            <w:tcW w:type="dxa" w:w="24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של יהודים</w:t>
            </w:r>
          </w:p>
        </w:tc>
        <w:tc>
          <w:tcPr>
            <w:tcW w:type="dxa" w:w="647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 xml:space="preserve">אוה בסן: </w:t>
            </w:r>
            <w:r>
              <w:rPr>
                <w:rFonts w:ascii="Arial" w:hAnsi="Arial" w:cs="Arial" w:eastAsia="Arial"/>
                <w:color w:val="1F2430"/>
                <w:sz w:val="17"/>
                <w:szCs w:val="17"/>
                <w:highlight w:val="yellow"/>
                <w:rtl/>
              </w:rPr>
              <w:t>שניהם</w:t>
            </w:r>
            <w:r>
              <w:rPr>
                <w:rFonts w:ascii="Arial" w:hAnsi="Arial" w:cs="Arial" w:eastAsia="Arial"/>
                <w:color w:val="1F2430"/>
                <w:sz w:val="17"/>
                <w:szCs w:val="17"/>
                <w:rtl/>
              </w:rPr>
              <w:t xml:space="preserve"> יהודים</w:t>
            </w:r>
          </w:p>
        </w:tc>
      </w:tr>
      <w:tr>
        <w:trPr>
          <w:cantSplit/>
        </w:trPr>
        <w:tc>
          <w:tcPr>
            <w:tcW w:type="dxa" w:w="1254"/>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24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בישראל</w:t>
            </w:r>
          </w:p>
        </w:tc>
        <w:tc>
          <w:tcPr>
            <w:tcW w:type="dxa" w:w="647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ורבר: היהודים בישראל </w:t>
            </w:r>
            <w:r>
              <w:rPr>
                <w:rFonts w:ascii="Arial" w:hAnsi="Arial" w:cs="Arial" w:eastAsia="Arial"/>
                <w:color w:val="1F2430"/>
                <w:sz w:val="17"/>
                <w:szCs w:val="17"/>
                <w:highlight w:val="yellow"/>
                <w:rtl/>
              </w:rPr>
              <w:t>בעת הגשת התביעה</w:t>
            </w:r>
            <w:r>
              <w:rPr>
                <w:rFonts w:ascii="Arial" w:hAnsi="Arial" w:cs="Arial" w:eastAsia="Arial"/>
                <w:color w:val="1F2430"/>
                <w:sz w:val="17"/>
                <w:szCs w:val="17"/>
                <w:rtl/>
              </w:rPr>
              <w:t>, כולל נוכחות קונסטרוקטיבית</w:t>
            </w:r>
          </w:p>
        </w:tc>
      </w:tr>
      <w:tr>
        <w:trPr>
          <w:cantSplit/>
        </w:trPr>
        <w:tc>
          <w:tcPr>
            <w:tcW w:type="dxa" w:w="1254"/>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w:t>
            </w:r>
          </w:p>
        </w:tc>
        <w:tc>
          <w:tcPr>
            <w:tcW w:type="dxa" w:w="24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אזרחים או תושבים</w:t>
            </w:r>
          </w:p>
        </w:tc>
        <w:tc>
          <w:tcPr>
            <w:tcW w:type="dxa" w:w="647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אזרח: חוק האזרחות ס׳ 1. תושב: ס׳ 80 לחוק הכשרות, "מרכז חייו"</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אם חסר תנאי אחד, סעיף 1 לא חל, ובודקים דלתות אחרות: 4, 4א, 4ב, 9, סמכות נמשכת.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בודקים לגבי </w:t>
      </w:r>
      <w:r>
        <w:rPr>
          <w:rFonts w:ascii="Arial" w:hAnsi="Arial" w:cs="Arial" w:eastAsia="Arial"/>
          <w:color w:val="1F2430"/>
          <w:sz w:val="19"/>
          <w:szCs w:val="19"/>
          <w:highlight w:val="yellow"/>
          <w:rtl/>
        </w:rPr>
        <w:t>התובע וגם לגבי הנתבע</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highlight w:val="yellow"/>
          <w:rtl/>
        </w:rPr>
        <w:t>קודם סעיף 1 ורק אחריו כריכה</w:t>
      </w:r>
      <w:r>
        <w:rPr>
          <w:rFonts w:ascii="Arial" w:hAnsi="Arial" w:cs="Arial" w:eastAsia="Arial"/>
          <w:color w:val="1F2430"/>
          <w:sz w:val="19"/>
          <w:szCs w:val="19"/>
          <w:rtl/>
        </w:rPr>
        <w:t>. בלי סעיף 1 אין סעיף 3.</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2.3 תנאי 1: ענייני נישואין וגירושין</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נישואין:</w:t>
      </w:r>
      <w:r>
        <w:rPr>
          <w:rFonts w:ascii="Arial" w:hAnsi="Arial" w:cs="Arial" w:eastAsia="Arial"/>
          <w:color w:val="1F2430"/>
          <w:sz w:val="19"/>
          <w:szCs w:val="19"/>
          <w:rtl/>
        </w:rPr>
        <w:t xml:space="preserve"> תוקף נישואין, רווקות או טקס בצחוק (גם טבעת פלסטיק), כשרות להינשא, כשרות עדים (בג״ץ לא יתערב), שלום בית, מורד/מורדת.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גירושין:</w:t>
      </w:r>
      <w:r>
        <w:rPr>
          <w:rFonts w:ascii="Arial" w:hAnsi="Arial" w:cs="Arial" w:eastAsia="Arial"/>
          <w:color w:val="1F2430"/>
          <w:sz w:val="19"/>
          <w:szCs w:val="19"/>
          <w:rtl/>
        </w:rPr>
        <w:t xml:space="preserve"> תביעת גירושין, תוקף גירושין, ביצוע גט.</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סידיס:</w:t>
      </w:r>
      <w:r>
        <w:rPr>
          <w:rFonts w:ascii="Arial" w:hAnsi="Arial" w:cs="Arial" w:eastAsia="Arial"/>
          <w:color w:val="1F2430"/>
          <w:sz w:val="19"/>
          <w:szCs w:val="19"/>
          <w:rtl/>
        </w:rPr>
        <w:t xml:space="preserve"> חלוקת רכוש, זכויות כספיות וסכסוכי ממון אינם ענייני נישואין. רק </w:t>
      </w:r>
      <w:r>
        <w:rPr>
          <w:rFonts w:ascii="Arial" w:hAnsi="Arial" w:cs="Arial" w:eastAsia="Arial"/>
          <w:color w:val="1F2430"/>
          <w:sz w:val="19"/>
          <w:szCs w:val="19"/>
          <w:highlight w:val="yellow"/>
          <w:rtl/>
        </w:rPr>
        <w:t>הכתובה</w:t>
      </w:r>
      <w:r>
        <w:rPr>
          <w:rFonts w:ascii="Arial" w:hAnsi="Arial" w:cs="Arial" w:eastAsia="Arial"/>
          <w:color w:val="1F2430"/>
          <w:sz w:val="19"/>
          <w:szCs w:val="19"/>
          <w:rtl/>
        </w:rPr>
        <w:t xml:space="preserve"> נשארה בסמכות הייחודית.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סמכות אגבית (ס׳ 76 לחוק בתי המשפט):</w:t>
      </w:r>
      <w:r>
        <w:rPr>
          <w:rFonts w:ascii="Arial" w:hAnsi="Arial" w:cs="Arial" w:eastAsia="Arial"/>
          <w:color w:val="1F2430"/>
          <w:sz w:val="19"/>
          <w:szCs w:val="19"/>
          <w:rtl/>
        </w:rPr>
        <w:t xml:space="preserve"> ערכאה אחרת רשאית להכריע אגב אורחא, למשל אם בני זוג נשואים כדמו״י, בלי ליצור מעשה בית דין. לפי המרצה זה נכון לכל ערכאה, גם לבית הדין.</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2.4 תנאי 2: "של יהודים"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זו </w:t>
      </w:r>
      <w:r>
        <w:rPr>
          <w:rFonts w:ascii="Arial" w:hAnsi="Arial" w:cs="Arial" w:eastAsia="Arial"/>
          <w:color w:val="1F2430"/>
          <w:sz w:val="19"/>
          <w:szCs w:val="19"/>
          <w:highlight w:val="yellow"/>
          <w:rtl/>
        </w:rPr>
        <w:t>סמכות פרסונלית</w:t>
      </w:r>
      <w:r>
        <w:rPr>
          <w:rFonts w:ascii="Arial" w:hAnsi="Arial" w:cs="Arial" w:eastAsia="Arial"/>
          <w:color w:val="1F2430"/>
          <w:sz w:val="19"/>
          <w:szCs w:val="19"/>
          <w:rtl/>
        </w:rPr>
        <w:t>, לפי זהות הצדדים. לא לפי מקום מגורים, מקום הנישואין או מקום הרכוש.</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יהודי:</w:t>
      </w:r>
      <w:r>
        <w:rPr>
          <w:rFonts w:ascii="Arial" w:hAnsi="Arial" w:cs="Arial" w:eastAsia="Arial"/>
          <w:color w:val="1F2430"/>
          <w:sz w:val="19"/>
          <w:szCs w:val="19"/>
          <w:rtl/>
        </w:rPr>
        <w:t xml:space="preserve"> מי שנולד לאם יהודייה או שהתגייר כהלכה. </w:t>
      </w:r>
      <w:r>
        <w:rPr>
          <w:rFonts w:ascii="Arial" w:hAnsi="Arial" w:cs="Arial" w:eastAsia="Arial"/>
          <w:color w:val="1F2430"/>
          <w:sz w:val="19"/>
          <w:szCs w:val="19"/>
          <w:highlight w:val="yellow"/>
          <w:rtl/>
        </w:rPr>
        <w:t>אי אפשר לעקוף את התנאי בהסכמה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אוה בסן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תבעה מזונות. הבעל טען שהיא לא יהודייה, ובית הדין קבע "ספק יהודייה, גט לחומרה, אין כתובה ומזונות".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אם מחילים את הדין הדתי על שניהם, זו כפייה. אם מחילים על אחד, נוצר פיצול סטטוס. לכן </w:t>
            </w:r>
            <w:r>
              <w:rPr>
                <w:rFonts w:ascii="Arial" w:hAnsi="Arial" w:cs="Arial" w:eastAsia="Arial"/>
                <w:color w:val="1F2430"/>
                <w:sz w:val="18"/>
                <w:szCs w:val="18"/>
                <w:highlight w:val="yellow"/>
                <w:rtl/>
              </w:rPr>
              <w:t>שניהם חייבים להיות יהודים</w:t>
            </w:r>
            <w:r>
              <w:rPr>
                <w:rFonts w:ascii="Arial" w:hAnsi="Arial" w:cs="Arial" w:eastAsia="Arial"/>
                <w:color w:val="1F2430"/>
                <w:sz w:val="18"/>
                <w:szCs w:val="18"/>
                <w:rtl/>
              </w:rPr>
              <w:t xml:space="preserve">. בספק יהדות בית הדין מאבד את סמכותו.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בני זוג מעורבים או בספק יהדות מתגרשים לפי חוק המקרים המיוחדים.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פיצול סטטוס:</w:t>
      </w:r>
      <w:r>
        <w:rPr>
          <w:rFonts w:ascii="Arial" w:hAnsi="Arial" w:cs="Arial" w:eastAsia="Arial"/>
          <w:color w:val="1F2430"/>
          <w:sz w:val="19"/>
          <w:szCs w:val="19"/>
          <w:rtl/>
        </w:rPr>
        <w:t xml:space="preserve"> כל אחד מבני הזוג שייך למערכת דינים אחרת, ולכן המעמד האישי שלהם לא אחיד.</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דוגמה:</w:t>
      </w:r>
      <w:r>
        <w:rPr>
          <w:rFonts w:ascii="Arial" w:hAnsi="Arial" w:cs="Arial" w:eastAsia="Arial"/>
          <w:color w:val="1F2430"/>
          <w:sz w:val="19"/>
          <w:szCs w:val="19"/>
          <w:rtl/>
        </w:rPr>
        <w:t xml:space="preserve"> באמצע הדיון מתברר שאם הבעל לא יהודייה. אין סמכות, והתיק עובר לבית המשפט לענייני משפחה. בסיכום אחד מוזכר בהקשר זה פס״ד בולוקובסקי.</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2.5 חוק שיפוט בענייני התרת נישואין (מקרים מיוחדים), 1969</w:t>
      </w:r>
    </w:p>
    <w:p>
      <w:pPr>
        <w:bidi/>
        <w:spacing w:before="0" w:after="100" w:line="300" w:lineRule="auto"/>
        <w:jc w:val="both"/>
      </w:pPr>
      <w:r>
        <w:rPr>
          <w:rFonts w:ascii="Arial" w:hAnsi="Arial" w:cs="Arial" w:eastAsia="Arial"/>
          <w:b/>
          <w:bCs/>
          <w:color w:val="1F2430"/>
          <w:sz w:val="19"/>
          <w:szCs w:val="19"/>
          <w:rtl/>
        </w:rPr>
        <w:t>ס׳ 3(א)(1):</w:t>
      </w:r>
      <w:r>
        <w:rPr>
          <w:rFonts w:ascii="Arial" w:hAnsi="Arial" w:cs="Arial" w:eastAsia="Arial"/>
          <w:color w:val="1F2430"/>
          <w:sz w:val="19"/>
          <w:szCs w:val="19"/>
          <w:rtl/>
        </w:rPr>
        <w:t xml:space="preserve"> חל כשאחד מבני הזוג בן דת מוכרת, כשיש ספק בהשתייכות הדתית, או כששניהם בני דתות מוכרות שונות. סגן נשיא בית המשפט או שופט מוסמך פונה בכתב לראש בית הדין הדתי, כדי שיקבע אם צריך גירושין לפי הדין הדתי, "ולו מספק".</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1. </w:t>
      </w:r>
      <w:r>
        <w:tab/>
      </w:r>
      <w:r>
        <w:rPr>
          <w:rFonts w:ascii="Arial" w:hAnsi="Arial" w:cs="Arial" w:eastAsia="Arial"/>
          <w:color w:val="1F2430"/>
          <w:sz w:val="19"/>
          <w:szCs w:val="19"/>
          <w:rtl/>
        </w:rPr>
        <w:t xml:space="preserve">פותחים את ההליך </w:t>
      </w:r>
      <w:r>
        <w:rPr>
          <w:rFonts w:ascii="Arial" w:hAnsi="Arial" w:cs="Arial" w:eastAsia="Arial"/>
          <w:color w:val="1F2430"/>
          <w:sz w:val="19"/>
          <w:szCs w:val="19"/>
          <w:highlight w:val="yellow"/>
          <w:rtl/>
        </w:rPr>
        <w:t>בבית המשפט האזרחי</w:t>
      </w:r>
      <w:r>
        <w:rPr>
          <w:rFonts w:ascii="Arial" w:hAnsi="Arial" w:cs="Arial" w:eastAsia="Arial"/>
          <w:color w:val="1F2430"/>
          <w:sz w:val="19"/>
          <w:szCs w:val="19"/>
          <w:rtl/>
        </w:rPr>
        <w:t xml:space="preserve"> (היום בית המשפט לענייני משפחה).</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2. </w:t>
      </w:r>
      <w:r>
        <w:tab/>
      </w:r>
      <w:r>
        <w:rPr>
          <w:rFonts w:ascii="Arial" w:hAnsi="Arial" w:cs="Arial" w:eastAsia="Arial"/>
          <w:color w:val="1F2430"/>
          <w:sz w:val="19"/>
          <w:szCs w:val="19"/>
          <w:rtl/>
        </w:rPr>
        <w:t>בית המשפט פונה לבתי הדין של כל דת שמעורבת.</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3. </w:t>
      </w:r>
      <w:r>
        <w:tab/>
      </w:r>
      <w:r>
        <w:rPr>
          <w:rFonts w:ascii="Arial" w:hAnsi="Arial" w:cs="Arial" w:eastAsia="Arial"/>
          <w:color w:val="1F2430"/>
          <w:sz w:val="19"/>
          <w:szCs w:val="19"/>
          <w:rtl/>
        </w:rPr>
        <w:t>בית המשפט מתיר את הנישואין ורושם את בני הזוג כגרושים. אם צריך גט, רק עניין הגט עובר לבית הדין הרבני.</w:t>
      </w:r>
    </w:p>
    <w:tbl>
      <w:tblPr>
        <w:tblW w:type="dxa" w:w="10206"/>
        <w:jc w:val="center"/>
        <w:tblLook w:firstColumn="1" w:firstRow="1" w:lastColumn="0" w:lastRow="0" w:noHBand="0" w:noVBand="1" w:val="04A0"/>
        <w:bidiVisual/>
        <w:tblLayout w:type="fixed"/>
      </w:tblPr>
      <w:tblGrid>
        <w:gridCol w:w="5318"/>
        <w:gridCol w:w="4887"/>
      </w:tblGrid>
      <w:tr>
        <w:trPr>
          <w:tblHeader/>
        </w:trPr>
        <w:tc>
          <w:tcPr>
            <w:tcW w:type="dxa" w:w="5318"/>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488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מתיר</w:t>
            </w:r>
          </w:p>
        </w:tc>
      </w:tr>
      <w:tr>
        <w:trPr>
          <w:cantSplit/>
        </w:trPr>
        <w:tc>
          <w:tcPr>
            <w:tcW w:type="dxa" w:w="531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שני יהודים, דמו״י או אזרחי (גם מחו״ל)</w:t>
            </w:r>
          </w:p>
        </w:tc>
        <w:tc>
          <w:tcPr>
            <w:tcW w:type="dxa" w:w="48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הדין הרבני</w:t>
            </w:r>
          </w:p>
        </w:tc>
      </w:tr>
      <w:tr>
        <w:trPr>
          <w:cantSplit/>
        </w:trPr>
        <w:tc>
          <w:tcPr>
            <w:tcW w:type="dxa" w:w="531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יהודי ולא יהודי / ספק</w:t>
            </w:r>
          </w:p>
        </w:tc>
        <w:tc>
          <w:tcPr>
            <w:tcW w:type="dxa" w:w="48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בית המשפט, לפי חוק המקרים המיוחדים</w:t>
            </w:r>
          </w:p>
        </w:tc>
      </w:tr>
      <w:tr>
        <w:trPr>
          <w:cantSplit/>
        </w:trPr>
        <w:tc>
          <w:tcPr>
            <w:tcW w:type="dxa" w:w="531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בני אותו מין</w:t>
            </w:r>
          </w:p>
        </w:tc>
        <w:tc>
          <w:tcPr>
            <w:tcW w:type="dxa" w:w="48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המשפט לענייני משפחה</w:t>
            </w:r>
          </w:p>
        </w:tc>
      </w:tr>
      <w:tr>
        <w:trPr>
          <w:cantSplit/>
        </w:trPr>
        <w:tc>
          <w:tcPr>
            <w:tcW w:type="dxa" w:w="531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חסרי דת (ברית הזוגיות)</w:t>
            </w:r>
          </w:p>
        </w:tc>
        <w:tc>
          <w:tcPr>
            <w:tcW w:type="dxa" w:w="48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הליך אזרחי</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סרגובי (2006):</w:t>
      </w:r>
      <w:r>
        <w:rPr>
          <w:rFonts w:ascii="Arial" w:hAnsi="Arial" w:cs="Arial" w:eastAsia="Arial"/>
          <w:color w:val="1F2430"/>
          <w:sz w:val="19"/>
          <w:szCs w:val="19"/>
          <w:rtl/>
        </w:rPr>
        <w:t xml:space="preserve"> סעיף 9 חל רק כששניהם יהודים, ולכן </w:t>
      </w:r>
      <w:r>
        <w:rPr>
          <w:rFonts w:ascii="Arial" w:hAnsi="Arial" w:cs="Arial" w:eastAsia="Arial"/>
          <w:color w:val="1F2430"/>
          <w:sz w:val="19"/>
          <w:szCs w:val="19"/>
          <w:highlight w:val="yellow"/>
          <w:rtl/>
        </w:rPr>
        <w:t>זוג מעורב לא נכנס לבית הדין גם בהסכמה</w:t>
      </w:r>
      <w:r>
        <w:rPr>
          <w:rFonts w:ascii="Arial" w:hAnsi="Arial" w:cs="Arial" w:eastAsia="Arial"/>
          <w:color w:val="1F2430"/>
          <w:sz w:val="19"/>
          <w:szCs w:val="19"/>
          <w:rtl/>
        </w:rPr>
        <w:t xml:space="preserve"> (פרק 4).</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2.6 תנאי 3: "בישראל"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5385/95 ורבר</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"בישראל" מוסב על </w:t>
            </w:r>
            <w:r>
              <w:rPr>
                <w:rFonts w:ascii="Arial" w:hAnsi="Arial" w:cs="Arial" w:eastAsia="Arial"/>
                <w:color w:val="1F2430"/>
                <w:sz w:val="18"/>
                <w:szCs w:val="18"/>
                <w:highlight w:val="yellow"/>
                <w:rtl/>
              </w:rPr>
              <w:t>היהודים, בעת הגשת התביעה</w:t>
            </w:r>
            <w:r>
              <w:rPr>
                <w:rFonts w:ascii="Arial" w:hAnsi="Arial" w:cs="Arial" w:eastAsia="Arial"/>
                <w:color w:val="1F2430"/>
                <w:sz w:val="18"/>
                <w:szCs w:val="18"/>
                <w:rtl/>
              </w:rPr>
              <w:t xml:space="preserve">, ולא על מקום הנישואין. לכן נישואין אזרחיים מכל העולם (למשל בקפריסין) של יהודים שבישראל בסמכות ייחודית של בית הדין, ושם ייתכן גט לחומרה. </w:t>
            </w:r>
            <w:r>
              <w:rPr>
                <w:rFonts w:ascii="Arial" w:hAnsi="Arial" w:cs="Arial" w:eastAsia="Arial"/>
                <w:b/>
                <w:bCs/>
                <w:color w:val="1F2430"/>
                <w:sz w:val="18"/>
                <w:szCs w:val="18"/>
                <w:rtl/>
              </w:rPr>
              <w:t>עוד:</w:t>
            </w:r>
            <w:r>
              <w:rPr>
                <w:rFonts w:ascii="Arial" w:hAnsi="Arial" w:cs="Arial" w:eastAsia="Arial"/>
                <w:color w:val="1F2430"/>
                <w:sz w:val="18"/>
                <w:szCs w:val="18"/>
                <w:rtl/>
              </w:rPr>
              <w:t xml:space="preserve"> זוג תיירים יהודים לא נכנס, כי הם לא אזרחים או תושבים. אזרח שאינו תושב צריך זיקה ממשית (יחד עם ביגר). הפס״ד מבחין בין תביעת הגירושין, שבה הוכרה ההרחבה, לבין תביעות אחרות, שנדחו.</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הבעיה:</w:t>
      </w:r>
      <w:r>
        <w:rPr>
          <w:rFonts w:ascii="Arial" w:hAnsi="Arial" w:cs="Arial" w:eastAsia="Arial"/>
          <w:color w:val="1F2430"/>
          <w:sz w:val="19"/>
          <w:szCs w:val="19"/>
          <w:rtl/>
        </w:rPr>
        <w:t xml:space="preserve"> בית משפט בחו״ל מגרש רק אזרחית, ובית דין בחו״ל פועל רק בהסכמה. </w:t>
      </w:r>
      <w:r>
        <w:rPr>
          <w:rFonts w:ascii="Arial" w:hAnsi="Arial" w:cs="Arial" w:eastAsia="Arial"/>
          <w:color w:val="1F2430"/>
          <w:sz w:val="19"/>
          <w:szCs w:val="19"/>
          <w:highlight w:val="yellow"/>
          <w:rtl/>
        </w:rPr>
        <w:t>רק לבית הדין בישראל יש מנופי לחץ</w:t>
      </w:r>
      <w:r>
        <w:rPr>
          <w:rFonts w:ascii="Arial" w:hAnsi="Arial" w:cs="Arial" w:eastAsia="Arial"/>
          <w:color w:val="1F2430"/>
          <w:sz w:val="19"/>
          <w:szCs w:val="19"/>
          <w:rtl/>
        </w:rPr>
        <w:t xml:space="preserve"> (עיכוב יציאה, צווים, סנקציות). בלעדיו אישה מסורבת גט נשארת מעוגנת.</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2.7 נוכחות קונסטרוקטיבית: שרשרת הפסיקה</w:t>
      </w:r>
    </w:p>
    <w:p>
      <w:pPr>
        <w:bidi/>
        <w:spacing w:before="0" w:after="100" w:line="300" w:lineRule="auto"/>
        <w:jc w:val="both"/>
      </w:pPr>
      <w:r>
        <w:rPr>
          <w:rFonts w:ascii="Arial" w:hAnsi="Arial" w:cs="Arial" w:eastAsia="Arial"/>
          <w:b/>
          <w:bCs/>
          <w:color w:val="1F2430"/>
          <w:sz w:val="19"/>
          <w:szCs w:val="19"/>
          <w:rtl/>
        </w:rPr>
        <w:t>הגדרה:</w:t>
      </w:r>
      <w:r>
        <w:rPr>
          <w:rFonts w:ascii="Arial" w:hAnsi="Arial" w:cs="Arial" w:eastAsia="Arial"/>
          <w:color w:val="1F2430"/>
          <w:sz w:val="19"/>
          <w:szCs w:val="19"/>
          <w:rtl/>
        </w:rPr>
        <w:t xml:space="preserve"> האדם לא נמצא פיזית בישראל, אבל בגלל הקשר שלו לישראל רואים אותו "כאילו הוא כאן". צריך להבחין בין תובע לנתבע, כי </w:t>
      </w:r>
      <w:r>
        <w:rPr>
          <w:rFonts w:ascii="Arial" w:hAnsi="Arial" w:cs="Arial" w:eastAsia="Arial"/>
          <w:color w:val="1F2430"/>
          <w:sz w:val="19"/>
          <w:szCs w:val="19"/>
          <w:highlight w:val="yellow"/>
          <w:rtl/>
        </w:rPr>
        <w:t>התובע הולך אחר הנתבע</w:t>
      </w:r>
      <w:r>
        <w:rPr>
          <w:rFonts w:ascii="Arial" w:hAnsi="Arial" w:cs="Arial" w:eastAsia="Arial"/>
          <w:color w:val="1F2430"/>
          <w:sz w:val="19"/>
          <w:szCs w:val="19"/>
          <w:rtl/>
        </w:rPr>
        <w:t xml:space="preserve"> והנתבע לא בחר להתדיין.</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חן (297/77) → רוב:</w:t>
      </w:r>
      <w:r>
        <w:rPr>
          <w:rFonts w:ascii="Arial" w:hAnsi="Arial" w:cs="Arial" w:eastAsia="Arial"/>
          <w:color w:val="1F2430"/>
          <w:sz w:val="19"/>
          <w:szCs w:val="19"/>
          <w:rtl/>
        </w:rPr>
        <w:t xml:space="preserve"> אין סמכות. אזרחים שגרו בארה״ב, והתביעה הוגשה בשם האישה באמצעות אביה. </w:t>
      </w:r>
      <w:r>
        <w:rPr>
          <w:rFonts w:ascii="Arial" w:hAnsi="Arial" w:cs="Arial" w:eastAsia="Arial"/>
          <w:b/>
          <w:bCs/>
          <w:color w:val="1F2430"/>
          <w:sz w:val="19"/>
          <w:szCs w:val="19"/>
          <w:rtl/>
        </w:rPr>
        <w:t>מיעוט לנדוי:</w:t>
      </w:r>
      <w:r>
        <w:rPr>
          <w:rFonts w:ascii="Arial" w:hAnsi="Arial" w:cs="Arial" w:eastAsia="Arial"/>
          <w:color w:val="1F2430"/>
          <w:sz w:val="19"/>
          <w:szCs w:val="19"/>
          <w:rtl/>
        </w:rPr>
        <w:t xml:space="preserve"> אם התובע מקבל את מרות בית הדין, אין בעיה.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הראל (238/81) → אימץ את מיעוט לנדוי:</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תובע בחו״ל יכול להגיש באמצעות שלוח</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קריב (871/86) → נתבע תושב קבע:</w:t>
      </w:r>
      <w:r>
        <w:rPr>
          <w:rFonts w:ascii="Arial" w:hAnsi="Arial" w:cs="Arial" w:eastAsia="Arial"/>
          <w:color w:val="1F2430"/>
          <w:sz w:val="19"/>
          <w:szCs w:val="19"/>
          <w:rtl/>
        </w:rPr>
        <w:t xml:space="preserve"> אם לא סגר חשבונות, לא מכר נכסים, השאיר חפצים ו"רק עלה על מטוס", רואים אותו כאן. מספיקה </w:t>
      </w:r>
      <w:r>
        <w:rPr>
          <w:rFonts w:ascii="Arial" w:hAnsi="Arial" w:cs="Arial" w:eastAsia="Arial"/>
          <w:color w:val="1F2430"/>
          <w:sz w:val="19"/>
          <w:szCs w:val="19"/>
          <w:highlight w:val="yellow"/>
          <w:rtl/>
        </w:rPr>
        <w:t>זיקה מסוימת</w:t>
      </w:r>
      <w:r>
        <w:rPr>
          <w:rFonts w:ascii="Arial" w:hAnsi="Arial" w:cs="Arial" w:eastAsia="Arial"/>
          <w:color w:val="1F2430"/>
          <w:sz w:val="19"/>
          <w:szCs w:val="19"/>
          <w:rtl/>
        </w:rPr>
        <w:t>. אפשר לתת צו עיכוב יציאה. (במקראה: האישה נסעה להוריה, והשופט גולדברג הדגיש את החפצים והחשבונות.)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ביגר (3664/92, השופט נתניהו) → נתבע אזרח בלבד:</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אזרחות לבד לא מספיקה</w:t>
      </w:r>
      <w:r>
        <w:rPr>
          <w:rFonts w:ascii="Arial" w:hAnsi="Arial" w:cs="Arial" w:eastAsia="Arial"/>
          <w:color w:val="1F2430"/>
          <w:sz w:val="19"/>
          <w:szCs w:val="19"/>
          <w:rtl/>
        </w:rPr>
        <w:t>. צריך אזרחות + זיקה ממשית: חשבונות פעילים, דירה, ביקורים, משפחה.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ורבר → אותו כלל</w:t>
      </w:r>
      <w:r>
        <w:rPr>
          <w:rFonts w:ascii="Arial" w:hAnsi="Arial" w:cs="Arial" w:eastAsia="Arial"/>
          <w:color w:val="1F2430"/>
          <w:sz w:val="19"/>
          <w:szCs w:val="19"/>
          <w:rtl/>
        </w:rPr>
        <w:t>, וההבחנה בין גירושין לתביעות אחרות.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נתבע שהגיש בעצמו תביעות בישראל:</w:t>
      </w:r>
      <w:r>
        <w:rPr>
          <w:rFonts w:ascii="Arial" w:hAnsi="Arial" w:cs="Arial" w:eastAsia="Arial"/>
          <w:color w:val="1F2430"/>
          <w:sz w:val="19"/>
          <w:szCs w:val="19"/>
          <w:rtl/>
        </w:rPr>
        <w:t xml:space="preserve"> הוכיח בכך זיקה ממשית.</w:t>
      </w:r>
    </w:p>
    <w:tbl>
      <w:tblPr>
        <w:tblW w:type="dxa" w:w="10206"/>
        <w:jc w:val="center"/>
        <w:tblLook w:firstColumn="1" w:firstRow="1" w:lastColumn="0" w:lastRow="0" w:noHBand="0" w:noVBand="1" w:val="04A0"/>
        <w:bidiVisual/>
        <w:tblLayout w:type="fixed"/>
      </w:tblPr>
      <w:tblGrid>
        <w:gridCol w:w="2916"/>
        <w:gridCol w:w="1822"/>
        <w:gridCol w:w="5467"/>
      </w:tblGrid>
      <w:tr>
        <w:trPr>
          <w:tblHeader/>
        </w:trPr>
        <w:tc>
          <w:tcPr>
            <w:tcW w:type="dxa" w:w="291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182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546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דרישה</w:t>
            </w:r>
          </w:p>
        </w:tc>
      </w:tr>
      <w:tr>
        <w:trPr>
          <w:cantSplit/>
        </w:trPr>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תובע</w:t>
            </w:r>
          </w:p>
        </w:tc>
        <w:tc>
          <w:tcPr>
            <w:tcW w:type="dxa" w:w="182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הראל</w:t>
            </w:r>
          </w:p>
        </w:tc>
        <w:tc>
          <w:tcPr>
            <w:tcW w:type="dxa" w:w="54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שלוח</w:t>
            </w:r>
          </w:p>
        </w:tc>
      </w:tr>
      <w:tr>
        <w:trPr>
          <w:cantSplit/>
        </w:trPr>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נתבע תושב קבע</w:t>
            </w:r>
          </w:p>
        </w:tc>
        <w:tc>
          <w:tcPr>
            <w:tcW w:type="dxa" w:w="182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קריב</w:t>
            </w:r>
          </w:p>
        </w:tc>
        <w:tc>
          <w:tcPr>
            <w:tcW w:type="dxa" w:w="54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זיקה מסוימת, מרכז חיים לא נותק</w:t>
            </w:r>
          </w:p>
        </w:tc>
      </w:tr>
      <w:tr>
        <w:trPr>
          <w:cantSplit/>
        </w:trPr>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נתבע אזרח בלבד</w:t>
            </w:r>
          </w:p>
        </w:tc>
        <w:tc>
          <w:tcPr>
            <w:tcW w:type="dxa" w:w="182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ביגר, ורבר</w:t>
            </w:r>
          </w:p>
        </w:tc>
        <w:tc>
          <w:tcPr>
            <w:tcW w:type="dxa" w:w="54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אזרחות + זיקה ממשית</w:t>
            </w:r>
          </w:p>
        </w:tc>
      </w:tr>
      <w:tr>
        <w:trPr>
          <w:cantSplit/>
        </w:trPr>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לא אזרח ולא תושב</w:t>
            </w:r>
          </w:p>
        </w:tc>
        <w:tc>
          <w:tcPr>
            <w:tcW w:type="dxa" w:w="182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סבג</w:t>
            </w:r>
          </w:p>
        </w:tc>
        <w:tc>
          <w:tcPr>
            <w:tcW w:type="dxa" w:w="54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אין סמכות לפי ס׳ 1</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w:t>
            </w:r>
          </w:p>
          <w:p>
            <w:pPr>
              <w:bidi/>
              <w:spacing w:before="0" w:after="60" w:line="300" w:lineRule="auto"/>
              <w:jc w:val="both"/>
            </w:pPr>
            <w:r>
              <w:rPr>
                <w:rFonts w:ascii="Arial" w:hAnsi="Arial" w:cs="Arial" w:eastAsia="Arial"/>
                <w:color w:val="1F2430"/>
                <w:sz w:val="18"/>
                <w:szCs w:val="18"/>
                <w:rtl/>
              </w:rPr>
              <w:t>נתבע שהעתיק באמת את מקום מושבו לחו״ל ואינו אזרח עם זיקה ממשית: אין סמכות לפי סעיף 1, ובודקים את סעיף 4א.</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2.8 תנאי 4: אזרחים או תושבים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אזרח:</w:t>
      </w:r>
      <w:r>
        <w:rPr>
          <w:rFonts w:ascii="Arial" w:hAnsi="Arial" w:cs="Arial" w:eastAsia="Arial"/>
          <w:color w:val="1F2430"/>
          <w:sz w:val="19"/>
          <w:szCs w:val="19"/>
          <w:rtl/>
        </w:rPr>
        <w:t xml:space="preserve"> רשום כאזרח. אפשר להיות אזרח בלי שגר כאן אף פעם, למשל מי שנולד להורים אזרחים.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תושב:</w:t>
      </w:r>
      <w:r>
        <w:rPr>
          <w:rFonts w:ascii="Arial" w:hAnsi="Arial" w:cs="Arial" w:eastAsia="Arial"/>
          <w:color w:val="1F2430"/>
          <w:sz w:val="19"/>
          <w:szCs w:val="19"/>
          <w:rtl/>
        </w:rPr>
        <w:t xml:space="preserve"> מרכז חיים (ס׳ 80 לחוק הכשרות המשפטית והאפוטרופסות).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התכלית:</w:t>
      </w:r>
      <w:r>
        <w:rPr>
          <w:rFonts w:ascii="Arial" w:hAnsi="Arial" w:cs="Arial" w:eastAsia="Arial"/>
          <w:color w:val="1F2430"/>
          <w:sz w:val="19"/>
          <w:szCs w:val="19"/>
          <w:rtl/>
        </w:rPr>
        <w:t xml:space="preserve"> זיקה אישית לישראל. המחוקק נותן לבית הדין סמכות רחבה ומגביל אותה.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כך או כך במסלול האזרחי:</w:t>
      </w:r>
      <w:r>
        <w:rPr>
          <w:rFonts w:ascii="Arial" w:hAnsi="Arial" w:cs="Arial" w:eastAsia="Arial"/>
          <w:color w:val="1F2430"/>
          <w:sz w:val="19"/>
          <w:szCs w:val="19"/>
          <w:rtl/>
        </w:rPr>
        <w:t xml:space="preserve"> להט״ב, חסרי דת, ידועים בציבור.</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2.9 בג״ץ 6751/04 סבג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סבג</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יהודים, לא אזרחים, לא תושבים, בלי זיקה לארץ. נישאו במונקו ב-1983, גם דתית וגם אזרחית, ויש להם שני ילדים. התגרשו במונקו ב-2000 </w:t>
            </w:r>
            <w:r>
              <w:rPr>
                <w:rFonts w:ascii="Arial" w:hAnsi="Arial" w:cs="Arial" w:eastAsia="Arial"/>
                <w:color w:val="1F2430"/>
                <w:sz w:val="18"/>
                <w:szCs w:val="18"/>
                <w:highlight w:val="yellow"/>
                <w:rtl/>
              </w:rPr>
              <w:t>אזרחית בלבד</w:t>
            </w:r>
            <w:r>
              <w:rPr>
                <w:rFonts w:ascii="Arial" w:hAnsi="Arial" w:cs="Arial" w:eastAsia="Arial"/>
                <w:color w:val="1F2430"/>
                <w:sz w:val="18"/>
                <w:szCs w:val="18"/>
                <w:rtl/>
              </w:rPr>
              <w:t xml:space="preserve">, והבעל סירב לתת גט. האישה הגישה בישראל, באמצעות עו״ד, תביעת גירושין ותביעת מזונות. הבעל הגיע לביקור של עשרה ימים ועוכב בנתב״ג. בית הדין האזורי והגדול קבעו שיש סמכות.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לפי הרוב (פרוקצ׳יה) </w:t>
            </w:r>
            <w:r>
              <w:rPr>
                <w:rFonts w:ascii="Arial" w:hAnsi="Arial" w:cs="Arial" w:eastAsia="Arial"/>
                <w:color w:val="1F2430"/>
                <w:sz w:val="18"/>
                <w:szCs w:val="18"/>
                <w:highlight w:val="yellow"/>
                <w:rtl/>
              </w:rPr>
              <w:t>אין סמכות לגירושין</w:t>
            </w:r>
            <w:r>
              <w:rPr>
                <w:rFonts w:ascii="Arial" w:hAnsi="Arial" w:cs="Arial" w:eastAsia="Arial"/>
                <w:color w:val="1F2430"/>
                <w:sz w:val="18"/>
                <w:szCs w:val="18"/>
                <w:rtl/>
              </w:rPr>
              <w:t xml:space="preserve">, כי בני הזוג אינם אזרחים או תושבים. רובינשטיין במיעוט סבר שיש סמכות.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יהדות לבדה לא פותחת את הדלת. התגובה המהירה של המחוקק הייתה סעיף 4א.</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המזונות בסבג:</w:t>
      </w:r>
      <w:r>
        <w:rPr>
          <w:rFonts w:ascii="Arial" w:hAnsi="Arial" w:cs="Arial" w:eastAsia="Arial"/>
          <w:color w:val="1F2430"/>
          <w:sz w:val="19"/>
          <w:szCs w:val="19"/>
          <w:rtl/>
        </w:rPr>
        <w:t xml:space="preserve"> ייתכן שהייתה סמכות לפי </w:t>
      </w:r>
      <w:r>
        <w:rPr>
          <w:rFonts w:ascii="Arial" w:hAnsi="Arial" w:cs="Arial" w:eastAsia="Arial"/>
          <w:color w:val="1F2430"/>
          <w:sz w:val="19"/>
          <w:szCs w:val="19"/>
          <w:highlight w:val="yellow"/>
          <w:rtl/>
        </w:rPr>
        <w:t>סעיף 4</w:t>
      </w:r>
      <w:r>
        <w:rPr>
          <w:rFonts w:ascii="Arial" w:hAnsi="Arial" w:cs="Arial" w:eastAsia="Arial"/>
          <w:color w:val="1F2430"/>
          <w:sz w:val="19"/>
          <w:szCs w:val="19"/>
          <w:rtl/>
        </w:rPr>
        <w:t>, בכפוף לזיקה מסוימת (קנול, גולדנברג). ראו פרק 3.</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אמרת האגב של פרוקצ׳יה:</w:t>
      </w:r>
      <w:r>
        <w:rPr>
          <w:rFonts w:ascii="Arial" w:hAnsi="Arial" w:cs="Arial" w:eastAsia="Arial"/>
          <w:color w:val="1F2430"/>
          <w:sz w:val="19"/>
          <w:szCs w:val="19"/>
          <w:rtl/>
        </w:rPr>
        <w:t xml:space="preserve"> תנאי סעיף 1 חלים גם על סעיף 4. </w:t>
      </w:r>
      <w:r>
        <w:rPr>
          <w:rFonts w:ascii="Arial" w:hAnsi="Arial" w:cs="Arial" w:eastAsia="Arial"/>
          <w:color w:val="1F2430"/>
          <w:sz w:val="19"/>
          <w:szCs w:val="19"/>
          <w:highlight w:val="yellow"/>
          <w:rtl/>
        </w:rPr>
        <w:t>היא אינה מחייבת</w:t>
      </w:r>
      <w:r>
        <w:rPr>
          <w:rFonts w:ascii="Arial" w:hAnsi="Arial" w:cs="Arial" w:eastAsia="Arial"/>
          <w:color w:val="1F2430"/>
          <w:sz w:val="19"/>
          <w:szCs w:val="19"/>
          <w:rtl/>
        </w:rPr>
        <w:t>.</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2.10 סעיף 4א: גירושין בין-לאומיים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"בלי לגרוע מסעיף 1":</w:t>
      </w:r>
      <w:r>
        <w:rPr>
          <w:rFonts w:ascii="Arial" w:hAnsi="Arial" w:cs="Arial" w:eastAsia="Arial"/>
          <w:color w:val="1F2430"/>
          <w:sz w:val="19"/>
          <w:szCs w:val="19"/>
          <w:rtl/>
        </w:rPr>
        <w:t xml:space="preserve"> סמכות ייחודית בתביעה לגירושין בין בני זוג </w:t>
      </w:r>
      <w:r>
        <w:rPr>
          <w:rFonts w:ascii="Arial" w:hAnsi="Arial" w:cs="Arial" w:eastAsia="Arial"/>
          <w:color w:val="1F2430"/>
          <w:sz w:val="19"/>
          <w:szCs w:val="19"/>
          <w:highlight w:val="yellow"/>
          <w:rtl/>
        </w:rPr>
        <w:t>יהודים שנישאו על פי דין תורה</w:t>
      </w:r>
      <w:r>
        <w:rPr>
          <w:rFonts w:ascii="Arial" w:hAnsi="Arial" w:cs="Arial" w:eastAsia="Arial"/>
          <w:color w:val="1F2430"/>
          <w:sz w:val="19"/>
          <w:szCs w:val="19"/>
          <w:rtl/>
        </w:rPr>
        <w:t xml:space="preserve">, בהתקיים </w:t>
      </w:r>
      <w:r>
        <w:rPr>
          <w:rFonts w:ascii="Arial" w:hAnsi="Arial" w:cs="Arial" w:eastAsia="Arial"/>
          <w:color w:val="1F2430"/>
          <w:sz w:val="19"/>
          <w:szCs w:val="19"/>
          <w:highlight w:val="yellow"/>
          <w:rtl/>
        </w:rPr>
        <w:t>אחת</w:t>
      </w:r>
      <w:r>
        <w:rPr>
          <w:rFonts w:ascii="Arial" w:hAnsi="Arial" w:cs="Arial" w:eastAsia="Arial"/>
          <w:color w:val="1F2430"/>
          <w:sz w:val="19"/>
          <w:szCs w:val="19"/>
          <w:rtl/>
        </w:rPr>
        <w:t xml:space="preserve"> מהזיקות.</w:t>
      </w:r>
    </w:p>
    <w:tbl>
      <w:tblPr>
        <w:tblW w:type="dxa" w:w="10206"/>
        <w:jc w:val="center"/>
        <w:tblLook w:firstColumn="1" w:firstRow="1" w:lastColumn="0" w:lastRow="0" w:noHBand="0" w:noVBand="1" w:val="04A0"/>
        <w:bidiVisual/>
        <w:tblLayout w:type="fixed"/>
      </w:tblPr>
      <w:tblGrid>
        <w:gridCol w:w="1256"/>
        <w:gridCol w:w="5855"/>
        <w:gridCol w:w="3093"/>
      </w:tblGrid>
      <w:tr>
        <w:trPr>
          <w:tblHeader/>
        </w:trPr>
        <w:tc>
          <w:tcPr>
            <w:tcW w:type="dxa" w:w="125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w:t>
            </w:r>
          </w:p>
        </w:tc>
        <w:tc>
          <w:tcPr>
            <w:tcW w:type="dxa" w:w="585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זיקה</w:t>
            </w:r>
          </w:p>
        </w:tc>
        <w:tc>
          <w:tcPr>
            <w:tcW w:type="dxa" w:w="3093"/>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נקודת מפתח</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מושב הנתבע בישראל</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דורשים דבר מהתובע</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2</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שני בני הזוג אזרחים</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בלי זיקה נוספת או מגורים</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מושב התובע בישראל + שנה לפחות סמוך להגשה</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משנה איפה הנתבע</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מושב התובע בישראל + המושב המשותף האחרון בישראל</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הנתבע יכול להיות בחו״ל</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התובע אזרח + מושבו בישראל</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שני הרכיבים יחד</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6</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התובע אזרח + גר בישראל שנה במהלך השנתיים שקדמו לתביעה</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לא חייב לגור בארץ ביום ההגשה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4א(ה):</w:t>
      </w:r>
      <w:r>
        <w:rPr>
          <w:rFonts w:ascii="Arial" w:hAnsi="Arial" w:cs="Arial" w:eastAsia="Arial"/>
          <w:color w:val="1F2430"/>
          <w:sz w:val="19"/>
          <w:szCs w:val="19"/>
          <w:rtl/>
        </w:rPr>
        <w:t xml:space="preserve"> "אין בהוראות סעיף זה כדי להקנות... סמכות שיפוט בענינים הכרוכים בגירושין". </w:t>
      </w:r>
      <w:r>
        <w:rPr>
          <w:rFonts w:ascii="Arial" w:hAnsi="Arial" w:cs="Arial" w:eastAsia="Arial"/>
          <w:color w:val="1F2430"/>
          <w:sz w:val="19"/>
          <w:szCs w:val="19"/>
          <w:highlight w:val="yellow"/>
          <w:rtl/>
        </w:rPr>
        <w:t>גירושין בלבד</w:t>
      </w:r>
      <w:r>
        <w:rPr>
          <w:rFonts w:ascii="Arial" w:hAnsi="Arial" w:cs="Arial" w:eastAsia="Arial"/>
          <w:color w:val="1F2430"/>
          <w:sz w:val="19"/>
          <w:szCs w:val="19"/>
          <w:rtl/>
        </w:rPr>
        <w:t>, בלי כריכות. ישראל עוזרת רק במה שאי אפשר להשיג בחו״ל.</w:t>
      </w:r>
    </w:p>
    <w:tbl>
      <w:tblPr>
        <w:tblW w:type="dxa" w:w="10206"/>
        <w:jc w:val="center"/>
        <w:tblLook w:firstColumn="1" w:firstRow="1" w:lastColumn="0" w:lastRow="0" w:noHBand="0" w:noVBand="1" w:val="04A0"/>
        <w:bidiVisual/>
        <w:tblLayout w:type="fixed"/>
      </w:tblPr>
      <w:tblGrid>
        <w:gridCol w:w="1432"/>
        <w:gridCol w:w="6445"/>
        <w:gridCol w:w="2327"/>
      </w:tblGrid>
      <w:tr>
        <w:trPr>
          <w:tblHeader/>
        </w:trPr>
        <w:tc>
          <w:tcPr>
            <w:tcW w:type="dxa" w:w="143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p>
        </w:tc>
        <w:tc>
          <w:tcPr>
            <w:tcW w:type="dxa" w:w="644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1</w:t>
            </w:r>
          </w:p>
        </w:tc>
        <w:tc>
          <w:tcPr>
            <w:tcW w:type="dxa" w:w="232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4א</w:t>
            </w:r>
          </w:p>
        </w:tc>
      </w:tr>
      <w:tr>
        <w:trPr>
          <w:cantSplit/>
        </w:trPr>
        <w:tc>
          <w:tcPr>
            <w:tcW w:type="dxa" w:w="143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היקף</w:t>
            </w:r>
          </w:p>
        </w:tc>
        <w:tc>
          <w:tcPr>
            <w:tcW w:type="dxa" w:w="64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ענייני הנישואין והגירושין + כריכה</w:t>
            </w:r>
          </w:p>
        </w:tc>
        <w:tc>
          <w:tcPr>
            <w:tcW w:type="dxa" w:w="232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גירושין בלבד</w:t>
            </w:r>
          </w:p>
        </w:tc>
      </w:tr>
      <w:tr>
        <w:trPr>
          <w:cantSplit/>
        </w:trPr>
        <w:tc>
          <w:tcPr>
            <w:tcW w:type="dxa" w:w="143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נישואין</w:t>
            </w:r>
          </w:p>
        </w:tc>
        <w:tc>
          <w:tcPr>
            <w:tcW w:type="dxa" w:w="64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כל נישואין (גם אזרחיים)</w:t>
            </w:r>
          </w:p>
        </w:tc>
        <w:tc>
          <w:tcPr>
            <w:tcW w:type="dxa" w:w="232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דין תורה בלבד</w:t>
            </w:r>
          </w:p>
        </w:tc>
      </w:tr>
      <w:tr>
        <w:trPr>
          <w:cantSplit/>
        </w:trPr>
        <w:tc>
          <w:tcPr>
            <w:tcW w:type="dxa" w:w="143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זיקה</w:t>
            </w:r>
          </w:p>
        </w:tc>
        <w:tc>
          <w:tcPr>
            <w:tcW w:type="dxa" w:w="64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4 תנאים מצטברים</w:t>
            </w:r>
          </w:p>
        </w:tc>
        <w:tc>
          <w:tcPr>
            <w:tcW w:type="dxa" w:w="232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אחת משש</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p>
          <w:p>
            <w:pPr>
              <w:bidi/>
              <w:spacing w:before="0" w:after="60" w:line="300" w:lineRule="auto"/>
              <w:jc w:val="both"/>
            </w:pPr>
            <w:r>
              <w:rPr>
                <w:rFonts w:ascii="Arial" w:hAnsi="Arial" w:cs="Arial" w:eastAsia="Arial"/>
                <w:color w:val="1F2430"/>
                <w:sz w:val="18"/>
                <w:szCs w:val="18"/>
                <w:rtl/>
              </w:rPr>
              <w:t xml:space="preserve">מי שיכול, עדיף לו </w:t>
            </w:r>
            <w:r>
              <w:rPr>
                <w:rFonts w:ascii="Arial" w:hAnsi="Arial" w:cs="Arial" w:eastAsia="Arial"/>
                <w:color w:val="1F2430"/>
                <w:sz w:val="18"/>
                <w:szCs w:val="18"/>
                <w:highlight w:val="yellow"/>
                <w:rtl/>
              </w:rPr>
              <w:t>סעיף 1</w:t>
            </w:r>
            <w:r>
              <w:rPr>
                <w:rFonts w:ascii="Arial" w:hAnsi="Arial" w:cs="Arial" w:eastAsia="Arial"/>
                <w:color w:val="1F2430"/>
                <w:sz w:val="18"/>
                <w:szCs w:val="18"/>
                <w:rtl/>
              </w:rPr>
              <w:t xml:space="preserve"> כי דרכו מקבלים הכול. מי שרוצה רק גירושין, הדרך הפשוטה היא 4א.</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2.11 סעיף 4ב: התיקון של 2018</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מה הסעיף נותן:</w:t>
      </w:r>
      <w:r>
        <w:rPr>
          <w:rFonts w:ascii="Arial" w:hAnsi="Arial" w:cs="Arial" w:eastAsia="Arial"/>
          <w:color w:val="1F2430"/>
          <w:sz w:val="19"/>
          <w:szCs w:val="19"/>
          <w:rtl/>
        </w:rPr>
        <w:t xml:space="preserve"> תביעת </w:t>
      </w:r>
      <w:r>
        <w:rPr>
          <w:rFonts w:ascii="Arial" w:hAnsi="Arial" w:cs="Arial" w:eastAsia="Arial"/>
          <w:color w:val="1F2430"/>
          <w:sz w:val="19"/>
          <w:szCs w:val="19"/>
          <w:highlight w:val="yellow"/>
          <w:rtl/>
        </w:rPr>
        <w:t>גט</w:t>
      </w:r>
      <w:r>
        <w:rPr>
          <w:rFonts w:ascii="Arial" w:hAnsi="Arial" w:cs="Arial" w:eastAsia="Arial"/>
          <w:color w:val="1F2430"/>
          <w:sz w:val="19"/>
          <w:szCs w:val="19"/>
          <w:rtl/>
        </w:rPr>
        <w:t xml:space="preserve"> של </w:t>
      </w:r>
      <w:r>
        <w:rPr>
          <w:rFonts w:ascii="Arial" w:hAnsi="Arial" w:cs="Arial" w:eastAsia="Arial"/>
          <w:color w:val="1F2430"/>
          <w:sz w:val="19"/>
          <w:szCs w:val="19"/>
          <w:highlight w:val="yellow"/>
          <w:rtl/>
        </w:rPr>
        <w:t>אישה יהודייה</w:t>
      </w:r>
      <w:r>
        <w:rPr>
          <w:rFonts w:ascii="Arial" w:hAnsi="Arial" w:cs="Arial" w:eastAsia="Arial"/>
          <w:color w:val="1F2430"/>
          <w:sz w:val="19"/>
          <w:szCs w:val="19"/>
          <w:rtl/>
        </w:rPr>
        <w:t xml:space="preserve"> נגד בעלה היהודי, גם בלי זיקות 4א. במקורות מסומן גם 4ב(1)(א) / 4ב1.</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תנאים:</w:t>
      </w:r>
      <w:r>
        <w:rPr>
          <w:rFonts w:ascii="Arial" w:hAnsi="Arial" w:cs="Arial" w:eastAsia="Arial"/>
          <w:color w:val="1F2430"/>
          <w:sz w:val="19"/>
          <w:szCs w:val="19"/>
          <w:rtl/>
        </w:rPr>
        <w:t xml:space="preserve"> נישואין על פי דין תורה, והאישה לא קיבלה גט בבית דין בחו״ל.</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ועוד חלופה אחת מתוך שלוש:</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אין בית דין לגט במקום מושבו של הבעל או של האישה. מי שפנתה לבית דין לא יכולה לטעון שאין, אלא אם הוא עצמו קבע שאינו יכול לערוך גט.</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הבעל לא התייצב </w:t>
      </w:r>
      <w:r>
        <w:rPr>
          <w:rFonts w:ascii="Arial" w:hAnsi="Arial" w:cs="Arial" w:eastAsia="Arial"/>
          <w:color w:val="1F2430"/>
          <w:sz w:val="19"/>
          <w:szCs w:val="19"/>
          <w:highlight w:val="yellow"/>
          <w:rtl/>
        </w:rPr>
        <w:t>4 חודשים</w:t>
      </w:r>
      <w:r>
        <w:rPr>
          <w:rFonts w:ascii="Arial" w:hAnsi="Arial" w:cs="Arial" w:eastAsia="Arial"/>
          <w:color w:val="1F2430"/>
          <w:sz w:val="19"/>
          <w:szCs w:val="19"/>
          <w:rtl/>
        </w:rPr>
        <w:t xml:space="preserve"> מיום הזימון.</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בית דין בחו״ל קבע חיוב בגט, ולמרות מאמץ סביר לאכוף, הגט לא ניתן </w:t>
      </w:r>
      <w:r>
        <w:rPr>
          <w:rFonts w:ascii="Arial" w:hAnsi="Arial" w:cs="Arial" w:eastAsia="Arial"/>
          <w:color w:val="1F2430"/>
          <w:sz w:val="19"/>
          <w:szCs w:val="19"/>
          <w:highlight w:val="yellow"/>
          <w:rtl/>
        </w:rPr>
        <w:t>6 חודשים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רקע:</w:t>
      </w:r>
      <w:r>
        <w:rPr>
          <w:rFonts w:ascii="Arial" w:hAnsi="Arial" w:cs="Arial" w:eastAsia="Arial"/>
          <w:color w:val="1F2430"/>
          <w:sz w:val="19"/>
          <w:szCs w:val="19"/>
          <w:rtl/>
        </w:rPr>
        <w:t xml:space="preserve"> הוראת שעה לשלוש שנים שהפכה להוראת קבע. פוגעת בנימוס הבין-לאומי, ומדינות חוץ התנגדו.</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למה רק לאישה:</w:t>
      </w:r>
      <w:r>
        <w:rPr>
          <w:rFonts w:ascii="Arial" w:hAnsi="Arial" w:cs="Arial" w:eastAsia="Arial"/>
          <w:color w:val="1F2430"/>
          <w:sz w:val="19"/>
          <w:szCs w:val="19"/>
          <w:rtl/>
        </w:rPr>
        <w:t xml:space="preserve"> גבר יכול לקבל היתר להינשא לאישה נוספת, גם בחו״ל. לאישה אין אפשרות כזאת.</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2.12 עץ החלטה</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1. </w:t>
      </w:r>
      <w:r>
        <w:tab/>
      </w:r>
      <w:r>
        <w:rPr>
          <w:rFonts w:ascii="Arial" w:hAnsi="Arial" w:cs="Arial" w:eastAsia="Arial"/>
          <w:color w:val="1F2430"/>
          <w:sz w:val="19"/>
          <w:szCs w:val="19"/>
          <w:rtl/>
        </w:rPr>
        <w:t>האם זה עניין נישואין או גירושין (או כתובה)? אם לא, פרק 3.</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2. </w:t>
      </w:r>
      <w:r>
        <w:tab/>
      </w:r>
      <w:r>
        <w:rPr>
          <w:rFonts w:ascii="Arial" w:hAnsi="Arial" w:cs="Arial" w:eastAsia="Arial"/>
          <w:color w:val="1F2430"/>
          <w:sz w:val="19"/>
          <w:szCs w:val="19"/>
          <w:rtl/>
        </w:rPr>
        <w:t>האם שניהם יהודים? אם לא, או שיש ספק: חוק המקרים המיוחדים. הסכמה לא עוזרת (סרגובי).</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3. </w:t>
      </w:r>
      <w:r>
        <w:tab/>
      </w:r>
      <w:r>
        <w:rPr>
          <w:rFonts w:ascii="Arial" w:hAnsi="Arial" w:cs="Arial" w:eastAsia="Arial"/>
          <w:color w:val="1F2430"/>
          <w:sz w:val="19"/>
          <w:szCs w:val="19"/>
          <w:rtl/>
        </w:rPr>
        <w:t>האם הם בישראל בעת ההגשה? תובע: הראל. נתבע: קריב או ביגר.</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4. </w:t>
      </w:r>
      <w:r>
        <w:tab/>
      </w:r>
      <w:r>
        <w:rPr>
          <w:rFonts w:ascii="Arial" w:hAnsi="Arial" w:cs="Arial" w:eastAsia="Arial"/>
          <w:color w:val="1F2430"/>
          <w:sz w:val="19"/>
          <w:szCs w:val="19"/>
          <w:rtl/>
        </w:rPr>
        <w:t>האם הם אזרחים או תושבים? אם כן, יש סמכות לפי ס׳ 1, ואז כריכות (פרק 3).</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5. </w:t>
      </w:r>
      <w:r>
        <w:tab/>
      </w:r>
      <w:r>
        <w:rPr>
          <w:rFonts w:ascii="Arial" w:hAnsi="Arial" w:cs="Arial" w:eastAsia="Arial"/>
          <w:color w:val="1F2430"/>
          <w:sz w:val="19"/>
          <w:szCs w:val="19"/>
          <w:rtl/>
        </w:rPr>
        <w:t>אם ס׳ 1 נכשל: דין תורה + זיקה של 4א נותנים גירושין בלבד.</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6. </w:t>
      </w:r>
      <w:r>
        <w:tab/>
      </w:r>
      <w:r>
        <w:rPr>
          <w:rFonts w:ascii="Arial" w:hAnsi="Arial" w:cs="Arial" w:eastAsia="Arial"/>
          <w:color w:val="1F2430"/>
          <w:sz w:val="19"/>
          <w:szCs w:val="19"/>
          <w:rtl/>
        </w:rPr>
        <w:t>אם גם זה נכשל: אישה + חלופה של 4ב נותנות גט בלבד.</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7. </w:t>
      </w:r>
      <w:r>
        <w:tab/>
      </w:r>
      <w:r>
        <w:rPr>
          <w:rFonts w:ascii="Arial" w:hAnsi="Arial" w:cs="Arial" w:eastAsia="Arial"/>
          <w:color w:val="1F2430"/>
          <w:sz w:val="19"/>
          <w:szCs w:val="19"/>
          <w:rtl/>
        </w:rPr>
        <w:t>מזונות אישה: ס׳ 4 + זיקה מסוימת. הסכמה: ס׳ 9 (פרק 4).</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1 עוסק בסמכות, ס׳ 2 בדין (דין תורה).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ארבעה תנאים מצטברים, לגבי שני הצדדים.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סידיס: הכתובה היא הממון היחיד שנשאר בסמכות ייחודית.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אוה בסן: שניהם יהודים, אחרת פיצול סטטוס. בספק אין סמכות.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חוק המקרים המיוחדים, ס׳ 3(א)(1): בית המשפט פונה לבתי הדין הדתיים.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ורבר: "בישראל" = היהודים בעת ההגשה. גם נישואין אזרחיים בסמכות.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חן (רוב: אין סמכות; מיעוט לנדוי) → הראל: תובע באמצעות שלוח.</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קריב: תושב קבע שברח + זיקה מסוימת. ביגר/ורבר: אזרח + זיקה ממשית.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סבג: לא אזרחים ולא תושבים, ולכן אין סמכות (רוב פרוקצ׳יה; מיעוט רובינשטיין). אמרת אגב על ס׳ 4 לא מחייבת.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4א: דין תורה + זיקה אחת מתוך 6. ס׳ 4א(ה): גירושין בלבד.</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4ב (2018, הוראת קבע): אישה, גט בלבד, בלי זיקה, אחרי 4 או 6 חודשים או כשאין בית דין.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6B3FA0"/>
            <w:tcBorders>
              <w:top w:val="single" w:sz="4" w:space="0" w:color="6B3FA0"/>
              <w:left w:val="single" w:sz="4" w:space="0" w:color="6B3FA0"/>
              <w:bottom w:val="single" w:sz="4" w:space="0" w:color="6B3FA0"/>
              <w:right w:val="single" w:sz="4" w:space="0" w:color="6B3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3</w:t>
            </w:r>
          </w:p>
          <w:p>
            <w:pPr>
              <w:bidi/>
              <w:spacing w:before="0" w:after="0" w:line="264" w:lineRule="auto"/>
              <w:outlineLvl w:val="0"/>
            </w:pPr>
            <w:r>
              <w:rPr>
                <w:rFonts w:ascii="Arial" w:hAnsi="Arial" w:cs="Arial" w:eastAsia="Arial"/>
                <w:b/>
                <w:bCs/>
                <w:color w:val="FFFFFF"/>
                <w:sz w:val="42"/>
                <w:szCs w:val="42"/>
                <w:rtl/>
              </w:rPr>
              <w:t>כריכה ומירוץ סמכויות</w:t>
            </w:r>
          </w:p>
        </w:tc>
      </w:tr>
    </w:tbl>
    <w:p>
      <w:pPr>
        <w:bidi/>
        <w:spacing w:after="0" w:before="0" w:line="20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3.1 מירוץ סמכויות – הבסיס</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סמכות ייחודית (נישואין וגירושין, כתובה – סעיף 1) = אין מירוץ. על הגירושין עצמם </w:t>
      </w:r>
      <w:r>
        <w:rPr>
          <w:rFonts w:ascii="Arial" w:hAnsi="Arial" w:cs="Arial" w:eastAsia="Arial"/>
          <w:color w:val="1F2430"/>
          <w:sz w:val="19"/>
          <w:szCs w:val="19"/>
          <w:highlight w:val="yellow"/>
          <w:rtl/>
        </w:rPr>
        <w:t>אין מירוץ</w:t>
      </w:r>
      <w:r>
        <w:rPr>
          <w:rFonts w:ascii="Arial" w:hAnsi="Arial" w:cs="Arial" w:eastAsia="Arial"/>
          <w:color w:val="1F2430"/>
          <w:sz w:val="19"/>
          <w:szCs w:val="19"/>
          <w:rtl/>
        </w:rPr>
        <w:t>; ממהרים להגיש גירושין רק כדי לכרוך.</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סמכות מקבילה (מזונות, משמורת, חינוך, רכוש) = </w:t>
      </w:r>
      <w:r>
        <w:rPr>
          <w:rFonts w:ascii="Arial" w:hAnsi="Arial" w:cs="Arial" w:eastAsia="Arial"/>
          <w:color w:val="1F2430"/>
          <w:sz w:val="19"/>
          <w:szCs w:val="19"/>
          <w:highlight w:val="yellow"/>
          <w:rtl/>
        </w:rPr>
        <w:t>הראשון זוכה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סעיף 25(ב) לחוק ביהמ״ש לענייני משפחה: בית הדין קונה סמכות בעניין כרוך רק אם הצד השני לא פתח קודם בבית המשפט – ולהיפך.</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למה נלחמים? פרשנות שונה לאותו דין (מדור ספציפי – כליפה/אקנין, ראו פרק 6); רכוש (בבלי); גובה מזונות ילדים; סמכות נמשכת – חוזרים לאותה ערכאה.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נזקי המירוץ: פוגע בפיוס, הסלמה, חשדנות, יקר, בזבוז זמן שיפוטי – "רק עורכי הדין מרוויחים".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החוק להסדר התדיינויות (סעיף 4, ראו פרק 5): </w:t>
      </w:r>
      <w:r>
        <w:rPr>
          <w:rFonts w:ascii="Arial" w:hAnsi="Arial" w:cs="Arial" w:eastAsia="Arial"/>
          <w:color w:val="1F2430"/>
          <w:sz w:val="19"/>
          <w:szCs w:val="19"/>
          <w:highlight w:val="yellow"/>
          <w:rtl/>
        </w:rPr>
        <w:t>מי שהגיש ראשון בקשה ליישוב סכסוך – מקבל 15 ימים קדימה</w:t>
      </w:r>
      <w:r>
        <w:rPr>
          <w:rFonts w:ascii="Arial" w:hAnsi="Arial" w:cs="Arial" w:eastAsia="Arial"/>
          <w:color w:val="1F2430"/>
          <w:sz w:val="19"/>
          <w:szCs w:val="19"/>
          <w:rtl/>
        </w:rPr>
        <w:t xml:space="preserve"> להגיש לכל ערכאה מוסמכת; מה שלא הגיש – פתוח לצד השני. המירוץ רק הוקדם.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הצעות לצמצום: ועדה, הסכם בתחילת הדרך, נוסחה למזונות ילדים, צמצום סעיף 3 (רוזן-צבי).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הסכמה מראש לבית הדין – אפשרית, אבל </w:t>
      </w:r>
      <w:r>
        <w:rPr>
          <w:rFonts w:ascii="Arial" w:hAnsi="Arial" w:cs="Arial" w:eastAsia="Arial"/>
          <w:color w:val="1F2430"/>
          <w:sz w:val="19"/>
          <w:szCs w:val="19"/>
          <w:highlight w:val="yellow"/>
          <w:rtl/>
        </w:rPr>
        <w:t>אי אפשר לחסום אדם מלפנות לבית המשפט</w:t>
      </w:r>
      <w:r>
        <w:rPr>
          <w:rFonts w:ascii="Arial" w:hAnsi="Arial" w:cs="Arial" w:eastAsia="Arial"/>
          <w:color w:val="1F2430"/>
          <w:sz w:val="19"/>
          <w:szCs w:val="19"/>
          <w:rtl/>
        </w:rPr>
        <w:t xml:space="preserve"> (תשובת המרצה).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בג״ץ 2862/14 פלונית: טופס תביעה סטנדרטי בבית הדין; לא מיוצגים פונים לבית הדין פי 30.</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אישה שאומרת "אני רוצה להתגרש" בלי הצדקה – עלולה להפסיד כתובה ומזונות (מורדת).</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3.2 סעיף 4 – מזונות אישה "בבודדת"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4 לחוק שיפוט בתי דין רבניים</w:t>
            </w:r>
          </w:p>
          <w:p>
            <w:pPr>
              <w:bidi/>
              <w:spacing w:before="0" w:after="60" w:line="300" w:lineRule="auto"/>
              <w:jc w:val="both"/>
            </w:pPr>
            <w:r>
              <w:rPr>
                <w:rFonts w:ascii="Arial" w:hAnsi="Arial" w:cs="Arial" w:eastAsia="Arial"/>
                <w:color w:val="1F2430"/>
                <w:sz w:val="18"/>
                <w:szCs w:val="18"/>
                <w:rtl/>
              </w:rPr>
              <w:t>"הגישה אשה יהודיה לבית דין רבני תביעת מזונות, שלא אגב גירושין, נגד בעלה היהודי או נגד עזבונו, לא תישמע טענת הנתבע שאין לבית דין רבני שיפוט בענין."</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4617"/>
        <w:gridCol w:w="5589"/>
      </w:tblGrid>
      <w:tr>
        <w:trPr>
          <w:tblHeader/>
        </w:trPr>
        <w:tc>
          <w:tcPr>
            <w:tcW w:type="dxa" w:w="4616"/>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1</w:t>
            </w:r>
          </w:p>
        </w:tc>
        <w:tc>
          <w:tcPr>
            <w:tcW w:type="dxa" w:w="5588"/>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4</w:t>
            </w:r>
          </w:p>
        </w:tc>
      </w:tr>
      <w:tr>
        <w:trPr>
          <w:cantSplit/>
        </w:trPr>
        <w:tc>
          <w:tcPr>
            <w:tcW w:type="dxa" w:w="461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נדרשת אזרחות/תושבות</w:t>
            </w:r>
          </w:p>
        </w:tc>
        <w:tc>
          <w:tcPr>
            <w:tcW w:type="dxa" w:w="558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נדרשת</w:t>
            </w:r>
          </w:p>
        </w:tc>
      </w:tr>
      <w:tr>
        <w:trPr>
          <w:cantSplit/>
        </w:trPr>
        <w:tc>
          <w:tcPr>
            <w:tcW w:type="dxa" w:w="461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נדרש "בישראל"</w:t>
            </w:r>
          </w:p>
        </w:tc>
        <w:tc>
          <w:tcPr>
            <w:tcW w:type="dxa" w:w="558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האישה יכולה להיות בחו"ל</w:t>
            </w:r>
          </w:p>
        </w:tc>
      </w:tr>
      <w:tr>
        <w:trPr>
          <w:cantSplit/>
        </w:trPr>
        <w:tc>
          <w:tcPr>
            <w:tcW w:type="dxa" w:w="461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ייחודית</w:t>
            </w:r>
          </w:p>
        </w:tc>
        <w:tc>
          <w:tcPr>
            <w:tcW w:type="dxa" w:w="558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 – האישה בוחרת</w:t>
            </w:r>
          </w:p>
        </w:tc>
      </w:tr>
      <w:tr>
        <w:trPr>
          <w:cantSplit/>
        </w:trPr>
        <w:tc>
          <w:tcPr>
            <w:tcW w:type="dxa" w:w="461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כל צד</w:t>
            </w:r>
          </w:p>
        </w:tc>
        <w:tc>
          <w:tcPr>
            <w:tcW w:type="dxa" w:w="558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רק האישה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קנול (זילברג) → </w:t>
      </w:r>
      <w:r>
        <w:rPr>
          <w:rFonts w:ascii="Arial" w:hAnsi="Arial" w:cs="Arial" w:eastAsia="Arial"/>
          <w:color w:val="1F2430"/>
          <w:sz w:val="19"/>
          <w:szCs w:val="19"/>
          <w:highlight w:val="yellow"/>
          <w:rtl/>
        </w:rPr>
        <w:t>זיקה מסוימת</w:t>
      </w:r>
      <w:r>
        <w:rPr>
          <w:rFonts w:ascii="Arial" w:hAnsi="Arial" w:cs="Arial" w:eastAsia="Arial"/>
          <w:color w:val="1F2430"/>
          <w:sz w:val="19"/>
          <w:szCs w:val="19"/>
          <w:rtl/>
        </w:rPr>
        <w:t xml:space="preserve"> לישראל (לא ממשית); שם הספיק נישואין כדמו״י. חזר בגולדנברג.</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סבג → אמרת אגב של פרוקצ'יה: כל תנאי סעיף 1 חלים גם על סעיף 4 → </w:t>
      </w:r>
      <w:r>
        <w:rPr>
          <w:rFonts w:ascii="Arial" w:hAnsi="Arial" w:cs="Arial" w:eastAsia="Arial"/>
          <w:color w:val="1F2430"/>
          <w:sz w:val="19"/>
          <w:szCs w:val="19"/>
          <w:highlight w:val="yellow"/>
          <w:rtl/>
        </w:rPr>
        <w:t>לא מחייבת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סבג → גירושין נכשלו, אבל מזונות לפי סעיף 4 אפשריים – סמכות עצמאית.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למה רק אישה? הצד החלש; שלא תצטרך "להתלכלך" בגירושין. </w:t>
      </w:r>
      <w:r>
        <w:rPr>
          <w:rFonts w:ascii="Arial" w:hAnsi="Arial" w:cs="Arial" w:eastAsia="Arial"/>
          <w:color w:val="1F2430"/>
          <w:sz w:val="19"/>
          <w:szCs w:val="19"/>
          <w:highlight w:val="yellow"/>
          <w:rtl/>
        </w:rPr>
        <w:t>הבעל – רק בכריכה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שלוש דרכים למזונות אישה בבית הדין: סעיף 4 (אישה) / סעיף 9 (הסכמה) / סעיף 3 (כריכה מפורשת).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הדין: סעיף 2(א) לחוק המזונות → </w:t>
      </w:r>
      <w:r>
        <w:rPr>
          <w:rFonts w:ascii="Arial" w:hAnsi="Arial" w:cs="Arial" w:eastAsia="Arial"/>
          <w:color w:val="1F2430"/>
          <w:sz w:val="19"/>
          <w:szCs w:val="19"/>
          <w:highlight w:val="yellow"/>
          <w:rtl/>
        </w:rPr>
        <w:t>דין אישי בשתי הערכאות</w:t>
      </w:r>
      <w:r>
        <w:rPr>
          <w:rFonts w:ascii="Arial" w:hAnsi="Arial" w:cs="Arial" w:eastAsia="Arial"/>
          <w:color w:val="1F2430"/>
          <w:sz w:val="19"/>
          <w:szCs w:val="19"/>
          <w:rtl/>
        </w:rPr>
        <w:t>; סעיף 2(ב) → אין דין אישי (חסרי דת, ידועים בציבור, חד-מיניים, מעורבים) → אזרחי.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מזונות אישה ≠ מזונות ילדים (גם מפס״ד שרגאי); אחרי הגירושין – אין מזונות אישה.</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3.3 סעיף 3 – הכריכה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3 לחוק שיפוט בתי דין רבניים</w:t>
            </w:r>
          </w:p>
          <w:p>
            <w:pPr>
              <w:bidi/>
              <w:spacing w:before="0" w:after="60" w:line="300" w:lineRule="auto"/>
              <w:jc w:val="both"/>
            </w:pPr>
            <w:r>
              <w:rPr>
                <w:rFonts w:ascii="Arial" w:hAnsi="Arial" w:cs="Arial" w:eastAsia="Arial"/>
                <w:color w:val="1F2430"/>
                <w:sz w:val="18"/>
                <w:szCs w:val="18"/>
                <w:rtl/>
              </w:rPr>
              <w:t>"הוגשה לבית דין רבני תביעת גירושין בין יהודים, אם על ידי האשה ואם על ידי האיש, יהא לבית דין רבני שיפוט ייחודי בכל ענין הכרוך בתביעת הגירושין, לרבות מזונות לאשה ולילדי הזוג."</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רציונל (דברי הכנסת 1953): פיצול "הורס משפחות" → הסדר אחד בערכאה אחת.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אפקט: נושא מקביל → </w:t>
      </w:r>
      <w:r>
        <w:rPr>
          <w:rFonts w:ascii="Arial" w:hAnsi="Arial" w:cs="Arial" w:eastAsia="Arial"/>
          <w:color w:val="1F2430"/>
          <w:sz w:val="19"/>
          <w:szCs w:val="19"/>
          <w:highlight w:val="yellow"/>
          <w:rtl/>
        </w:rPr>
        <w:t>ייחודי בתיק הספציפי</w:t>
      </w:r>
      <w:r>
        <w:rPr>
          <w:rFonts w:ascii="Arial" w:hAnsi="Arial" w:cs="Arial" w:eastAsia="Arial"/>
          <w:color w:val="1F2430"/>
          <w:sz w:val="19"/>
          <w:szCs w:val="19"/>
          <w:rtl/>
        </w:rPr>
        <w:t xml:space="preserve"> ("ממגנט"). גם בלי הסכמה, גם לא-מעמד-אישי (רכוש).</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תנאים:</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קודם סעיף 1</w:t>
      </w:r>
      <w:r>
        <w:rPr>
          <w:rFonts w:ascii="Arial" w:hAnsi="Arial" w:cs="Arial" w:eastAsia="Arial"/>
          <w:color w:val="1F2430"/>
          <w:sz w:val="19"/>
          <w:szCs w:val="19"/>
          <w:rtl/>
        </w:rPr>
        <w:t xml:space="preserve"> (ארבעה תנאים, לתובע ולנתבע). אין סעיף 1 → אין כריכה. מתברר שצד אינו יהודי → הכריכות נופלות.</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רק לתביעת </w:t>
      </w:r>
      <w:r>
        <w:rPr>
          <w:rFonts w:ascii="Arial" w:hAnsi="Arial" w:cs="Arial" w:eastAsia="Arial"/>
          <w:color w:val="1F2430"/>
          <w:sz w:val="19"/>
          <w:szCs w:val="19"/>
          <w:highlight w:val="yellow"/>
          <w:rtl/>
        </w:rPr>
        <w:t>גירושין</w:t>
      </w:r>
      <w:r>
        <w:rPr>
          <w:rFonts w:ascii="Arial" w:hAnsi="Arial" w:cs="Arial" w:eastAsia="Arial"/>
          <w:color w:val="1F2430"/>
          <w:sz w:val="19"/>
          <w:szCs w:val="19"/>
          <w:rtl/>
        </w:rPr>
        <w:t xml:space="preserve"> – לא לשלום בית; התביעה נשארת על כנה.</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כורך: בעל, אישה, </w:t>
      </w:r>
      <w:r>
        <w:rPr>
          <w:rFonts w:ascii="Arial" w:hAnsi="Arial" w:cs="Arial" w:eastAsia="Arial"/>
          <w:color w:val="1F2430"/>
          <w:sz w:val="19"/>
          <w:szCs w:val="19"/>
          <w:highlight w:val="yellow"/>
          <w:rtl/>
        </w:rPr>
        <w:t>גם הנתבע</w:t>
      </w:r>
      <w:r>
        <w:rPr>
          <w:rFonts w:ascii="Arial" w:hAnsi="Arial" w:cs="Arial" w:eastAsia="Arial"/>
          <w:color w:val="1F2430"/>
          <w:sz w:val="19"/>
          <w:szCs w:val="19"/>
          <w:rtl/>
        </w:rPr>
        <w:t>.</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מתי: בכתב התביעה או בעל פה באמצע הדיון.</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הנושא </w:t>
      </w:r>
      <w:r>
        <w:rPr>
          <w:rFonts w:ascii="Arial" w:hAnsi="Arial" w:cs="Arial" w:eastAsia="Arial"/>
          <w:color w:val="1F2430"/>
          <w:sz w:val="19"/>
          <w:szCs w:val="19"/>
          <w:highlight w:val="yellow"/>
          <w:rtl/>
        </w:rPr>
        <w:t>לא נתפס קודם</w:t>
      </w:r>
      <w:r>
        <w:rPr>
          <w:rFonts w:ascii="Arial" w:hAnsi="Arial" w:cs="Arial" w:eastAsia="Arial"/>
          <w:color w:val="1F2430"/>
          <w:sz w:val="19"/>
          <w:szCs w:val="19"/>
          <w:rtl/>
        </w:rPr>
        <w:t xml:space="preserve"> בערכאה אחרת.</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כריכה קיימת </w:t>
      </w:r>
      <w:r>
        <w:rPr>
          <w:rFonts w:ascii="Arial" w:hAnsi="Arial" w:cs="Arial" w:eastAsia="Arial"/>
          <w:color w:val="1F2430"/>
          <w:sz w:val="19"/>
          <w:szCs w:val="19"/>
          <w:highlight w:val="yellow"/>
          <w:rtl/>
        </w:rPr>
        <w:t>רק בבית הדין</w:t>
      </w:r>
      <w:r>
        <w:rPr>
          <w:rFonts w:ascii="Arial" w:hAnsi="Arial" w:cs="Arial" w:eastAsia="Arial"/>
          <w:color w:val="1F2430"/>
          <w:sz w:val="19"/>
          <w:szCs w:val="19"/>
          <w:rtl/>
        </w:rPr>
        <w:t>; בבית המשפט אין כריכות ואין מבחן משולש.</w:t>
      </w:r>
    </w:p>
    <w:tbl>
      <w:tblPr>
        <w:tblW w:type="dxa" w:w="10206"/>
        <w:jc w:val="center"/>
        <w:tblLook w:firstColumn="1" w:firstRow="1" w:lastColumn="0" w:lastRow="0" w:noHBand="0" w:noVBand="1" w:val="04A0"/>
        <w:bidiVisual/>
        <w:tblLayout w:type="fixed"/>
      </w:tblPr>
      <w:tblGrid>
        <w:gridCol w:w="3479"/>
        <w:gridCol w:w="6726"/>
      </w:tblGrid>
      <w:tr>
        <w:trPr>
          <w:tblHeader/>
        </w:trPr>
        <w:tc>
          <w:tcPr>
            <w:tcW w:type="dxa" w:w="3479"/>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גולדמן: סוג</w:t>
            </w:r>
          </w:p>
        </w:tc>
        <w:tc>
          <w:tcPr>
            <w:tcW w:type="dxa" w:w="6726"/>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בודקים</w:t>
            </w:r>
          </w:p>
        </w:tc>
      </w:tr>
      <w:tr>
        <w:trPr>
          <w:cantSplit/>
        </w:trPr>
        <w:tc>
          <w:tcPr>
            <w:tcW w:type="dxa" w:w="34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מהותית (משמורת)</w:t>
            </w:r>
          </w:p>
        </w:tc>
        <w:tc>
          <w:tcPr>
            <w:tcW w:type="dxa" w:w="672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קדימות כרונולוגית + תביעה כנה</w:t>
            </w:r>
          </w:p>
        </w:tc>
      </w:tr>
      <w:tr>
        <w:trPr>
          <w:cantSplit/>
        </w:trPr>
        <w:tc>
          <w:tcPr>
            <w:tcW w:type="dxa" w:w="34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דיונית (מפורשת)</w:t>
            </w:r>
          </w:p>
        </w:tc>
        <w:tc>
          <w:tcPr>
            <w:tcW w:type="dxa" w:w="672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האם ניתן לכרוך + מבחן משולש</w:t>
            </w:r>
          </w:p>
        </w:tc>
      </w:tr>
      <w:tr>
        <w:trPr>
          <w:cantSplit/>
        </w:trPr>
        <w:tc>
          <w:tcPr>
            <w:tcW w:type="dxa" w:w="34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לא ניתן לכרוך</w:t>
            </w:r>
          </w:p>
        </w:tc>
        <w:tc>
          <w:tcPr>
            <w:tcW w:type="dxa" w:w="672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ברית מילה</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3.4 ששת הנושאים – שרשראות</w:t>
      </w:r>
    </w:p>
    <w:p>
      <w:pPr>
        <w:bidi/>
        <w:spacing w:before="0" w:after="100" w:line="300" w:lineRule="auto"/>
        <w:jc w:val="both"/>
      </w:pPr>
      <w:r>
        <w:rPr>
          <w:rFonts w:ascii="Arial" w:hAnsi="Arial" w:cs="Arial" w:eastAsia="Arial"/>
          <w:b/>
          <w:bCs/>
          <w:color w:val="1F2430"/>
          <w:sz w:val="19"/>
          <w:szCs w:val="19"/>
          <w:rtl/>
        </w:rPr>
        <w:t>1. החזקת ילדים</w:t>
      </w:r>
      <w:r>
        <w:rPr>
          <w:rFonts w:ascii="Arial" w:hAnsi="Arial" w:cs="Arial" w:eastAsia="Arial"/>
          <w:color w:val="1F2430"/>
          <w:sz w:val="19"/>
          <w:szCs w:val="19"/>
          <w:rtl/>
        </w:rPr>
        <w:t xml:space="preserve"> (איפה ישנים):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בד״מ 1/60 וינטר נ' בארי → </w:t>
      </w:r>
      <w:r>
        <w:rPr>
          <w:rFonts w:ascii="Arial" w:hAnsi="Arial" w:cs="Arial" w:eastAsia="Arial"/>
          <w:color w:val="1F2430"/>
          <w:sz w:val="19"/>
          <w:szCs w:val="19"/>
          <w:highlight w:val="yellow"/>
          <w:rtl/>
        </w:rPr>
        <w:t>כרוכה מעצם טיבה וטבעה</w:t>
      </w:r>
      <w:r>
        <w:rPr>
          <w:rFonts w:ascii="Arial" w:hAnsi="Arial" w:cs="Arial" w:eastAsia="Arial"/>
          <w:color w:val="1F2430"/>
          <w:sz w:val="19"/>
          <w:szCs w:val="19"/>
          <w:rtl/>
        </w:rPr>
        <w:t xml:space="preserve"> – אוטומטית, היחידה.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בג״ץ רון → נושא רגיש הדורש פתרון מיידי בצמוד לגירושין.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תנאי: הגירושין קדמו; משמורת שהוגשה קודם באזרחי – נשארת שם.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דין: אזרחי – </w:t>
      </w:r>
      <w:r>
        <w:rPr>
          <w:rFonts w:ascii="Arial" w:hAnsi="Arial" w:cs="Arial" w:eastAsia="Arial"/>
          <w:color w:val="1F2430"/>
          <w:sz w:val="19"/>
          <w:szCs w:val="19"/>
          <w:highlight w:val="yellow"/>
          <w:rtl/>
        </w:rPr>
        <w:t>סעיף 79 לחוק הכשרות</w:t>
      </w:r>
      <w:r>
        <w:rPr>
          <w:rFonts w:ascii="Arial" w:hAnsi="Arial" w:cs="Arial" w:eastAsia="Arial"/>
          <w:color w:val="1F2430"/>
          <w:sz w:val="19"/>
          <w:szCs w:val="19"/>
          <w:rtl/>
        </w:rPr>
        <w:t xml:space="preserve"> ("יראו כל הוראה... שמדובר בה בבית משפט כאילו מדובר בה בבית דין דתי", פרט לסעיף 75). אפוטרופסות = מעמד אישי לסמכות, אך כפופה לדין האזרחי.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אגב: בית הדין עשוי לא לסדר גט לזוג שימשיך לגור יחד.</w:t>
      </w:r>
    </w:p>
    <w:p>
      <w:pPr>
        <w:bidi/>
        <w:spacing w:before="0" w:after="100" w:line="300" w:lineRule="auto"/>
        <w:jc w:val="both"/>
      </w:pPr>
      <w:r>
        <w:rPr>
          <w:rFonts w:ascii="Arial" w:hAnsi="Arial" w:cs="Arial" w:eastAsia="Arial"/>
          <w:b/>
          <w:bCs/>
          <w:color w:val="1F2430"/>
          <w:sz w:val="19"/>
          <w:szCs w:val="19"/>
          <w:rtl/>
        </w:rPr>
        <w:t>2. מזונות אישה:</w:t>
      </w:r>
      <w:r>
        <w:rPr>
          <w:rFonts w:ascii="Arial" w:hAnsi="Arial" w:cs="Arial" w:eastAsia="Arial"/>
          <w:color w:val="1F2430"/>
          <w:sz w:val="19"/>
          <w:szCs w:val="19"/>
          <w:rtl/>
        </w:rPr>
        <w:t xml:space="preserve"> כריכה מפורשת, מבחן משולש, לא נתפס. בדרך כלל </w:t>
      </w:r>
      <w:r>
        <w:rPr>
          <w:rFonts w:ascii="Arial" w:hAnsi="Arial" w:cs="Arial" w:eastAsia="Arial"/>
          <w:color w:val="1F2430"/>
          <w:sz w:val="19"/>
          <w:szCs w:val="19"/>
          <w:highlight w:val="yellow"/>
          <w:rtl/>
        </w:rPr>
        <w:t>הבעל כורך</w:t>
      </w:r>
      <w:r>
        <w:rPr>
          <w:rFonts w:ascii="Arial" w:hAnsi="Arial" w:cs="Arial" w:eastAsia="Arial"/>
          <w:color w:val="1F2430"/>
          <w:sz w:val="19"/>
          <w:szCs w:val="19"/>
          <w:rtl/>
        </w:rPr>
        <w:t xml:space="preserve"> (לאישה יש סעיף 4). דין אישי. לא יכולה להיות כריכה מהותית.</w:t>
      </w:r>
    </w:p>
    <w:p>
      <w:pPr>
        <w:bidi/>
        <w:spacing w:before="0" w:after="100" w:line="300" w:lineRule="auto"/>
        <w:jc w:val="both"/>
      </w:pPr>
      <w:r>
        <w:rPr>
          <w:rFonts w:ascii="Arial" w:hAnsi="Arial" w:cs="Arial" w:eastAsia="Arial"/>
          <w:b/>
          <w:bCs/>
          <w:color w:val="1F2430"/>
          <w:sz w:val="19"/>
          <w:szCs w:val="19"/>
          <w:rtl/>
        </w:rPr>
        <w:t>3. מזונות ילדים: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שרגאי → "מזונות ילדים" בסעיף 3 = </w:t>
      </w:r>
      <w:r>
        <w:rPr>
          <w:rFonts w:ascii="Arial" w:hAnsi="Arial" w:cs="Arial" w:eastAsia="Arial"/>
          <w:color w:val="1F2430"/>
          <w:sz w:val="19"/>
          <w:szCs w:val="19"/>
          <w:highlight w:val="yellow"/>
          <w:rtl/>
        </w:rPr>
        <w:t>השבה (עבר) – נכרכת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לעתיד – זכות עצמאית של הילד, לא נכרכת</w:t>
      </w:r>
      <w:r>
        <w:rPr>
          <w:rFonts w:ascii="Arial" w:hAnsi="Arial" w:cs="Arial" w:eastAsia="Arial"/>
          <w:color w:val="1F2430"/>
          <w:sz w:val="19"/>
          <w:szCs w:val="19"/>
          <w:rtl/>
        </w:rPr>
        <w:t xml:space="preserve"> (רק בהסכמה, סעיף 9). אושר בבע״מ 7628/17 (במקראה גם בג״ץ 5933/14).</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בתי הדין התעלמו: שרגאי ניתן בערעור אזרחי; סעיף 20 לחוק יסוד: השפיטה מחייב "בתי משפט" – "איתי רק בבג״ץ".</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בע״מ 919/15 → מגיל 6 גם האם חייבת; בתי הדין: רק האב → נשים רצו לבית הדין.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ארבעה גברים עתרו (5988/21 לפי השיעור) → בג״ץ: </w:t>
      </w:r>
      <w:r>
        <w:rPr>
          <w:rFonts w:ascii="Arial" w:hAnsi="Arial" w:cs="Arial" w:eastAsia="Arial"/>
          <w:color w:val="1F2430"/>
          <w:sz w:val="19"/>
          <w:szCs w:val="19"/>
          <w:highlight w:val="yellow"/>
          <w:rtl/>
        </w:rPr>
        <w:t>בית הדין חורג מסמכותו, שרגאי מחייב גם אותו</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הוראת שעה (שנתיים)</w:t>
      </w:r>
      <w:r>
        <w:rPr>
          <w:rFonts w:ascii="Arial" w:hAnsi="Arial" w:cs="Arial" w:eastAsia="Arial"/>
          <w:color w:val="1F2430"/>
          <w:sz w:val="19"/>
          <w:szCs w:val="19"/>
          <w:rtl/>
        </w:rPr>
        <w:t xml:space="preserve">: "מזונות ילדים" = עבר, השבה, עתיד ורפואה → היום </w:t>
      </w:r>
      <w:r>
        <w:rPr>
          <w:rFonts w:ascii="Arial" w:hAnsi="Arial" w:cs="Arial" w:eastAsia="Arial"/>
          <w:color w:val="1F2430"/>
          <w:sz w:val="19"/>
          <w:szCs w:val="19"/>
          <w:highlight w:val="yellow"/>
          <w:rtl/>
        </w:rPr>
        <w:t>כל הסוגים נכרכים</w:t>
      </w:r>
      <w:r>
        <w:rPr>
          <w:rFonts w:ascii="Arial" w:hAnsi="Arial" w:cs="Arial" w:eastAsia="Arial"/>
          <w:color w:val="1F2430"/>
          <w:sz w:val="19"/>
          <w:szCs w:val="19"/>
          <w:rtl/>
        </w:rPr>
        <w:t>, בחירה, דין אישי (לפי 2026; סיכומים ישנים – עדיין שרגאי).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דין: סעיף 3(א) לחוק המזונות – דין אישי; 3(ב) – אין דין אישי/הדין האישי לא מחייב → אזרחי. צורת הנישואין לא קובעת. ידועים בציבור יהודים – מזונות ילדים לפי דין אישי.</w:t>
      </w:r>
    </w:p>
    <w:p>
      <w:pPr>
        <w:bidi/>
        <w:spacing w:before="0" w:after="100" w:line="300" w:lineRule="auto"/>
        <w:jc w:val="both"/>
      </w:pPr>
      <w:r>
        <w:rPr>
          <w:rFonts w:ascii="Arial" w:hAnsi="Arial" w:cs="Arial" w:eastAsia="Arial"/>
          <w:b/>
          <w:bCs/>
          <w:color w:val="1F2430"/>
          <w:sz w:val="19"/>
          <w:szCs w:val="19"/>
          <w:rtl/>
        </w:rPr>
        <w:t>4. חינוך</w:t>
      </w:r>
      <w:r>
        <w:rPr>
          <w:rFonts w:ascii="Arial" w:hAnsi="Arial" w:cs="Arial" w:eastAsia="Arial"/>
          <w:color w:val="1F2430"/>
          <w:sz w:val="19"/>
          <w:szCs w:val="19"/>
          <w:rtl/>
        </w:rPr>
        <w:t xml:space="preserve"> (איפה לומדים):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בג״ץ 5507/95 אמיר → האישה הגישה משמורת באזרחי; הבעל כרך חינוך (חב"ד) בבית הדין → </w:t>
      </w:r>
      <w:r>
        <w:rPr>
          <w:rFonts w:ascii="Arial" w:hAnsi="Arial" w:cs="Arial" w:eastAsia="Arial"/>
          <w:color w:val="1F2430"/>
          <w:sz w:val="19"/>
          <w:szCs w:val="19"/>
          <w:highlight w:val="yellow"/>
          <w:rtl/>
        </w:rPr>
        <w:t>משמורת באזרחי כוללת חינוך</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בבית הדין – לא</w:t>
      </w:r>
      <w:r>
        <w:rPr>
          <w:rFonts w:ascii="Arial" w:hAnsi="Arial" w:cs="Arial" w:eastAsia="Arial"/>
          <w:color w:val="1F2430"/>
          <w:sz w:val="19"/>
          <w:szCs w:val="19"/>
          <w:rtl/>
        </w:rPr>
        <w:t>: חינוך צריך כריכה מפורשת ולהגיע ראשון. בתי המשפט = "הלב הראשי".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דין: אזרחי – סעיף 79. אפוטרופסות כוללת חינוך → אפשר גם בהסכמה (סעיף 9, תשובת המרצה).</w:t>
      </w:r>
    </w:p>
    <w:p>
      <w:pPr>
        <w:bidi/>
        <w:spacing w:before="0" w:after="100" w:line="300" w:lineRule="auto"/>
        <w:jc w:val="both"/>
      </w:pPr>
      <w:r>
        <w:rPr>
          <w:rFonts w:ascii="Arial" w:hAnsi="Arial" w:cs="Arial" w:eastAsia="Arial"/>
          <w:b/>
          <w:bCs/>
          <w:color w:val="1F2430"/>
          <w:sz w:val="19"/>
          <w:szCs w:val="19"/>
          <w:rtl/>
        </w:rPr>
        <w:t>5. רכוש:</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כריכה מפורשת + מבחן משולש + לא נתפס (נופר בר). "מי שיתפוס – ירוויח". חידוש: רכוש אינו חלק מהנישואין.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דין: </w:t>
      </w:r>
      <w:r>
        <w:rPr>
          <w:rFonts w:ascii="Arial" w:hAnsi="Arial" w:cs="Arial" w:eastAsia="Arial"/>
          <w:color w:val="1F2430"/>
          <w:sz w:val="19"/>
          <w:szCs w:val="19"/>
          <w:highlight w:val="yellow"/>
          <w:rtl/>
        </w:rPr>
        <w:t>אזרחי</w:t>
      </w:r>
      <w:r>
        <w:rPr>
          <w:rFonts w:ascii="Arial" w:hAnsi="Arial" w:cs="Arial" w:eastAsia="Arial"/>
          <w:color w:val="1F2430"/>
          <w:sz w:val="19"/>
          <w:szCs w:val="19"/>
          <w:rtl/>
        </w:rPr>
        <w:t xml:space="preserve"> (בבלי – הלכת השיתוף; חוק יחסי ממון). סעיף 13(ב) לחוק יחסי ממון → בהסכמה מפורשת – דתי (הסכמה על הדין, לא על הסמכות).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כתובה – ייחודית, </w:t>
      </w:r>
      <w:r>
        <w:rPr>
          <w:rFonts w:ascii="Arial" w:hAnsi="Arial" w:cs="Arial" w:eastAsia="Arial"/>
          <w:color w:val="1F2430"/>
          <w:sz w:val="19"/>
          <w:szCs w:val="19"/>
          <w:highlight w:val="yellow"/>
          <w:rtl/>
        </w:rPr>
        <w:t>אין צורך לכרוך</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רכוש </w:t>
      </w:r>
      <w:r>
        <w:rPr>
          <w:rFonts w:ascii="Arial" w:hAnsi="Arial" w:cs="Arial" w:eastAsia="Arial"/>
          <w:color w:val="1F2430"/>
          <w:sz w:val="19"/>
          <w:szCs w:val="19"/>
          <w:highlight w:val="yellow"/>
          <w:rtl/>
        </w:rPr>
        <w:t>לא בהסכמה לפי סעיף 9</w:t>
      </w:r>
      <w:r>
        <w:rPr>
          <w:rFonts w:ascii="Arial" w:hAnsi="Arial" w:cs="Arial" w:eastAsia="Arial"/>
          <w:color w:val="1F2430"/>
          <w:sz w:val="19"/>
          <w:szCs w:val="19"/>
          <w:rtl/>
        </w:rPr>
        <w:t xml:space="preserve"> (סימה אמיר, ראו פרק 4). למה כריכה כן? סעיף 3 – סמכות רחבה למי שכבר מתגרש; סעיף 9 – לתביעות בודדות.</w:t>
      </w:r>
    </w:p>
    <w:p>
      <w:pPr>
        <w:bidi/>
        <w:spacing w:before="0" w:after="100" w:line="300" w:lineRule="auto"/>
        <w:jc w:val="both"/>
      </w:pPr>
      <w:r>
        <w:rPr>
          <w:rFonts w:ascii="Arial" w:hAnsi="Arial" w:cs="Arial" w:eastAsia="Arial"/>
          <w:b/>
          <w:bCs/>
          <w:color w:val="1F2430"/>
          <w:sz w:val="19"/>
          <w:szCs w:val="19"/>
          <w:rtl/>
        </w:rPr>
        <w:t>6. ברית מילה: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בג״ץ 8533/13 → אב כרך; בית הדין קנס 500 ש"ח ליום; 7 שופטים → רוב (6): </w:t>
      </w:r>
      <w:r>
        <w:rPr>
          <w:rFonts w:ascii="Arial" w:hAnsi="Arial" w:cs="Arial" w:eastAsia="Arial"/>
          <w:color w:val="1F2430"/>
          <w:sz w:val="19"/>
          <w:szCs w:val="19"/>
          <w:highlight w:val="yellow"/>
          <w:rtl/>
        </w:rPr>
        <w:t>לא ניתן לכרוך</w:t>
      </w:r>
      <w:r>
        <w:rPr>
          <w:rFonts w:ascii="Arial" w:hAnsi="Arial" w:cs="Arial" w:eastAsia="Arial"/>
          <w:color w:val="1F2430"/>
          <w:sz w:val="19"/>
          <w:szCs w:val="19"/>
          <w:rtl/>
        </w:rPr>
        <w:t xml:space="preserve"> – סוגיה בפני עצמה; מיעוט – רובינשטיין.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רק בית המשפט האזרחי; דין אזרחי.</w:t>
      </w:r>
    </w:p>
    <w:p>
      <w:pPr>
        <w:bidi/>
        <w:spacing w:before="0" w:after="100" w:line="300" w:lineRule="auto"/>
        <w:jc w:val="both"/>
      </w:pPr>
      <w:r>
        <w:rPr>
          <w:rFonts w:ascii="Arial" w:hAnsi="Arial" w:cs="Arial" w:eastAsia="Arial"/>
          <w:b/>
          <w:bCs/>
          <w:color w:val="1F2430"/>
          <w:sz w:val="19"/>
          <w:szCs w:val="19"/>
          <w:rtl/>
        </w:rPr>
        <w:t>ועוד: אבהות</w:t>
      </w:r>
      <w:r>
        <w:rPr>
          <w:rFonts w:ascii="Arial" w:hAnsi="Arial" w:cs="Arial" w:eastAsia="Arial"/>
          <w:color w:val="1F2430"/>
          <w:sz w:val="19"/>
          <w:szCs w:val="19"/>
          <w:rtl/>
        </w:rPr>
        <w:t xml:space="preserve"> → מקבילה, כריכה מפורשת, דין אזרחי (ע"א 201/82 – אינה מעמד אישי).</w:t>
      </w:r>
    </w:p>
    <w:tbl>
      <w:tblPr>
        <w:tblW w:type="dxa" w:w="10206"/>
        <w:jc w:val="center"/>
        <w:tblLook w:firstColumn="1" w:firstRow="1" w:lastColumn="0" w:lastRow="0" w:noHBand="0" w:noVBand="1" w:val="04A0"/>
        <w:bidiVisual/>
        <w:tblLayout w:type="fixed"/>
      </w:tblPr>
      <w:tblGrid>
        <w:gridCol w:w="2551"/>
        <w:gridCol w:w="4890"/>
        <w:gridCol w:w="2764"/>
      </w:tblGrid>
      <w:tr>
        <w:trPr>
          <w:tblHeader/>
        </w:trPr>
        <w:tc>
          <w:tcPr>
            <w:tcW w:type="dxa" w:w="255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890"/>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כריכה</w:t>
            </w:r>
          </w:p>
        </w:tc>
        <w:tc>
          <w:tcPr>
            <w:tcW w:type="dxa" w:w="2764"/>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משמורת</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אוטומטית</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 (79)</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מזונות אישה</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מפורשת</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אישי (2)</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מפורשת, כל הסוגים</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אישי (3)</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חינוך</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מפורשת</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 (79)</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מפורשת; כתובה – לא צריך</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 / 13(ב)</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ברית מילה</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לא</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מפורשת</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3.5 גבעולי – המבחן המשולש</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b/>
          <w:bCs/>
          <w:color w:val="1F2430"/>
          <w:sz w:val="19"/>
          <w:szCs w:val="19"/>
          <w:rtl/>
        </w:rPr>
        <w:t>תביעת גירושין כנה</w:t>
      </w:r>
      <w:r>
        <w:rPr>
          <w:rFonts w:ascii="Arial" w:hAnsi="Arial" w:cs="Arial" w:eastAsia="Arial"/>
          <w:color w:val="1F2430"/>
          <w:sz w:val="19"/>
          <w:szCs w:val="19"/>
          <w:rtl/>
        </w:rPr>
        <w:t xml:space="preserve"> (רע"א 9357/96 במקראה): טיפול זוגי; מסיבת יום הולדת; מכתבי אהבה; דרישות לא ריאליות/תנאים לגט ("תשאירו לי את החנות"); שלום בית במקביל → לא כנה → </w:t>
      </w:r>
      <w:r>
        <w:rPr>
          <w:rFonts w:ascii="Arial" w:hAnsi="Arial" w:cs="Arial" w:eastAsia="Arial"/>
          <w:color w:val="1F2430"/>
          <w:sz w:val="19"/>
          <w:szCs w:val="19"/>
          <w:highlight w:val="yellow"/>
          <w:rtl/>
        </w:rPr>
        <w:t>כל הכריכות נופלות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b/>
          <w:bCs/>
          <w:color w:val="1F2430"/>
          <w:sz w:val="19"/>
          <w:szCs w:val="19"/>
          <w:rtl/>
        </w:rPr>
        <w:t>כריכה כדין</w:t>
      </w:r>
      <w:r>
        <w:rPr>
          <w:rFonts w:ascii="Arial" w:hAnsi="Arial" w:cs="Arial" w:eastAsia="Arial"/>
          <w:color w:val="1F2430"/>
          <w:sz w:val="19"/>
          <w:szCs w:val="19"/>
          <w:rtl/>
        </w:rPr>
        <w:t xml:space="preserve"> (בג״ץ 5747/03 – מבחן טכני): מפורטת, מפורשת, עם מסמכים (תלושי שכר); לא כותרת סתמית.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b/>
          <w:bCs/>
          <w:color w:val="1F2430"/>
          <w:sz w:val="19"/>
          <w:szCs w:val="19"/>
          <w:rtl/>
        </w:rPr>
        <w:t>כריכה כנה</w:t>
      </w:r>
      <w:r>
        <w:rPr>
          <w:rFonts w:ascii="Arial" w:hAnsi="Arial" w:cs="Arial" w:eastAsia="Arial"/>
          <w:color w:val="1F2430"/>
          <w:sz w:val="19"/>
          <w:szCs w:val="19"/>
          <w:rtl/>
        </w:rPr>
        <w:t xml:space="preserve">: מטרה לרכז ולייעל, לא לסכל פנייה לאזרחי. סימן: </w:t>
      </w:r>
      <w:r>
        <w:rPr>
          <w:rFonts w:ascii="Arial" w:hAnsi="Arial" w:cs="Arial" w:eastAsia="Arial"/>
          <w:color w:val="1F2430"/>
          <w:sz w:val="19"/>
          <w:szCs w:val="19"/>
          <w:highlight w:val="yellow"/>
          <w:rtl/>
        </w:rPr>
        <w:t>פיצול תביעות</w:t>
      </w:r>
      <w:r>
        <w:rPr>
          <w:rFonts w:ascii="Arial" w:hAnsi="Arial" w:cs="Arial" w:eastAsia="Arial"/>
          <w:color w:val="1F2430"/>
          <w:sz w:val="19"/>
          <w:szCs w:val="19"/>
          <w:rtl/>
        </w:rPr>
        <w:t xml:space="preserve"> על ידי הכורך (פיצול שגרם אחר – שונה).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מצטברים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נפילה: תביעה לא כנה – הכל; כריכה לא כנה – "לרוב תפיל את הכל"; כריכה לא כדין בנושא אחד – כנראה רק הוא (המרצה).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משמורת: </w:t>
      </w:r>
      <w:r>
        <w:rPr>
          <w:rFonts w:ascii="Arial" w:hAnsi="Arial" w:cs="Arial" w:eastAsia="Arial"/>
          <w:color w:val="1F2430"/>
          <w:sz w:val="19"/>
          <w:szCs w:val="19"/>
          <w:highlight w:val="yellow"/>
          <w:rtl/>
        </w:rPr>
        <w:t>רק כנות התביעה</w:t>
      </w:r>
      <w:r>
        <w:rPr>
          <w:rFonts w:ascii="Arial" w:hAnsi="Arial" w:cs="Arial" w:eastAsia="Arial"/>
          <w:color w:val="1F2430"/>
          <w:sz w:val="19"/>
          <w:szCs w:val="19"/>
          <w:rtl/>
        </w:rPr>
        <w:t xml:space="preserve"> (לא כדין, לא כנה).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נטל – על הכורך</w:t>
      </w:r>
      <w:r>
        <w:rPr>
          <w:rFonts w:ascii="Arial" w:hAnsi="Arial" w:cs="Arial" w:eastAsia="Arial"/>
          <w:color w:val="1F2430"/>
          <w:sz w:val="19"/>
          <w:szCs w:val="19"/>
          <w:rtl/>
        </w:rPr>
        <w:t xml:space="preserve"> (מוציא תיק מ"הבית הטבעי"); 50:50 → הכורך מפסיד.</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פלונית (2003): נישואין אזרחיים → כריכת מזונות אישה בידי הבעל </w:t>
      </w:r>
      <w:r>
        <w:rPr>
          <w:rFonts w:ascii="Arial" w:hAnsi="Arial" w:cs="Arial" w:eastAsia="Arial"/>
          <w:color w:val="1F2430"/>
          <w:sz w:val="19"/>
          <w:szCs w:val="19"/>
          <w:highlight w:val="yellow"/>
          <w:rtl/>
        </w:rPr>
        <w:t>לא כנה</w:t>
      </w:r>
      <w:r>
        <w:rPr>
          <w:rFonts w:ascii="Arial" w:hAnsi="Arial" w:cs="Arial" w:eastAsia="Arial"/>
          <w:color w:val="1F2430"/>
          <w:sz w:val="19"/>
          <w:szCs w:val="19"/>
          <w:rtl/>
        </w:rPr>
        <w:t xml:space="preserve"> (בית הדין לא יפסוק לה מזונות); יש שהרחיבו לכל הממוני. אישה שכורכת – לא ייקבע שאינה כנה.</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3.6 בג״ץ 8497/00 פלמן – מירוץ ההחלטות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עובדות: 9 שנים ידועים בציבור → היריון → נישואין → אחרי 3 שנים "הילד לא שלי" → הבעל: גירושין + כריכת רכוש → האישה: רכוש בבית המשפט → "אם הרכוש מטופל, תיתן גט?" – "לא חשבתי על זה" (פעמיים) → לא כנה (גם מחוזי). בית הדין והגדול: יש לנו סמכות.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הלכה (ביניש): </w:t>
      </w:r>
      <w:r>
        <w:rPr>
          <w:rFonts w:ascii="Arial" w:hAnsi="Arial" w:cs="Arial" w:eastAsia="Arial"/>
          <w:color w:val="1F2430"/>
          <w:sz w:val="19"/>
          <w:szCs w:val="19"/>
          <w:highlight w:val="yellow"/>
          <w:rtl/>
        </w:rPr>
        <w:t>שאלת תקינות הכריכה נתונה לשתי הערכאות</w:t>
      </w:r>
      <w:r>
        <w:rPr>
          <w:rFonts w:ascii="Arial" w:hAnsi="Arial" w:cs="Arial" w:eastAsia="Arial"/>
          <w:color w:val="1F2430"/>
          <w:sz w:val="19"/>
          <w:szCs w:val="19"/>
          <w:rtl/>
        </w:rPr>
        <w:t xml:space="preserve"> (בניגוד לגירושין עצמם) → </w:t>
      </w:r>
      <w:r>
        <w:rPr>
          <w:rFonts w:ascii="Arial" w:hAnsi="Arial" w:cs="Arial" w:eastAsia="Arial"/>
          <w:color w:val="1F2430"/>
          <w:sz w:val="19"/>
          <w:szCs w:val="19"/>
          <w:highlight w:val="yellow"/>
          <w:rtl/>
        </w:rPr>
        <w:t>כיבוד הדדי</w:t>
      </w:r>
      <w:r>
        <w:rPr>
          <w:rFonts w:ascii="Arial" w:hAnsi="Arial" w:cs="Arial" w:eastAsia="Arial"/>
          <w:color w:val="1F2430"/>
          <w:sz w:val="19"/>
          <w:szCs w:val="19"/>
          <w:rtl/>
        </w:rPr>
        <w:t>: ההחלטה הראשונה מכובדת → חריג: "טעם מיוחד" (בלי דיון בסמכות, בחופזה, בלי נימוק).</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המרצה: </w:t>
      </w:r>
      <w:r>
        <w:rPr>
          <w:rFonts w:ascii="Arial" w:hAnsi="Arial" w:cs="Arial" w:eastAsia="Arial"/>
          <w:color w:val="1F2430"/>
          <w:sz w:val="19"/>
          <w:szCs w:val="19"/>
          <w:highlight w:val="yellow"/>
          <w:rtl/>
        </w:rPr>
        <w:t>דו-צדדי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חשש: מועדי דיונים, איכות הנמקה.</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3.7 עץ החלטה למבחן</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color w:val="1F2430"/>
          <w:sz w:val="19"/>
          <w:szCs w:val="19"/>
          <w:rtl/>
        </w:rPr>
        <w:t>ציר זמן: מי הגיש מה, איפה, מתי (כולל בקשה ליישוב סכסוך).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color w:val="1F2430"/>
          <w:sz w:val="19"/>
          <w:szCs w:val="19"/>
          <w:rtl/>
        </w:rPr>
        <w:t>מתחילים בבית הדין הרבני; מה שלא שם – בית המשפט (שיורי).</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color w:val="1F2430"/>
          <w:sz w:val="19"/>
          <w:szCs w:val="19"/>
          <w:rtl/>
        </w:rPr>
        <w:t>סעיף 1 – לתובע ולנתבע. לא? אין כריכה (אולי סעיף 4 / 9 / 4א).</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4. </w:t>
      </w:r>
      <w:r>
        <w:tab/>
      </w:r>
      <w:r>
        <w:rPr>
          <w:rFonts w:ascii="Arial" w:hAnsi="Arial" w:cs="Arial" w:eastAsia="Arial"/>
          <w:color w:val="1F2430"/>
          <w:sz w:val="19"/>
          <w:szCs w:val="19"/>
          <w:rtl/>
        </w:rPr>
        <w:t>סיווג כל נושא (אוטומטי / מפורש / לא נכרך / כתובה).</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5. </w:t>
      </w:r>
      <w:r>
        <w:tab/>
      </w:r>
      <w:r>
        <w:rPr>
          <w:rFonts w:ascii="Arial" w:hAnsi="Arial" w:cs="Arial" w:eastAsia="Arial"/>
          <w:color w:val="1F2430"/>
          <w:sz w:val="19"/>
          <w:szCs w:val="19"/>
          <w:rtl/>
        </w:rPr>
        <w:t>נתפס קודם? (אמיר: משמורת באזרחי = גם חינוך).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6. </w:t>
      </w:r>
      <w:r>
        <w:tab/>
      </w:r>
      <w:r>
        <w:rPr>
          <w:rFonts w:ascii="Arial" w:hAnsi="Arial" w:cs="Arial" w:eastAsia="Arial"/>
          <w:color w:val="1F2430"/>
          <w:sz w:val="19"/>
          <w:szCs w:val="19"/>
          <w:rtl/>
        </w:rPr>
        <w:t>גבעולי + נטל על הכורך.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7. </w:t>
      </w:r>
      <w:r>
        <w:tab/>
      </w:r>
      <w:r>
        <w:rPr>
          <w:rFonts w:ascii="Arial" w:hAnsi="Arial" w:cs="Arial" w:eastAsia="Arial"/>
          <w:color w:val="1F2430"/>
          <w:sz w:val="19"/>
          <w:szCs w:val="19"/>
          <w:rtl/>
        </w:rPr>
        <w:t>החלטות סותרות → פלמן.</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8. </w:t>
      </w:r>
      <w:r>
        <w:tab/>
      </w:r>
      <w:r>
        <w:rPr>
          <w:rFonts w:ascii="Arial" w:hAnsi="Arial" w:cs="Arial" w:eastAsia="Arial"/>
          <w:color w:val="1F2430"/>
          <w:sz w:val="19"/>
          <w:szCs w:val="19"/>
          <w:rtl/>
        </w:rPr>
        <w:t>הדין לכל נושא.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תרגול מספר</w:t>
            </w:r>
          </w:p>
          <w:p>
            <w:pPr>
              <w:bidi/>
              <w:spacing w:before="0" w:after="60" w:line="300" w:lineRule="auto"/>
              <w:jc w:val="both"/>
            </w:pPr>
            <w:r>
              <w:rPr>
                <w:rFonts w:ascii="Arial" w:hAnsi="Arial" w:cs="Arial" w:eastAsia="Arial"/>
                <w:color w:val="1F2430"/>
                <w:sz w:val="18"/>
                <w:szCs w:val="18"/>
                <w:rtl/>
              </w:rPr>
              <w:t xml:space="preserve">משה הגיש גירושין וכרך מזונות אישה ורכוש; שבוע אחר כך האישה תבעה מזונות בבית המשפט; משה ביקש לדחות מחוסר סמכות → בית המשפט יקבל את הבקשה </w:t>
            </w:r>
            <w:r>
              <w:rPr>
                <w:rFonts w:ascii="Arial" w:hAnsi="Arial" w:cs="Arial" w:eastAsia="Arial"/>
                <w:color w:val="1F2430"/>
                <w:sz w:val="18"/>
                <w:szCs w:val="18"/>
                <w:highlight w:val="yellow"/>
                <w:rtl/>
              </w:rPr>
              <w:t>אם ישתכנע שתביעת הגירושין כנה והכריכה כנה וכדין</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תרגול מספר – מירוץ דרך יישוב סכסוך</w:t>
            </w:r>
          </w:p>
          <w:p>
            <w:pPr>
              <w:bidi/>
              <w:spacing w:before="0" w:after="60" w:line="300" w:lineRule="auto"/>
              <w:jc w:val="both"/>
            </w:pPr>
            <w:r>
              <w:rPr>
                <w:rFonts w:ascii="Arial" w:hAnsi="Arial" w:cs="Arial" w:eastAsia="Arial"/>
                <w:color w:val="1F2430"/>
                <w:sz w:val="18"/>
                <w:szCs w:val="18"/>
                <w:rtl/>
              </w:rPr>
              <w:t xml:space="preserve">יוסף הגיש בקשה ליישוב סכסוך; חלפו 61 ימים. בתוך 15 הימים של יוסף, ברכה תבעה מזונות אישה בבית המשפט, ולמחרת יוסף הגיש גירושין בבית הדין וכרך מזונות אישה → </w:t>
            </w:r>
            <w:r>
              <w:rPr>
                <w:rFonts w:ascii="Arial" w:hAnsi="Arial" w:cs="Arial" w:eastAsia="Arial"/>
                <w:color w:val="1F2430"/>
                <w:sz w:val="18"/>
                <w:szCs w:val="18"/>
                <w:highlight w:val="yellow"/>
                <w:rtl/>
              </w:rPr>
              <w:t>תביעת ברכה תימחק</w:t>
            </w:r>
            <w:r>
              <w:rPr>
                <w:rFonts w:ascii="Arial" w:hAnsi="Arial" w:cs="Arial" w:eastAsia="Arial"/>
                <w:color w:val="1F2430"/>
                <w:sz w:val="18"/>
                <w:szCs w:val="18"/>
                <w:rtl/>
              </w:rPr>
              <w:t>, כי באותו מועד לא הייתה לה זכות להגיש; הקדימה של יוסף.</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בעל לא יכול לתבוע מזונות אישה בבודדת.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לא כורכים לשלום בית.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משמורת בבית הדין ≠ חינוך.</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הנטל על הכורך, לא על התוקף.</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בבית הדין חל גם דין אזרחי (משמורת, חינוך, רכוש).</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ברית מילה – אין כריכה גם אם בית הדין "תפס" ראשון.</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חייבים לזכור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הראשון זוכה בסמכות מקבילה; על הגירושין אין מירוץ; ליישוב סכסוך – 15 ימי קדימה.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4: רק אישה, בלי אזרחות/תושבות/נוכחות, מקבילה, זיקה מסוימת (קנול); סבג – אמרת אגב.</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3: רק לגירושין, אחרי סעיף 1, כל צד, בכתב/בעל פה, לא נתפס.</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משמורת אוטומטית (וינטר, רון); חינוך מפורש (אמיר); מזונות ילדים – כל הסוגים (הוראת שעה); ברית מילה – לא (8533/13); כתובה – לא צריך.</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גבעולי: כנה + כדין + כנה; משמורת – רק כנות; נטל על הכורך.</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פלמן: שתי הערכאות, הראשונה מכובדת, טעם מיוחד, דו-צדדי.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דין: מזונות – אישי (2, 3 לחוק המזונות); משמורת/חינוך – אזרחי (79); רכוש – אזרחי (13(ב)); אבהות וברית – אזרחי.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B5304A"/>
            <w:tcBorders>
              <w:top w:val="single" w:sz="4" w:space="0" w:color="B5304A"/>
              <w:left w:val="single" w:sz="4" w:space="0" w:color="B5304A"/>
              <w:bottom w:val="single" w:sz="4" w:space="0" w:color="B5304A"/>
              <w:right w:val="single" w:sz="4" w:space="0" w:color="B5304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4</w:t>
            </w:r>
          </w:p>
          <w:p>
            <w:pPr>
              <w:bidi/>
              <w:spacing w:before="0" w:after="0" w:line="264" w:lineRule="auto"/>
              <w:outlineLvl w:val="0"/>
            </w:pPr>
            <w:r>
              <w:rPr>
                <w:rFonts w:ascii="Arial" w:hAnsi="Arial" w:cs="Arial" w:eastAsia="Arial"/>
                <w:b/>
                <w:bCs/>
                <w:color w:val="FFFFFF"/>
                <w:sz w:val="42"/>
                <w:szCs w:val="42"/>
                <w:rtl/>
              </w:rPr>
              <w:t>סמכות נמשכת, סמכות בהסכמה (סעיף 9), בוררות בבתי הדין ומעמדו העצמאי של הקטין</w:t>
            </w:r>
          </w:p>
        </w:tc>
      </w:tr>
    </w:tbl>
    <w:p>
      <w:pPr>
        <w:bidi/>
        <w:spacing w:after="0" w:before="0" w:line="20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דלתות לבית הדין הרבני – תמונת מצב</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highlight w:val="yellow"/>
          <w:rtl/>
        </w:rPr>
        <w:t>אם אין דלת שכתובה בחוק – לא נכנסים.</w:t>
      </w:r>
      <w:r>
        <w:rPr>
          <w:rFonts w:ascii="Arial" w:hAnsi="Arial" w:cs="Arial" w:eastAsia="Arial"/>
          <w:color w:val="1F2430"/>
          <w:sz w:val="19"/>
          <w:szCs w:val="19"/>
          <w:rtl/>
        </w:rPr>
        <w:t xml:space="preserve"> בית המשפט לענייני משפחה – פתוח לכל תביעה משפחתית בלי מבחנים.</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דלתות ראשיות: סעיף 1 (נישואין וגירושין), סעיף 3 (כריכה), סעיף 4 (מזונות אישה), סעיפים 4א ו-4ב(1) (בין-לאומי) – ראו פרקים 2–3.</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דלתות בפרק זה: </w:t>
      </w:r>
      <w:r>
        <w:rPr>
          <w:rFonts w:ascii="Arial" w:hAnsi="Arial" w:cs="Arial" w:eastAsia="Arial"/>
          <w:b/>
          <w:bCs/>
          <w:color w:val="1F2430"/>
          <w:sz w:val="19"/>
          <w:szCs w:val="19"/>
          <w:rtl/>
        </w:rPr>
        <w:t>סמכות נמשכת</w:t>
      </w:r>
      <w:r>
        <w:rPr>
          <w:rFonts w:ascii="Arial" w:hAnsi="Arial" w:cs="Arial" w:eastAsia="Arial"/>
          <w:color w:val="1F2430"/>
          <w:sz w:val="19"/>
          <w:szCs w:val="19"/>
          <w:rtl/>
        </w:rPr>
        <w:t xml:space="preserve"> (יציר הפסיקה), </w:t>
      </w:r>
      <w:r>
        <w:rPr>
          <w:rFonts w:ascii="Arial" w:hAnsi="Arial" w:cs="Arial" w:eastAsia="Arial"/>
          <w:b/>
          <w:bCs/>
          <w:color w:val="1F2430"/>
          <w:sz w:val="19"/>
          <w:szCs w:val="19"/>
          <w:rtl/>
        </w:rPr>
        <w:t>סעיף 9</w:t>
      </w:r>
      <w:r>
        <w:rPr>
          <w:rFonts w:ascii="Arial" w:hAnsi="Arial" w:cs="Arial" w:eastAsia="Arial"/>
          <w:color w:val="1F2430"/>
          <w:sz w:val="19"/>
          <w:szCs w:val="19"/>
          <w:rtl/>
        </w:rPr>
        <w:t xml:space="preserve"> (הסכמה), </w:t>
      </w:r>
      <w:r>
        <w:rPr>
          <w:rFonts w:ascii="Arial" w:hAnsi="Arial" w:cs="Arial" w:eastAsia="Arial"/>
          <w:b/>
          <w:bCs/>
          <w:color w:val="1F2430"/>
          <w:sz w:val="19"/>
          <w:szCs w:val="19"/>
          <w:rtl/>
        </w:rPr>
        <w:t>בוררות</w:t>
      </w:r>
      <w:r>
        <w:rPr>
          <w:rFonts w:ascii="Arial" w:hAnsi="Arial" w:cs="Arial" w:eastAsia="Arial"/>
          <w:color w:val="1F2430"/>
          <w:sz w:val="19"/>
          <w:szCs w:val="19"/>
          <w:rtl/>
        </w:rPr>
        <w:t xml:space="preserve"> (חוק 2026), ועילת </w:t>
      </w:r>
      <w:r>
        <w:rPr>
          <w:rFonts w:ascii="Arial" w:hAnsi="Arial" w:cs="Arial" w:eastAsia="Arial"/>
          <w:b/>
          <w:bCs/>
          <w:color w:val="1F2430"/>
          <w:sz w:val="19"/>
          <w:szCs w:val="19"/>
          <w:rtl/>
        </w:rPr>
        <w:t>מעמדו העצמאי של הקטין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תביעה שנייה אחרי גירושין – בדרך כלל אין תביעת גירושין תלויה, ולכן </w:t>
      </w:r>
      <w:r>
        <w:rPr>
          <w:rFonts w:ascii="Arial" w:hAnsi="Arial" w:cs="Arial" w:eastAsia="Arial"/>
          <w:color w:val="1F2430"/>
          <w:sz w:val="19"/>
          <w:szCs w:val="19"/>
          <w:highlight w:val="yellow"/>
          <w:rtl/>
        </w:rPr>
        <w:t>אין כריכה</w:t>
      </w:r>
      <w:r>
        <w:rPr>
          <w:rFonts w:ascii="Arial" w:hAnsi="Arial" w:cs="Arial" w:eastAsia="Arial"/>
          <w:color w:val="1F2430"/>
          <w:sz w:val="19"/>
          <w:szCs w:val="19"/>
          <w:rtl/>
        </w:rPr>
        <w:t>. שואלים: נמשכת? סעיף 9? מעמד עצמאי?</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סמכות נמשכת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הגדרה</w:t>
            </w:r>
          </w:p>
          <w:p>
            <w:pPr>
              <w:bidi/>
              <w:spacing w:before="0" w:after="60" w:line="300" w:lineRule="auto"/>
              <w:jc w:val="both"/>
            </w:pPr>
            <w:r>
              <w:rPr>
                <w:rFonts w:ascii="Arial" w:hAnsi="Arial" w:cs="Arial" w:eastAsia="Arial"/>
                <w:color w:val="1F2430"/>
                <w:sz w:val="18"/>
                <w:szCs w:val="18"/>
                <w:rtl/>
              </w:rPr>
              <w:t xml:space="preserve">חריג לעקרון מעשה בית דין וסופיות הדיון: הערכאה ש"דנה ופסקה" בנושא מתמשך חוזרת ודנה בו כשחל שינוי נסיבות מהותי, </w:t>
            </w:r>
            <w:r>
              <w:rPr>
                <w:rFonts w:ascii="Arial" w:hAnsi="Arial" w:cs="Arial" w:eastAsia="Arial"/>
                <w:b/>
                <w:bCs/>
                <w:color w:val="1F2430"/>
                <w:sz w:val="18"/>
                <w:szCs w:val="18"/>
                <w:rtl/>
              </w:rPr>
              <w:t>בלי צורך בכריכה או בהסכמה חדשה</w:t>
            </w:r>
            <w:r>
              <w:rPr>
                <w:rFonts w:ascii="Arial" w:hAnsi="Arial" w:cs="Arial" w:eastAsia="Arial"/>
                <w:color w:val="1F2430"/>
                <w:sz w:val="18"/>
                <w:szCs w:val="18"/>
                <w:rtl/>
              </w:rPr>
              <w:t xml:space="preserve"> – הצד הפונה "מתלבש" על התיק הקיים.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הנוסחה</w:t>
            </w:r>
          </w:p>
          <w:p>
            <w:pPr>
              <w:bidi/>
              <w:spacing w:before="0" w:after="60" w:line="300" w:lineRule="auto"/>
              <w:jc w:val="both"/>
            </w:pPr>
            <w:r>
              <w:rPr>
                <w:rFonts w:ascii="Arial" w:hAnsi="Arial" w:cs="Arial" w:eastAsia="Arial"/>
                <w:b/>
                <w:bCs/>
                <w:color w:val="1F2430"/>
                <w:sz w:val="18"/>
                <w:szCs w:val="18"/>
                <w:rtl/>
              </w:rPr>
              <w:t>נושא מתמשך + שינוי נסיבות מהותי + אותה ערכאה (שדנה ופסקה).</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1930"/>
        <w:gridCol w:w="8275"/>
      </w:tblGrid>
      <w:tr>
        <w:trPr>
          <w:tblHeader/>
        </w:trPr>
        <w:tc>
          <w:tcPr>
            <w:tcW w:type="dxa" w:w="1931"/>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רכיב</w:t>
            </w:r>
          </w:p>
        </w:tc>
        <w:tc>
          <w:tcPr>
            <w:tcW w:type="dxa" w:w="8274"/>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פירוט</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נושאים מתמשכים</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משמורת/החזקת ילדים, מזונות אישה, מזונות ילדים – בלבד</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למה</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פסק דין שנמשך מחודש לחודש; המציאות משתנה</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אין סמכות נמשכת</w:t>
            </w:r>
            <w:r>
              <w:rPr>
                <w:rFonts w:ascii="Arial" w:hAnsi="Arial" w:cs="Arial" w:eastAsia="Arial"/>
                <w:color w:val="1F2430"/>
                <w:sz w:val="17"/>
                <w:szCs w:val="17"/>
                <w:rtl/>
              </w:rPr>
              <w:t xml:space="preserve"> – חלוקה סופית; "אי אפשר לפתוח אותו משום עילה" (המרצה)</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שינוי נסיבות</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הערכאה מחליטה אם מהותי; "מסד הנתונים" השתנה</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אותה ערכאה</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אם דנה ופסקה באמת (טענות, חוות דעת – לא אישור טכני); כיבוד הדדי בין הערכאות + יעילות</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מי</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 xml:space="preserve">כל ערכאה שדנה ופסקה – רבני </w:t>
            </w:r>
            <w:r>
              <w:rPr>
                <w:rFonts w:ascii="Arial" w:hAnsi="Arial" w:cs="Arial" w:eastAsia="Arial"/>
                <w:b/>
                <w:bCs/>
                <w:color w:val="1F2430"/>
                <w:sz w:val="17"/>
                <w:szCs w:val="17"/>
                <w:rtl/>
              </w:rPr>
              <w:t>או</w:t>
            </w:r>
            <w:r>
              <w:rPr>
                <w:rFonts w:ascii="Arial" w:hAnsi="Arial" w:cs="Arial" w:eastAsia="Arial"/>
                <w:color w:val="1F2430"/>
                <w:sz w:val="17"/>
                <w:szCs w:val="17"/>
                <w:rtl/>
              </w:rPr>
              <w:t xml:space="preserve"> אזרחי (לא רק בית הדין הדתי)</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תנאים מפורטים (תגבור): הערכאה ישבה בתיק המקורי וקיבלה את התביעה (פסק דין לעתיד, לא דחייה) → נושא מתמשך → שינוי נסיבות מהותי → "דן ופסק".</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דוגמאות לשינוי נסיבות:</w:t>
      </w:r>
    </w:p>
    <w:p>
      <w:pPr>
        <w:bidi/>
        <w:tabs>
          <w:tab w:val="left" w:pos="623"/>
        </w:tabs>
        <w:spacing w:before="0" w:after="40" w:line="288" w:lineRule="auto"/>
        <w:ind w:right="623"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הסכמה לגור עד 20 ק"מ זה מזה → האם עוברת לצפון.</w:t>
      </w:r>
    </w:p>
    <w:p>
      <w:pPr>
        <w:bidi/>
        <w:tabs>
          <w:tab w:val="left" w:pos="623"/>
        </w:tabs>
        <w:spacing w:before="0" w:after="40" w:line="288" w:lineRule="auto"/>
        <w:ind w:right="623"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האב פוטר אחרי פסק דין שקבע מזונות ילדים → הפחתה </w:t>
      </w:r>
      <w:r>
        <w:rPr>
          <w:rFonts w:ascii="Arial" w:hAnsi="Arial" w:cs="Arial" w:eastAsia="Arial"/>
          <w:b/>
          <w:bCs/>
          <w:color w:val="1F2430"/>
          <w:sz w:val="19"/>
          <w:szCs w:val="19"/>
          <w:rtl/>
        </w:rPr>
        <w:t>בבית הדין שדן</w:t>
      </w:r>
      <w:r>
        <w:rPr>
          <w:rFonts w:ascii="Arial" w:hAnsi="Arial" w:cs="Arial" w:eastAsia="Arial"/>
          <w:color w:val="1F2430"/>
          <w:sz w:val="19"/>
          <w:szCs w:val="19"/>
          <w:rtl/>
        </w:rPr>
        <w:t xml:space="preserve"> (סעיף 1 לא תופס – כבר גרושים; סעיף 3 – אין תביעת גירושין; סעיף 9 – אין הסכמה).</w:t>
      </w:r>
    </w:p>
    <w:p>
      <w:pPr>
        <w:bidi/>
        <w:tabs>
          <w:tab w:val="left" w:pos="623"/>
        </w:tabs>
        <w:spacing w:before="0" w:after="40" w:line="288" w:lineRule="auto"/>
        <w:ind w:right="623"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בגידה אחרי פסק דין למזונות אישה (לפני הגט) → "בוודאי – זה שינוי נסיבות"; אך ייתכן חיוב אם היא "מעוכבת" מחמתו (פרק 6).</w:t>
      </w:r>
    </w:p>
    <w:p>
      <w:pPr>
        <w:bidi/>
        <w:tabs>
          <w:tab w:val="left" w:pos="623"/>
        </w:tabs>
        <w:spacing w:before="0" w:after="40" w:line="288" w:lineRule="auto"/>
        <w:ind w:right="623"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שינוי הלכה (בע"מ 919/15) </w:t>
      </w:r>
      <w:r>
        <w:rPr>
          <w:rFonts w:ascii="Arial" w:hAnsi="Arial" w:cs="Arial" w:eastAsia="Arial"/>
          <w:color w:val="1F2430"/>
          <w:sz w:val="19"/>
          <w:szCs w:val="19"/>
          <w:highlight w:val="yellow"/>
          <w:rtl/>
        </w:rPr>
        <w:t>אינו כשלעצמו שינוי נסיבות</w:t>
      </w:r>
      <w:r>
        <w:rPr>
          <w:rFonts w:ascii="Arial" w:hAnsi="Arial" w:cs="Arial" w:eastAsia="Arial"/>
          <w:color w:val="1F2430"/>
          <w:sz w:val="19"/>
          <w:szCs w:val="19"/>
          <w:rtl/>
        </w:rPr>
        <w:t xml:space="preserve"> – נדרש שינוי עובדתי (פרק 10).</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יוסי וחדווה: גרושים בבית הדין הרבני, עזבו את הארץ (לא אזרחים ולא תושבים), הוא התעשר → הגדלת מזונות </w:t>
      </w:r>
      <w:r>
        <w:rPr>
          <w:rFonts w:ascii="Arial" w:hAnsi="Arial" w:cs="Arial" w:eastAsia="Arial"/>
          <w:b/>
          <w:bCs/>
          <w:color w:val="1F2430"/>
          <w:sz w:val="19"/>
          <w:szCs w:val="19"/>
          <w:rtl/>
        </w:rPr>
        <w:t>בבית הדין הרבני מכוח סמכות נמשכת</w:t>
      </w:r>
      <w:r>
        <w:rPr>
          <w:rFonts w:ascii="Arial" w:hAnsi="Arial" w:cs="Arial" w:eastAsia="Arial"/>
          <w:color w:val="1F2430"/>
          <w:sz w:val="19"/>
          <w:szCs w:val="19"/>
          <w:rtl/>
        </w:rPr>
        <w:t xml:space="preserve"> – לא בודקים שוב את סעיף 1.</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"בשינוי נסיבות אפשר לבחור ערכאה" – </w:t>
            </w:r>
            <w:r>
              <w:rPr>
                <w:rFonts w:ascii="Arial" w:hAnsi="Arial" w:cs="Arial" w:eastAsia="Arial"/>
                <w:b/>
                <w:bCs/>
                <w:color w:val="1F2430"/>
                <w:sz w:val="18"/>
                <w:szCs w:val="18"/>
                <w:rtl/>
              </w:rPr>
              <w:t>שגוי</w:t>
            </w:r>
            <w:r>
              <w:rPr>
                <w:rFonts w:ascii="Arial" w:hAnsi="Arial" w:cs="Arial" w:eastAsia="Arial"/>
                <w:color w:val="1F2430"/>
                <w:sz w:val="18"/>
                <w:szCs w:val="18"/>
                <w:rtl/>
              </w:rPr>
              <w:t>: חוזרים לערכאה שדנה ופסקה.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"אחרי גירושין אפשר לחזור לדון ברכוש" – </w:t>
            </w:r>
            <w:r>
              <w:rPr>
                <w:rFonts w:ascii="Arial" w:hAnsi="Arial" w:cs="Arial" w:eastAsia="Arial"/>
                <w:b/>
                <w:bCs/>
                <w:color w:val="1F2430"/>
                <w:sz w:val="18"/>
                <w:szCs w:val="18"/>
                <w:rtl/>
              </w:rPr>
              <w:t>שגוי</w:t>
            </w:r>
            <w:r>
              <w:rPr>
                <w:rFonts w:ascii="Arial" w:hAnsi="Arial" w:cs="Arial" w:eastAsia="Arial"/>
                <w:color w:val="1F2430"/>
                <w:sz w:val="18"/>
                <w:szCs w:val="18"/>
                <w:rtl/>
              </w:rPr>
              <w:t>: רק מזונות אישה, מזונות ילדים ומשמורת.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היעדר סמכות נמשכת ברכוש אין פירושו שאפשר לפתוח רכוש בערכאה אחרת – אי אפשר לפתוח אותו כלל.</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סעיף 9 לחשבד"ר – סמכות בהסכמה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9 לחשבד"ר</w:t>
            </w:r>
          </w:p>
          <w:p>
            <w:pPr>
              <w:bidi/>
              <w:spacing w:before="0" w:after="60" w:line="300" w:lineRule="auto"/>
              <w:jc w:val="both"/>
            </w:pPr>
            <w:r>
              <w:rPr>
                <w:rFonts w:ascii="Arial" w:hAnsi="Arial" w:cs="Arial" w:eastAsia="Arial"/>
                <w:color w:val="1F2430"/>
                <w:sz w:val="18"/>
                <w:szCs w:val="18"/>
                <w:rtl/>
              </w:rPr>
              <w:t>"בעניני המעמד האישי של יהודים כמפורט בסעיף 51 ל'דבר המלך במועצתו...' או בפקודת הירושה, אשר בהם אין לבית דין רבני שיפוט יחודי לפי חוק זה, יהא לבית דין רבני שיפוט לאחר שכל הצדדים הנוגעים בדבר הביעו הסכמתם לכך."</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color w:val="1F2430"/>
          <w:sz w:val="19"/>
          <w:szCs w:val="19"/>
          <w:rtl/>
        </w:rPr>
        <w:t xml:space="preserve">תביעה </w:t>
      </w:r>
      <w:r>
        <w:rPr>
          <w:rFonts w:ascii="Arial" w:hAnsi="Arial" w:cs="Arial" w:eastAsia="Arial"/>
          <w:b/>
          <w:bCs/>
          <w:color w:val="1F2430"/>
          <w:sz w:val="19"/>
          <w:szCs w:val="19"/>
          <w:rtl/>
        </w:rPr>
        <w:t>בודדת</w:t>
      </w:r>
      <w:r>
        <w:rPr>
          <w:rFonts w:ascii="Arial" w:hAnsi="Arial" w:cs="Arial" w:eastAsia="Arial"/>
          <w:color w:val="1F2430"/>
          <w:sz w:val="19"/>
          <w:szCs w:val="19"/>
          <w:rtl/>
        </w:rPr>
        <w:t xml:space="preserve"> (עצמאית) – בלי גירושין ובלי כריכה.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ענייני מעמד אישי</w:t>
      </w:r>
      <w:r>
        <w:rPr>
          <w:rFonts w:ascii="Arial" w:hAnsi="Arial" w:cs="Arial" w:eastAsia="Arial"/>
          <w:color w:val="1F2430"/>
          <w:sz w:val="19"/>
          <w:szCs w:val="19"/>
          <w:rtl/>
        </w:rPr>
        <w:t xml:space="preserve"> (סימן 51) </w:t>
      </w:r>
      <w:r>
        <w:rPr>
          <w:rFonts w:ascii="Arial" w:hAnsi="Arial" w:cs="Arial" w:eastAsia="Arial"/>
          <w:b/>
          <w:bCs/>
          <w:color w:val="1F2430"/>
          <w:sz w:val="19"/>
          <w:szCs w:val="19"/>
          <w:rtl/>
        </w:rPr>
        <w:t>או ירושה</w:t>
      </w:r>
      <w:r>
        <w:rPr>
          <w:rFonts w:ascii="Arial" w:hAnsi="Arial" w:cs="Arial" w:eastAsia="Arial"/>
          <w:color w:val="1F2430"/>
          <w:sz w:val="19"/>
          <w:szCs w:val="19"/>
          <w:rtl/>
        </w:rPr>
        <w:t xml:space="preserve"> (פקודת הירושה).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יהודים</w:t>
      </w:r>
      <w:r>
        <w:rPr>
          <w:rFonts w:ascii="Arial" w:hAnsi="Arial" w:cs="Arial" w:eastAsia="Arial"/>
          <w:color w:val="1F2430"/>
          <w:sz w:val="19"/>
          <w:szCs w:val="19"/>
          <w:rtl/>
        </w:rPr>
        <w:t xml:space="preserve"> – כל הצדדים (סרגובי).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color w:val="1F2430"/>
          <w:sz w:val="19"/>
          <w:szCs w:val="19"/>
          <w:rtl/>
        </w:rPr>
        <w:t>נושא שאין בו סמכות ייחודית (סמכות מקבילה).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5. </w:t>
      </w:r>
      <w:r>
        <w:tab/>
      </w:r>
      <w:r>
        <w:rPr>
          <w:rFonts w:ascii="Arial" w:hAnsi="Arial" w:cs="Arial" w:eastAsia="Arial"/>
          <w:b/>
          <w:bCs/>
          <w:color w:val="1F2430"/>
          <w:sz w:val="19"/>
          <w:szCs w:val="19"/>
          <w:rtl/>
        </w:rPr>
        <w:t>הסכמת כל הצדדים הנוגעים בדבר</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6378"/>
        <w:gridCol w:w="3827"/>
      </w:tblGrid>
      <w:tr>
        <w:trPr>
          <w:tblHeader/>
        </w:trPr>
        <w:tc>
          <w:tcPr>
            <w:tcW w:type="dxa" w:w="6378"/>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נכנס בסעיף 9</w:t>
            </w:r>
          </w:p>
        </w:tc>
        <w:tc>
          <w:tcPr>
            <w:tcW w:type="dxa" w:w="3827"/>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לא נכנס בסעיף 9</w:t>
            </w:r>
          </w:p>
        </w:tc>
      </w:tr>
      <w:tr>
        <w:trPr>
          <w:cantSplit/>
        </w:trPr>
        <w:tc>
          <w:tcPr>
            <w:tcW w:type="dxa" w:w="637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משמורת / החזקת ילדים</w:t>
            </w:r>
          </w:p>
        </w:tc>
        <w:tc>
          <w:tcPr>
            <w:tcW w:type="dxa" w:w="382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רכוש</w:t>
            </w:r>
            <w:r>
              <w:rPr>
                <w:rFonts w:ascii="Arial" w:hAnsi="Arial" w:cs="Arial" w:eastAsia="Arial"/>
                <w:color w:val="1F2430"/>
                <w:sz w:val="17"/>
                <w:szCs w:val="17"/>
                <w:rtl/>
              </w:rPr>
              <w:t xml:space="preserve"> – גם אם שניהם מסכימים</w:t>
            </w:r>
          </w:p>
        </w:tc>
      </w:tr>
      <w:tr>
        <w:trPr>
          <w:cantSplit/>
        </w:trPr>
        <w:tc>
          <w:tcPr>
            <w:tcW w:type="dxa" w:w="637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מזונות קטין (שרגאי/זוסמן: הדרך להקנות סמכות במזונות ילדים לעתיד)</w:t>
            </w:r>
          </w:p>
        </w:tc>
        <w:tc>
          <w:tcPr>
            <w:tcW w:type="dxa" w:w="382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זוג מעורב (סרגובי)</w:t>
            </w:r>
          </w:p>
        </w:tc>
      </w:tr>
      <w:tr>
        <w:trPr>
          <w:cantSplit/>
        </w:trPr>
        <w:tc>
          <w:tcPr>
            <w:tcW w:type="dxa" w:w="637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 xml:space="preserve">אפוטרופסות – </w:t>
            </w:r>
            <w:r>
              <w:rPr>
                <w:rFonts w:ascii="Arial" w:hAnsi="Arial" w:cs="Arial" w:eastAsia="Arial"/>
                <w:b/>
                <w:bCs/>
                <w:color w:val="1F2430"/>
                <w:sz w:val="17"/>
                <w:szCs w:val="17"/>
                <w:highlight w:val="yellow"/>
                <w:rtl/>
              </w:rPr>
              <w:t>כולל חינוך</w:t>
            </w:r>
            <w:r>
              <w:rPr>
                <w:rFonts w:ascii="Arial" w:hAnsi="Arial" w:cs="Arial" w:eastAsia="Arial"/>
                <w:b/>
                <w:bCs/>
                <w:color w:val="1F2430"/>
                <w:sz w:val="17"/>
                <w:szCs w:val="17"/>
                <w:rtl/>
              </w:rPr>
              <w:t>, בבודדת (המרצה)</w:t>
            </w:r>
          </w:p>
        </w:tc>
        <w:tc>
          <w:tcPr>
            <w:tcW w:type="dxa" w:w="382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אכיפת תניית שיפוי רכושית (סימה אמיר)</w:t>
            </w:r>
          </w:p>
        </w:tc>
      </w:tr>
      <w:tr>
        <w:trPr>
          <w:cantSplit/>
        </w:trPr>
        <w:tc>
          <w:tcPr>
            <w:tcW w:type="dxa" w:w="637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ירושה (לפי המקראה – בהסכמה בכתב)</w:t>
            </w:r>
          </w:p>
        </w:tc>
        <w:tc>
          <w:tcPr>
            <w:tcW w:type="dxa" w:w="382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למה רכוש בכריכה כן ובהסכמה לא?</w:t>
      </w:r>
      <w:r>
        <w:rPr>
          <w:rFonts w:ascii="Arial" w:hAnsi="Arial" w:cs="Arial" w:eastAsia="Arial"/>
          <w:color w:val="1F2430"/>
          <w:sz w:val="19"/>
          <w:szCs w:val="19"/>
          <w:rtl/>
        </w:rPr>
        <w:t xml:space="preserve"> (המרצה) סעיף 3 – סמכות רחבה: "אם אתה כבר רוצה להתגרש – נהל הכול בבית הדין"; סעיף 9 – תביעות בודדות, מוגבל למעמד אישי.</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"במה שונה רכוש ממשמורת?"</w:t>
      </w:r>
      <w:r>
        <w:rPr>
          <w:rFonts w:ascii="Arial" w:hAnsi="Arial" w:cs="Arial" w:eastAsia="Arial"/>
          <w:color w:val="1F2430"/>
          <w:sz w:val="19"/>
          <w:szCs w:val="19"/>
          <w:rtl/>
        </w:rPr>
        <w:t xml:space="preserve"> → לעניין סעיף 9.</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ויכוח על חינוך בלי גירושין</w:t>
      </w:r>
      <w:r>
        <w:rPr>
          <w:rFonts w:ascii="Arial" w:hAnsi="Arial" w:cs="Arial" w:eastAsia="Arial"/>
          <w:color w:val="1F2430"/>
          <w:sz w:val="19"/>
          <w:szCs w:val="19"/>
          <w:rtl/>
        </w:rPr>
        <w:t xml:space="preserve"> (זוג יהודים, אזרחים, נשואים כדמו"י) → כן, סעיף 9.</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זוג תיירים יהודים</w:t>
      </w:r>
      <w:r>
        <w:rPr>
          <w:rFonts w:ascii="Arial" w:hAnsi="Arial" w:cs="Arial" w:eastAsia="Arial"/>
          <w:color w:val="1F2430"/>
          <w:sz w:val="19"/>
          <w:szCs w:val="19"/>
          <w:rtl/>
        </w:rPr>
        <w:t xml:space="preserve"> (לא אזרחים, לא תושבים) המבקשים להתגרש בהסכמה → הנטייה לאפשר לפי סעיף 9 (המקראה: אין הכרעה חד-משמעית).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הסכמה מראש</w:t>
      </w:r>
      <w:r>
        <w:rPr>
          <w:rFonts w:ascii="Arial" w:hAnsi="Arial" w:cs="Arial" w:eastAsia="Arial"/>
          <w:color w:val="1F2430"/>
          <w:sz w:val="19"/>
          <w:szCs w:val="19"/>
          <w:rtl/>
        </w:rPr>
        <w:t xml:space="preserve"> (במעמד החתונה) → אפשרית, אך </w:t>
      </w:r>
      <w:r>
        <w:rPr>
          <w:rFonts w:ascii="Arial" w:hAnsi="Arial" w:cs="Arial" w:eastAsia="Arial"/>
          <w:color w:val="1F2430"/>
          <w:sz w:val="19"/>
          <w:szCs w:val="19"/>
          <w:highlight w:val="yellow"/>
          <w:rtl/>
        </w:rPr>
        <w:t>לא חוסמת את בן הזוג השני מלהקדים לבית המשפט</w:t>
      </w:r>
      <w:r>
        <w:rPr>
          <w:rFonts w:ascii="Arial" w:hAnsi="Arial" w:cs="Arial" w:eastAsia="Arial"/>
          <w:color w:val="1F2430"/>
          <w:sz w:val="19"/>
          <w:szCs w:val="19"/>
          <w:rtl/>
        </w:rPr>
        <w:t xml:space="preserve"> – אינה מבטלת את מירוץ הסמכויות.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מזונות זמניים</w:t>
      </w:r>
      <w:r>
        <w:rPr>
          <w:rFonts w:ascii="Arial" w:hAnsi="Arial" w:cs="Arial" w:eastAsia="Arial"/>
          <w:color w:val="1F2430"/>
          <w:sz w:val="19"/>
          <w:szCs w:val="19"/>
          <w:rtl/>
        </w:rPr>
        <w:t xml:space="preserve"> בבית הדין → בית הדין נוטה לראות בכך הקניית סמכות גם לדיון עתידי.</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אופי ההסכמה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מפורשת</w:t>
      </w:r>
      <w:r>
        <w:rPr>
          <w:rFonts w:ascii="Arial" w:hAnsi="Arial" w:cs="Arial" w:eastAsia="Arial"/>
          <w:color w:val="1F2430"/>
          <w:sz w:val="19"/>
          <w:szCs w:val="19"/>
          <w:rtl/>
        </w:rPr>
        <w:t xml:space="preserve"> (בכתב / בעל פה) </w:t>
      </w:r>
      <w:r>
        <w:rPr>
          <w:rFonts w:ascii="Arial" w:hAnsi="Arial" w:cs="Arial" w:eastAsia="Arial"/>
          <w:b/>
          <w:bCs/>
          <w:color w:val="1F2430"/>
          <w:sz w:val="19"/>
          <w:szCs w:val="19"/>
          <w:rtl/>
        </w:rPr>
        <w:t>או מכללא</w:t>
      </w:r>
      <w:r>
        <w:rPr>
          <w:rFonts w:ascii="Arial" w:hAnsi="Arial" w:cs="Arial" w:eastAsia="Arial"/>
          <w:color w:val="1F2430"/>
          <w:sz w:val="19"/>
          <w:szCs w:val="19"/>
          <w:rtl/>
        </w:rPr>
        <w:t xml:space="preserve"> (התנהגות, שתיקה). דוגמה: הנתבעת משיבה לגופו של עניין ולא טוענת לחוסר סמכות = הסכמה בהתנהגות.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סעיף 15(ד)(4) לחוק יסוד: השפיטה</w:t>
      </w:r>
      <w:r>
        <w:rPr>
          <w:rFonts w:ascii="Arial" w:hAnsi="Arial" w:cs="Arial" w:eastAsia="Arial"/>
          <w:color w:val="1F2430"/>
          <w:sz w:val="19"/>
          <w:szCs w:val="19"/>
          <w:rtl/>
        </w:rPr>
        <w:t xml:space="preserve"> – טענת חוסר סמכות </w:t>
      </w:r>
      <w:r>
        <w:rPr>
          <w:rFonts w:ascii="Arial" w:hAnsi="Arial" w:cs="Arial" w:eastAsia="Arial"/>
          <w:color w:val="1F2430"/>
          <w:sz w:val="19"/>
          <w:szCs w:val="19"/>
          <w:highlight w:val="yellow"/>
          <w:rtl/>
        </w:rPr>
        <w:t>בהזדמנות הראשונה</w:t>
      </w:r>
      <w:r>
        <w:rPr>
          <w:rFonts w:ascii="Arial" w:hAnsi="Arial" w:cs="Arial" w:eastAsia="Arial"/>
          <w:color w:val="1F2430"/>
          <w:sz w:val="19"/>
          <w:szCs w:val="19"/>
          <w:rtl/>
        </w:rPr>
        <w:t xml:space="preserve"> (דיון ראשון / כתב טענות ראשון).</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בלתי מיוצגים – ההזדמנות הראשונה נמדדת לפי בעל הדין, לא לפי עורך דין שנשכר אחר כך.</w:t>
      </w:r>
    </w:p>
    <w:tbl>
      <w:tblPr>
        <w:tblW w:type="dxa" w:w="10206"/>
        <w:jc w:val="center"/>
        <w:tblLook w:firstColumn="1" w:firstRow="1" w:lastColumn="0" w:lastRow="0" w:noHBand="0" w:noVBand="1" w:val="04A0"/>
        <w:bidiVisual/>
        <w:tblLayout w:type="fixed"/>
      </w:tblPr>
      <w:tblGrid>
        <w:gridCol w:w="4834"/>
        <w:gridCol w:w="5371"/>
      </w:tblGrid>
      <w:tr>
        <w:trPr>
          <w:tblHeader/>
        </w:trPr>
        <w:tc>
          <w:tcPr>
            <w:tcW w:type="dxa" w:w="4834"/>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מסלול</w:t>
            </w:r>
          </w:p>
        </w:tc>
        <w:tc>
          <w:tcPr>
            <w:tcW w:type="dxa" w:w="5371"/>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ההסכמה</w:t>
            </w:r>
          </w:p>
        </w:tc>
      </w:tr>
      <w:tr>
        <w:trPr>
          <w:cantSplit/>
        </w:trPr>
        <w:tc>
          <w:tcPr>
            <w:tcW w:type="dxa" w:w="483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9 – מעמד אישי</w:t>
            </w:r>
          </w:p>
        </w:tc>
        <w:tc>
          <w:tcPr>
            <w:tcW w:type="dxa" w:w="537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גם מכללא</w:t>
            </w:r>
          </w:p>
        </w:tc>
      </w:tr>
      <w:tr>
        <w:trPr>
          <w:cantSplit/>
        </w:trPr>
        <w:tc>
          <w:tcPr>
            <w:tcW w:type="dxa" w:w="483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ירושה (מקראה)</w:t>
            </w:r>
          </w:p>
        </w:tc>
        <w:tc>
          <w:tcPr>
            <w:tcW w:type="dxa" w:w="537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בכתב</w:t>
            </w:r>
          </w:p>
        </w:tc>
      </w:tr>
      <w:tr>
        <w:trPr>
          <w:cantSplit/>
        </w:trPr>
        <w:tc>
          <w:tcPr>
            <w:tcW w:type="dxa" w:w="483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בוררות – חוק 2026</w:t>
            </w:r>
          </w:p>
        </w:tc>
        <w:tc>
          <w:tcPr>
            <w:tcW w:type="dxa" w:w="537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בכתב, טופס בוררות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9476/96 סרגובי נ' בית הדין הרבני ומנהל האוכלוסין (2006)</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עליית שנות ה-90 – מאות זוגות מעורבים התגרשו בהסכמה בבית הדין הרבני (מהיר; לפי ההלכה הנישואין לא תופסים; צו מיידי למרשם). עתירה ציבורית; הוגשה 1996, הוכרעה 2006 (ברק המתין כעשור למדינה).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סעיף 9 חל </w:t>
            </w:r>
            <w:r>
              <w:rPr>
                <w:rFonts w:ascii="Arial" w:hAnsi="Arial" w:cs="Arial" w:eastAsia="Arial"/>
                <w:color w:val="1F2430"/>
                <w:sz w:val="18"/>
                <w:szCs w:val="18"/>
                <w:highlight w:val="yellow"/>
                <w:rtl/>
              </w:rPr>
              <w:t>רק כששני בני הזוג יהודים</w:t>
            </w:r>
            <w:r>
              <w:rPr>
                <w:rFonts w:ascii="Arial" w:hAnsi="Arial" w:cs="Arial" w:eastAsia="Arial"/>
                <w:color w:val="1F2430"/>
                <w:sz w:val="18"/>
                <w:szCs w:val="18"/>
                <w:rtl/>
              </w:rPr>
              <w:t xml:space="preserve">; הסכמה לבדה אינה מקנה סמכות בזוג מעורב. בית דין של דת אחת לא ינהל בני זוג משתי דתות.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זוג מעורב → בית המשפט לענייני משפחה לפי חוק המקרים המיוחדים (פרק 2).</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בג"ץ 8638/03 סימה אמיר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סימה אמיר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הסכם גירושין בבית הדין, שני הצדדים מיוצגים. בעל נכה 100%, קצבה 1,200 ש"ח; מזונות 1,000 ש"ח לשלושה ילדים; הבעל העביר לאישה את מחצית הדירה שלו. בתמורה – לא תתבע הגדלה; ואם תתבע – תחזיר את המחצית (</w:t>
            </w:r>
            <w:r>
              <w:rPr>
                <w:rFonts w:ascii="Arial" w:hAnsi="Arial" w:cs="Arial" w:eastAsia="Arial"/>
                <w:color w:val="1F2430"/>
                <w:sz w:val="18"/>
                <w:szCs w:val="18"/>
                <w:highlight w:val="yellow"/>
                <w:rtl/>
              </w:rPr>
              <w:t>תניית שיפוי</w:t>
            </w:r>
            <w:r>
              <w:rPr>
                <w:rFonts w:ascii="Arial" w:hAnsi="Arial" w:cs="Arial" w:eastAsia="Arial"/>
                <w:color w:val="1F2430"/>
                <w:sz w:val="18"/>
                <w:szCs w:val="18"/>
                <w:rtl/>
              </w:rPr>
              <w:t xml:space="preserve">, כי מזונות ילדים קוגנטיים). "כל דיון עתידי בבית הדין". 1994 – האישה ביקשה הגדלה בבית הדין (שינוי נסיבות + נמשכת) – נדחתה; שנה אחר כך – שוב נדחתה. פנתה לבית המשפט לענייני משפחה מכוח </w:t>
            </w:r>
            <w:r>
              <w:rPr>
                <w:rFonts w:ascii="Arial" w:hAnsi="Arial" w:cs="Arial" w:eastAsia="Arial"/>
                <w:b/>
                <w:bCs/>
                <w:color w:val="1F2430"/>
                <w:sz w:val="18"/>
                <w:szCs w:val="18"/>
                <w:rtl/>
              </w:rPr>
              <w:t>מעמדו העצמאי של הקטין</w:t>
            </w:r>
            <w:r>
              <w:rPr>
                <w:rFonts w:ascii="Arial" w:hAnsi="Arial" w:cs="Arial" w:eastAsia="Arial"/>
                <w:color w:val="1F2430"/>
                <w:sz w:val="18"/>
                <w:szCs w:val="18"/>
                <w:rtl/>
              </w:rPr>
              <w:t xml:space="preserve"> – המזונות הוגדלו (לפי המקראה – ל-2,500 ש"ח). הבעל תבע בבית הדין את מחצית הדירה. </w:t>
            </w:r>
            <w:r>
              <w:rPr>
                <w:rFonts w:ascii="Arial" w:hAnsi="Arial" w:cs="Arial" w:eastAsia="Arial"/>
                <w:b/>
                <w:bCs/>
                <w:color w:val="1F2430"/>
                <w:sz w:val="18"/>
                <w:szCs w:val="18"/>
                <w:rtl/>
              </w:rPr>
              <w:t>הלכה (פרוקצ'יה):</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אין לבית הדין סמכות</w:t>
            </w:r>
            <w:r>
              <w:rPr>
                <w:rFonts w:ascii="Arial" w:hAnsi="Arial" w:cs="Arial" w:eastAsia="Arial"/>
                <w:color w:val="1F2430"/>
                <w:sz w:val="18"/>
                <w:szCs w:val="18"/>
                <w:rtl/>
              </w:rPr>
              <w:t xml:space="preserve">: (1) אין סמכות מקורית – תביעה רכושית שאינה כרוכה בגירושין (אין סעיף 1, אין סעיף 3); (2) סעיף 9 לא חל – רכוש אינו מעמד אישי; (3) אין סמכות נמשכת ברכוש. הסכמת הצדדים </w:t>
            </w:r>
            <w:r>
              <w:rPr>
                <w:rFonts w:ascii="Arial" w:hAnsi="Arial" w:cs="Arial" w:eastAsia="Arial"/>
                <w:color w:val="1F2430"/>
                <w:sz w:val="18"/>
                <w:szCs w:val="18"/>
                <w:highlight w:val="yellow"/>
                <w:rtl/>
              </w:rPr>
              <w:t>אינה יוצרת סמכות שהחוק לא נתן</w:t>
            </w:r>
            <w:r>
              <w:rPr>
                <w:rFonts w:ascii="Arial" w:hAnsi="Arial" w:cs="Arial" w:eastAsia="Arial"/>
                <w:color w:val="1F2430"/>
                <w:sz w:val="18"/>
                <w:szCs w:val="18"/>
                <w:rtl/>
              </w:rPr>
              <w:t xml:space="preserve">. טענת הבוררות נדחתה; ובכלל – לבית הדין אין סמכות בסכסוכי ממון אזרחיים בין פרטיים (שופט אינו בורר).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בתי הדין סגרו תיקי ממונות; הבעלים נחשפו לתביעות בשם הילד.</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שני דברים לזכור: (1) אין סמכות נמשכת ברכוש וההסכמה לא יוצרת אותה; (2) אין דיון בממונות אזרחיים בין פרטיים (חוק 2026 – פתח מוגבל).</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"להפוך את הבית למזונות" → מועיל לסמכות (נושא מתמשך, הסכמה מועילה) → </w:t>
      </w:r>
      <w:r>
        <w:rPr>
          <w:rFonts w:ascii="Arial" w:hAnsi="Arial" w:cs="Arial" w:eastAsia="Arial"/>
          <w:color w:val="1F2430"/>
          <w:sz w:val="19"/>
          <w:szCs w:val="19"/>
          <w:highlight w:val="yellow"/>
          <w:rtl/>
        </w:rPr>
        <w:t>לציין במפורש כשנותנים רכוש במקום מזונות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שאלת מבחן: הסכם "שריר וקיים על פי דין תורה", רכוש כנגד אי-תביעת הגדלה, הבעל תובע את הרכוש בבית הדין → </w:t>
      </w:r>
      <w:r>
        <w:rPr>
          <w:rFonts w:ascii="Arial" w:hAnsi="Arial" w:cs="Arial" w:eastAsia="Arial"/>
          <w:b/>
          <w:bCs/>
          <w:color w:val="1F2430"/>
          <w:sz w:val="19"/>
          <w:szCs w:val="19"/>
          <w:rtl/>
        </w:rPr>
        <w:t>אין סמכות</w:t>
      </w:r>
      <w:r>
        <w:rPr>
          <w:rFonts w:ascii="Arial" w:hAnsi="Arial" w:cs="Arial" w:eastAsia="Arial"/>
          <w:color w:val="1F2430"/>
          <w:sz w:val="19"/>
          <w:szCs w:val="19"/>
          <w:rtl/>
        </w:rPr>
        <w:t xml:space="preserve">. אם האישה תבעה הגדלה בבית המשפט והבעל רץ לבית הדין – הסמכות </w:t>
      </w:r>
      <w:r>
        <w:rPr>
          <w:rFonts w:ascii="Arial" w:hAnsi="Arial" w:cs="Arial" w:eastAsia="Arial"/>
          <w:b/>
          <w:bCs/>
          <w:color w:val="1F2430"/>
          <w:sz w:val="19"/>
          <w:szCs w:val="19"/>
          <w:rtl/>
        </w:rPr>
        <w:t>לבית המשפט</w:t>
      </w:r>
      <w:r>
        <w:rPr>
          <w:rFonts w:ascii="Arial" w:hAnsi="Arial" w:cs="Arial" w:eastAsia="Arial"/>
          <w:color w:val="1F2430"/>
          <w:sz w:val="19"/>
          <w:szCs w:val="19"/>
          <w:rtl/>
        </w:rPr>
        <w:t>.</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חוק שיפוט בתי דין דתיים (בוררות), תשפ"ו-2026</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רקע: הסכם קואליציוני 2007 – התיקון נעצר; אנשים פנו לבתי דין פרטיים.</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"בית דין" = </w:t>
      </w:r>
      <w:r>
        <w:rPr>
          <w:rFonts w:ascii="Arial" w:hAnsi="Arial" w:cs="Arial" w:eastAsia="Arial"/>
          <w:b/>
          <w:bCs/>
          <w:color w:val="1F2430"/>
          <w:sz w:val="19"/>
          <w:szCs w:val="19"/>
          <w:rtl/>
        </w:rPr>
        <w:t>רבני</w:t>
      </w:r>
      <w:r>
        <w:rPr>
          <w:rFonts w:ascii="Arial" w:hAnsi="Arial" w:cs="Arial" w:eastAsia="Arial"/>
          <w:color w:val="1F2430"/>
          <w:sz w:val="19"/>
          <w:szCs w:val="19"/>
          <w:rtl/>
        </w:rPr>
        <w:t xml:space="preserve"> + </w:t>
      </w:r>
      <w:r>
        <w:rPr>
          <w:rFonts w:ascii="Arial" w:hAnsi="Arial" w:cs="Arial" w:eastAsia="Arial"/>
          <w:b/>
          <w:bCs/>
          <w:color w:val="1F2430"/>
          <w:sz w:val="19"/>
          <w:szCs w:val="19"/>
          <w:rtl/>
        </w:rPr>
        <w:t>שרעי</w:t>
      </w:r>
      <w:r>
        <w:rPr>
          <w:rFonts w:ascii="Arial" w:hAnsi="Arial" w:cs="Arial" w:eastAsia="Arial"/>
          <w:color w:val="1F2430"/>
          <w:sz w:val="19"/>
          <w:szCs w:val="19"/>
          <w:rtl/>
        </w:rPr>
        <w:t xml:space="preserve">. רשאי לדון </w:t>
      </w:r>
      <w:r>
        <w:rPr>
          <w:rFonts w:ascii="Arial" w:hAnsi="Arial" w:cs="Arial" w:eastAsia="Arial"/>
          <w:b/>
          <w:bCs/>
          <w:color w:val="1F2430"/>
          <w:sz w:val="19"/>
          <w:szCs w:val="19"/>
          <w:rtl/>
        </w:rPr>
        <w:t>כבורר בעניין אזרחי</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91"/>
        <w:gridCol w:w="8914"/>
      </w:tblGrid>
      <w:tr>
        <w:trPr>
          <w:tblHeader/>
        </w:trPr>
        <w:tc>
          <w:tcPr>
            <w:tcW w:type="dxa" w:w="1291"/>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w:t>
            </w:r>
          </w:p>
        </w:tc>
        <w:tc>
          <w:tcPr>
            <w:tcW w:type="dxa" w:w="8914"/>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פירוט</w:t>
            </w:r>
          </w:p>
        </w:tc>
      </w:tr>
      <w:tr>
        <w:trPr>
          <w:cantSplit/>
        </w:trPr>
        <w:tc>
          <w:tcPr>
            <w:tcW w:type="dxa" w:w="129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הסכמה</w:t>
            </w:r>
          </w:p>
        </w:tc>
        <w:tc>
          <w:tcPr>
            <w:tcW w:type="dxa" w:w="891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כל הצדדים, </w:t>
            </w:r>
            <w:r>
              <w:rPr>
                <w:rFonts w:ascii="Arial" w:hAnsi="Arial" w:cs="Arial" w:eastAsia="Arial"/>
                <w:b/>
                <w:bCs/>
                <w:color w:val="1F2430"/>
                <w:sz w:val="17"/>
                <w:szCs w:val="17"/>
                <w:rtl/>
              </w:rPr>
              <w:t>בכתב</w:t>
            </w:r>
            <w:r>
              <w:rPr>
                <w:rFonts w:ascii="Arial" w:hAnsi="Arial" w:cs="Arial" w:eastAsia="Arial"/>
                <w:color w:val="1F2430"/>
                <w:sz w:val="17"/>
                <w:szCs w:val="17"/>
                <w:rtl/>
              </w:rPr>
              <w:t>, חתימה על טופס בוררות – לא שתיקה, לא התנהגות</w:t>
            </w:r>
          </w:p>
        </w:tc>
      </w:tr>
      <w:tr>
        <w:trPr>
          <w:cantSplit/>
        </w:trPr>
        <w:tc>
          <w:tcPr>
            <w:tcW w:type="dxa" w:w="129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זיקה</w:t>
            </w:r>
          </w:p>
        </w:tc>
        <w:tc>
          <w:tcPr>
            <w:tcW w:type="dxa" w:w="891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 xml:space="preserve">סמכות במעמד אישי </w:t>
            </w:r>
            <w:r>
              <w:rPr>
                <w:rFonts w:ascii="Arial" w:hAnsi="Arial" w:cs="Arial" w:eastAsia="Arial"/>
                <w:color w:val="1F2430"/>
                <w:sz w:val="17"/>
                <w:szCs w:val="17"/>
                <w:highlight w:val="yellow"/>
                <w:rtl/>
              </w:rPr>
              <w:t>כלפי אחד הצדדים לפחות</w:t>
            </w:r>
            <w:r>
              <w:rPr>
                <w:rFonts w:ascii="Arial" w:hAnsi="Arial" w:cs="Arial" w:eastAsia="Arial"/>
                <w:color w:val="1F2430"/>
                <w:sz w:val="17"/>
                <w:szCs w:val="17"/>
                <w:rtl/>
              </w:rPr>
              <w:t xml:space="preserve">, </w:t>
            </w:r>
            <w:r>
              <w:rPr>
                <w:rFonts w:ascii="Arial" w:hAnsi="Arial" w:cs="Arial" w:eastAsia="Arial"/>
                <w:b/>
                <w:bCs/>
                <w:color w:val="1F2430"/>
                <w:sz w:val="17"/>
                <w:szCs w:val="17"/>
                <w:rtl/>
              </w:rPr>
              <w:t>או</w:t>
            </w:r>
            <w:r>
              <w:rPr>
                <w:rFonts w:ascii="Arial" w:hAnsi="Arial" w:cs="Arial" w:eastAsia="Arial"/>
                <w:color w:val="1F2430"/>
                <w:sz w:val="17"/>
                <w:szCs w:val="17"/>
                <w:rtl/>
              </w:rPr>
              <w:t xml:space="preserve"> כל הצדדים תאגידים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לא</w:t>
      </w:r>
      <w:r>
        <w:rPr>
          <w:rFonts w:ascii="Arial" w:hAnsi="Arial" w:cs="Arial" w:eastAsia="Arial"/>
          <w:color w:val="1F2430"/>
          <w:sz w:val="19"/>
          <w:szCs w:val="19"/>
          <w:rtl/>
        </w:rPr>
        <w:t xml:space="preserve"> ניתן להביא: (1) עניין פלילי; (2) עניין מנהלי; (3) עניין שכבר בסמכות בית הדין מכוח חוק; (4) </w:t>
      </w:r>
      <w:r>
        <w:rPr>
          <w:rFonts w:ascii="Arial" w:hAnsi="Arial" w:cs="Arial" w:eastAsia="Arial"/>
          <w:color w:val="1F2430"/>
          <w:sz w:val="19"/>
          <w:szCs w:val="19"/>
          <w:highlight w:val="yellow"/>
          <w:rtl/>
        </w:rPr>
        <w:t>הליך בין בני זוג נשואים או לשעבר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חריג 4 → </w:t>
      </w:r>
      <w:r>
        <w:rPr>
          <w:rFonts w:ascii="Arial" w:hAnsi="Arial" w:cs="Arial" w:eastAsia="Arial"/>
          <w:color w:val="1F2430"/>
          <w:sz w:val="19"/>
          <w:szCs w:val="19"/>
          <w:highlight w:val="yellow"/>
          <w:rtl/>
        </w:rPr>
        <w:t>סימה אמיר עומדת בעינה</w:t>
      </w:r>
      <w:r>
        <w:rPr>
          <w:rFonts w:ascii="Arial" w:hAnsi="Arial" w:cs="Arial" w:eastAsia="Arial"/>
          <w:color w:val="1F2430"/>
          <w:sz w:val="19"/>
          <w:szCs w:val="19"/>
          <w:rtl/>
        </w:rPr>
        <w:t xml:space="preserve"> לגבי רכוש בין בני זוג/גרושים.</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המקראה (לפני החוק): "אין בוררות"; עונים לפי החוק החדש.</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מעמדו העצמאי של הקטין</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ע"א 42/49 משקה; ע"א 404/70 עברון</w:t>
      </w:r>
      <w:r>
        <w:rPr>
          <w:rFonts w:ascii="Arial" w:hAnsi="Arial" w:cs="Arial" w:eastAsia="Arial"/>
          <w:color w:val="1F2430"/>
          <w:sz w:val="19"/>
          <w:szCs w:val="19"/>
          <w:rtl/>
        </w:rPr>
        <w:t xml:space="preserve">: ההורים בגירושין עסוקים בענייניהם ועלולים, גם בהיסח הדעת, לא לשמור על אינטרס הילד; הצהרתם שהם פועלים בשמו "אינה מעלה ואינה מורידה". </w:t>
      </w:r>
      <w:r>
        <w:rPr>
          <w:rFonts w:ascii="Arial" w:hAnsi="Arial" w:cs="Arial" w:eastAsia="Arial"/>
          <w:color w:val="1F2430"/>
          <w:sz w:val="19"/>
          <w:szCs w:val="19"/>
          <w:highlight w:val="yellow"/>
          <w:rtl/>
        </w:rPr>
        <w:t>הקטין אינו כבול להסכם הוריו.</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דוגמה: האם מסכימה למזונות נמוכים תמורת רכוש → הילד: "הזכות שלי" → האם תובעת </w:t>
      </w:r>
      <w:r>
        <w:rPr>
          <w:rFonts w:ascii="Arial" w:hAnsi="Arial" w:cs="Arial" w:eastAsia="Arial"/>
          <w:b/>
          <w:bCs/>
          <w:color w:val="1F2430"/>
          <w:sz w:val="19"/>
          <w:szCs w:val="19"/>
          <w:rtl/>
        </w:rPr>
        <w:t>בשמו</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תרומת/גניבת זרע – ויתור האם לא יועיל (מקראה).</w:t>
      </w:r>
    </w:p>
    <w:tbl>
      <w:tblPr>
        <w:tblW w:type="dxa" w:w="10206"/>
        <w:jc w:val="center"/>
        <w:tblLook w:firstColumn="1" w:firstRow="1" w:lastColumn="0" w:lastRow="0" w:noHBand="0" w:noVBand="1" w:val="04A0"/>
        <w:bidiVisual/>
        <w:tblLayout w:type="fixed"/>
      </w:tblPr>
      <w:tblGrid>
        <w:gridCol w:w="2218"/>
        <w:gridCol w:w="6323"/>
        <w:gridCol w:w="1664"/>
      </w:tblGrid>
      <w:tr>
        <w:trPr>
          <w:tblHeader/>
        </w:trPr>
        <w:tc>
          <w:tcPr>
            <w:tcW w:type="dxa" w:w="2218"/>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מבחן</w:t>
            </w:r>
          </w:p>
        </w:tc>
        <w:tc>
          <w:tcPr>
            <w:tcW w:type="dxa" w:w="6322"/>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בודקים</w:t>
            </w:r>
          </w:p>
        </w:tc>
        <w:tc>
          <w:tcPr>
            <w:tcW w:type="dxa" w:w="1664"/>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w:t>
            </w:r>
          </w:p>
        </w:tc>
      </w:tr>
      <w:tr>
        <w:trPr>
          <w:cantSplit/>
        </w:trPr>
        <w:tc>
          <w:tcPr>
            <w:tcW w:type="dxa" w:w="221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פרוצדורלי – עברון</w:t>
            </w:r>
          </w:p>
        </w:tc>
        <w:tc>
          <w:tcPr>
            <w:tcW w:type="dxa" w:w="63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תביעה נפרדת בשם הילד בהליך</w:t>
            </w:r>
          </w:p>
        </w:tc>
        <w:tc>
          <w:tcPr>
            <w:tcW w:type="dxa" w:w="166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הוחלף</w:t>
            </w:r>
          </w:p>
        </w:tc>
      </w:tr>
      <w:tr>
        <w:trPr>
          <w:cantSplit/>
        </w:trPr>
        <w:tc>
          <w:tcPr>
            <w:tcW w:type="dxa" w:w="221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מהותי – בג"ץ 4407/12</w:t>
            </w:r>
          </w:p>
        </w:tc>
        <w:tc>
          <w:tcPr>
            <w:tcW w:type="dxa" w:w="63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 xml:space="preserve">האם הערכאה </w:t>
            </w:r>
            <w:r>
              <w:rPr>
                <w:rFonts w:ascii="Arial" w:hAnsi="Arial" w:cs="Arial" w:eastAsia="Arial"/>
                <w:color w:val="1F2430"/>
                <w:sz w:val="17"/>
                <w:szCs w:val="17"/>
                <w:highlight w:val="yellow"/>
                <w:rtl/>
              </w:rPr>
              <w:t>דנה ופסקה</w:t>
            </w:r>
            <w:r>
              <w:rPr>
                <w:rFonts w:ascii="Arial" w:hAnsi="Arial" w:cs="Arial" w:eastAsia="Arial"/>
                <w:color w:val="1F2430"/>
                <w:sz w:val="17"/>
                <w:szCs w:val="17"/>
                <w:rtl/>
              </w:rPr>
              <w:t xml:space="preserve"> בעניין הילד – די בהתייחסות ממשית</w:t>
            </w:r>
          </w:p>
        </w:tc>
        <w:tc>
          <w:tcPr>
            <w:tcW w:type="dxa" w:w="166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המבחן הקובע</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סימני "דן ופסק": שאלות על הילד, בדיקת צרכיו, התייחסות למזונותיו, רישום בפרוטוקול, התייחסות ממשית לאינטרסים, חוות דעת. "חתימה על עיוור" על טיוטות = לא דן ופסק.</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ארבע המשמעויות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color w:val="1F2430"/>
          <w:sz w:val="19"/>
          <w:szCs w:val="19"/>
          <w:rtl/>
        </w:rPr>
        <w:t xml:space="preserve">פותח </w:t>
      </w:r>
      <w:r>
        <w:rPr>
          <w:rFonts w:ascii="Arial" w:hAnsi="Arial" w:cs="Arial" w:eastAsia="Arial"/>
          <w:color w:val="1F2430"/>
          <w:sz w:val="19"/>
          <w:szCs w:val="19"/>
          <w:highlight w:val="yellow"/>
          <w:rtl/>
        </w:rPr>
        <w:t>בכל ערכאה</w:t>
      </w:r>
      <w:r>
        <w:rPr>
          <w:rFonts w:ascii="Arial" w:hAnsi="Arial" w:cs="Arial" w:eastAsia="Arial"/>
          <w:color w:val="1F2430"/>
          <w:sz w:val="19"/>
          <w:szCs w:val="19"/>
          <w:rtl/>
        </w:rPr>
        <w:t xml:space="preserve"> – אין חובה לחזור.</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color w:val="1F2430"/>
          <w:sz w:val="19"/>
          <w:szCs w:val="19"/>
          <w:highlight w:val="yellow"/>
          <w:rtl/>
        </w:rPr>
        <w:t>אין צורך בשינוי נסיבות</w:t>
      </w:r>
      <w:r>
        <w:rPr>
          <w:rFonts w:ascii="Arial" w:hAnsi="Arial" w:cs="Arial" w:eastAsia="Arial"/>
          <w:color w:val="1F2430"/>
          <w:sz w:val="19"/>
          <w:szCs w:val="19"/>
          <w:rtl/>
        </w:rPr>
        <w:t xml:space="preserve"> ("כבר אז לא שקלו את זכויותיי").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color w:val="1F2430"/>
          <w:sz w:val="19"/>
          <w:szCs w:val="19"/>
          <w:highlight w:val="yellow"/>
          <w:rtl/>
        </w:rPr>
        <w:t>הנטל על מי שרוצה להשאיר את ההחלטה</w:t>
      </w:r>
      <w:r>
        <w:rPr>
          <w:rFonts w:ascii="Arial" w:hAnsi="Arial" w:cs="Arial" w:eastAsia="Arial"/>
          <w:color w:val="1F2430"/>
          <w:sz w:val="19"/>
          <w:szCs w:val="19"/>
          <w:rtl/>
        </w:rPr>
        <w:t xml:space="preserve"> (האב).</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color w:val="1F2430"/>
          <w:sz w:val="19"/>
          <w:szCs w:val="19"/>
          <w:rtl/>
        </w:rPr>
        <w:t>אם היה "דן ופסק" – חסום מכוח המעמד העצמאי; עדיין פתוח מכוח סמכות נמשכת (שינוי נסיבות + אותה ערכאה).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הפחתת מזונות</w:t>
      </w:r>
      <w:r>
        <w:rPr>
          <w:rFonts w:ascii="Arial" w:hAnsi="Arial" w:cs="Arial" w:eastAsia="Arial"/>
          <w:color w:val="1F2430"/>
          <w:sz w:val="19"/>
          <w:szCs w:val="19"/>
          <w:rtl/>
        </w:rPr>
        <w:t xml:space="preserve"> ≠ מעמד עצמאי (אין "הפחתה בשם הילד") → שינוי נסיבות רגיל, לא עוקף את מירוץ הסמכויות.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אב שתובע בשם הקטין</w:t>
      </w:r>
      <w:r>
        <w:rPr>
          <w:rFonts w:ascii="Arial" w:hAnsi="Arial" w:cs="Arial" w:eastAsia="Arial"/>
          <w:color w:val="1F2430"/>
          <w:sz w:val="19"/>
          <w:szCs w:val="19"/>
          <w:rtl/>
        </w:rPr>
        <w:t xml:space="preserve"> להגדיל את חלק האם → "אפשר לנסות", אך יגדיל גם את חלקו; אם רק לחלק אחרת – לא ברור שייחשב תביעה מכוח מעמד הקטין (המרצה).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"לשתוק כדי שלא יהיה דן ופסק"</w:t>
      </w:r>
      <w:r>
        <w:rPr>
          <w:rFonts w:ascii="Arial" w:hAnsi="Arial" w:cs="Arial" w:eastAsia="Arial"/>
          <w:color w:val="1F2430"/>
          <w:sz w:val="19"/>
          <w:szCs w:val="19"/>
          <w:rtl/>
        </w:rPr>
        <w:t xml:space="preserve"> → במזונות ילדים אפשרי, אך "סרט בפני עצמו"; ברכוש – לא רלוונטי, פסק דין סופי.</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הגנות: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תניית שיפוי</w:t>
      </w:r>
      <w:r>
        <w:rPr>
          <w:rFonts w:ascii="Arial" w:hAnsi="Arial" w:cs="Arial" w:eastAsia="Arial"/>
          <w:color w:val="1F2430"/>
          <w:sz w:val="19"/>
          <w:szCs w:val="19"/>
          <w:rtl/>
        </w:rPr>
        <w:t xml:space="preserve"> (החזר תמורה אם תתבע הגדלה) + </w:t>
      </w:r>
      <w:r>
        <w:rPr>
          <w:rFonts w:ascii="Arial" w:hAnsi="Arial" w:cs="Arial" w:eastAsia="Arial"/>
          <w:b/>
          <w:bCs/>
          <w:color w:val="1F2430"/>
          <w:sz w:val="19"/>
          <w:szCs w:val="19"/>
          <w:rtl/>
        </w:rPr>
        <w:t>ערב</w:t>
      </w:r>
      <w:r>
        <w:rPr>
          <w:rFonts w:ascii="Arial" w:hAnsi="Arial" w:cs="Arial" w:eastAsia="Arial"/>
          <w:color w:val="1F2430"/>
          <w:sz w:val="19"/>
          <w:szCs w:val="19"/>
          <w:rtl/>
        </w:rPr>
        <w:t xml:space="preserve"> (שהגבייה לא תפגע בילדים). אכיפתה – תביעה רכושית, לא בבית הדין.</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השוואה מהירה</w:t>
      </w:r>
    </w:p>
    <w:tbl>
      <w:tblPr>
        <w:tblW w:type="dxa" w:w="10206"/>
        <w:jc w:val="center"/>
        <w:tblLook w:firstColumn="1" w:firstRow="1" w:lastColumn="0" w:lastRow="0" w:noHBand="0" w:noVBand="1" w:val="04A0"/>
        <w:bidiVisual/>
        <w:tblLayout w:type="fixed"/>
      </w:tblPr>
      <w:tblGrid>
        <w:gridCol w:w="2111"/>
        <w:gridCol w:w="4575"/>
        <w:gridCol w:w="3519"/>
      </w:tblGrid>
      <w:tr>
        <w:trPr>
          <w:tblHeader/>
        </w:trPr>
        <w:tc>
          <w:tcPr>
            <w:tcW w:type="dxa" w:w="2111"/>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שאלה</w:t>
            </w:r>
          </w:p>
        </w:tc>
        <w:tc>
          <w:tcPr>
            <w:tcW w:type="dxa" w:w="4575"/>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סמכות נמשכת</w:t>
            </w:r>
          </w:p>
        </w:tc>
        <w:tc>
          <w:tcPr>
            <w:tcW w:type="dxa" w:w="3519"/>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 עצמאי של הקטין</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נושאים</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משמורת, מזונות אישה וילדים</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זכויות הילד (מזונות)</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שינוי נסיבות</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חובה</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לא</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ערכאה</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אותה ערכאה</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ערכאה</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נטל</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על המבקש לשנות</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על המבקש לשמר</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חסימה</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שינוי / רכוש</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"דן ופסק" מהותי</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עץ החלטה (טבלת המרצה)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תביעה ראשונה</w:t>
      </w:r>
      <w:r>
        <w:rPr>
          <w:rFonts w:ascii="Arial" w:hAnsi="Arial" w:cs="Arial" w:eastAsia="Arial"/>
          <w:color w:val="1F2430"/>
          <w:sz w:val="19"/>
          <w:szCs w:val="19"/>
          <w:rtl/>
        </w:rPr>
        <w:t xml:space="preserve"> → דלתות ראשיות: סעיפים 1, 3, 4, 9 (ו-4א) – סמכות מקורית.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תביעה שנייה – האם ניתן פסק דין מתמשך?</w:t>
      </w:r>
      <w:r>
        <w:rPr>
          <w:rFonts w:ascii="Arial" w:hAnsi="Arial" w:cs="Arial" w:eastAsia="Arial"/>
          <w:color w:val="1F2430"/>
          <w:sz w:val="19"/>
          <w:szCs w:val="19"/>
          <w:rtl/>
        </w:rPr>
        <w:t xml:space="preserve"> כן → סמכות נמשכת: נושא מתמשך + שינוי נסיבות מהותי + אותה ערכאה. רכוש → סופי.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תביעה שנייה בשם הקטין</w:t>
      </w:r>
      <w:r>
        <w:rPr>
          <w:rFonts w:ascii="Arial" w:hAnsi="Arial" w:cs="Arial" w:eastAsia="Arial"/>
          <w:color w:val="1F2430"/>
          <w:sz w:val="19"/>
          <w:szCs w:val="19"/>
          <w:rtl/>
        </w:rPr>
        <w:t xml:space="preserve"> → היה "דן ופסק"? כן → סגור לעילה זו (נשאר רק נמשכת). לא → בלי שינוי נסיבות, בכל ערכאה.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b/>
          <w:bCs/>
          <w:color w:val="1F2430"/>
          <w:sz w:val="19"/>
          <w:szCs w:val="19"/>
          <w:rtl/>
        </w:rPr>
        <w:t>הגנה</w:t>
      </w:r>
      <w:r>
        <w:rPr>
          <w:rFonts w:ascii="Arial" w:hAnsi="Arial" w:cs="Arial" w:eastAsia="Arial"/>
          <w:color w:val="1F2430"/>
          <w:sz w:val="19"/>
          <w:szCs w:val="19"/>
          <w:rtl/>
        </w:rPr>
        <w:t xml:space="preserve"> → תניית שיפוי וערב.</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סמכות נמשכת = נושא מתמשך + שינוי נסיבות מהותי + אותה ערכאה; </w:t>
      </w:r>
      <w:r>
        <w:rPr>
          <w:rFonts w:ascii="Arial" w:hAnsi="Arial" w:cs="Arial" w:eastAsia="Arial"/>
          <w:color w:val="1F2430"/>
          <w:sz w:val="19"/>
          <w:szCs w:val="19"/>
          <w:highlight w:val="yellow"/>
          <w:rtl/>
        </w:rPr>
        <w:t>לא ברכוש</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סעיף 9 = בודדת, מעמד אישי/ירושה, יהודים, הסכמת כל הצדדים; </w:t>
      </w:r>
      <w:r>
        <w:rPr>
          <w:rFonts w:ascii="Arial" w:hAnsi="Arial" w:cs="Arial" w:eastAsia="Arial"/>
          <w:color w:val="1F2430"/>
          <w:sz w:val="19"/>
          <w:szCs w:val="19"/>
          <w:highlight w:val="yellow"/>
          <w:rtl/>
        </w:rPr>
        <w:t>לא רכוש</w:t>
      </w:r>
      <w:r>
        <w:rPr>
          <w:rFonts w:ascii="Arial" w:hAnsi="Arial" w:cs="Arial" w:eastAsia="Arial"/>
          <w:color w:val="1F2430"/>
          <w:sz w:val="19"/>
          <w:szCs w:val="19"/>
          <w:rtl/>
        </w:rPr>
        <w:t>; אפוטרופסות כוללת חינוך.</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הסכמה מכללא מספיקה (סעיף 9); חוסר סמכות – בהזדמנות הראשונה (15(ד)(4)).</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סרגובי (9476/96, 2006): רק כששניהם יהודים.</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סימה אמיר (8638/03): תניית שיפוי = רכוש → אין 1/3/9/נמשכת/בוררות; הסכמה לא יוצרת סמכות.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חוק הבוררות 2026: רבני + שרעי; כתב; זיקה לאחד הצדדים או תאגידים; לא פלילי/מנהלי/בסמכות/בני זוג.</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מעמד הקטין: משקה, עברון → מבחן מהותי (4407/12); כל ערכאה, בלי שינוי נסיבות, נטל על האב; הפחתה – לא.</w:t>
      </w:r>
    </w:p>
    <w:tbl>
      <w:tblPr>
        <w:tblW w:type="dxa" w:w="10206"/>
        <w:tblLook w:firstColumn="1" w:firstRow="1" w:lastColumn="0" w:lastRow="0" w:noHBand="0" w:noVBand="1" w:val="04A0"/>
        <w:bidiVisual/>
        <w:tblLayout w:type="fixed"/>
      </w:tblPr>
      <w:tblGrid>
        <w:gridCol w:w="10206"/>
      </w:tblGrid>
      <w:tr>
        <w:tc>
          <w:tcPr>
            <w:tcW w:type="dxa" w:w="10205"/>
            <w:shd w:val="clear" w:color="auto" w:fill="C25A12"/>
            <w:tcBorders>
              <w:top w:val="single" w:sz="4" w:space="0" w:color="C25A12"/>
              <w:left w:val="single" w:sz="4" w:space="0" w:color="C25A12"/>
              <w:bottom w:val="single" w:sz="4" w:space="0" w:color="C25A12"/>
              <w:right w:val="single" w:sz="4" w:space="0" w:color="C25A12"/>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5</w:t>
            </w:r>
          </w:p>
          <w:p>
            <w:pPr>
              <w:bidi/>
              <w:spacing w:before="0" w:after="0" w:line="264" w:lineRule="auto"/>
              <w:outlineLvl w:val="0"/>
            </w:pPr>
            <w:r>
              <w:rPr>
                <w:rFonts w:ascii="Arial" w:hAnsi="Arial" w:cs="Arial" w:eastAsia="Arial"/>
                <w:b/>
                <w:bCs/>
                <w:color w:val="FFFFFF"/>
                <w:sz w:val="42"/>
                <w:szCs w:val="42"/>
                <w:rtl/>
              </w:rPr>
              <w:t>בית המשפט לענייני משפחה והליך יישוב הסכסוך</w:t>
            </w:r>
          </w:p>
        </w:tc>
      </w:tr>
    </w:tbl>
    <w:p>
      <w:pPr>
        <w:bidi/>
        <w:spacing w:after="0" w:before="0" w:line="20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5.1 רקע: למה בית משפט מיוחד</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הסכסוך המשפחתי</w:t>
      </w:r>
      <w:r>
        <w:rPr>
          <w:rFonts w:ascii="Arial" w:hAnsi="Arial" w:cs="Arial" w:eastAsia="Arial"/>
          <w:color w:val="1F2430"/>
          <w:sz w:val="19"/>
          <w:szCs w:val="19"/>
          <w:rtl/>
        </w:rPr>
        <w:t xml:space="preserve"> הוא טעון, אמוציונלי ורגשי ("דיני נפשות"). יש בו </w:t>
      </w:r>
      <w:r>
        <w:rPr>
          <w:rFonts w:ascii="Arial" w:hAnsi="Arial" w:cs="Arial" w:eastAsia="Arial"/>
          <w:color w:val="1F2430"/>
          <w:sz w:val="19"/>
          <w:szCs w:val="19"/>
          <w:highlight w:val="yellow"/>
          <w:rtl/>
        </w:rPr>
        <w:t>שני קשיים ראייתיים</w:t>
      </w:r>
      <w:r>
        <w:rPr>
          <w:rFonts w:ascii="Arial" w:hAnsi="Arial" w:cs="Arial" w:eastAsia="Arial"/>
          <w:color w:val="1F2430"/>
          <w:sz w:val="19"/>
          <w:szCs w:val="19"/>
          <w:rtl/>
        </w:rPr>
        <w:t>: (1) קרובים וחברים לא רוצים להעיד ולקחת צד; (2) מה שקורה בבית לא מתועד במסמכים.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לפני 1995</w:t>
      </w:r>
      <w:r>
        <w:rPr>
          <w:rFonts w:ascii="Arial" w:hAnsi="Arial" w:cs="Arial" w:eastAsia="Arial"/>
          <w:color w:val="1F2430"/>
          <w:sz w:val="19"/>
          <w:szCs w:val="19"/>
          <w:rtl/>
        </w:rPr>
        <w:t xml:space="preserve"> התיקים התפצלו בין שלום למחוזי. היו לזה </w:t>
      </w:r>
      <w:r>
        <w:rPr>
          <w:rFonts w:ascii="Arial" w:hAnsi="Arial" w:cs="Arial" w:eastAsia="Arial"/>
          <w:color w:val="1F2430"/>
          <w:sz w:val="19"/>
          <w:szCs w:val="19"/>
          <w:highlight w:val="yellow"/>
          <w:rtl/>
        </w:rPr>
        <w:t>5 חסרונות</w:t>
      </w:r>
      <w:r>
        <w:rPr>
          <w:rFonts w:ascii="Arial" w:hAnsi="Arial" w:cs="Arial" w:eastAsia="Arial"/>
          <w:color w:val="1F2430"/>
          <w:sz w:val="19"/>
          <w:szCs w:val="19"/>
          <w:rtl/>
        </w:rPr>
        <w:t>: הרבה שופטים, הוצאות גבוהות, פתרונות לא גלובליים, סדרי דין וראיות נוקשים, פגיעה בפרטיות.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ועדת שינבוים</w:t>
      </w:r>
      <w:r>
        <w:rPr>
          <w:rFonts w:ascii="Arial" w:hAnsi="Arial" w:cs="Arial" w:eastAsia="Arial"/>
          <w:color w:val="1F2430"/>
          <w:sz w:val="19"/>
          <w:szCs w:val="19"/>
          <w:rtl/>
        </w:rPr>
        <w:t xml:space="preserve"> (1982–1986) אימצה מודל של אוסטרליה וניו זילנד, ובעקבותיה נחקק </w:t>
      </w:r>
      <w:r>
        <w:rPr>
          <w:rFonts w:ascii="Arial" w:hAnsi="Arial" w:cs="Arial" w:eastAsia="Arial"/>
          <w:color w:val="1F2430"/>
          <w:sz w:val="19"/>
          <w:szCs w:val="19"/>
          <w:highlight w:val="yellow"/>
          <w:rtl/>
        </w:rPr>
        <w:t>חוק בית המשפט לענייני משפחה, התשנ"ה-1995</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שתי מטרות:</w:t>
      </w:r>
      <w:r>
        <w:rPr>
          <w:rFonts w:ascii="Arial" w:hAnsi="Arial" w:cs="Arial" w:eastAsia="Arial"/>
          <w:color w:val="1F2430"/>
          <w:sz w:val="19"/>
          <w:szCs w:val="19"/>
          <w:rtl/>
        </w:rPr>
        <w:t xml:space="preserve"> ריכוז כל התביעות אצל שופט אחד, וגישה שונה (שופטים מנוסים ורגישים ו"מעטפת" של סיוע).</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סיוע משפטי</w:t>
      </w:r>
      <w:r>
        <w:rPr>
          <w:rFonts w:ascii="Arial" w:hAnsi="Arial" w:cs="Arial" w:eastAsia="Arial"/>
          <w:color w:val="1F2430"/>
          <w:sz w:val="19"/>
          <w:szCs w:val="19"/>
          <w:rtl/>
        </w:rPr>
        <w:t xml:space="preserve"> ניתן למי שאין לו כסף, יש קליניקות, ו</w:t>
      </w:r>
      <w:r>
        <w:rPr>
          <w:rFonts w:ascii="Arial" w:hAnsi="Arial" w:cs="Arial" w:eastAsia="Arial"/>
          <w:color w:val="1F2430"/>
          <w:sz w:val="19"/>
          <w:szCs w:val="19"/>
          <w:highlight w:val="yellow"/>
          <w:rtl/>
        </w:rPr>
        <w:t>הערכאה ממנה מומחים מטעמה</w:t>
      </w:r>
      <w:r>
        <w:rPr>
          <w:rFonts w:ascii="Arial" w:hAnsi="Arial" w:cs="Arial" w:eastAsia="Arial"/>
          <w:color w:val="1F2430"/>
          <w:sz w:val="19"/>
          <w:szCs w:val="19"/>
          <w:rtl/>
        </w:rPr>
        <w:t xml:space="preserve"> כדי שלעשיר לא יהיה יתרון.</w:t>
      </w:r>
    </w:p>
    <w:tbl>
      <w:tblPr>
        <w:tblW w:type="dxa" w:w="10206"/>
        <w:jc w:val="center"/>
        <w:tblLook w:firstColumn="1" w:firstRow="1" w:lastColumn="0" w:lastRow="0" w:noHBand="0" w:noVBand="1" w:val="04A0"/>
        <w:bidiVisual/>
        <w:tblLayout w:type="fixed"/>
      </w:tblPr>
      <w:tblGrid>
        <w:gridCol w:w="1505"/>
        <w:gridCol w:w="8700"/>
      </w:tblGrid>
      <w:tr>
        <w:trPr>
          <w:tblHeader/>
        </w:trPr>
        <w:tc>
          <w:tcPr>
            <w:tcW w:type="dxa" w:w="150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נקודה</w:t>
            </w:r>
          </w:p>
        </w:tc>
        <w:tc>
          <w:tcPr>
            <w:tcW w:type="dxa" w:w="869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הכלל</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דרגה</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שלום</w:t>
            </w:r>
            <w:r>
              <w:rPr>
                <w:rFonts w:ascii="Arial" w:hAnsi="Arial" w:cs="Arial" w:eastAsia="Arial"/>
                <w:color w:val="1F2430"/>
                <w:sz w:val="17"/>
                <w:szCs w:val="17"/>
                <w:rtl/>
              </w:rPr>
              <w:t>, כי יהיו הרבה שופטים, ושופטי מחוזי יקרים</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ערעור</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בזכות למחוזי</w:t>
            </w:r>
            <w:r>
              <w:rPr>
                <w:rFonts w:ascii="Arial" w:hAnsi="Arial" w:cs="Arial" w:eastAsia="Arial"/>
                <w:color w:val="1F2430"/>
                <w:sz w:val="17"/>
                <w:szCs w:val="17"/>
                <w:rtl/>
              </w:rPr>
              <w:t xml:space="preserve">, ומשם </w:t>
            </w:r>
            <w:r>
              <w:rPr>
                <w:rFonts w:ascii="Arial" w:hAnsi="Arial" w:cs="Arial" w:eastAsia="Arial"/>
                <w:color w:val="1F2430"/>
                <w:sz w:val="17"/>
                <w:szCs w:val="17"/>
                <w:highlight w:val="yellow"/>
                <w:rtl/>
              </w:rPr>
              <w:t>ברשות לעליון</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חיסרון</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הלכות מחוזי רק מנחות ולא מחייבות, ולכן אין אחידות</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סכום</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אין חלוקה לפי סכום</w:t>
            </w:r>
            <w:r>
              <w:rPr>
                <w:rFonts w:ascii="Arial" w:hAnsi="Arial" w:cs="Arial" w:eastAsia="Arial"/>
                <w:color w:val="1F2430"/>
                <w:sz w:val="17"/>
                <w:szCs w:val="17"/>
                <w:rtl/>
              </w:rPr>
              <w:t>: "יהא נושאה או שוויה אשר יהא"</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מהות החוק</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טכני-פרוצדורלי</w:t>
            </w:r>
            <w:r>
              <w:rPr>
                <w:rFonts w:ascii="Arial" w:hAnsi="Arial" w:cs="Arial" w:eastAsia="Arial"/>
                <w:color w:val="1F2430"/>
                <w:sz w:val="17"/>
                <w:szCs w:val="17"/>
                <w:rtl/>
              </w:rPr>
              <w:t>, לא קובע איזה דין יחול</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5.2 סמכות עניינית</w:t>
      </w:r>
    </w:p>
    <w:p>
      <w:pPr>
        <w:bidi/>
        <w:spacing w:before="0" w:after="100" w:line="300" w:lineRule="auto"/>
        <w:jc w:val="both"/>
      </w:pPr>
      <w:r>
        <w:rPr>
          <w:rFonts w:ascii="Arial" w:hAnsi="Arial" w:cs="Arial" w:eastAsia="Arial"/>
          <w:b/>
          <w:bCs/>
          <w:color w:val="1F2430"/>
          <w:sz w:val="19"/>
          <w:szCs w:val="19"/>
          <w:rtl/>
        </w:rPr>
        <w:t>שרשרת:</w:t>
      </w:r>
      <w:r>
        <w:rPr>
          <w:rFonts w:ascii="Arial" w:hAnsi="Arial" w:cs="Arial" w:eastAsia="Arial"/>
          <w:color w:val="1F2430"/>
          <w:sz w:val="19"/>
          <w:szCs w:val="19"/>
          <w:rtl/>
        </w:rPr>
        <w:t xml:space="preserve"> ס' 3(א), "ענייני משפחה יידונו בבית המשפט לענייני משפחה" ← ההגדרה בס' 1.</w:t>
      </w:r>
    </w:p>
    <w:tbl>
      <w:tblPr>
        <w:tblW w:type="dxa" w:w="10206"/>
        <w:jc w:val="center"/>
        <w:tblLook w:firstColumn="1" w:firstRow="1" w:lastColumn="0" w:lastRow="0" w:noHBand="0" w:noVBand="1" w:val="04A0"/>
        <w:bidiVisual/>
        <w:tblLayout w:type="fixed"/>
      </w:tblPr>
      <w:tblGrid>
        <w:gridCol w:w="2148"/>
        <w:gridCol w:w="8057"/>
      </w:tblGrid>
      <w:tr>
        <w:trPr>
          <w:tblHeader/>
        </w:trPr>
        <w:tc>
          <w:tcPr>
            <w:tcW w:type="dxa" w:w="214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805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נכנס</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1(1)</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מעמד אישי (נמכ"א) לפי דבר המלך, למעט הנהלת נכסי נעדרים. בנישואין: זוגות מעורבים, חסרי דת, בני אותו מין</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1(2)</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 xml:space="preserve">תובענה אזרחית בין אדם (או עזבונו) ל"בן משפחתו" </w:t>
            </w:r>
            <w:r>
              <w:rPr>
                <w:rFonts w:ascii="Arial" w:hAnsi="Arial" w:cs="Arial" w:eastAsia="Arial"/>
                <w:color w:val="1F2430"/>
                <w:sz w:val="17"/>
                <w:szCs w:val="17"/>
                <w:highlight w:val="yellow"/>
                <w:rtl/>
              </w:rPr>
              <w:t>שעילתה סכסוך בתוך המשפחה</w:t>
            </w:r>
            <w:r>
              <w:rPr>
                <w:rFonts w:ascii="Arial" w:hAnsi="Arial" w:cs="Arial" w:eastAsia="Arial"/>
                <w:color w:val="1F2430"/>
                <w:sz w:val="17"/>
                <w:szCs w:val="17"/>
                <w:rtl/>
              </w:rPr>
              <w:t>, בכל שווי</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1(3)</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1(4)</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אבהות ואמהות</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1(6)(ג), 1(6)(ז)</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הכשרות המשפטית, חוק יחסי ממון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"בן משפחתו":</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בן זוג, </w:t>
      </w:r>
      <w:r>
        <w:rPr>
          <w:rFonts w:ascii="Arial" w:hAnsi="Arial" w:cs="Arial" w:eastAsia="Arial"/>
          <w:color w:val="1F2430"/>
          <w:sz w:val="19"/>
          <w:szCs w:val="19"/>
          <w:highlight w:val="yellow"/>
          <w:rtl/>
        </w:rPr>
        <w:t>לרבות ידועה בציבור</w:t>
      </w:r>
      <w:r>
        <w:rPr>
          <w:rFonts w:ascii="Arial" w:hAnsi="Arial" w:cs="Arial" w:eastAsia="Arial"/>
          <w:color w:val="1F2430"/>
          <w:sz w:val="19"/>
          <w:szCs w:val="19"/>
          <w:rtl/>
        </w:rPr>
        <w:t xml:space="preserve">, בן זוג לשעבר ובן זוג שנישואיו פקעו, </w:t>
      </w:r>
      <w:r>
        <w:rPr>
          <w:rFonts w:ascii="Arial" w:hAnsi="Arial" w:cs="Arial" w:eastAsia="Arial"/>
          <w:color w:val="1F2430"/>
          <w:sz w:val="19"/>
          <w:szCs w:val="19"/>
          <w:highlight w:val="yellow"/>
          <w:rtl/>
        </w:rPr>
        <w:t>אם נושא התובענה נובע מהקשר הזוגי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ילד, לרבות ילד של בן הזוג.</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הורים, הורי בן הזוג ובני זוגם.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נכד, והורי ההורים.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אחים, שלו או של בן הזוג.</w:t>
      </w:r>
    </w:p>
    <w:p>
      <w:pPr>
        <w:bidi/>
        <w:spacing w:before="0" w:after="100" w:line="300" w:lineRule="auto"/>
        <w:jc w:val="both"/>
      </w:pPr>
      <w:r>
        <w:rPr>
          <w:rFonts w:ascii="Arial" w:hAnsi="Arial" w:cs="Arial" w:eastAsia="Arial"/>
          <w:color w:val="1F2430"/>
          <w:sz w:val="19"/>
          <w:szCs w:val="19"/>
          <w:rtl/>
        </w:rPr>
        <w:t>ידועים בציבור נכנסו לחוק כאן לראשונה. בלי זה הסכסוך שלהם היה בשלום או במחוזי לפי הסכום.</w:t>
      </w:r>
    </w:p>
    <w:p>
      <w:pPr>
        <w:bidi/>
        <w:spacing w:before="0" w:after="100" w:line="300" w:lineRule="auto"/>
        <w:jc w:val="both"/>
      </w:pPr>
      <w:r>
        <w:rPr>
          <w:rFonts w:ascii="Arial" w:hAnsi="Arial" w:cs="Arial" w:eastAsia="Arial"/>
          <w:b/>
          <w:bCs/>
          <w:color w:val="1F2430"/>
          <w:sz w:val="19"/>
          <w:szCs w:val="19"/>
          <w:rtl/>
        </w:rPr>
        <w:t>שני תנאים מצטברים בס' 1(2):</w:t>
      </w:r>
      <w:r>
        <w:rPr>
          <w:rFonts w:ascii="Arial" w:hAnsi="Arial" w:cs="Arial" w:eastAsia="Arial"/>
          <w:color w:val="1F2430"/>
          <w:sz w:val="19"/>
          <w:szCs w:val="19"/>
          <w:rtl/>
        </w:rPr>
        <w:t xml:space="preserve"> (1) תובענה בין בני משפחה; (2) עילה של סכסוך בתוך המשפחה.</w:t>
      </w:r>
    </w:p>
    <w:p>
      <w:pPr>
        <w:bidi/>
        <w:spacing w:before="0" w:after="100" w:line="300" w:lineRule="auto"/>
        <w:jc w:val="both"/>
      </w:pPr>
      <w:r>
        <w:rPr>
          <w:rFonts w:ascii="Arial" w:hAnsi="Arial" w:cs="Arial" w:eastAsia="Arial"/>
          <w:b/>
          <w:bCs/>
          <w:color w:val="1F2430"/>
          <w:sz w:val="19"/>
          <w:szCs w:val="19"/>
          <w:rtl/>
        </w:rPr>
        <w:t>סכסוך משפחתי או עסקי, שלושה פרמטרים: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color w:val="1F2430"/>
          <w:sz w:val="19"/>
          <w:szCs w:val="19"/>
          <w:highlight w:val="yellow"/>
          <w:rtl/>
        </w:rPr>
        <w:t>קרבת היחסים</w:t>
      </w:r>
      <w:r>
        <w:rPr>
          <w:rFonts w:ascii="Arial" w:hAnsi="Arial" w:cs="Arial" w:eastAsia="Arial"/>
          <w:color w:val="1F2430"/>
          <w:sz w:val="19"/>
          <w:szCs w:val="19"/>
          <w:rtl/>
        </w:rPr>
        <w:t>: אב ובן נוטים למשפחתי, סבא ונכד או חתן ואב חורג נוטים לעסקי.</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color w:val="1F2430"/>
          <w:sz w:val="19"/>
          <w:szCs w:val="19"/>
          <w:highlight w:val="yellow"/>
          <w:rtl/>
        </w:rPr>
        <w:t>גורמים לבר-משפחתיים רבים</w:t>
      </w:r>
      <w:r>
        <w:rPr>
          <w:rFonts w:ascii="Arial" w:hAnsi="Arial" w:cs="Arial" w:eastAsia="Arial"/>
          <w:color w:val="1F2430"/>
          <w:sz w:val="19"/>
          <w:szCs w:val="19"/>
          <w:rtl/>
        </w:rPr>
        <w:t>: עסקי (למשל משרד עורכי דין עם 20–30 שותפים).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3. </w:t>
      </w:r>
      <w:r>
        <w:tab/>
      </w:r>
      <w:r>
        <w:rPr>
          <w:rFonts w:ascii="Arial" w:hAnsi="Arial" w:cs="Arial" w:eastAsia="Arial"/>
          <w:color w:val="1F2430"/>
          <w:sz w:val="19"/>
          <w:szCs w:val="19"/>
          <w:highlight w:val="yellow"/>
          <w:rtl/>
        </w:rPr>
        <w:t>כמה קשרים עסקיים ורק באחד מהם סכסוך</w:t>
      </w:r>
      <w:r>
        <w:rPr>
          <w:rFonts w:ascii="Arial" w:hAnsi="Arial" w:cs="Arial" w:eastAsia="Arial"/>
          <w:color w:val="1F2430"/>
          <w:sz w:val="19"/>
          <w:szCs w:val="19"/>
          <w:rtl/>
        </w:rPr>
        <w:t>: עסקי.</w:t>
      </w:r>
    </w:p>
    <w:p>
      <w:pPr>
        <w:bidi/>
        <w:spacing w:before="0" w:after="100" w:line="300" w:lineRule="auto"/>
        <w:jc w:val="both"/>
      </w:pPr>
      <w:r>
        <w:rPr>
          <w:rFonts w:ascii="Arial" w:hAnsi="Arial" w:cs="Arial" w:eastAsia="Arial"/>
          <w:b/>
          <w:bCs/>
          <w:color w:val="1F2430"/>
          <w:sz w:val="19"/>
          <w:szCs w:val="19"/>
          <w:rtl/>
        </w:rPr>
        <w:t>פס"ד חבס נ' חבס</w:t>
      </w:r>
      <w:r>
        <w:rPr>
          <w:rFonts w:ascii="Arial" w:hAnsi="Arial" w:cs="Arial" w:eastAsia="Arial"/>
          <w:color w:val="1F2430"/>
          <w:sz w:val="19"/>
          <w:szCs w:val="19"/>
          <w:rtl/>
        </w:rPr>
        <w:t xml:space="preserve"> ← ככל שמספר הגורמים הלבר-משפחתיים גדול יותר, תרומת המשפחה לסכסוך קטנה, </w:t>
      </w:r>
      <w:r>
        <w:rPr>
          <w:rFonts w:ascii="Arial" w:hAnsi="Arial" w:cs="Arial" w:eastAsia="Arial"/>
          <w:color w:val="1F2430"/>
          <w:sz w:val="19"/>
          <w:szCs w:val="19"/>
          <w:highlight w:val="yellow"/>
          <w:rtl/>
        </w:rPr>
        <w:t>והעילה אינה סכסוך בתוך המשפחה</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דוגמת תרגול:</w:t>
      </w:r>
      <w:r>
        <w:rPr>
          <w:rFonts w:ascii="Arial" w:hAnsi="Arial" w:cs="Arial" w:eastAsia="Arial"/>
          <w:color w:val="1F2430"/>
          <w:sz w:val="19"/>
          <w:szCs w:val="19"/>
          <w:rtl/>
        </w:rPr>
        <w:t xml:space="preserve"> אב ובנו בחברת יבוא. הסכסוך פרץ כשהבן התייצב לצד אמו בגירושין, והאב תבע את מניותיו. העילה משפחתית, ולכן </w:t>
      </w:r>
      <w:r>
        <w:rPr>
          <w:rFonts w:ascii="Arial" w:hAnsi="Arial" w:cs="Arial" w:eastAsia="Arial"/>
          <w:color w:val="1F2430"/>
          <w:sz w:val="19"/>
          <w:szCs w:val="19"/>
          <w:highlight w:val="yellow"/>
          <w:rtl/>
        </w:rPr>
        <w:t>בית המשפט לענייני משפחה</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מי מכריע בסמכות?</w:t>
      </w:r>
      <w:r>
        <w:rPr>
          <w:rFonts w:ascii="Arial" w:hAnsi="Arial" w:cs="Arial" w:eastAsia="Arial"/>
          <w:color w:val="1F2430"/>
          <w:sz w:val="19"/>
          <w:szCs w:val="19"/>
          <w:rtl/>
        </w:rPr>
        <w:t xml:space="preserve"> בית המשפט שאליו הגיע התיק. אם הוא מעביר את התיק, המקבל </w:t>
      </w:r>
      <w:r>
        <w:rPr>
          <w:rFonts w:ascii="Arial" w:hAnsi="Arial" w:cs="Arial" w:eastAsia="Arial"/>
          <w:color w:val="1F2430"/>
          <w:sz w:val="19"/>
          <w:szCs w:val="19"/>
          <w:highlight w:val="yellow"/>
          <w:rtl/>
        </w:rPr>
        <w:t>לא יכול להחזיר</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עוד בסמכות: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 3(ג):</w:t>
      </w:r>
      <w:r>
        <w:rPr>
          <w:rFonts w:ascii="Arial" w:hAnsi="Arial" w:cs="Arial" w:eastAsia="Arial"/>
          <w:color w:val="1F2430"/>
          <w:sz w:val="19"/>
          <w:szCs w:val="19"/>
          <w:rtl/>
        </w:rPr>
        <w:t xml:space="preserve"> אישור הסכם גם בלי תובענה.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 3(ד)</w:t>
      </w:r>
      <w:r>
        <w:rPr>
          <w:rFonts w:ascii="Arial" w:hAnsi="Arial" w:cs="Arial" w:eastAsia="Arial"/>
          <w:color w:val="1F2430"/>
          <w:sz w:val="19"/>
          <w:szCs w:val="19"/>
          <w:rtl/>
        </w:rPr>
        <w:t xml:space="preserve"> (2010): עובד סוציאלי, הקטין עצמו או ידיד קרוב רשאים לתבוע כשזכות הקטין עלולה להיפגע פגיעה של ממש.</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ירושה</w:t>
      </w:r>
      <w:r>
        <w:rPr>
          <w:rFonts w:ascii="Arial" w:hAnsi="Arial" w:cs="Arial" w:eastAsia="Arial"/>
          <w:color w:val="1F2430"/>
          <w:sz w:val="19"/>
          <w:szCs w:val="19"/>
          <w:rtl/>
        </w:rPr>
        <w:t>, ו</w:t>
      </w:r>
      <w:r>
        <w:rPr>
          <w:rFonts w:ascii="Arial" w:hAnsi="Arial" w:cs="Arial" w:eastAsia="Arial"/>
          <w:b/>
          <w:bCs/>
          <w:color w:val="1F2430"/>
          <w:sz w:val="19"/>
          <w:szCs w:val="19"/>
          <w:rtl/>
        </w:rPr>
        <w:t>היתר נישואין</w:t>
      </w:r>
      <w:r>
        <w:rPr>
          <w:rFonts w:ascii="Arial" w:hAnsi="Arial" w:cs="Arial" w:eastAsia="Arial"/>
          <w:color w:val="1F2430"/>
          <w:sz w:val="19"/>
          <w:szCs w:val="19"/>
          <w:rtl/>
        </w:rPr>
        <w:t xml:space="preserve"> לפי חוק גיל הנישואין (פרק 7).</w:t>
      </w:r>
    </w:p>
    <w:p>
      <w:pPr>
        <w:bidi/>
        <w:spacing w:before="0" w:after="100" w:line="300" w:lineRule="auto"/>
        <w:jc w:val="both"/>
      </w:pPr>
      <w:r>
        <w:rPr>
          <w:rFonts w:ascii="Arial" w:hAnsi="Arial" w:cs="Arial" w:eastAsia="Arial"/>
          <w:b/>
          <w:bCs/>
          <w:color w:val="1F2430"/>
          <w:sz w:val="19"/>
          <w:szCs w:val="19"/>
          <w:rtl/>
        </w:rPr>
        <w:t>טבלת המרצה (בני זוג יהודים):</w:t>
      </w:r>
    </w:p>
    <w:tbl>
      <w:tblPr>
        <w:tblW w:type="dxa" w:w="10206"/>
        <w:jc w:val="center"/>
        <w:tblLook w:firstColumn="1" w:firstRow="1" w:lastColumn="0" w:lastRow="0" w:noHBand="0" w:noVBand="1" w:val="04A0"/>
        <w:bidiVisual/>
        <w:tblLayout w:type="fixed"/>
      </w:tblPr>
      <w:tblGrid>
        <w:gridCol w:w="3088"/>
        <w:gridCol w:w="2282"/>
        <w:gridCol w:w="4834"/>
      </w:tblGrid>
      <w:tr>
        <w:trPr>
          <w:tblHeader/>
        </w:trPr>
        <w:tc>
          <w:tcPr>
            <w:tcW w:type="dxa" w:w="308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2283"/>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דלת לבית המשפט</w:t>
            </w:r>
          </w:p>
        </w:tc>
        <w:tc>
          <w:tcPr>
            <w:tcW w:type="dxa" w:w="4834"/>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מול בית הדין</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 כתובה</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 לבית הדין (ס' 1 לחוק השיפוט)</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מזונות אישה וילדים</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1(1)+1(3)+3(א)</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החזקה</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1(1)+1(6)(ג)+3(א)</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רכוש</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1(2)+1(6)(ז)+3(א)</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1(4)+3(א)</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בכל השורות מופיע גם </w:t>
      </w:r>
      <w:r>
        <w:rPr>
          <w:rFonts w:ascii="Arial" w:hAnsi="Arial" w:cs="Arial" w:eastAsia="Arial"/>
          <w:color w:val="1F2430"/>
          <w:sz w:val="19"/>
          <w:szCs w:val="19"/>
          <w:highlight w:val="yellow"/>
          <w:rtl/>
        </w:rPr>
        <w:t>ס' 25</w:t>
      </w:r>
      <w:r>
        <w:rPr>
          <w:rFonts w:ascii="Arial" w:hAnsi="Arial" w:cs="Arial" w:eastAsia="Arial"/>
          <w:color w:val="1F2430"/>
          <w:sz w:val="19"/>
          <w:szCs w:val="19"/>
          <w:rtl/>
        </w:rPr>
        <w:t>. לפי המקראה, ס' 25(ב) קובע שבית הדין קונה סמכות בעניין כרוך רק אם בן הזוג השני לא פתח קודם בבית המשפט, ולהיפך (פרק 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p>
          <w:p>
            <w:pPr>
              <w:bidi/>
              <w:spacing w:before="0" w:after="60" w:line="300" w:lineRule="auto"/>
              <w:jc w:val="both"/>
            </w:pPr>
            <w:r>
              <w:rPr>
                <w:rFonts w:ascii="Arial" w:hAnsi="Arial" w:cs="Arial" w:eastAsia="Arial"/>
                <w:color w:val="1F2430"/>
                <w:sz w:val="18"/>
                <w:szCs w:val="18"/>
                <w:rtl/>
              </w:rPr>
              <w:t xml:space="preserve">בבית המשפט לענייני משפחה </w:t>
            </w:r>
            <w:r>
              <w:rPr>
                <w:rFonts w:ascii="Arial" w:hAnsi="Arial" w:cs="Arial" w:eastAsia="Arial"/>
                <w:color w:val="1F2430"/>
                <w:sz w:val="18"/>
                <w:szCs w:val="18"/>
                <w:highlight w:val="yellow"/>
                <w:rtl/>
              </w:rPr>
              <w:t>אין כריכה ואין מבחן משולש</w:t>
            </w:r>
            <w:r>
              <w:rPr>
                <w:rFonts w:ascii="Arial" w:hAnsi="Arial" w:cs="Arial" w:eastAsia="Arial"/>
                <w:color w:val="1F2430"/>
                <w:sz w:val="18"/>
                <w:szCs w:val="18"/>
                <w:rtl/>
              </w:rPr>
              <w:t xml:space="preserve">. פותחים "בבודדת". הוא בעל </w:t>
            </w:r>
            <w:r>
              <w:rPr>
                <w:rFonts w:ascii="Arial" w:hAnsi="Arial" w:cs="Arial" w:eastAsia="Arial"/>
                <w:color w:val="1F2430"/>
                <w:sz w:val="18"/>
                <w:szCs w:val="18"/>
                <w:highlight w:val="yellow"/>
                <w:rtl/>
              </w:rPr>
              <w:t>הסמכות השיורית</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5.3 ששת המאפיינים המייחדים</w:t>
      </w:r>
    </w:p>
    <w:tbl>
      <w:tblPr>
        <w:tblW w:type="dxa" w:w="10206"/>
        <w:jc w:val="center"/>
        <w:tblLook w:firstColumn="1" w:firstRow="1" w:lastColumn="0" w:lastRow="0" w:noHBand="0" w:noVBand="1" w:val="04A0"/>
        <w:bidiVisual/>
        <w:tblLayout w:type="fixed"/>
      </w:tblPr>
      <w:tblGrid>
        <w:gridCol w:w="1249"/>
        <w:gridCol w:w="2058"/>
        <w:gridCol w:w="2367"/>
        <w:gridCol w:w="4529"/>
      </w:tblGrid>
      <w:tr>
        <w:trPr>
          <w:tblHeader/>
        </w:trPr>
        <w:tc>
          <w:tcPr>
            <w:tcW w:type="dxa" w:w="124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w:t>
            </w:r>
          </w:p>
        </w:tc>
        <w:tc>
          <w:tcPr>
            <w:tcW w:type="dxa" w:w="205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מאפיין</w:t>
            </w:r>
          </w:p>
        </w:tc>
        <w:tc>
          <w:tcPr>
            <w:tcW w:type="dxa" w:w="2367"/>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452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עיקר</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יחידת סיוע</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 37</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אבחון, ייעוץ, גישור, טיפול. </w:t>
            </w:r>
            <w:r>
              <w:rPr>
                <w:rFonts w:ascii="Arial" w:hAnsi="Arial" w:cs="Arial" w:eastAsia="Arial"/>
                <w:color w:val="1F2430"/>
                <w:sz w:val="17"/>
                <w:szCs w:val="17"/>
                <w:highlight w:val="yellow"/>
                <w:rtl/>
              </w:rPr>
              <w:t>עיכוב 30 יום</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2</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חוק ההסדר</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חוק 2014</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בקשה, מהו"ת, עיכוב, קדימה</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קושי ראייתי</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הבסיס לס' 8</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4</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גמישות ושופט אקטיבי</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8(א)</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"הדרך הטובה ביותר לעשיית משפט צדק"</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אישור הסכם בלי תביעה</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3(ג), ת' 43</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אפשר גם בלי תובענה תלויה</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6</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דלתיים סגורות</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68(ה) לחוק בתי המשפט</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ברירת מחדל: בדלתיים סגורות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יחידת הסיוע:</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יש אחת ליד </w:t>
      </w:r>
      <w:r>
        <w:rPr>
          <w:rFonts w:ascii="Arial" w:hAnsi="Arial" w:cs="Arial" w:eastAsia="Arial"/>
          <w:color w:val="1F2430"/>
          <w:sz w:val="19"/>
          <w:szCs w:val="19"/>
          <w:highlight w:val="yellow"/>
          <w:rtl/>
        </w:rPr>
        <w:t>כל</w:t>
      </w:r>
      <w:r>
        <w:rPr>
          <w:rFonts w:ascii="Arial" w:hAnsi="Arial" w:cs="Arial" w:eastAsia="Arial"/>
          <w:color w:val="1F2430"/>
          <w:sz w:val="19"/>
          <w:szCs w:val="19"/>
          <w:rtl/>
        </w:rPr>
        <w:t xml:space="preserve"> בית משפט לענייני משפחה, ואין גוף כזה באף בית משפט אחר.</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עובדים בה עובדים סוציאליים וגורמים טיפוליים, כמספר השופטים.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השירות </w:t>
      </w:r>
      <w:r>
        <w:rPr>
          <w:rFonts w:ascii="Arial" w:hAnsi="Arial" w:cs="Arial" w:eastAsia="Arial"/>
          <w:color w:val="1F2430"/>
          <w:sz w:val="19"/>
          <w:szCs w:val="19"/>
          <w:highlight w:val="yellow"/>
          <w:rtl/>
        </w:rPr>
        <w:t>בחינם</w:t>
      </w:r>
      <w:r>
        <w:rPr>
          <w:rFonts w:ascii="Arial" w:hAnsi="Arial" w:cs="Arial" w:eastAsia="Arial"/>
          <w:color w:val="1F2430"/>
          <w:sz w:val="19"/>
          <w:szCs w:val="19"/>
          <w:rtl/>
        </w:rPr>
        <w:t xml:space="preserve">, וגם </w:t>
      </w:r>
      <w:r>
        <w:rPr>
          <w:rFonts w:ascii="Arial" w:hAnsi="Arial" w:cs="Arial" w:eastAsia="Arial"/>
          <w:color w:val="1F2430"/>
          <w:sz w:val="19"/>
          <w:szCs w:val="19"/>
          <w:highlight w:val="yellow"/>
          <w:rtl/>
        </w:rPr>
        <w:t>באמצע תיק</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תקנה 37(א): בית המשפט </w:t>
      </w:r>
      <w:r>
        <w:rPr>
          <w:rFonts w:ascii="Arial" w:hAnsi="Arial" w:cs="Arial" w:eastAsia="Arial"/>
          <w:color w:val="1F2430"/>
          <w:sz w:val="19"/>
          <w:szCs w:val="19"/>
          <w:highlight w:val="yellow"/>
          <w:rtl/>
        </w:rPr>
        <w:t>רשאי</w:t>
      </w:r>
      <w:r>
        <w:rPr>
          <w:rFonts w:ascii="Arial" w:hAnsi="Arial" w:cs="Arial" w:eastAsia="Arial"/>
          <w:color w:val="1F2430"/>
          <w:sz w:val="19"/>
          <w:szCs w:val="19"/>
          <w:rtl/>
        </w:rPr>
        <w:t xml:space="preserve"> להפנות. 37(ב): </w:t>
      </w:r>
      <w:r>
        <w:rPr>
          <w:rFonts w:ascii="Arial" w:hAnsi="Arial" w:cs="Arial" w:eastAsia="Arial"/>
          <w:color w:val="1F2430"/>
          <w:sz w:val="19"/>
          <w:szCs w:val="19"/>
          <w:highlight w:val="yellow"/>
          <w:rtl/>
        </w:rPr>
        <w:t>עיכוב הליכים של 30 יום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תקנות 2020 הוצאו מתקנות סדר הדין האזרחי ברפורמה, והן עומדות בפני עצמן.</w:t>
      </w:r>
    </w:p>
    <w:p>
      <w:pPr>
        <w:bidi/>
        <w:spacing w:before="0" w:after="100" w:line="300" w:lineRule="auto"/>
        <w:jc w:val="both"/>
      </w:pPr>
      <w:r>
        <w:rPr>
          <w:rFonts w:ascii="Arial" w:hAnsi="Arial" w:cs="Arial" w:eastAsia="Arial"/>
          <w:b/>
          <w:bCs/>
          <w:color w:val="1F2430"/>
          <w:sz w:val="19"/>
          <w:szCs w:val="19"/>
          <w:rtl/>
        </w:rPr>
        <w:t>ס' 8(א):</w:t>
      </w:r>
      <w:r>
        <w:rPr>
          <w:rFonts w:ascii="Arial" w:hAnsi="Arial" w:cs="Arial" w:eastAsia="Arial"/>
          <w:color w:val="1F2430"/>
          <w:sz w:val="19"/>
          <w:szCs w:val="19"/>
          <w:rtl/>
        </w:rPr>
        <w:t xml:space="preserve"> "בכל ענין של דיני ראיות וסדרי דין </w:t>
      </w:r>
      <w:r>
        <w:rPr>
          <w:rFonts w:ascii="Arial" w:hAnsi="Arial" w:cs="Arial" w:eastAsia="Arial"/>
          <w:color w:val="1F2430"/>
          <w:sz w:val="19"/>
          <w:szCs w:val="19"/>
          <w:highlight w:val="yellow"/>
          <w:rtl/>
        </w:rPr>
        <w:t>שאין עליו הוראה אחרת</w:t>
      </w:r>
      <w:r>
        <w:rPr>
          <w:rFonts w:ascii="Arial" w:hAnsi="Arial" w:cs="Arial" w:eastAsia="Arial"/>
          <w:color w:val="1F2430"/>
          <w:sz w:val="19"/>
          <w:szCs w:val="19"/>
          <w:rtl/>
        </w:rPr>
        <w:t xml:space="preserve"> לפי חוק זה, ינהג בית המשפט </w:t>
      </w:r>
      <w:r>
        <w:rPr>
          <w:rFonts w:ascii="Arial" w:hAnsi="Arial" w:cs="Arial" w:eastAsia="Arial"/>
          <w:color w:val="1F2430"/>
          <w:sz w:val="19"/>
          <w:szCs w:val="19"/>
          <w:highlight w:val="yellow"/>
          <w:rtl/>
        </w:rPr>
        <w:t>בדרך הנראית לו הטובה ביותר לעשיית משפט צדק</w:t>
      </w:r>
      <w:r>
        <w:rPr>
          <w:rFonts w:ascii="Arial" w:hAnsi="Arial" w:cs="Arial" w:eastAsia="Arial"/>
          <w:color w:val="1F2430"/>
          <w:sz w:val="19"/>
          <w:szCs w:val="19"/>
          <w:rtl/>
        </w:rPr>
        <w:t xml:space="preserve">; אין בהוראה זו כדי </w:t>
      </w:r>
      <w:r>
        <w:rPr>
          <w:rFonts w:ascii="Arial" w:hAnsi="Arial" w:cs="Arial" w:eastAsia="Arial"/>
          <w:color w:val="1F2430"/>
          <w:sz w:val="19"/>
          <w:szCs w:val="19"/>
          <w:highlight w:val="yellow"/>
          <w:rtl/>
        </w:rPr>
        <w:t>לגרוע מכללי חסיונות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השופט אינו כבול, אבל גם לא פטור לגמרי. הוא </w:t>
      </w:r>
      <w:r>
        <w:rPr>
          <w:rFonts w:ascii="Arial" w:hAnsi="Arial" w:cs="Arial" w:eastAsia="Arial"/>
          <w:color w:val="1F2430"/>
          <w:sz w:val="19"/>
          <w:szCs w:val="19"/>
          <w:highlight w:val="yellow"/>
          <w:rtl/>
        </w:rPr>
        <w:t>רשאי לקבל ראיה שאינה קבילה בבית משפט אחר</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בכל עניין</w:t>
      </w:r>
      <w:r>
        <w:rPr>
          <w:rFonts w:ascii="Arial" w:hAnsi="Arial" w:cs="Arial" w:eastAsia="Arial"/>
          <w:color w:val="1F2430"/>
          <w:sz w:val="19"/>
          <w:szCs w:val="19"/>
          <w:rtl/>
        </w:rPr>
        <w:t xml:space="preserve"> שלפניו.</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שופט אינקוויזיטורי</w:t>
      </w:r>
      <w:r>
        <w:rPr>
          <w:rFonts w:ascii="Arial" w:hAnsi="Arial" w:cs="Arial" w:eastAsia="Arial"/>
          <w:color w:val="1F2430"/>
          <w:sz w:val="19"/>
          <w:szCs w:val="19"/>
          <w:rtl/>
        </w:rPr>
        <w:t xml:space="preserve"> שמאזן כוחות (למשל מול עורך דין חזק), לעומת השיטה האדברסרית.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גמישות דומה קיימת בתביעות קטנות ובבית הדין לעבודה.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הדיינים בבית הדין "אולטרה אקטיביים" ממילא, ולכן </w:t>
      </w:r>
      <w:r>
        <w:rPr>
          <w:rFonts w:ascii="Arial" w:hAnsi="Arial" w:cs="Arial" w:eastAsia="Arial"/>
          <w:color w:val="1F2430"/>
          <w:sz w:val="19"/>
          <w:szCs w:val="19"/>
          <w:highlight w:val="yellow"/>
          <w:rtl/>
        </w:rPr>
        <w:t>לא צריכים את ס' 8</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חידוד:</w:t>
      </w:r>
      <w:r>
        <w:rPr>
          <w:rFonts w:ascii="Arial" w:hAnsi="Arial" w:cs="Arial" w:eastAsia="Arial"/>
          <w:color w:val="1F2430"/>
          <w:sz w:val="19"/>
          <w:szCs w:val="19"/>
          <w:rtl/>
        </w:rPr>
        <w:t xml:space="preserve"> הקלטה כראיה? </w:t>
      </w:r>
      <w:r>
        <w:rPr>
          <w:rFonts w:ascii="Arial" w:hAnsi="Arial" w:cs="Arial" w:eastAsia="Arial"/>
          <w:color w:val="1F2430"/>
          <w:sz w:val="19"/>
          <w:szCs w:val="19"/>
          <w:highlight w:val="yellow"/>
          <w:rtl/>
        </w:rPr>
        <w:t>נתון להחלטת השופט</w:t>
      </w:r>
      <w:r>
        <w:rPr>
          <w:rFonts w:ascii="Arial" w:hAnsi="Arial" w:cs="Arial" w:eastAsia="Arial"/>
          <w:color w:val="1F2430"/>
          <w:sz w:val="19"/>
          <w:szCs w:val="19"/>
          <w:rtl/>
        </w:rPr>
        <w:t xml:space="preserve"> (ס' 8(א)).</w:t>
      </w:r>
    </w:p>
    <w:p>
      <w:pPr>
        <w:bidi/>
        <w:spacing w:before="0" w:after="100" w:line="300" w:lineRule="auto"/>
        <w:jc w:val="both"/>
      </w:pPr>
      <w:r>
        <w:rPr>
          <w:rFonts w:ascii="Arial" w:hAnsi="Arial" w:cs="Arial" w:eastAsia="Arial"/>
          <w:b/>
          <w:bCs/>
          <w:color w:val="1F2430"/>
          <w:sz w:val="19"/>
          <w:szCs w:val="19"/>
          <w:rtl/>
        </w:rPr>
        <w:t>ס' 3(ג) ותקנה 43:</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בכל תחום אחר צריך קודם תביעה ואגרה. בדיני משפחה </w:t>
      </w:r>
      <w:r>
        <w:rPr>
          <w:rFonts w:ascii="Arial" w:hAnsi="Arial" w:cs="Arial" w:eastAsia="Arial"/>
          <w:color w:val="1F2430"/>
          <w:sz w:val="19"/>
          <w:szCs w:val="19"/>
          <w:highlight w:val="yellow"/>
          <w:rtl/>
        </w:rPr>
        <w:t>מאשרים הסכם גם בלי תובענה תלויה</w:t>
      </w:r>
      <w:r>
        <w:rPr>
          <w:rFonts w:ascii="Arial" w:hAnsi="Arial" w:cs="Arial" w:eastAsia="Arial"/>
          <w:color w:val="1F2430"/>
          <w:sz w:val="19"/>
          <w:szCs w:val="19"/>
          <w:rtl/>
        </w:rPr>
        <w:t xml:space="preserve">, ובית המשפט רשאי </w:t>
      </w:r>
      <w:r>
        <w:rPr>
          <w:rFonts w:ascii="Arial" w:hAnsi="Arial" w:cs="Arial" w:eastAsia="Arial"/>
          <w:color w:val="1F2430"/>
          <w:sz w:val="19"/>
          <w:szCs w:val="19"/>
          <w:highlight w:val="yellow"/>
          <w:rtl/>
        </w:rPr>
        <w:t>לתת לו תוקף של פסק דין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 43(א): לפני אישור או שינוי הסכם בית המשפט </w:t>
      </w:r>
      <w:r>
        <w:rPr>
          <w:rFonts w:ascii="Arial" w:hAnsi="Arial" w:cs="Arial" w:eastAsia="Arial"/>
          <w:color w:val="1F2430"/>
          <w:sz w:val="19"/>
          <w:szCs w:val="19"/>
          <w:highlight w:val="yellow"/>
          <w:rtl/>
        </w:rPr>
        <w:t>מסביר</w:t>
      </w:r>
      <w:r>
        <w:rPr>
          <w:rFonts w:ascii="Arial" w:hAnsi="Arial" w:cs="Arial" w:eastAsia="Arial"/>
          <w:color w:val="1F2430"/>
          <w:sz w:val="19"/>
          <w:szCs w:val="19"/>
          <w:rtl/>
        </w:rPr>
        <w:t xml:space="preserve"> את משמעותו, </w:t>
      </w:r>
      <w:r>
        <w:rPr>
          <w:rFonts w:ascii="Arial" w:hAnsi="Arial" w:cs="Arial" w:eastAsia="Arial"/>
          <w:color w:val="1F2430"/>
          <w:sz w:val="19"/>
          <w:szCs w:val="19"/>
          <w:highlight w:val="yellow"/>
          <w:rtl/>
        </w:rPr>
        <w:t>מברר הבנה והסכמה חופשית</w:t>
      </w:r>
      <w:r>
        <w:rPr>
          <w:rFonts w:ascii="Arial" w:hAnsi="Arial" w:cs="Arial" w:eastAsia="Arial"/>
          <w:color w:val="1F2430"/>
          <w:sz w:val="19"/>
          <w:szCs w:val="19"/>
          <w:rtl/>
        </w:rPr>
        <w:t xml:space="preserve">, ובעניין קטין מאשר </w:t>
      </w:r>
      <w:r>
        <w:rPr>
          <w:rFonts w:ascii="Arial" w:hAnsi="Arial" w:cs="Arial" w:eastAsia="Arial"/>
          <w:color w:val="1F2430"/>
          <w:sz w:val="19"/>
          <w:szCs w:val="19"/>
          <w:highlight w:val="yellow"/>
          <w:rtl/>
        </w:rPr>
        <w:t>רק אם ההסכם לטובתו</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3118"/>
        <w:gridCol w:w="2835"/>
        <w:gridCol w:w="4252"/>
      </w:tblGrid>
      <w:tr>
        <w:trPr>
          <w:tblHeader/>
        </w:trPr>
        <w:tc>
          <w:tcPr>
            <w:tcW w:type="dxa" w:w="311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p>
        </w:tc>
        <w:tc>
          <w:tcPr>
            <w:tcW w:type="dxa" w:w="2835"/>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אישור בלבד</w:t>
            </w:r>
          </w:p>
        </w:tc>
        <w:tc>
          <w:tcPr>
            <w:tcW w:type="dxa" w:w="4252"/>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תוקף של פסק דין</w:t>
            </w:r>
          </w:p>
        </w:tc>
      </w:tr>
      <w:tr>
        <w:trPr>
          <w:cantSplit/>
        </w:trPr>
        <w:tc>
          <w:tcPr>
            <w:tcW w:type="dxa" w:w="311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הוצאה לפועל</w:t>
            </w:r>
          </w:p>
        </w:tc>
        <w:tc>
          <w:tcPr>
            <w:tcW w:type="dxa" w:w="283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4252"/>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הסכם ממון</w:t>
      </w:r>
      <w:r>
        <w:rPr>
          <w:rFonts w:ascii="Arial" w:hAnsi="Arial" w:cs="Arial" w:eastAsia="Arial"/>
          <w:color w:val="1F2430"/>
          <w:sz w:val="19"/>
          <w:szCs w:val="19"/>
          <w:rtl/>
        </w:rPr>
        <w:t xml:space="preserve"> (פרק 13): חייב אישור. לפני הנישואין: נוטריון, רושם נישואין, בית משפט או בית דין. אחרי הנישואין: בית משפט או בית דין בלבד. </w:t>
      </w:r>
      <w:r>
        <w:rPr>
          <w:rFonts w:ascii="Arial" w:hAnsi="Arial" w:cs="Arial" w:eastAsia="Arial"/>
          <w:color w:val="1F2430"/>
          <w:sz w:val="19"/>
          <w:szCs w:val="19"/>
          <w:highlight w:val="yellow"/>
          <w:rtl/>
        </w:rPr>
        <w:t>ידועים בציבור</w:t>
      </w:r>
      <w:r>
        <w:rPr>
          <w:rFonts w:ascii="Arial" w:hAnsi="Arial" w:cs="Arial" w:eastAsia="Arial"/>
          <w:color w:val="1F2430"/>
          <w:sz w:val="19"/>
          <w:szCs w:val="19"/>
          <w:rtl/>
        </w:rPr>
        <w:t xml:space="preserve"> יכולים לאשר לפי ס' 3(ג) אבל לא חייבים, ולפי המרצה מספיק לחתום בבית.</w:t>
      </w:r>
    </w:p>
    <w:p>
      <w:pPr>
        <w:bidi/>
        <w:spacing w:before="0" w:after="100" w:line="300" w:lineRule="auto"/>
        <w:jc w:val="both"/>
      </w:pPr>
      <w:r>
        <w:rPr>
          <w:rFonts w:ascii="Arial" w:hAnsi="Arial" w:cs="Arial" w:eastAsia="Arial"/>
          <w:b/>
          <w:bCs/>
          <w:color w:val="1F2430"/>
          <w:sz w:val="19"/>
          <w:szCs w:val="19"/>
          <w:rtl/>
        </w:rPr>
        <w:t>ס' 68(ה):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ענייני משפחה יידונו בדלתיים סגורות</w:t>
      </w:r>
      <w:r>
        <w:rPr>
          <w:rFonts w:ascii="Arial" w:hAnsi="Arial" w:cs="Arial" w:eastAsia="Arial"/>
          <w:color w:val="1F2430"/>
          <w:sz w:val="19"/>
          <w:szCs w:val="19"/>
          <w:rtl/>
        </w:rPr>
        <w:t xml:space="preserve">, אלא אם בית המשפט הורה על פומבי, בכל העניין או בחלקו. </w:t>
      </w:r>
      <w:r>
        <w:rPr>
          <w:rFonts w:ascii="Arial" w:hAnsi="Arial" w:cs="Arial" w:eastAsia="Arial"/>
          <w:color w:val="1F2430"/>
          <w:sz w:val="19"/>
          <w:szCs w:val="19"/>
          <w:highlight w:val="yellow"/>
          <w:rtl/>
        </w:rPr>
        <w:t>חריגים</w:t>
      </w:r>
      <w:r>
        <w:rPr>
          <w:rFonts w:ascii="Arial" w:hAnsi="Arial" w:cs="Arial" w:eastAsia="Arial"/>
          <w:color w:val="1F2430"/>
          <w:sz w:val="19"/>
          <w:szCs w:val="19"/>
          <w:rtl/>
        </w:rPr>
        <w:t>: ירושה שעילתה אינה סכסוך בתוך המשפחה, חוק השמות, חוק קביעת גיל. הכלל חל גם בבית הדין הרבני.</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5.4 חוק להסדר התדיינויות בסכסוכי משפחה, התשע"ה-2014</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בתוקף מ</w:t>
      </w:r>
      <w:r>
        <w:rPr>
          <w:rFonts w:ascii="Arial" w:hAnsi="Arial" w:cs="Arial" w:eastAsia="Arial"/>
          <w:color w:val="1F2430"/>
          <w:sz w:val="19"/>
          <w:szCs w:val="19"/>
          <w:highlight w:val="yellow"/>
          <w:rtl/>
        </w:rPr>
        <w:t>יולי 2016</w:t>
      </w:r>
      <w:r>
        <w:rPr>
          <w:rFonts w:ascii="Arial" w:hAnsi="Arial" w:cs="Arial" w:eastAsia="Arial"/>
          <w:color w:val="1F2430"/>
          <w:sz w:val="19"/>
          <w:szCs w:val="19"/>
          <w:rtl/>
        </w:rPr>
        <w:t xml:space="preserve"> (עם תקנות תשע"ו-2016), תוקן בתיקון 3 תש"ף-2020. התחיל כהוראת שעה, </w:t>
      </w:r>
      <w:r>
        <w:rPr>
          <w:rFonts w:ascii="Arial" w:hAnsi="Arial" w:cs="Arial" w:eastAsia="Arial"/>
          <w:color w:val="1F2430"/>
          <w:sz w:val="19"/>
          <w:szCs w:val="19"/>
          <w:highlight w:val="yellow"/>
          <w:rtl/>
        </w:rPr>
        <w:t>והפך לקבע</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 1, המטרה:</w:t>
      </w:r>
      <w:r>
        <w:rPr>
          <w:rFonts w:ascii="Arial" w:hAnsi="Arial" w:cs="Arial" w:eastAsia="Arial"/>
          <w:color w:val="1F2430"/>
          <w:sz w:val="19"/>
          <w:szCs w:val="19"/>
          <w:rtl/>
        </w:rPr>
        <w:t xml:space="preserve"> לסייע לבני זוג, להורים וילדיהם ליישב סכסוך </w:t>
      </w:r>
      <w:r>
        <w:rPr>
          <w:rFonts w:ascii="Arial" w:hAnsi="Arial" w:cs="Arial" w:eastAsia="Arial"/>
          <w:color w:val="1F2430"/>
          <w:sz w:val="19"/>
          <w:szCs w:val="19"/>
          <w:highlight w:val="yellow"/>
          <w:rtl/>
        </w:rPr>
        <w:t>בהסכמה ובדרכי שלום</w:t>
      </w:r>
      <w:r>
        <w:rPr>
          <w:rFonts w:ascii="Arial" w:hAnsi="Arial" w:cs="Arial" w:eastAsia="Arial"/>
          <w:color w:val="1F2430"/>
          <w:sz w:val="19"/>
          <w:szCs w:val="19"/>
          <w:rtl/>
        </w:rPr>
        <w:t xml:space="preserve"> ולצמצם התדיינות, מתוך טובת כל ילד. </w:t>
      </w:r>
      <w:r>
        <w:rPr>
          <w:rFonts w:ascii="Arial" w:hAnsi="Arial" w:cs="Arial" w:eastAsia="Arial"/>
          <w:color w:val="1F2430"/>
          <w:sz w:val="19"/>
          <w:szCs w:val="19"/>
          <w:highlight w:val="yellow"/>
          <w:rtl/>
        </w:rPr>
        <w:t>המטרה אינה שלום בית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המטרות לפי השיעורים:</w:t>
      </w:r>
      <w:r>
        <w:rPr>
          <w:rFonts w:ascii="Arial" w:hAnsi="Arial" w:cs="Arial" w:eastAsia="Arial"/>
          <w:color w:val="1F2430"/>
          <w:sz w:val="19"/>
          <w:szCs w:val="19"/>
          <w:rtl/>
        </w:rPr>
        <w:t xml:space="preserve"> ניתוב להסכמה, "ונטילציה" שמרגיעה את הרוחות, וריכוך מירוץ הסמכויות.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יחידות סיוע הוקמו בהמשך </w:t>
      </w:r>
      <w:r>
        <w:rPr>
          <w:rFonts w:ascii="Arial" w:hAnsi="Arial" w:cs="Arial" w:eastAsia="Arial"/>
          <w:color w:val="1F2430"/>
          <w:sz w:val="19"/>
          <w:szCs w:val="19"/>
          <w:highlight w:val="yellow"/>
          <w:rtl/>
        </w:rPr>
        <w:t>גם ליד בתי הדין הדתיים</w:t>
      </w:r>
      <w:r>
        <w:rPr>
          <w:rFonts w:ascii="Arial" w:hAnsi="Arial" w:cs="Arial" w:eastAsia="Arial"/>
          <w:color w:val="1F2430"/>
          <w:sz w:val="19"/>
          <w:szCs w:val="19"/>
          <w:rtl/>
        </w:rPr>
        <w:t>, אחרי שהתנגדו.</w:t>
      </w:r>
    </w:p>
    <w:p>
      <w:pPr>
        <w:bidi/>
        <w:spacing w:before="0" w:after="100" w:line="300" w:lineRule="auto"/>
        <w:jc w:val="both"/>
      </w:pPr>
      <w:r>
        <w:rPr>
          <w:rFonts w:ascii="Arial" w:hAnsi="Arial" w:cs="Arial" w:eastAsia="Arial"/>
          <w:b/>
          <w:bCs/>
          <w:color w:val="1F2430"/>
          <w:sz w:val="19"/>
          <w:szCs w:val="19"/>
          <w:rtl/>
        </w:rPr>
        <w:t>על מי:</w:t>
      </w:r>
      <w:r>
        <w:rPr>
          <w:rFonts w:ascii="Arial" w:hAnsi="Arial" w:cs="Arial" w:eastAsia="Arial"/>
          <w:color w:val="1F2430"/>
          <w:sz w:val="19"/>
          <w:szCs w:val="19"/>
          <w:rtl/>
        </w:rPr>
        <w:t xml:space="preserve"> רק </w:t>
      </w:r>
      <w:r>
        <w:rPr>
          <w:rFonts w:ascii="Arial" w:hAnsi="Arial" w:cs="Arial" w:eastAsia="Arial"/>
          <w:color w:val="1F2430"/>
          <w:sz w:val="19"/>
          <w:szCs w:val="19"/>
          <w:highlight w:val="yellow"/>
          <w:rtl/>
        </w:rPr>
        <w:t>בני זוג, הורים, והורים וילדיהם</w:t>
      </w:r>
      <w:r>
        <w:rPr>
          <w:rFonts w:ascii="Arial" w:hAnsi="Arial" w:cs="Arial" w:eastAsia="Arial"/>
          <w:color w:val="1F2430"/>
          <w:sz w:val="19"/>
          <w:szCs w:val="19"/>
          <w:rtl/>
        </w:rPr>
        <w:t>, הגרעין הרגיש. לא סבא ונכד, ולא סכסוך עסקי.</w:t>
      </w:r>
    </w:p>
    <w:p>
      <w:pPr>
        <w:bidi/>
        <w:spacing w:before="0" w:after="100" w:line="300" w:lineRule="auto"/>
        <w:jc w:val="both"/>
      </w:pPr>
      <w:r>
        <w:rPr>
          <w:rFonts w:ascii="Arial" w:hAnsi="Arial" w:cs="Arial" w:eastAsia="Arial"/>
          <w:b/>
          <w:bCs/>
          <w:color w:val="1F2430"/>
          <w:sz w:val="19"/>
          <w:szCs w:val="19"/>
          <w:rtl/>
        </w:rPr>
        <w:t>"תובענה":</w:t>
      </w:r>
      <w:r>
        <w:rPr>
          <w:rFonts w:ascii="Arial" w:hAnsi="Arial" w:cs="Arial" w:eastAsia="Arial"/>
          <w:color w:val="1F2430"/>
          <w:sz w:val="19"/>
          <w:szCs w:val="19"/>
          <w:rtl/>
        </w:rPr>
        <w:t xml:space="preserve"> כוללת </w:t>
      </w:r>
      <w:r>
        <w:rPr>
          <w:rFonts w:ascii="Arial" w:hAnsi="Arial" w:cs="Arial" w:eastAsia="Arial"/>
          <w:color w:val="1F2430"/>
          <w:sz w:val="19"/>
          <w:szCs w:val="19"/>
          <w:highlight w:val="yellow"/>
          <w:rtl/>
        </w:rPr>
        <w:t>סעד זמני</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לא כוללת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color w:val="1F2430"/>
          <w:sz w:val="19"/>
          <w:szCs w:val="19"/>
          <w:rtl/>
        </w:rPr>
        <w:t>בקשה לאישור הסכם.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color w:val="1F2430"/>
          <w:sz w:val="19"/>
          <w:szCs w:val="19"/>
          <w:rtl/>
        </w:rPr>
        <w:t>ערעור ובקשת רשות ערעור.</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3. </w:t>
      </w:r>
      <w:r>
        <w:tab/>
      </w:r>
      <w:r>
        <w:rPr>
          <w:rFonts w:ascii="Arial" w:hAnsi="Arial" w:cs="Arial" w:eastAsia="Arial"/>
          <w:color w:val="1F2430"/>
          <w:sz w:val="19"/>
          <w:szCs w:val="19"/>
          <w:rtl/>
        </w:rPr>
        <w:t>אכיפה וביצוע של החלטה שיפוטית, לרבות בזיון.</w:t>
      </w:r>
    </w:p>
    <w:p>
      <w:pPr>
        <w:bidi/>
        <w:spacing w:before="0" w:after="100" w:line="300" w:lineRule="auto"/>
        <w:jc w:val="both"/>
      </w:pPr>
      <w:r>
        <w:rPr>
          <w:rFonts w:ascii="Arial" w:hAnsi="Arial" w:cs="Arial" w:eastAsia="Arial"/>
          <w:b/>
          <w:bCs/>
          <w:color w:val="1F2430"/>
          <w:sz w:val="19"/>
          <w:szCs w:val="19"/>
          <w:rtl/>
        </w:rPr>
        <w:t>ס' 2, עניינים שחייבים יישוב סכסוך, וחריגיהם:</w:t>
      </w:r>
    </w:p>
    <w:tbl>
      <w:tblPr>
        <w:tblW w:type="dxa" w:w="10206"/>
        <w:jc w:val="center"/>
        <w:tblLook w:firstColumn="1" w:firstRow="1" w:lastColumn="0" w:lastRow="0" w:noHBand="0" w:noVBand="1" w:val="04A0"/>
        <w:bidiVisual/>
        <w:tblLayout w:type="fixed"/>
      </w:tblPr>
      <w:tblGrid>
        <w:gridCol w:w="4585"/>
        <w:gridCol w:w="5620"/>
      </w:tblGrid>
      <w:tr>
        <w:trPr>
          <w:tblHeader/>
        </w:trPr>
        <w:tc>
          <w:tcPr>
            <w:tcW w:type="dxa" w:w="4585"/>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עניין</w:t>
            </w:r>
          </w:p>
        </w:tc>
        <w:tc>
          <w:tcPr>
            <w:tcW w:type="dxa" w:w="5620"/>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חריג</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גירושין או התרה בהסכמה</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יחסי ממון</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ירושה</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או מדור של בן זוג או ילד</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עניין ילד לפי חוק הכשרות</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אמנת האג</w:t>
            </w:r>
            <w:r>
              <w:rPr>
                <w:rFonts w:ascii="Arial" w:hAnsi="Arial" w:cs="Arial" w:eastAsia="Arial"/>
                <w:color w:val="1F2430"/>
                <w:sz w:val="17"/>
                <w:szCs w:val="17"/>
                <w:rtl/>
              </w:rPr>
              <w:t xml:space="preserve"> וצו עיכוב יציאה בקשר אליה</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 ואמהות</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בהסכמה</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 xml:space="preserve">מזונות או סכסוך עם </w:t>
            </w:r>
            <w:r>
              <w:rPr>
                <w:rFonts w:ascii="Arial" w:hAnsi="Arial" w:cs="Arial" w:eastAsia="Arial"/>
                <w:b/>
                <w:bCs/>
                <w:color w:val="1F2430"/>
                <w:sz w:val="17"/>
                <w:szCs w:val="17"/>
                <w:highlight w:val="yellow"/>
                <w:rtl/>
              </w:rPr>
              <w:t>צעיר</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 xml:space="preserve">צעיר = בגיר </w:t>
            </w:r>
            <w:r>
              <w:rPr>
                <w:rFonts w:ascii="Arial" w:hAnsi="Arial" w:cs="Arial" w:eastAsia="Arial"/>
                <w:color w:val="1F2430"/>
                <w:sz w:val="17"/>
                <w:szCs w:val="17"/>
                <w:highlight w:val="yellow"/>
                <w:rtl/>
              </w:rPr>
              <w:t>עד 21</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 2 לא אומר </w:t>
      </w:r>
      <w:r>
        <w:rPr>
          <w:rFonts w:ascii="Arial" w:hAnsi="Arial" w:cs="Arial" w:eastAsia="Arial"/>
          <w:color w:val="1F2430"/>
          <w:sz w:val="19"/>
          <w:szCs w:val="19"/>
          <w:highlight w:val="yellow"/>
          <w:rtl/>
        </w:rPr>
        <w:t>איפה</w:t>
      </w:r>
      <w:r>
        <w:rPr>
          <w:rFonts w:ascii="Arial" w:hAnsi="Arial" w:cs="Arial" w:eastAsia="Arial"/>
          <w:color w:val="1F2430"/>
          <w:sz w:val="19"/>
          <w:szCs w:val="19"/>
          <w:rtl/>
        </w:rPr>
        <w:t xml:space="preserve"> דנים, אלא רק </w:t>
      </w:r>
      <w:r>
        <w:rPr>
          <w:rFonts w:ascii="Arial" w:hAnsi="Arial" w:cs="Arial" w:eastAsia="Arial"/>
          <w:color w:val="1F2430"/>
          <w:sz w:val="19"/>
          <w:szCs w:val="19"/>
          <w:highlight w:val="yellow"/>
          <w:rtl/>
        </w:rPr>
        <w:t>מתי החוק עוצר אותך</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עץ החלטה: ההליך בשלבים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b/>
          <w:bCs/>
          <w:color w:val="1F2430"/>
          <w:sz w:val="19"/>
          <w:szCs w:val="19"/>
          <w:rtl/>
        </w:rPr>
        <w:t>ס' 3(א), בקשה ליישוב סכסוך.</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חובה</w:t>
      </w:r>
      <w:r>
        <w:rPr>
          <w:rFonts w:ascii="Arial" w:hAnsi="Arial" w:cs="Arial" w:eastAsia="Arial"/>
          <w:color w:val="1F2430"/>
          <w:sz w:val="19"/>
          <w:szCs w:val="19"/>
          <w:rtl/>
        </w:rPr>
        <w:t xml:space="preserve"> להגיש אותה </w:t>
      </w:r>
      <w:r>
        <w:rPr>
          <w:rFonts w:ascii="Arial" w:hAnsi="Arial" w:cs="Arial" w:eastAsia="Arial"/>
          <w:color w:val="1F2430"/>
          <w:sz w:val="19"/>
          <w:szCs w:val="19"/>
          <w:highlight w:val="yellow"/>
          <w:rtl/>
        </w:rPr>
        <w:t>תחילה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אין בה טענות או עובדות</w:t>
      </w:r>
      <w:r>
        <w:rPr>
          <w:rFonts w:ascii="Arial" w:hAnsi="Arial" w:cs="Arial" w:eastAsia="Arial"/>
          <w:color w:val="1F2430"/>
          <w:sz w:val="19"/>
          <w:szCs w:val="19"/>
          <w:rtl/>
        </w:rPr>
        <w:t xml:space="preserve"> על הסכסוך או על הסמכות. מגישים לכל ערכאה, והמקום </w:t>
      </w:r>
      <w:r>
        <w:rPr>
          <w:rFonts w:ascii="Arial" w:hAnsi="Arial" w:cs="Arial" w:eastAsia="Arial"/>
          <w:color w:val="1F2430"/>
          <w:sz w:val="19"/>
          <w:szCs w:val="19"/>
          <w:highlight w:val="yellow"/>
          <w:rtl/>
        </w:rPr>
        <w:t>אינו מחייב בהמשך</w:t>
      </w:r>
      <w:r>
        <w:rPr>
          <w:rFonts w:ascii="Arial" w:hAnsi="Arial" w:cs="Arial" w:eastAsia="Arial"/>
          <w:color w:val="1F2430"/>
          <w:sz w:val="19"/>
          <w:szCs w:val="19"/>
          <w:rtl/>
        </w:rPr>
        <w:t>. האגרה 118 ש"ח, בלי עורך דין. נוסח הטופס בתקנה 2: "הואיל ונתגלה סכסוך...", והצהרה שאין בקשה תלויה אחרת.</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b/>
          <w:bCs/>
          <w:color w:val="1F2430"/>
          <w:sz w:val="19"/>
          <w:szCs w:val="19"/>
          <w:rtl/>
        </w:rPr>
        <w:t>ס' 3(ב), פגישות מהו"ת</w:t>
      </w:r>
      <w:r>
        <w:rPr>
          <w:rFonts w:ascii="Arial" w:hAnsi="Arial" w:cs="Arial" w:eastAsia="Arial"/>
          <w:color w:val="1F2430"/>
          <w:sz w:val="19"/>
          <w:szCs w:val="19"/>
          <w:rtl/>
        </w:rPr>
        <w:t xml:space="preserve"> (מידע, היכרות, תיאום). </w:t>
      </w:r>
      <w:r>
        <w:rPr>
          <w:rFonts w:ascii="Arial" w:hAnsi="Arial" w:cs="Arial" w:eastAsia="Arial"/>
          <w:color w:val="1F2430"/>
          <w:sz w:val="19"/>
          <w:szCs w:val="19"/>
          <w:highlight w:val="yellow"/>
          <w:rtl/>
        </w:rPr>
        <w:t>עד 4 פגישות</w:t>
      </w:r>
      <w:r>
        <w:rPr>
          <w:rFonts w:ascii="Arial" w:hAnsi="Arial" w:cs="Arial" w:eastAsia="Arial"/>
          <w:color w:val="1F2430"/>
          <w:sz w:val="19"/>
          <w:szCs w:val="19"/>
          <w:rtl/>
        </w:rPr>
        <w:t xml:space="preserve">, והיחידה רשאית פחות. ההזמנה </w:t>
      </w:r>
      <w:r>
        <w:rPr>
          <w:rFonts w:ascii="Arial" w:hAnsi="Arial" w:cs="Arial" w:eastAsia="Arial"/>
          <w:color w:val="1F2430"/>
          <w:sz w:val="19"/>
          <w:szCs w:val="19"/>
          <w:highlight w:val="yellow"/>
          <w:rtl/>
        </w:rPr>
        <w:t>כהזמנה לדיון</w:t>
      </w:r>
      <w:r>
        <w:rPr>
          <w:rFonts w:ascii="Arial" w:hAnsi="Arial" w:cs="Arial" w:eastAsia="Arial"/>
          <w:color w:val="1F2430"/>
          <w:sz w:val="19"/>
          <w:szCs w:val="19"/>
          <w:rtl/>
        </w:rPr>
        <w:t>, ו</w:t>
      </w:r>
      <w:r>
        <w:rPr>
          <w:rFonts w:ascii="Arial" w:hAnsi="Arial" w:cs="Arial" w:eastAsia="Arial"/>
          <w:color w:val="1F2430"/>
          <w:sz w:val="19"/>
          <w:szCs w:val="19"/>
          <w:highlight w:val="yellow"/>
          <w:rtl/>
        </w:rPr>
        <w:t>מתייצבים בעצמם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3. </w:t>
      </w:r>
      <w:r>
        <w:tab/>
      </w:r>
      <w:r>
        <w:rPr>
          <w:rFonts w:ascii="Arial" w:hAnsi="Arial" w:cs="Arial" w:eastAsia="Arial"/>
          <w:b/>
          <w:bCs/>
          <w:color w:val="1F2430"/>
          <w:sz w:val="19"/>
          <w:szCs w:val="19"/>
          <w:rtl/>
        </w:rPr>
        <w:t>עורכי דין, תקנה 5:</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בפגישה הראשונה לבד</w:t>
      </w:r>
      <w:r>
        <w:rPr>
          <w:rFonts w:ascii="Arial" w:hAnsi="Arial" w:cs="Arial" w:eastAsia="Arial"/>
          <w:color w:val="1F2430"/>
          <w:sz w:val="19"/>
          <w:szCs w:val="19"/>
          <w:rtl/>
        </w:rPr>
        <w:t xml:space="preserve">, בלי ניסיון ליישוב משפטי (חוץ מהסדרים זמניים). </w:t>
      </w:r>
      <w:r>
        <w:rPr>
          <w:rFonts w:ascii="Arial" w:hAnsi="Arial" w:cs="Arial" w:eastAsia="Arial"/>
          <w:color w:val="1F2430"/>
          <w:sz w:val="19"/>
          <w:szCs w:val="19"/>
          <w:highlight w:val="yellow"/>
          <w:rtl/>
        </w:rPr>
        <w:t>מהשנייה</w:t>
      </w:r>
      <w:r>
        <w:rPr>
          <w:rFonts w:ascii="Arial" w:hAnsi="Arial" w:cs="Arial" w:eastAsia="Arial"/>
          <w:color w:val="1F2430"/>
          <w:sz w:val="19"/>
          <w:szCs w:val="19"/>
          <w:rtl/>
        </w:rPr>
        <w:t xml:space="preserve"> עורך דין רשאי להצטרף רק לפגישה שיועדה ליישוב המשפטי. היחידה קובעת את אופי כל פגישה.</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4. </w:t>
      </w:r>
      <w:r>
        <w:tab/>
      </w:r>
      <w:r>
        <w:rPr>
          <w:rFonts w:ascii="Arial" w:hAnsi="Arial" w:cs="Arial" w:eastAsia="Arial"/>
          <w:b/>
          <w:bCs/>
          <w:color w:val="1F2430"/>
          <w:sz w:val="19"/>
          <w:szCs w:val="19"/>
          <w:rtl/>
        </w:rPr>
        <w:t>משך:</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45 יום</w:t>
      </w:r>
      <w:r>
        <w:rPr>
          <w:rFonts w:ascii="Arial" w:hAnsi="Arial" w:cs="Arial" w:eastAsia="Arial"/>
          <w:color w:val="1F2430"/>
          <w:sz w:val="19"/>
          <w:szCs w:val="19"/>
          <w:rtl/>
        </w:rPr>
        <w:t xml:space="preserve">, והיחידה רשאית להאריך </w:t>
      </w:r>
      <w:r>
        <w:rPr>
          <w:rFonts w:ascii="Arial" w:hAnsi="Arial" w:cs="Arial" w:eastAsia="Arial"/>
          <w:color w:val="1F2430"/>
          <w:sz w:val="19"/>
          <w:szCs w:val="19"/>
          <w:highlight w:val="yellow"/>
          <w:rtl/>
        </w:rPr>
        <w:t>פעם אחת ב-15 יום</w:t>
      </w:r>
      <w:r>
        <w:rPr>
          <w:rFonts w:ascii="Arial" w:hAnsi="Arial" w:cs="Arial" w:eastAsia="Arial"/>
          <w:color w:val="1F2430"/>
          <w:sz w:val="19"/>
          <w:szCs w:val="19"/>
          <w:rtl/>
        </w:rPr>
        <w:t>, בהודעה לערכאה ולצדדים.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5. </w:t>
      </w:r>
      <w:r>
        <w:tab/>
      </w:r>
      <w:r>
        <w:rPr>
          <w:rFonts w:ascii="Arial" w:hAnsi="Arial" w:cs="Arial" w:eastAsia="Arial"/>
          <w:b/>
          <w:bCs/>
          <w:color w:val="1F2430"/>
          <w:sz w:val="19"/>
          <w:szCs w:val="19"/>
          <w:rtl/>
        </w:rPr>
        <w:t>תקנה 7(א):</w:t>
      </w:r>
      <w:r>
        <w:rPr>
          <w:rFonts w:ascii="Arial" w:hAnsi="Arial" w:cs="Arial" w:eastAsia="Arial"/>
          <w:color w:val="1F2430"/>
          <w:sz w:val="19"/>
          <w:szCs w:val="19"/>
          <w:rtl/>
        </w:rPr>
        <w:t xml:space="preserve"> בסוף הפגישה האחרונה היחידה </w:t>
      </w:r>
      <w:r>
        <w:rPr>
          <w:rFonts w:ascii="Arial" w:hAnsi="Arial" w:cs="Arial" w:eastAsia="Arial"/>
          <w:color w:val="1F2430"/>
          <w:sz w:val="19"/>
          <w:szCs w:val="19"/>
          <w:highlight w:val="yellow"/>
          <w:rtl/>
        </w:rPr>
        <w:t>ממליצה</w:t>
      </w:r>
      <w:r>
        <w:rPr>
          <w:rFonts w:ascii="Arial" w:hAnsi="Arial" w:cs="Arial" w:eastAsia="Arial"/>
          <w:color w:val="1F2430"/>
          <w:sz w:val="19"/>
          <w:szCs w:val="19"/>
          <w:rtl/>
        </w:rPr>
        <w:t xml:space="preserve"> על הליך: ייעוץ, גישור, גירושין בשיתוף פעולה.</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6. </w:t>
      </w:r>
      <w:r>
        <w:tab/>
      </w:r>
      <w:r>
        <w:rPr>
          <w:rFonts w:ascii="Arial" w:hAnsi="Arial" w:cs="Arial" w:eastAsia="Arial"/>
          <w:b/>
          <w:bCs/>
          <w:color w:val="1F2430"/>
          <w:sz w:val="19"/>
          <w:szCs w:val="19"/>
          <w:rtl/>
        </w:rPr>
        <w:t>ס' 3(ה), עיכוב הליכים: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60 יום</w:t>
      </w:r>
      <w:r>
        <w:rPr>
          <w:rFonts w:ascii="Arial" w:hAnsi="Arial" w:cs="Arial" w:eastAsia="Arial"/>
          <w:color w:val="1F2430"/>
          <w:sz w:val="19"/>
          <w:szCs w:val="19"/>
          <w:rtl/>
        </w:rPr>
        <w:t xml:space="preserve"> מהגשת הבקשה, או </w:t>
      </w:r>
      <w:r>
        <w:rPr>
          <w:rFonts w:ascii="Arial" w:hAnsi="Arial" w:cs="Arial" w:eastAsia="Arial"/>
          <w:color w:val="1F2430"/>
          <w:sz w:val="19"/>
          <w:szCs w:val="19"/>
          <w:highlight w:val="yellow"/>
          <w:rtl/>
        </w:rPr>
        <w:t>75</w:t>
      </w:r>
      <w:r>
        <w:rPr>
          <w:rFonts w:ascii="Arial" w:hAnsi="Arial" w:cs="Arial" w:eastAsia="Arial"/>
          <w:color w:val="1F2430"/>
          <w:sz w:val="19"/>
          <w:szCs w:val="19"/>
          <w:rtl/>
        </w:rPr>
        <w:t xml:space="preserve"> בהארכה. בית המשפט יכול לקבוע תקופה קצרה או ארוכה יותר (ס' 5(א)(5)), והצדדים יכולים להוסיף תקופה בהסכמה בכתב. בתקופה הזו </w:t>
      </w:r>
      <w:r>
        <w:rPr>
          <w:rFonts w:ascii="Arial" w:hAnsi="Arial" w:cs="Arial" w:eastAsia="Arial"/>
          <w:color w:val="1F2430"/>
          <w:sz w:val="19"/>
          <w:szCs w:val="19"/>
          <w:highlight w:val="yellow"/>
          <w:rtl/>
        </w:rPr>
        <w:t>אין הגשה ואין דיון, אפילו בסמכות</w:t>
      </w:r>
      <w:r>
        <w:rPr>
          <w:rFonts w:ascii="Arial" w:hAnsi="Arial" w:cs="Arial" w:eastAsia="Arial"/>
          <w:color w:val="1F2430"/>
          <w:sz w:val="19"/>
          <w:szCs w:val="19"/>
          <w:rtl/>
        </w:rPr>
        <w:t xml:space="preserve">. בקשה </w:t>
      </w:r>
      <w:r>
        <w:rPr>
          <w:rFonts w:ascii="Arial" w:hAnsi="Arial" w:cs="Arial" w:eastAsia="Arial"/>
          <w:color w:val="1F2430"/>
          <w:sz w:val="19"/>
          <w:szCs w:val="19"/>
          <w:highlight w:val="yellow"/>
          <w:rtl/>
        </w:rPr>
        <w:t>דחופה</w:t>
      </w:r>
      <w:r>
        <w:rPr>
          <w:rFonts w:ascii="Arial" w:hAnsi="Arial" w:cs="Arial" w:eastAsia="Arial"/>
          <w:color w:val="1F2430"/>
          <w:sz w:val="19"/>
          <w:szCs w:val="19"/>
          <w:rtl/>
        </w:rPr>
        <w:t xml:space="preserve"> (כמו מזונות זמניים) אפשרית בכפוף להוכחת דחיפות.</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7. </w:t>
      </w:r>
      <w:r>
        <w:tab/>
      </w:r>
      <w:r>
        <w:rPr>
          <w:rFonts w:ascii="Arial" w:hAnsi="Arial" w:cs="Arial" w:eastAsia="Arial"/>
          <w:b/>
          <w:bCs/>
          <w:color w:val="1F2430"/>
          <w:sz w:val="19"/>
          <w:szCs w:val="19"/>
          <w:rtl/>
        </w:rPr>
        <w:t>ס' 4, זכות קדימה: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המגיש הראשון של הבקשה</w:t>
      </w:r>
      <w:r>
        <w:rPr>
          <w:rFonts w:ascii="Arial" w:hAnsi="Arial" w:cs="Arial" w:eastAsia="Arial"/>
          <w:color w:val="1F2430"/>
          <w:sz w:val="19"/>
          <w:szCs w:val="19"/>
          <w:rtl/>
        </w:rPr>
        <w:t xml:space="preserve"> רשאי בתוך </w:t>
      </w:r>
      <w:r>
        <w:rPr>
          <w:rFonts w:ascii="Arial" w:hAnsi="Arial" w:cs="Arial" w:eastAsia="Arial"/>
          <w:color w:val="1F2430"/>
          <w:sz w:val="19"/>
          <w:szCs w:val="19"/>
          <w:highlight w:val="yellow"/>
          <w:rtl/>
        </w:rPr>
        <w:t>15 יום</w:t>
      </w:r>
      <w:r>
        <w:rPr>
          <w:rFonts w:ascii="Arial" w:hAnsi="Arial" w:cs="Arial" w:eastAsia="Arial"/>
          <w:color w:val="1F2430"/>
          <w:sz w:val="19"/>
          <w:szCs w:val="19"/>
          <w:rtl/>
        </w:rPr>
        <w:t xml:space="preserve"> להגיש לכל ערכאה מוסמכת. אם לא הגיש, או הגיש רק על חלק מהעניינים, </w:t>
      </w:r>
      <w:r>
        <w:rPr>
          <w:rFonts w:ascii="Arial" w:hAnsi="Arial" w:cs="Arial" w:eastAsia="Arial"/>
          <w:color w:val="1F2430"/>
          <w:sz w:val="19"/>
          <w:szCs w:val="19"/>
          <w:highlight w:val="yellow"/>
          <w:rtl/>
        </w:rPr>
        <w:t>הצד השני רשאי</w:t>
      </w:r>
      <w:r>
        <w:rPr>
          <w:rFonts w:ascii="Arial" w:hAnsi="Arial" w:cs="Arial" w:eastAsia="Arial"/>
          <w:color w:val="1F2430"/>
          <w:sz w:val="19"/>
          <w:szCs w:val="19"/>
          <w:rtl/>
        </w:rPr>
        <w:t xml:space="preserve"> להגיש בעניינים שלא הוגשו.</w:t>
      </w:r>
    </w:p>
    <w:tbl>
      <w:tblPr>
        <w:tblW w:type="dxa" w:w="10206"/>
        <w:jc w:val="center"/>
        <w:tblLook w:firstColumn="1" w:firstRow="1" w:lastColumn="0" w:lastRow="0" w:noHBand="0" w:noVBand="1" w:val="04A0"/>
        <w:bidiVisual/>
        <w:tblLayout w:type="fixed"/>
      </w:tblPr>
      <w:tblGrid>
        <w:gridCol w:w="2551"/>
        <w:gridCol w:w="2551"/>
        <w:gridCol w:w="2551"/>
        <w:gridCol w:w="2551"/>
      </w:tblGrid>
      <w:tr>
        <w:trPr>
          <w:tblHeader/>
        </w:trPr>
        <w:tc>
          <w:tcPr>
            <w:tcW w:type="dxa" w:w="255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p>
        </w:tc>
        <w:tc>
          <w:tcPr>
            <w:tcW w:type="dxa" w:w="255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מהו"ת</w:t>
            </w:r>
          </w:p>
        </w:tc>
        <w:tc>
          <w:tcPr>
            <w:tcW w:type="dxa" w:w="255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צינון</w:t>
            </w:r>
          </w:p>
        </w:tc>
        <w:tc>
          <w:tcPr>
            <w:tcW w:type="dxa" w:w="255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עיכוב</w:t>
            </w:r>
          </w:p>
        </w:tc>
      </w:tr>
      <w:tr>
        <w:trPr>
          <w:cantSplit/>
        </w:trPr>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רגיל</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45</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15</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60</w:t>
            </w:r>
          </w:p>
        </w:tc>
      </w:tr>
      <w:tr>
        <w:trPr>
          <w:cantSplit/>
        </w:trPr>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בהארכה</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60</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15</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75</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"צינון" הוא רק כינוי לזכירה. המונח בחוק הוא </w:t>
      </w:r>
      <w:r>
        <w:rPr>
          <w:rFonts w:ascii="Arial" w:hAnsi="Arial" w:cs="Arial" w:eastAsia="Arial"/>
          <w:color w:val="1F2430"/>
          <w:sz w:val="19"/>
          <w:szCs w:val="19"/>
          <w:highlight w:val="yellow"/>
          <w:rtl/>
        </w:rPr>
        <w:t>תקופת עיכוב ההליכים</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מירוץ הסמכויות</w:t>
            </w:r>
          </w:p>
          <w:p>
            <w:pPr>
              <w:bidi/>
              <w:spacing w:before="0" w:after="60" w:line="300" w:lineRule="auto"/>
              <w:jc w:val="both"/>
            </w:pPr>
            <w:r>
              <w:rPr>
                <w:rFonts w:ascii="Arial" w:hAnsi="Arial" w:cs="Arial" w:eastAsia="Arial"/>
                <w:color w:val="1F2430"/>
                <w:sz w:val="18"/>
                <w:szCs w:val="18"/>
                <w:rtl/>
              </w:rPr>
              <w:t xml:space="preserve">המירוץ לא בוטל, הוא </w:t>
            </w:r>
            <w:r>
              <w:rPr>
                <w:rFonts w:ascii="Arial" w:hAnsi="Arial" w:cs="Arial" w:eastAsia="Arial"/>
                <w:color w:val="1F2430"/>
                <w:sz w:val="18"/>
                <w:szCs w:val="18"/>
                <w:highlight w:val="yellow"/>
                <w:rtl/>
              </w:rPr>
              <w:t>הוקדם להגשת הבקשה</w:t>
            </w:r>
            <w:r>
              <w:rPr>
                <w:rFonts w:ascii="Arial" w:hAnsi="Arial" w:cs="Arial" w:eastAsia="Arial"/>
                <w:color w:val="1F2430"/>
                <w:sz w:val="18"/>
                <w:szCs w:val="18"/>
                <w:rtl/>
              </w:rPr>
              <w:t xml:space="preserve">: "הראשון שהגיש את הבקשה הכריע את המרוץ". בתרגול, ברכה הגישה תביעה ביום ה-61 כשיוסף היה המגיש הראשון, ולכן </w:t>
            </w:r>
            <w:r>
              <w:rPr>
                <w:rFonts w:ascii="Arial" w:hAnsi="Arial" w:cs="Arial" w:eastAsia="Arial"/>
                <w:color w:val="1F2430"/>
                <w:sz w:val="18"/>
                <w:szCs w:val="18"/>
                <w:highlight w:val="yellow"/>
                <w:rtl/>
              </w:rPr>
              <w:t>התביעה שלה תימחק</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30 מול 60:</w:t>
      </w:r>
      <w:r>
        <w:rPr>
          <w:rFonts w:ascii="Arial" w:hAnsi="Arial" w:cs="Arial" w:eastAsia="Arial"/>
          <w:color w:val="1F2430"/>
          <w:sz w:val="19"/>
          <w:szCs w:val="19"/>
          <w:rtl/>
        </w:rPr>
        <w:t xml:space="preserve"> הפניה באמצע תיק לפי ת' 37 מעכבת 30 יום. בקשה ליישוב סכסוך מעכבת 60 או 75 יום.</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5.5 תקנות 2020 וביצוע</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ת' 75, אימוץ:</w:t>
      </w:r>
      <w:r>
        <w:rPr>
          <w:rFonts w:ascii="Arial" w:hAnsi="Arial" w:cs="Arial" w:eastAsia="Arial"/>
          <w:color w:val="1F2430"/>
          <w:sz w:val="19"/>
          <w:szCs w:val="19"/>
          <w:rtl/>
        </w:rPr>
        <w:t xml:space="preserve"> מגישים לבית המשפט לענייני משפחה </w:t>
      </w:r>
      <w:r>
        <w:rPr>
          <w:rFonts w:ascii="Arial" w:hAnsi="Arial" w:cs="Arial" w:eastAsia="Arial"/>
          <w:color w:val="1F2430"/>
          <w:sz w:val="19"/>
          <w:szCs w:val="19"/>
          <w:highlight w:val="yellow"/>
          <w:rtl/>
        </w:rPr>
        <w:t>במקום מגורי המבקשים</w:t>
      </w:r>
      <w:r>
        <w:rPr>
          <w:rFonts w:ascii="Arial" w:hAnsi="Arial" w:cs="Arial" w:eastAsia="Arial"/>
          <w:color w:val="1F2430"/>
          <w:sz w:val="19"/>
          <w:szCs w:val="19"/>
          <w:rtl/>
        </w:rPr>
        <w:t>. בשאלת הלשכה: זוג מתל אביב וקטין מירושלים, ולכן בתל אביב.</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שמיעת ילד (תרגול):</w:t>
      </w:r>
    </w:p>
    <w:p>
      <w:pPr>
        <w:bidi/>
        <w:tabs>
          <w:tab w:val="left" w:pos="623"/>
        </w:tabs>
        <w:spacing w:before="0" w:after="40" w:line="288" w:lineRule="auto"/>
        <w:ind w:right="623"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ילד מעל 6 נשמע, וצעיר יותר אם ראוי.</w:t>
      </w:r>
    </w:p>
    <w:p>
      <w:pPr>
        <w:bidi/>
        <w:tabs>
          <w:tab w:val="left" w:pos="623"/>
        </w:tabs>
        <w:spacing w:before="0" w:after="40" w:line="288" w:lineRule="auto"/>
        <w:ind w:right="623"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מטעמים מיוחדים שיירשמו אפשר שלא לשמוע אותו, אם הנזק גובר.</w:t>
      </w:r>
    </w:p>
    <w:p>
      <w:pPr>
        <w:bidi/>
        <w:tabs>
          <w:tab w:val="left" w:pos="623"/>
        </w:tabs>
        <w:spacing w:before="0" w:after="40" w:line="288" w:lineRule="auto"/>
        <w:ind w:right="623"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אפשר לשמוע אותו בנוכחות עובד יחידת הסיוע.</w:t>
      </w:r>
    </w:p>
    <w:p>
      <w:pPr>
        <w:bidi/>
        <w:tabs>
          <w:tab w:val="left" w:pos="623"/>
        </w:tabs>
        <w:spacing w:before="0" w:after="40" w:line="288" w:lineRule="auto"/>
        <w:ind w:right="623"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ההחלטה </w:t>
      </w:r>
      <w:r>
        <w:rPr>
          <w:rFonts w:ascii="Arial" w:hAnsi="Arial" w:cs="Arial" w:eastAsia="Arial"/>
          <w:color w:val="1F2430"/>
          <w:sz w:val="19"/>
          <w:szCs w:val="19"/>
          <w:highlight w:val="yellow"/>
          <w:rtl/>
        </w:rPr>
        <w:t>אינה מוגבלת לשלב המוקדם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 7, ביצוע (לשכה 2021):</w:t>
      </w:r>
      <w:r>
        <w:rPr>
          <w:rFonts w:ascii="Arial" w:hAnsi="Arial" w:cs="Arial" w:eastAsia="Arial"/>
          <w:color w:val="1F2430"/>
          <w:sz w:val="19"/>
          <w:szCs w:val="19"/>
          <w:rtl/>
        </w:rPr>
        <w:t xml:space="preserve"> ראובן חייב לשרה 200,000 ש"ח מאיזון משאבים ולא משלם. הדרך היא </w:t>
      </w:r>
      <w:r>
        <w:rPr>
          <w:rFonts w:ascii="Arial" w:hAnsi="Arial" w:cs="Arial" w:eastAsia="Arial"/>
          <w:color w:val="1F2430"/>
          <w:sz w:val="19"/>
          <w:szCs w:val="19"/>
          <w:highlight w:val="yellow"/>
          <w:rtl/>
        </w:rPr>
        <w:t>פתיחת הליך לביצוע פסק הדין בבית המשפט לענייני משפחה</w:t>
      </w:r>
      <w:r>
        <w:rPr>
          <w:rFonts w:ascii="Arial" w:hAnsi="Arial" w:cs="Arial" w:eastAsia="Arial"/>
          <w:color w:val="1F2430"/>
          <w:sz w:val="19"/>
          <w:szCs w:val="19"/>
          <w:rtl/>
        </w:rPr>
        <w:t>. לא תביעה חדשה, ולא בזיון בשלום.</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1995, ועדת שינבוים. דרגת </w:t>
      </w:r>
      <w:r>
        <w:rPr>
          <w:rFonts w:ascii="Arial" w:hAnsi="Arial" w:cs="Arial" w:eastAsia="Arial"/>
          <w:color w:val="1F2430"/>
          <w:sz w:val="19"/>
          <w:szCs w:val="19"/>
          <w:highlight w:val="yellow"/>
          <w:rtl/>
        </w:rPr>
        <w:t>שלום</w:t>
      </w:r>
      <w:r>
        <w:rPr>
          <w:rFonts w:ascii="Arial" w:hAnsi="Arial" w:cs="Arial" w:eastAsia="Arial"/>
          <w:color w:val="1F2430"/>
          <w:sz w:val="19"/>
          <w:szCs w:val="19"/>
          <w:rtl/>
        </w:rPr>
        <w:t xml:space="preserve">, ערעור בזכות למחוזי וברשות לעליון. </w:t>
      </w:r>
      <w:r>
        <w:rPr>
          <w:rFonts w:ascii="Arial" w:hAnsi="Arial" w:cs="Arial" w:eastAsia="Arial"/>
          <w:color w:val="1F2430"/>
          <w:sz w:val="19"/>
          <w:szCs w:val="19"/>
          <w:highlight w:val="yellow"/>
          <w:rtl/>
        </w:rPr>
        <w:t>אין חלוקה לפי סכום</w:t>
      </w:r>
      <w:r>
        <w:rPr>
          <w:rFonts w:ascii="Arial" w:hAnsi="Arial" w:cs="Arial" w:eastAsia="Arial"/>
          <w:color w:val="1F2430"/>
          <w:sz w:val="19"/>
          <w:szCs w:val="19"/>
          <w:rtl/>
        </w:rPr>
        <w:t>. החוק פרוצדורלי ולא קובע דין.</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ס' 3(א) + ס' 1. ס' 1(2): </w:t>
      </w:r>
      <w:r>
        <w:rPr>
          <w:rFonts w:ascii="Arial" w:hAnsi="Arial" w:cs="Arial" w:eastAsia="Arial"/>
          <w:color w:val="1F2430"/>
          <w:sz w:val="19"/>
          <w:szCs w:val="19"/>
          <w:highlight w:val="yellow"/>
          <w:rtl/>
        </w:rPr>
        <w:t>בן משפחה + עילה משפחתית</w:t>
      </w:r>
      <w:r>
        <w:rPr>
          <w:rFonts w:ascii="Arial" w:hAnsi="Arial" w:cs="Arial" w:eastAsia="Arial"/>
          <w:color w:val="1F2430"/>
          <w:sz w:val="19"/>
          <w:szCs w:val="19"/>
          <w:rtl/>
        </w:rPr>
        <w:t>. ידועים בציבור בפנים.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חבס</w:t>
      </w:r>
      <w:r>
        <w:rPr>
          <w:rFonts w:ascii="Arial" w:hAnsi="Arial" w:cs="Arial" w:eastAsia="Arial"/>
          <w:color w:val="1F2430"/>
          <w:sz w:val="19"/>
          <w:szCs w:val="19"/>
          <w:rtl/>
        </w:rPr>
        <w:t>: יותר גורמים לבר-משפחתיים פירושו סכסוך עסקי.</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תיק שהועבר פעם אחת </w:t>
      </w:r>
      <w:r>
        <w:rPr>
          <w:rFonts w:ascii="Arial" w:hAnsi="Arial" w:cs="Arial" w:eastAsia="Arial"/>
          <w:color w:val="1F2430"/>
          <w:sz w:val="19"/>
          <w:szCs w:val="19"/>
          <w:highlight w:val="yellow"/>
          <w:rtl/>
        </w:rPr>
        <w:t>לא חוזר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אין כריכה בבית המשפט, והוא בעל הסמכות השיורית.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6 מאפיינים</w:t>
      </w:r>
      <w:r>
        <w:rPr>
          <w:rFonts w:ascii="Arial" w:hAnsi="Arial" w:cs="Arial" w:eastAsia="Arial"/>
          <w:color w:val="1F2430"/>
          <w:sz w:val="19"/>
          <w:szCs w:val="19"/>
          <w:rtl/>
        </w:rPr>
        <w:t>: סיוע, חוק ההסדר, קושי ראייתי, ס' 8, ס' 3(ג), ס' 68(ה).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 37: </w:t>
      </w:r>
      <w:r>
        <w:rPr>
          <w:rFonts w:ascii="Arial" w:hAnsi="Arial" w:cs="Arial" w:eastAsia="Arial"/>
          <w:color w:val="1F2430"/>
          <w:sz w:val="19"/>
          <w:szCs w:val="19"/>
          <w:highlight w:val="yellow"/>
          <w:rtl/>
        </w:rPr>
        <w:t>30 יום</w:t>
      </w:r>
      <w:r>
        <w:rPr>
          <w:rFonts w:ascii="Arial" w:hAnsi="Arial" w:cs="Arial" w:eastAsia="Arial"/>
          <w:color w:val="1F2430"/>
          <w:sz w:val="19"/>
          <w:szCs w:val="19"/>
          <w:rtl/>
        </w:rPr>
        <w:t xml:space="preserve">. ת' 43: </w:t>
      </w:r>
      <w:r>
        <w:rPr>
          <w:rFonts w:ascii="Arial" w:hAnsi="Arial" w:cs="Arial" w:eastAsia="Arial"/>
          <w:color w:val="1F2430"/>
          <w:sz w:val="19"/>
          <w:szCs w:val="19"/>
          <w:highlight w:val="yellow"/>
          <w:rtl/>
        </w:rPr>
        <w:t>הסבר, הבנה, הסכמה חופשית, טובת קטין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ס' 8: </w:t>
      </w:r>
      <w:r>
        <w:rPr>
          <w:rFonts w:ascii="Arial" w:hAnsi="Arial" w:cs="Arial" w:eastAsia="Arial"/>
          <w:color w:val="1F2430"/>
          <w:sz w:val="19"/>
          <w:szCs w:val="19"/>
          <w:highlight w:val="yellow"/>
          <w:rtl/>
        </w:rPr>
        <w:t>לא גורע מחסיונות</w:t>
      </w:r>
      <w:r>
        <w:rPr>
          <w:rFonts w:ascii="Arial" w:hAnsi="Arial" w:cs="Arial" w:eastAsia="Arial"/>
          <w:color w:val="1F2430"/>
          <w:sz w:val="19"/>
          <w:szCs w:val="19"/>
          <w:rtl/>
        </w:rPr>
        <w:t>. מותר לקבל ראיה לא קבילה.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ס' 3(ג): אישור הסכם </w:t>
      </w:r>
      <w:r>
        <w:rPr>
          <w:rFonts w:ascii="Arial" w:hAnsi="Arial" w:cs="Arial" w:eastAsia="Arial"/>
          <w:color w:val="1F2430"/>
          <w:sz w:val="19"/>
          <w:szCs w:val="19"/>
          <w:highlight w:val="yellow"/>
          <w:rtl/>
        </w:rPr>
        <w:t>בלי תביעה</w:t>
      </w:r>
      <w:r>
        <w:rPr>
          <w:rFonts w:ascii="Arial" w:hAnsi="Arial" w:cs="Arial" w:eastAsia="Arial"/>
          <w:color w:val="1F2430"/>
          <w:sz w:val="19"/>
          <w:szCs w:val="19"/>
          <w:rtl/>
        </w:rPr>
        <w:t>. רק "תוקף של פסק דין" מאפשר הוצאה לפועל.</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דלתיים סגורות </w:t>
      </w:r>
      <w:r>
        <w:rPr>
          <w:rFonts w:ascii="Arial" w:hAnsi="Arial" w:cs="Arial" w:eastAsia="Arial"/>
          <w:color w:val="1F2430"/>
          <w:sz w:val="19"/>
          <w:szCs w:val="19"/>
          <w:highlight w:val="yellow"/>
          <w:rtl/>
        </w:rPr>
        <w:t>כברירת מחדל</w:t>
      </w:r>
      <w:r>
        <w:rPr>
          <w:rFonts w:ascii="Arial" w:hAnsi="Arial" w:cs="Arial" w:eastAsia="Arial"/>
          <w:color w:val="1F2430"/>
          <w:sz w:val="19"/>
          <w:szCs w:val="19"/>
          <w:rtl/>
        </w:rPr>
        <w:t>, עם חריגים (ירושה לא משפחתית, שמות, קביעת גיל).</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חוק ההסדר: </w:t>
      </w:r>
      <w:r>
        <w:rPr>
          <w:rFonts w:ascii="Arial" w:hAnsi="Arial" w:cs="Arial" w:eastAsia="Arial"/>
          <w:color w:val="1F2430"/>
          <w:sz w:val="19"/>
          <w:szCs w:val="19"/>
          <w:highlight w:val="yellow"/>
          <w:rtl/>
        </w:rPr>
        <w:t>לא שלום בית</w:t>
      </w:r>
      <w:r>
        <w:rPr>
          <w:rFonts w:ascii="Arial" w:hAnsi="Arial" w:cs="Arial" w:eastAsia="Arial"/>
          <w:color w:val="1F2430"/>
          <w:sz w:val="19"/>
          <w:szCs w:val="19"/>
          <w:rtl/>
        </w:rPr>
        <w:t>. חל על בני זוג, הורים וילדים, וצעיר עד 21.</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"תובענה" כוללת סעד זמני, </w:t>
      </w:r>
      <w:r>
        <w:rPr>
          <w:rFonts w:ascii="Arial" w:hAnsi="Arial" w:cs="Arial" w:eastAsia="Arial"/>
          <w:color w:val="1F2430"/>
          <w:sz w:val="19"/>
          <w:szCs w:val="19"/>
          <w:highlight w:val="yellow"/>
          <w:rtl/>
        </w:rPr>
        <w:t>ולא</w:t>
      </w:r>
      <w:r>
        <w:rPr>
          <w:rFonts w:ascii="Arial" w:hAnsi="Arial" w:cs="Arial" w:eastAsia="Arial"/>
          <w:color w:val="1F2430"/>
          <w:sz w:val="19"/>
          <w:szCs w:val="19"/>
          <w:rtl/>
        </w:rPr>
        <w:t xml:space="preserve"> אישור הסכם, ערעור או אכיפה.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חריגי ס' 2: גירושין ואבהות </w:t>
      </w:r>
      <w:r>
        <w:rPr>
          <w:rFonts w:ascii="Arial" w:hAnsi="Arial" w:cs="Arial" w:eastAsia="Arial"/>
          <w:color w:val="1F2430"/>
          <w:sz w:val="19"/>
          <w:szCs w:val="19"/>
          <w:highlight w:val="yellow"/>
          <w:rtl/>
        </w:rPr>
        <w:t>בהסכמה</w:t>
      </w:r>
      <w:r>
        <w:rPr>
          <w:rFonts w:ascii="Arial" w:hAnsi="Arial" w:cs="Arial" w:eastAsia="Arial"/>
          <w:color w:val="1F2430"/>
          <w:sz w:val="19"/>
          <w:szCs w:val="19"/>
          <w:rtl/>
        </w:rPr>
        <w:t>, ירושה, אמנת האג.</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45 (+15 פעם אחת)</w:t>
      </w:r>
      <w:r>
        <w:rPr>
          <w:rFonts w:ascii="Arial" w:hAnsi="Arial" w:cs="Arial" w:eastAsia="Arial"/>
          <w:color w:val="1F2430"/>
          <w:sz w:val="19"/>
          <w:szCs w:val="19"/>
          <w:rtl/>
        </w:rPr>
        <w:t xml:space="preserve"> מהו"ת, </w:t>
      </w:r>
      <w:r>
        <w:rPr>
          <w:rFonts w:ascii="Arial" w:hAnsi="Arial" w:cs="Arial" w:eastAsia="Arial"/>
          <w:color w:val="1F2430"/>
          <w:sz w:val="19"/>
          <w:szCs w:val="19"/>
          <w:highlight w:val="yellow"/>
          <w:rtl/>
        </w:rPr>
        <w:t>60/75</w:t>
      </w:r>
      <w:r>
        <w:rPr>
          <w:rFonts w:ascii="Arial" w:hAnsi="Arial" w:cs="Arial" w:eastAsia="Arial"/>
          <w:color w:val="1F2430"/>
          <w:sz w:val="19"/>
          <w:szCs w:val="19"/>
          <w:rtl/>
        </w:rPr>
        <w:t xml:space="preserve"> עיכוב, </w:t>
      </w:r>
      <w:r>
        <w:rPr>
          <w:rFonts w:ascii="Arial" w:hAnsi="Arial" w:cs="Arial" w:eastAsia="Arial"/>
          <w:color w:val="1F2430"/>
          <w:sz w:val="19"/>
          <w:szCs w:val="19"/>
          <w:highlight w:val="yellow"/>
          <w:rtl/>
        </w:rPr>
        <w:t>15</w:t>
      </w:r>
      <w:r>
        <w:rPr>
          <w:rFonts w:ascii="Arial" w:hAnsi="Arial" w:cs="Arial" w:eastAsia="Arial"/>
          <w:color w:val="1F2430"/>
          <w:sz w:val="19"/>
          <w:szCs w:val="19"/>
          <w:rtl/>
        </w:rPr>
        <w:t xml:space="preserve"> קדימה למגיש הראשון של </w:t>
      </w:r>
      <w:r>
        <w:rPr>
          <w:rFonts w:ascii="Arial" w:hAnsi="Arial" w:cs="Arial" w:eastAsia="Arial"/>
          <w:color w:val="1F2430"/>
          <w:sz w:val="19"/>
          <w:szCs w:val="19"/>
          <w:highlight w:val="yellow"/>
          <w:rtl/>
        </w:rPr>
        <w:t>הבקשה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פגישה ראשונה </w:t>
      </w:r>
      <w:r>
        <w:rPr>
          <w:rFonts w:ascii="Arial" w:hAnsi="Arial" w:cs="Arial" w:eastAsia="Arial"/>
          <w:color w:val="1F2430"/>
          <w:sz w:val="19"/>
          <w:szCs w:val="19"/>
          <w:highlight w:val="yellow"/>
          <w:rtl/>
        </w:rPr>
        <w:t>בלי עורך דין</w:t>
      </w:r>
      <w:r>
        <w:rPr>
          <w:rFonts w:ascii="Arial" w:hAnsi="Arial" w:cs="Arial" w:eastAsia="Arial"/>
          <w:color w:val="1F2430"/>
          <w:sz w:val="19"/>
          <w:szCs w:val="19"/>
          <w:rtl/>
        </w:rPr>
        <w:t xml:space="preserve">. בעיכוב </w:t>
      </w:r>
      <w:r>
        <w:rPr>
          <w:rFonts w:ascii="Arial" w:hAnsi="Arial" w:cs="Arial" w:eastAsia="Arial"/>
          <w:color w:val="1F2430"/>
          <w:sz w:val="19"/>
          <w:szCs w:val="19"/>
          <w:highlight w:val="yellow"/>
          <w:rtl/>
        </w:rPr>
        <w:t>אין דיון גם בסמכות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ת' 75: אימוץ במקום מגורי המאמצים. ס' 7: ביצוע פסק הדין דרך בית המשפט לענייני משפחה.</w:t>
      </w:r>
    </w:p>
    <w:tbl>
      <w:tblPr>
        <w:tblW w:type="dxa" w:w="10206"/>
        <w:tblLook w:firstColumn="1" w:firstRow="1" w:lastColumn="0" w:lastRow="0" w:noHBand="0" w:noVBand="1" w:val="04A0"/>
        <w:bidiVisual/>
        <w:tblLayout w:type="fixed"/>
      </w:tblPr>
      <w:tblGrid>
        <w:gridCol w:w="10206"/>
      </w:tblGrid>
      <w:tr>
        <w:tc>
          <w:tcPr>
            <w:tcW w:type="dxa" w:w="10205"/>
            <w:shd w:val="clear" w:color="auto" w:fill="2E7D4F"/>
            <w:tcBorders>
              <w:top w:val="single" w:sz="4" w:space="0" w:color="2E7D4F"/>
              <w:left w:val="single" w:sz="4" w:space="0" w:color="2E7D4F"/>
              <w:bottom w:val="single" w:sz="4" w:space="0" w:color="2E7D4F"/>
              <w:right w:val="single" w:sz="4" w:space="0" w:color="2E7D4F"/>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6</w:t>
            </w:r>
          </w:p>
          <w:p>
            <w:pPr>
              <w:bidi/>
              <w:spacing w:before="0" w:after="0" w:line="264" w:lineRule="auto"/>
              <w:outlineLvl w:val="0"/>
            </w:pPr>
            <w:r>
              <w:rPr>
                <w:rFonts w:ascii="Arial" w:hAnsi="Arial" w:cs="Arial" w:eastAsia="Arial"/>
                <w:b/>
                <w:bCs/>
                <w:color w:val="FFFFFF"/>
                <w:sz w:val="42"/>
                <w:szCs w:val="42"/>
                <w:rtl/>
              </w:rPr>
              <w:t>מזונות אישה – הדין המהותי</w:t>
            </w:r>
          </w:p>
        </w:tc>
      </w:tr>
    </w:tbl>
    <w:p>
      <w:pPr>
        <w:bidi/>
        <w:spacing w:after="0" w:before="0" w:line="20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 יסודות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אישה</w:t>
            </w:r>
          </w:p>
          <w:p>
            <w:pPr>
              <w:bidi/>
              <w:spacing w:before="0" w:after="60" w:line="300" w:lineRule="auto"/>
              <w:jc w:val="both"/>
            </w:pPr>
            <w:r>
              <w:rPr>
                <w:rFonts w:ascii="Arial" w:hAnsi="Arial" w:cs="Arial" w:eastAsia="Arial"/>
                <w:color w:val="1F2430"/>
                <w:sz w:val="18"/>
                <w:szCs w:val="18"/>
                <w:rtl/>
              </w:rPr>
              <w:t xml:space="preserve">חיוב </w:t>
            </w:r>
            <w:r>
              <w:rPr>
                <w:rFonts w:ascii="Arial" w:hAnsi="Arial" w:cs="Arial" w:eastAsia="Arial"/>
                <w:color w:val="1F2430"/>
                <w:sz w:val="18"/>
                <w:szCs w:val="18"/>
                <w:highlight w:val="yellow"/>
                <w:rtl/>
              </w:rPr>
              <w:t>חד-סטרי</w:t>
            </w:r>
            <w:r>
              <w:rPr>
                <w:rFonts w:ascii="Arial" w:hAnsi="Arial" w:cs="Arial" w:eastAsia="Arial"/>
                <w:color w:val="1F2430"/>
                <w:sz w:val="18"/>
                <w:szCs w:val="18"/>
                <w:rtl/>
              </w:rPr>
              <w:t xml:space="preserve"> של הבעל לפרנס את אשתו, הנובע מהנישואין עצמם. קיים </w:t>
            </w:r>
            <w:r>
              <w:rPr>
                <w:rFonts w:ascii="Arial" w:hAnsi="Arial" w:cs="Arial" w:eastAsia="Arial"/>
                <w:color w:val="1F2430"/>
                <w:sz w:val="18"/>
                <w:szCs w:val="18"/>
                <w:highlight w:val="yellow"/>
                <w:rtl/>
              </w:rPr>
              <w:t>כל עוד הנישואין כדמו"י קיימים</w:t>
            </w:r>
            <w:r>
              <w:rPr>
                <w:rFonts w:ascii="Arial" w:hAnsi="Arial" w:cs="Arial" w:eastAsia="Arial"/>
                <w:color w:val="1F2430"/>
                <w:sz w:val="18"/>
                <w:szCs w:val="18"/>
                <w:rtl/>
              </w:rPr>
              <w:t xml:space="preserve"> (גט/מוות – פוקע), ותלוי בהתנהגות האישה (חובות ביתיות + התנהגות מינית).</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מזונות אישה ≠ מזונות ילדים (פרק 10). התנהגות האישה משפיעה רק על מזונותיה.</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אחרי הגירושין – ככלל אין מזונות אישה. </w:t>
      </w:r>
      <w:r>
        <w:rPr>
          <w:rFonts w:ascii="Arial" w:hAnsi="Arial" w:cs="Arial" w:eastAsia="Arial"/>
          <w:b/>
          <w:bCs/>
          <w:color w:val="1F2430"/>
          <w:sz w:val="19"/>
          <w:szCs w:val="19"/>
          <w:rtl/>
        </w:rPr>
        <w:t>חריג חדש:</w:t>
      </w:r>
      <w:r>
        <w:rPr>
          <w:rFonts w:ascii="Arial" w:hAnsi="Arial" w:cs="Arial" w:eastAsia="Arial"/>
          <w:color w:val="1F2430"/>
          <w:sz w:val="19"/>
          <w:szCs w:val="19"/>
          <w:rtl/>
        </w:rPr>
        <w:t xml:space="preserve"> בית הדין הרבני פסק לאחרונה מזונות לפי דין תורה גם אחרי הגירושין </w:t>
      </w:r>
      <w:r>
        <w:rPr>
          <w:rFonts w:ascii="Arial" w:hAnsi="Arial" w:cs="Arial" w:eastAsia="Arial"/>
          <w:color w:val="1F2430"/>
          <w:sz w:val="19"/>
          <w:szCs w:val="19"/>
          <w:highlight w:val="yellow"/>
          <w:rtl/>
        </w:rPr>
        <w:t>עד חלוקת הרכוש</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סמכות (פרק 3):</w:t>
      </w:r>
      <w:r>
        <w:rPr>
          <w:rFonts w:ascii="Arial" w:hAnsi="Arial" w:cs="Arial" w:eastAsia="Arial"/>
          <w:color w:val="1F2430"/>
          <w:sz w:val="19"/>
          <w:szCs w:val="19"/>
          <w:rtl/>
        </w:rPr>
        <w:t xml:space="preserve"> מקבילה. לבית הדין – ס' 4 (תביעה עצמאית, </w:t>
      </w:r>
      <w:r>
        <w:rPr>
          <w:rFonts w:ascii="Arial" w:hAnsi="Arial" w:cs="Arial" w:eastAsia="Arial"/>
          <w:color w:val="1F2430"/>
          <w:sz w:val="19"/>
          <w:szCs w:val="19"/>
          <w:highlight w:val="yellow"/>
          <w:rtl/>
        </w:rPr>
        <w:t>רק אישה</w:t>
      </w:r>
      <w:r>
        <w:rPr>
          <w:rFonts w:ascii="Arial" w:hAnsi="Arial" w:cs="Arial" w:eastAsia="Arial"/>
          <w:color w:val="1F2430"/>
          <w:sz w:val="19"/>
          <w:szCs w:val="19"/>
          <w:rtl/>
        </w:rPr>
        <w:t>), ס' 9 (הסכמה), ס' 3 (כריכה מפורשת + מבחן משולש; בדרך כלל ע"י הבעל). לבית המשפט – ס' 3 לחוק בימ"ש לענייני משפחה.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6.2 הדין החל – סעיף 2 לחוק לתיקון דיני המשפחה (מזונות)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 2(א)</w:t>
            </w:r>
          </w:p>
          <w:p>
            <w:pPr>
              <w:bidi/>
              <w:spacing w:before="0" w:after="60" w:line="300" w:lineRule="auto"/>
              <w:jc w:val="both"/>
            </w:pPr>
            <w:r>
              <w:rPr>
                <w:rFonts w:ascii="Arial" w:hAnsi="Arial" w:cs="Arial" w:eastAsia="Arial"/>
                <w:color w:val="1F2430"/>
                <w:sz w:val="18"/>
                <w:szCs w:val="18"/>
                <w:rtl/>
              </w:rPr>
              <w:t>"אדם חייב במזונות בן זוגו לפי הוראות הדין האישי החל עליו, והוראות חוק זה לא יחולו על מזונות אלה."</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5292"/>
        <w:gridCol w:w="4914"/>
      </w:tblGrid>
      <w:tr>
        <w:trPr>
          <w:tblHeader/>
        </w:trPr>
        <w:tc>
          <w:tcPr>
            <w:tcW w:type="dxa" w:w="529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491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w:t>
            </w:r>
          </w:p>
        </w:tc>
      </w:tr>
      <w:tr>
        <w:trPr>
          <w:cantSplit/>
        </w:trPr>
        <w:tc>
          <w:tcPr>
            <w:tcW w:type="dxa" w:w="529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יהודים נשואים כדמו"י</w:t>
            </w:r>
          </w:p>
        </w:tc>
        <w:tc>
          <w:tcPr>
            <w:tcW w:type="dxa" w:w="49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דין תורה – </w:t>
            </w:r>
            <w:r>
              <w:rPr>
                <w:rFonts w:ascii="Arial" w:hAnsi="Arial" w:cs="Arial" w:eastAsia="Arial"/>
                <w:color w:val="1F2430"/>
                <w:sz w:val="17"/>
                <w:szCs w:val="17"/>
                <w:highlight w:val="yellow"/>
                <w:rtl/>
              </w:rPr>
              <w:t>בשתי הערכאות</w:t>
            </w:r>
            <w:r>
              <w:rPr>
                <w:rFonts w:ascii="Arial" w:hAnsi="Arial" w:cs="Arial" w:eastAsia="Arial"/>
                <w:color w:val="1F2430"/>
                <w:sz w:val="17"/>
                <w:szCs w:val="17"/>
                <w:rtl/>
              </w:rPr>
              <w:t xml:space="preserve"> (ס' 2(א); סימנים 47, 51)</w:t>
            </w:r>
          </w:p>
        </w:tc>
      </w:tr>
      <w:tr>
        <w:trPr>
          <w:cantSplit/>
        </w:trPr>
        <w:tc>
          <w:tcPr>
            <w:tcW w:type="dxa" w:w="529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ללא דין אישי: חסרי דת, מעורבים, חד-מיניים, ידועים בציבור</w:t>
            </w:r>
          </w:p>
        </w:tc>
        <w:tc>
          <w:tcPr>
            <w:tcW w:type="dxa" w:w="49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אזרחי – ס' 2(ב)</w:t>
            </w:r>
          </w:p>
        </w:tc>
      </w:tr>
      <w:tr>
        <w:trPr>
          <w:cantSplit/>
        </w:trPr>
        <w:tc>
          <w:tcPr>
            <w:tcW w:type="dxa" w:w="529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נשואים אזרחית</w:t>
            </w:r>
          </w:p>
        </w:tc>
        <w:tc>
          <w:tcPr>
            <w:tcW w:type="dxa" w:w="49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חוזיים – 8256/99 (פרק 8)</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"הדין הולך אחר הדיין" </w:t>
      </w:r>
      <w:r>
        <w:rPr>
          <w:rFonts w:ascii="Arial" w:hAnsi="Arial" w:cs="Arial" w:eastAsia="Arial"/>
          <w:color w:val="1F2430"/>
          <w:sz w:val="19"/>
          <w:szCs w:val="19"/>
          <w:highlight w:val="yellow"/>
          <w:rtl/>
        </w:rPr>
        <w:t>לא חל</w:t>
      </w:r>
      <w:r>
        <w:rPr>
          <w:rFonts w:ascii="Arial" w:hAnsi="Arial" w:cs="Arial" w:eastAsia="Arial"/>
          <w:color w:val="1F2430"/>
          <w:sz w:val="19"/>
          <w:szCs w:val="19"/>
          <w:rtl/>
        </w:rPr>
        <w:t xml:space="preserve"> – יש הוראת חוק ספציפית.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מהותי מול פרוצדורלי</w:t>
      </w:r>
      <w:r>
        <w:rPr>
          <w:rFonts w:ascii="Arial" w:hAnsi="Arial" w:cs="Arial" w:eastAsia="Arial"/>
          <w:color w:val="1F2430"/>
          <w:sz w:val="19"/>
          <w:szCs w:val="19"/>
          <w:rtl/>
        </w:rPr>
        <w:t xml:space="preserve"> (שמגר, חקק): הוראות פרוצדורליות חלות על כולם –</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ס' 10 – מזונות זמניים: חל גם בבית הדין (שרואה בכך הקניית סמכות לעתיד).</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ס' 11 – מזונות עבר: איחור של מעל שנה בתביעה – דחייה אם אין טעם סביר; גבייה אחרי שנתיים – ברשות בית המשפט.</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6.3 מקור החיוב – רמב"ם, אישות יב: 10 חיובים ו-4 זכויות</w:t>
      </w:r>
    </w:p>
    <w:tbl>
      <w:tblPr>
        <w:tblW w:type="dxa" w:w="10206"/>
        <w:jc w:val="center"/>
        <w:tblLook w:firstColumn="1" w:firstRow="1" w:lastColumn="0" w:lastRow="0" w:noHBand="0" w:noVBand="1" w:val="04A0"/>
        <w:bidiVisual/>
        <w:tblLayout w:type="fixed"/>
      </w:tblPr>
      <w:tblGrid>
        <w:gridCol w:w="5721"/>
        <w:gridCol w:w="4484"/>
      </w:tblGrid>
      <w:tr>
        <w:trPr>
          <w:tblHeader/>
        </w:trPr>
        <w:tc>
          <w:tcPr>
            <w:tcW w:type="dxa" w:w="572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חיובי הבעל (10)</w:t>
            </w:r>
          </w:p>
        </w:tc>
        <w:tc>
          <w:tcPr>
            <w:tcW w:type="dxa" w:w="4484"/>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זכויות הבעל (4)</w:t>
            </w:r>
          </w:p>
        </w:tc>
      </w:tr>
      <w:tr>
        <w:trPr>
          <w:cantSplit/>
        </w:trPr>
        <w:tc>
          <w:tcPr>
            <w:tcW w:type="dxa" w:w="57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שארה (מזונות), כסותה, עונתה</w:t>
            </w:r>
          </w:p>
        </w:tc>
        <w:tc>
          <w:tcPr>
            <w:tcW w:type="dxa" w:w="44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מעשה ידיה</w:t>
            </w:r>
            <w:r>
              <w:rPr>
                <w:rFonts w:ascii="Arial" w:hAnsi="Arial" w:cs="Arial" w:eastAsia="Arial"/>
                <w:color w:val="1F2430"/>
                <w:sz w:val="17"/>
                <w:szCs w:val="17"/>
                <w:rtl/>
              </w:rPr>
              <w:t xml:space="preserve"> – כנגד המזונות</w:t>
            </w:r>
          </w:p>
        </w:tc>
      </w:tr>
      <w:tr>
        <w:trPr>
          <w:cantSplit/>
        </w:trPr>
        <w:tc>
          <w:tcPr>
            <w:tcW w:type="dxa" w:w="57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כתובה ותנאיה</w:t>
            </w:r>
          </w:p>
        </w:tc>
        <w:tc>
          <w:tcPr>
            <w:tcW w:type="dxa" w:w="44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מציאתה</w:t>
            </w:r>
          </w:p>
        </w:tc>
      </w:tr>
      <w:tr>
        <w:trPr>
          <w:cantSplit/>
        </w:trPr>
        <w:tc>
          <w:tcPr>
            <w:tcW w:type="dxa" w:w="57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 xml:space="preserve">רפואתה, </w:t>
            </w:r>
            <w:r>
              <w:rPr>
                <w:rFonts w:ascii="Arial" w:hAnsi="Arial" w:cs="Arial" w:eastAsia="Arial"/>
                <w:b/>
                <w:bCs/>
                <w:color w:val="1F2430"/>
                <w:sz w:val="17"/>
                <w:szCs w:val="17"/>
                <w:highlight w:val="yellow"/>
                <w:rtl/>
              </w:rPr>
              <w:t>פדותה</w:t>
            </w:r>
            <w:r>
              <w:rPr>
                <w:rFonts w:ascii="Arial" w:hAnsi="Arial" w:cs="Arial" w:eastAsia="Arial"/>
                <w:b/>
                <w:bCs/>
                <w:color w:val="1F2430"/>
                <w:sz w:val="17"/>
                <w:szCs w:val="17"/>
                <w:rtl/>
              </w:rPr>
              <w:t>, קבורתה</w:t>
            </w:r>
          </w:p>
        </w:tc>
        <w:tc>
          <w:tcPr>
            <w:tcW w:type="dxa" w:w="44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פירות נכסיה</w:t>
            </w:r>
            <w:r>
              <w:rPr>
                <w:rFonts w:ascii="Arial" w:hAnsi="Arial" w:cs="Arial" w:eastAsia="Arial"/>
                <w:color w:val="1F2430"/>
                <w:sz w:val="17"/>
                <w:szCs w:val="17"/>
                <w:rtl/>
              </w:rPr>
              <w:t xml:space="preserve"> – כנגד הפדיון</w:t>
            </w:r>
          </w:p>
        </w:tc>
      </w:tr>
      <w:tr>
        <w:trPr>
          <w:cantSplit/>
        </w:trPr>
        <w:tc>
          <w:tcPr>
            <w:tcW w:type="dxa" w:w="57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מזונות אלמנה ובנות, ירושת בנים בכתובה</w:t>
            </w:r>
          </w:p>
        </w:tc>
        <w:tc>
          <w:tcPr>
            <w:tcW w:type="dxa" w:w="44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ירושתה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קשר הדוק בין </w:t>
      </w:r>
      <w:r>
        <w:rPr>
          <w:rFonts w:ascii="Arial" w:hAnsi="Arial" w:cs="Arial" w:eastAsia="Arial"/>
          <w:color w:val="1F2430"/>
          <w:sz w:val="19"/>
          <w:szCs w:val="19"/>
          <w:highlight w:val="yellow"/>
          <w:rtl/>
        </w:rPr>
        <w:t>תוקף הנישואין</w:t>
      </w:r>
      <w:r>
        <w:rPr>
          <w:rFonts w:ascii="Arial" w:hAnsi="Arial" w:cs="Arial" w:eastAsia="Arial"/>
          <w:color w:val="1F2430"/>
          <w:sz w:val="19"/>
          <w:szCs w:val="19"/>
          <w:rtl/>
        </w:rPr>
        <w:t xml:space="preserve"> לחיוב.</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"לא הרי דיני ישראל בבית הדין כהרי דיני ישראל בבית המשפט" – אותו דין, פרשנות שונה.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6.4 שיעור המזונות והמדור</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color w:val="1F2430"/>
          <w:sz w:val="19"/>
          <w:szCs w:val="19"/>
          <w:rtl/>
        </w:rPr>
        <w:t>"</w:t>
      </w:r>
      <w:r>
        <w:rPr>
          <w:rFonts w:ascii="Arial" w:hAnsi="Arial" w:cs="Arial" w:eastAsia="Arial"/>
          <w:color w:val="1F2430"/>
          <w:sz w:val="19"/>
          <w:szCs w:val="19"/>
          <w:highlight w:val="yellow"/>
          <w:rtl/>
        </w:rPr>
        <w:t>האישה עולה עמו ואינה יורדת עמו</w:t>
      </w:r>
      <w:r>
        <w:rPr>
          <w:rFonts w:ascii="Arial" w:hAnsi="Arial" w:cs="Arial" w:eastAsia="Arial"/>
          <w:color w:val="1F2430"/>
          <w:sz w:val="19"/>
          <w:szCs w:val="19"/>
          <w:rtl/>
        </w:rPr>
        <w:t>" – רמת חייו (גם בפירוד); "המדור לפי עושרו".</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color w:val="1F2430"/>
          <w:sz w:val="19"/>
          <w:szCs w:val="19"/>
          <w:rtl/>
        </w:rPr>
        <w:t>אינה צריכה להתפרנס מרכושה.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color w:val="1F2430"/>
          <w:sz w:val="19"/>
          <w:szCs w:val="19"/>
          <w:rtl/>
        </w:rPr>
        <w:t>"</w:t>
      </w:r>
      <w:r>
        <w:rPr>
          <w:rFonts w:ascii="Arial" w:hAnsi="Arial" w:cs="Arial" w:eastAsia="Arial"/>
          <w:color w:val="1F2430"/>
          <w:sz w:val="19"/>
          <w:szCs w:val="19"/>
          <w:highlight w:val="yellow"/>
          <w:rtl/>
        </w:rPr>
        <w:t>כדי צרכיה</w:t>
      </w:r>
      <w:r>
        <w:rPr>
          <w:rFonts w:ascii="Arial" w:hAnsi="Arial" w:cs="Arial" w:eastAsia="Arial"/>
          <w:color w:val="1F2430"/>
          <w:sz w:val="19"/>
          <w:szCs w:val="19"/>
          <w:rtl/>
        </w:rPr>
        <w:t>" – לא להעשיר. (עיקר מזונות = אשת עני.)</w:t>
      </w:r>
    </w:p>
    <w:tbl>
      <w:tblPr>
        <w:tblW w:type="dxa" w:w="10206"/>
        <w:jc w:val="center"/>
        <w:tblLook w:firstColumn="1" w:firstRow="1" w:lastColumn="0" w:lastRow="0" w:noHBand="0" w:noVBand="1" w:val="04A0"/>
        <w:bidiVisual/>
        <w:tblLayout w:type="fixed"/>
      </w:tblPr>
      <w:tblGrid>
        <w:gridCol w:w="3677"/>
        <w:gridCol w:w="1275"/>
        <w:gridCol w:w="5253"/>
      </w:tblGrid>
      <w:tr>
        <w:trPr>
          <w:tblHeader/>
        </w:trPr>
        <w:tc>
          <w:tcPr>
            <w:tcW w:type="dxa" w:w="3677"/>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127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ערכאה</w:t>
            </w:r>
          </w:p>
        </w:tc>
        <w:tc>
          <w:tcPr>
            <w:tcW w:type="dxa" w:w="525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w:t>
            </w:r>
          </w:p>
        </w:tc>
      </w:tr>
      <w:tr>
        <w:trPr>
          <w:cantSplit/>
        </w:trPr>
        <w:tc>
          <w:tcPr>
            <w:tcW w:type="dxa" w:w="36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כליפה (1993)</w:t>
            </w:r>
          </w:p>
        </w:tc>
        <w:tc>
          <w:tcPr>
            <w:tcW w:type="dxa" w:w="127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עליון</w:t>
            </w:r>
          </w:p>
        </w:tc>
        <w:tc>
          <w:tcPr>
            <w:tcW w:type="dxa" w:w="525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מדור – גם </w:t>
            </w:r>
            <w:r>
              <w:rPr>
                <w:rFonts w:ascii="Arial" w:hAnsi="Arial" w:cs="Arial" w:eastAsia="Arial"/>
                <w:color w:val="1F2430"/>
                <w:sz w:val="17"/>
                <w:szCs w:val="17"/>
                <w:highlight w:val="yellow"/>
                <w:rtl/>
              </w:rPr>
              <w:t>דירה חלופית</w:t>
            </w:r>
            <w:r>
              <w:rPr>
                <w:rFonts w:ascii="Arial" w:hAnsi="Arial" w:cs="Arial" w:eastAsia="Arial"/>
                <w:color w:val="1F2430"/>
                <w:sz w:val="17"/>
                <w:szCs w:val="17"/>
                <w:rtl/>
              </w:rPr>
              <w:t xml:space="preserve"> (אפילו שכורה) בתנאים שהורגלה; "ירידה" = גודל, מיקום</w:t>
            </w:r>
          </w:p>
        </w:tc>
      </w:tr>
      <w:tr>
        <w:trPr>
          <w:cantSplit/>
        </w:trPr>
        <w:tc>
          <w:tcPr>
            <w:tcW w:type="dxa" w:w="36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אקנין (1994)</w:t>
            </w:r>
          </w:p>
        </w:tc>
        <w:tc>
          <w:tcPr>
            <w:tcW w:type="dxa" w:w="127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ביה"ד → בג"ץ</w:t>
            </w:r>
          </w:p>
        </w:tc>
        <w:tc>
          <w:tcPr>
            <w:tcW w:type="dxa" w:w="525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 xml:space="preserve">ביה"ד: מדור ספציפי; בג"ץ: פרשנות הערכאה האזרחית </w:t>
            </w:r>
            <w:r>
              <w:rPr>
                <w:rFonts w:ascii="Arial" w:hAnsi="Arial" w:cs="Arial" w:eastAsia="Arial"/>
                <w:color w:val="1F2430"/>
                <w:sz w:val="17"/>
                <w:szCs w:val="17"/>
                <w:highlight w:val="yellow"/>
                <w:rtl/>
              </w:rPr>
              <w:t>אינה מחייבת</w:t>
            </w:r>
            <w:r>
              <w:rPr>
                <w:rFonts w:ascii="Arial" w:hAnsi="Arial" w:cs="Arial" w:eastAsia="Arial"/>
                <w:color w:val="1F2430"/>
                <w:sz w:val="17"/>
                <w:szCs w:val="17"/>
                <w:rtl/>
              </w:rPr>
              <w:t xml:space="preserve"> את ביה"ד</w:t>
            </w:r>
          </w:p>
        </w:tc>
      </w:tr>
      <w:tr>
        <w:trPr>
          <w:cantSplit/>
        </w:trPr>
        <w:tc>
          <w:tcPr>
            <w:tcW w:type="dxa" w:w="36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יאיר (בג"ץ 304/04), גולדנברג (בג"ץ 207/04)</w:t>
            </w:r>
          </w:p>
        </w:tc>
        <w:tc>
          <w:tcPr>
            <w:tcW w:type="dxa" w:w="127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בג"ץ</w:t>
            </w:r>
          </w:p>
        </w:tc>
        <w:tc>
          <w:tcPr>
            <w:tcW w:type="dxa" w:w="525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"בית מגורים... ליבו של שלום הבית" – צו מדור ספציפי </w:t>
            </w:r>
            <w:r>
              <w:rPr>
                <w:rFonts w:ascii="Arial" w:hAnsi="Arial" w:cs="Arial" w:eastAsia="Arial"/>
                <w:color w:val="1F2430"/>
                <w:sz w:val="17"/>
                <w:szCs w:val="17"/>
                <w:highlight w:val="yellow"/>
                <w:rtl/>
              </w:rPr>
              <w:t>מונע פירוק שיתוף</w:t>
            </w:r>
            <w:r>
              <w:rPr>
                <w:rFonts w:ascii="Arial" w:hAnsi="Arial" w:cs="Arial" w:eastAsia="Arial"/>
                <w:color w:val="1F2430"/>
                <w:sz w:val="17"/>
                <w:szCs w:val="17"/>
                <w:rtl/>
              </w:rPr>
              <w:t xml:space="preserve"> גם אם הבעל הקדים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אזרחי: ס' 37(א) לחוק המקרקעין (פירוק "בכל עת"); אחרי ראש חודש – ס' 40א לחוק המקרקעין (1995) וס' 6א לחוק יחסי ממון (2008): </w:t>
      </w:r>
      <w:r>
        <w:rPr>
          <w:rFonts w:ascii="Arial" w:hAnsi="Arial" w:cs="Arial" w:eastAsia="Arial"/>
          <w:color w:val="1F2430"/>
          <w:sz w:val="19"/>
          <w:szCs w:val="19"/>
          <w:highlight w:val="yellow"/>
          <w:rtl/>
        </w:rPr>
        <w:t>מדור חלופי</w:t>
      </w:r>
      <w:r>
        <w:rPr>
          <w:rFonts w:ascii="Arial" w:hAnsi="Arial" w:cs="Arial" w:eastAsia="Arial"/>
          <w:color w:val="1F2430"/>
          <w:sz w:val="19"/>
          <w:szCs w:val="19"/>
          <w:rtl/>
        </w:rPr>
        <w:t xml:space="preserve"> להורה ולילדים.</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דיכובסקי (ניגאו)</w:t>
      </w:r>
      <w:r>
        <w:rPr>
          <w:rFonts w:ascii="Arial" w:hAnsi="Arial" w:cs="Arial" w:eastAsia="Arial"/>
          <w:color w:val="1F2430"/>
          <w:sz w:val="19"/>
          <w:szCs w:val="19"/>
          <w:rtl/>
        </w:rPr>
        <w:t xml:space="preserve"> – אין צו מדור ספציפי כש: (1) מות הנישואין; (2) האישה פיצלה תביעות; (3) הבעל הציע הסדר הוגן והיא סירבה.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6.5 מפת טענות הבעל</w:t>
      </w:r>
    </w:p>
    <w:tbl>
      <w:tblPr>
        <w:tblW w:type="dxa" w:w="10206"/>
        <w:jc w:val="center"/>
        <w:tblLook w:firstColumn="1" w:firstRow="1" w:lastColumn="0" w:lastRow="0" w:noHBand="0" w:noVBand="1" w:val="04A0"/>
        <w:bidiVisual/>
        <w:tblLayout w:type="fixed"/>
      </w:tblPr>
      <w:tblGrid>
        <w:gridCol w:w="4536"/>
        <w:gridCol w:w="5670"/>
      </w:tblGrid>
      <w:tr>
        <w:trPr>
          <w:tblHeader/>
        </w:trPr>
        <w:tc>
          <w:tcPr>
            <w:tcW w:type="dxa" w:w="453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קיזוז ("מגיע, אבל פחות")</w:t>
            </w:r>
          </w:p>
        </w:tc>
        <w:tc>
          <w:tcPr>
            <w:tcW w:type="dxa" w:w="5669"/>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פטור ("לא מגיע כלום")</w:t>
            </w:r>
          </w:p>
        </w:tc>
      </w:tr>
      <w:tr>
        <w:trPr>
          <w:cantSplit/>
        </w:trPr>
        <w:tc>
          <w:tcPr>
            <w:tcW w:type="dxa" w:w="45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מעשה ידיה / פוטנציאל השתכרות</w:t>
            </w:r>
          </w:p>
        </w:tc>
        <w:tc>
          <w:tcPr>
            <w:tcW w:type="dxa" w:w="566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לנישואין</w:t>
            </w:r>
          </w:p>
        </w:tc>
      </w:tr>
      <w:tr>
        <w:trPr>
          <w:cantSplit/>
        </w:trPr>
        <w:tc>
          <w:tcPr>
            <w:tcW w:type="dxa" w:w="45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פירותיה</w:t>
            </w:r>
          </w:p>
        </w:tc>
        <w:tc>
          <w:tcPr>
            <w:tcW w:type="dxa" w:w="566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מעין מורדת; מורדת</w:t>
            </w:r>
          </w:p>
        </w:tc>
      </w:tr>
      <w:tr>
        <w:trPr>
          <w:cantSplit/>
        </w:trPr>
        <w:tc>
          <w:tcPr>
            <w:tcW w:type="dxa" w:w="45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p>
        </w:tc>
        <w:tc>
          <w:tcPr>
            <w:tcW w:type="dxa" w:w="566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בגידה; מעשה כיעור</w:t>
            </w:r>
          </w:p>
        </w:tc>
      </w:tr>
      <w:tr>
        <w:trPr>
          <w:cantSplit/>
        </w:trPr>
        <w:tc>
          <w:tcPr>
            <w:tcW w:type="dxa" w:w="45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p>
        </w:tc>
        <w:tc>
          <w:tcPr>
            <w:tcW w:type="dxa" w:w="566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עוברת על דת משה; עוברת על דת יהודית</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6.6 קיזוז מעשה ידיה</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w:t>
      </w:r>
      <w:r>
        <w:rPr>
          <w:rFonts w:ascii="Arial" w:hAnsi="Arial" w:cs="Arial" w:eastAsia="Arial"/>
          <w:color w:val="1F2430"/>
          <w:sz w:val="19"/>
          <w:szCs w:val="19"/>
          <w:highlight w:val="yellow"/>
          <w:rtl/>
        </w:rPr>
        <w:t>אינני ניזונת ואינני עושה</w:t>
      </w:r>
      <w:r>
        <w:rPr>
          <w:rFonts w:ascii="Arial" w:hAnsi="Arial" w:cs="Arial" w:eastAsia="Arial"/>
          <w:color w:val="1F2430"/>
          <w:sz w:val="19"/>
          <w:szCs w:val="19"/>
          <w:rtl/>
        </w:rPr>
        <w:t>" – האישה רשאית לוותר (כשהשכר גבוה מהמזונות).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שרשרת:</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מזור</w:t>
      </w:r>
      <w:r>
        <w:rPr>
          <w:rFonts w:ascii="Arial" w:hAnsi="Arial" w:cs="Arial" w:eastAsia="Arial"/>
          <w:color w:val="1F2430"/>
          <w:sz w:val="19"/>
          <w:szCs w:val="19"/>
          <w:rtl/>
        </w:rPr>
        <w:t xml:space="preserve"> → לא מחייבים לצאת לעבוד ולא מקזזים פוטנציאל.</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ביקל</w:t>
      </w:r>
      <w:r>
        <w:rPr>
          <w:rFonts w:ascii="Arial" w:hAnsi="Arial" w:cs="Arial" w:eastAsia="Arial"/>
          <w:color w:val="1F2430"/>
          <w:sz w:val="19"/>
          <w:szCs w:val="19"/>
          <w:rtl/>
        </w:rPr>
        <w:t xml:space="preserve"> (עבדה כל חייה, הפסיקה בחוסר תום לב) → שמגר: כשליש מהנתבע.</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פדן</w:t>
      </w:r>
      <w:r>
        <w:rPr>
          <w:rFonts w:ascii="Arial" w:hAnsi="Arial" w:cs="Arial" w:eastAsia="Arial"/>
          <w:color w:val="1F2430"/>
          <w:sz w:val="19"/>
          <w:szCs w:val="19"/>
          <w:rtl/>
        </w:rPr>
        <w:t xml:space="preserve"> (צעירה, תואר, ילדה בת 4) → שמגר: "פרידה נקייה"; כשליש.</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פלולי (1996, טירקל)</w:t>
      </w:r>
      <w:r>
        <w:rPr>
          <w:rFonts w:ascii="Arial" w:hAnsi="Arial" w:cs="Arial" w:eastAsia="Arial"/>
          <w:color w:val="1F2430"/>
          <w:sz w:val="19"/>
          <w:szCs w:val="19"/>
          <w:rtl/>
        </w:rPr>
        <w:t xml:space="preserve"> (30+ שנה, אלימות, בת 60, לא עבדה) → </w:t>
      </w:r>
      <w:r>
        <w:rPr>
          <w:rFonts w:ascii="Arial" w:hAnsi="Arial" w:cs="Arial" w:eastAsia="Arial"/>
          <w:color w:val="1F2430"/>
          <w:sz w:val="19"/>
          <w:szCs w:val="19"/>
          <w:highlight w:val="yellow"/>
          <w:rtl/>
        </w:rPr>
        <w:t>ככלל אין חיוב ואין קיזוז פוטנציאל; בחריג – במקרים מתאימים, לא אוטומטית, הנטל על הבעל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פרמטרים (לא מצטברים):</w:t>
      </w:r>
      <w:r>
        <w:rPr>
          <w:rFonts w:ascii="Arial" w:hAnsi="Arial" w:cs="Arial" w:eastAsia="Arial"/>
          <w:color w:val="1F2430"/>
          <w:sz w:val="19"/>
          <w:szCs w:val="19"/>
          <w:rtl/>
        </w:rPr>
        <w:t xml:space="preserve"> גיל; בריאות; כישורים; שוק העבודה הרלוונטי; ניסיון תעסוקתי; נסיבות הפסקת העבודה; משך הנישואין; ילדים קטנים ומצבם; מגורים משותפים.</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בפועל הערכאות הדיוניות מקבלות לא פעם קיזוז פוטנציאל – אך ההלכה: פלולי.</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6.7 קיזוז פירותיה</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פירות = רווחי נכסיה (שכירות, דיבידנד); הקרן שלה. כנגד חובת </w:t>
      </w:r>
      <w:r>
        <w:rPr>
          <w:rFonts w:ascii="Arial" w:hAnsi="Arial" w:cs="Arial" w:eastAsia="Arial"/>
          <w:color w:val="1F2430"/>
          <w:sz w:val="19"/>
          <w:szCs w:val="19"/>
          <w:highlight w:val="yellow"/>
          <w:rtl/>
        </w:rPr>
        <w:t>הפדיון</w:t>
      </w:r>
      <w:r>
        <w:rPr>
          <w:rFonts w:ascii="Arial" w:hAnsi="Arial" w:cs="Arial" w:eastAsia="Arial"/>
          <w:color w:val="1F2430"/>
          <w:sz w:val="19"/>
          <w:szCs w:val="19"/>
          <w:rtl/>
        </w:rPr>
        <w:t xml:space="preserve"> – </w:t>
      </w:r>
      <w:r>
        <w:rPr>
          <w:rFonts w:ascii="Arial" w:hAnsi="Arial" w:cs="Arial" w:eastAsia="Arial"/>
          <w:color w:val="1F2430"/>
          <w:sz w:val="19"/>
          <w:szCs w:val="19"/>
          <w:highlight w:val="yellow"/>
          <w:rtl/>
        </w:rPr>
        <w:t>אי אפשר לוותר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שרשרת:</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חוק שיווי זכויות האישה (1951), ס' 2</w:t>
      </w:r>
      <w:r>
        <w:rPr>
          <w:rFonts w:ascii="Arial" w:hAnsi="Arial" w:cs="Arial" w:eastAsia="Arial"/>
          <w:color w:val="1F2430"/>
          <w:sz w:val="19"/>
          <w:szCs w:val="19"/>
          <w:rtl/>
        </w:rPr>
        <w:t xml:space="preserve"> – אין בנישואין לפגוע בקניינה.</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סידיס</w:t>
      </w:r>
      <w:r>
        <w:rPr>
          <w:rFonts w:ascii="Arial" w:hAnsi="Arial" w:cs="Arial" w:eastAsia="Arial"/>
          <w:color w:val="1F2430"/>
          <w:sz w:val="19"/>
          <w:szCs w:val="19"/>
          <w:rtl/>
        </w:rPr>
        <w:t xml:space="preserve"> → אין קיזוז פירות. שמגר: </w:t>
      </w:r>
      <w:r>
        <w:rPr>
          <w:rFonts w:ascii="Arial" w:hAnsi="Arial" w:cs="Arial" w:eastAsia="Arial"/>
          <w:color w:val="1F2430"/>
          <w:sz w:val="19"/>
          <w:szCs w:val="19"/>
          <w:highlight w:val="yellow"/>
          <w:rtl/>
        </w:rPr>
        <w:t>אי-שוויון בין נשים</w:t>
      </w:r>
      <w:r>
        <w:rPr>
          <w:rFonts w:ascii="Arial" w:hAnsi="Arial" w:cs="Arial" w:eastAsia="Arial"/>
          <w:color w:val="1F2430"/>
          <w:sz w:val="19"/>
          <w:szCs w:val="19"/>
          <w:rtl/>
        </w:rPr>
        <w:t xml:space="preserve"> (פירות לא מתקזזים, מעשה ידיים כן).</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 2א לחוק המזונות (1976)</w:t>
      </w:r>
      <w:r>
        <w:rPr>
          <w:rFonts w:ascii="Arial" w:hAnsi="Arial" w:cs="Arial" w:eastAsia="Arial"/>
          <w:color w:val="1F2430"/>
          <w:sz w:val="19"/>
          <w:szCs w:val="19"/>
          <w:rtl/>
        </w:rPr>
        <w:t xml:space="preserve"> – "על אף... חוק שיווי זכויות", מותר להתחשב בהכנסות "מעבודה, מנכסים... מכל מקור אחר".</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חקק (1991, חמישה)</w:t>
      </w:r>
      <w:r>
        <w:rPr>
          <w:rFonts w:ascii="Arial" w:hAnsi="Arial" w:cs="Arial" w:eastAsia="Arial"/>
          <w:color w:val="1F2430"/>
          <w:sz w:val="19"/>
          <w:szCs w:val="19"/>
          <w:rtl/>
        </w:rPr>
        <w:t xml:space="preserve"> → שמגר (מיעוט): ס' 2א פרוצדורלי, חל על כולם, כל מקור. </w:t>
      </w:r>
      <w:r>
        <w:rPr>
          <w:rFonts w:ascii="Arial" w:hAnsi="Arial" w:cs="Arial" w:eastAsia="Arial"/>
          <w:b/>
          <w:bCs/>
          <w:color w:val="1F2430"/>
          <w:sz w:val="19"/>
          <w:szCs w:val="19"/>
          <w:rtl/>
        </w:rPr>
        <w:t>אלון</w:t>
      </w:r>
      <w:r>
        <w:rPr>
          <w:rFonts w:ascii="Arial" w:hAnsi="Arial" w:cs="Arial" w:eastAsia="Arial"/>
          <w:color w:val="1F2430"/>
          <w:sz w:val="19"/>
          <w:szCs w:val="19"/>
          <w:rtl/>
        </w:rPr>
        <w:t xml:space="preserve"> (+ לוין, לוין, אור): המחוקק חזר לדין תורה – </w:t>
      </w:r>
      <w:r>
        <w:rPr>
          <w:rFonts w:ascii="Arial" w:hAnsi="Arial" w:cs="Arial" w:eastAsia="Arial"/>
          <w:color w:val="1F2430"/>
          <w:sz w:val="19"/>
          <w:szCs w:val="19"/>
          <w:highlight w:val="yellow"/>
          <w:rtl/>
        </w:rPr>
        <w:t>רק פירות, ורק בפועל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פוטנציאל פירות (דירה ריקה) – </w:t>
      </w:r>
      <w:r>
        <w:rPr>
          <w:rFonts w:ascii="Arial" w:hAnsi="Arial" w:cs="Arial" w:eastAsia="Arial"/>
          <w:color w:val="1F2430"/>
          <w:sz w:val="19"/>
          <w:szCs w:val="19"/>
          <w:highlight w:val="yellow"/>
          <w:rtl/>
        </w:rPr>
        <w:t>לא מתקזז</w:t>
      </w:r>
      <w:r>
        <w:rPr>
          <w:rFonts w:ascii="Arial" w:hAnsi="Arial" w:cs="Arial" w:eastAsia="Arial"/>
          <w:color w:val="1F2430"/>
          <w:sz w:val="19"/>
          <w:szCs w:val="19"/>
          <w:rtl/>
        </w:rPr>
        <w:t xml:space="preserve"> (חקק, פלולי).</w:t>
      </w:r>
    </w:p>
    <w:tbl>
      <w:tblPr>
        <w:tblW w:type="dxa" w:w="10206"/>
        <w:jc w:val="center"/>
        <w:tblLook w:firstColumn="1" w:firstRow="1" w:lastColumn="0" w:lastRow="0" w:noHBand="0" w:noVBand="1" w:val="04A0"/>
        <w:bidiVisual/>
        <w:tblLayout w:type="fixed"/>
      </w:tblPr>
      <w:tblGrid>
        <w:gridCol w:w="4984"/>
        <w:gridCol w:w="5221"/>
      </w:tblGrid>
      <w:tr>
        <w:trPr>
          <w:tblHeader/>
        </w:trPr>
        <w:tc>
          <w:tcPr>
            <w:tcW w:type="dxa" w:w="4984"/>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מקזזים</w:t>
            </w:r>
          </w:p>
        </w:tc>
        <w:tc>
          <w:tcPr>
            <w:tcW w:type="dxa" w:w="522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w:t>
            </w:r>
          </w:p>
        </w:tc>
      </w:tr>
      <w:tr>
        <w:trPr>
          <w:cantSplit/>
        </w:trPr>
        <w:tc>
          <w:tcPr>
            <w:tcW w:type="dxa" w:w="49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שכר בפועל</w:t>
            </w:r>
          </w:p>
        </w:tc>
        <w:tc>
          <w:tcPr>
            <w:tcW w:type="dxa" w:w="52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r>
        <w:trPr>
          <w:cantSplit/>
        </w:trPr>
        <w:tc>
          <w:tcPr>
            <w:tcW w:type="dxa" w:w="49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פוטנציאל השתכרות</w:t>
            </w:r>
          </w:p>
        </w:tc>
        <w:tc>
          <w:tcPr>
            <w:tcW w:type="dxa" w:w="52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ככלל לא (חריג – פלולי)</w:t>
            </w:r>
          </w:p>
        </w:tc>
      </w:tr>
      <w:tr>
        <w:trPr>
          <w:cantSplit/>
        </w:trPr>
        <w:tc>
          <w:tcPr>
            <w:tcW w:type="dxa" w:w="49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פירות בפועל</w:t>
            </w:r>
          </w:p>
        </w:tc>
        <w:tc>
          <w:tcPr>
            <w:tcW w:type="dxa" w:w="52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(חקק)</w:t>
            </w:r>
          </w:p>
        </w:tc>
      </w:tr>
      <w:tr>
        <w:trPr>
          <w:cantSplit/>
        </w:trPr>
        <w:tc>
          <w:tcPr>
            <w:tcW w:type="dxa" w:w="49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פוטנציאל פירות / הקרן</w:t>
            </w:r>
          </w:p>
        </w:tc>
        <w:tc>
          <w:tcPr>
            <w:tcW w:type="dxa" w:w="52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6.8 טענות פטור – "עילת גירושין = אין כתובה ואין מזונות"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b/>
          <w:bCs/>
          <w:color w:val="1F2430"/>
          <w:sz w:val="19"/>
          <w:szCs w:val="19"/>
          <w:rtl/>
        </w:rPr>
        <w:t>אין תוקף לנישואין</w:t>
      </w:r>
      <w:r>
        <w:rPr>
          <w:rFonts w:ascii="Arial" w:hAnsi="Arial" w:cs="Arial" w:eastAsia="Arial"/>
          <w:color w:val="1F2430"/>
          <w:sz w:val="19"/>
          <w:szCs w:val="19"/>
          <w:rtl/>
        </w:rPr>
        <w:t xml:space="preserve"> – ספק: "אין מוציאין ממון מספק" → אין כתובה ומזונות (גט לחומרא בכל זאת; אוה בסן). מכריע: ביה"ד; בימ"ש – אגבית, </w:t>
      </w:r>
      <w:r>
        <w:rPr>
          <w:rFonts w:ascii="Arial" w:hAnsi="Arial" w:cs="Arial" w:eastAsia="Arial"/>
          <w:color w:val="1F2430"/>
          <w:sz w:val="19"/>
          <w:szCs w:val="19"/>
          <w:highlight w:val="yellow"/>
          <w:rtl/>
        </w:rPr>
        <w:t>ס' 76 לחוק בתי המשפט</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b/>
          <w:bCs/>
          <w:color w:val="1F2430"/>
          <w:sz w:val="19"/>
          <w:szCs w:val="19"/>
          <w:rtl/>
        </w:rPr>
        <w:t>מעין מורדת</w:t>
      </w:r>
      <w:r>
        <w:rPr>
          <w:rFonts w:ascii="Arial" w:hAnsi="Arial" w:cs="Arial" w:eastAsia="Arial"/>
          <w:color w:val="1F2430"/>
          <w:sz w:val="19"/>
          <w:szCs w:val="19"/>
          <w:rtl/>
        </w:rPr>
        <w:t xml:space="preserve"> (אינה עמו) – </w:t>
      </w:r>
      <w:r>
        <w:rPr>
          <w:rFonts w:ascii="Arial" w:hAnsi="Arial" w:cs="Arial" w:eastAsia="Arial"/>
          <w:b/>
          <w:bCs/>
          <w:color w:val="1F2430"/>
          <w:sz w:val="19"/>
          <w:szCs w:val="19"/>
          <w:rtl/>
        </w:rPr>
        <w:t>מילר</w:t>
      </w:r>
      <w:r>
        <w:rPr>
          <w:rFonts w:ascii="Arial" w:hAnsi="Arial" w:cs="Arial" w:eastAsia="Arial"/>
          <w:color w:val="1F2430"/>
          <w:sz w:val="19"/>
          <w:szCs w:val="19"/>
          <w:rtl/>
        </w:rPr>
        <w:t xml:space="preserve">: יכולה להוכיח סיבה מוצדקת; נטל </w:t>
      </w:r>
      <w:r>
        <w:rPr>
          <w:rFonts w:ascii="Arial" w:hAnsi="Arial" w:cs="Arial" w:eastAsia="Arial"/>
          <w:color w:val="1F2430"/>
          <w:sz w:val="19"/>
          <w:szCs w:val="19"/>
          <w:highlight w:val="yellow"/>
          <w:rtl/>
        </w:rPr>
        <w:t>קל כנוצה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b/>
          <w:bCs/>
          <w:color w:val="1F2430"/>
          <w:sz w:val="19"/>
          <w:szCs w:val="19"/>
          <w:rtl/>
        </w:rPr>
        <w:t>מורדת</w:t>
      </w:r>
      <w:r>
        <w:rPr>
          <w:rFonts w:ascii="Arial" w:hAnsi="Arial" w:cs="Arial" w:eastAsia="Arial"/>
          <w:color w:val="1F2430"/>
          <w:sz w:val="19"/>
          <w:szCs w:val="19"/>
          <w:rtl/>
        </w:rPr>
        <w:t xml:space="preserve"> (מונעת תשמיש) – הליך </w:t>
      </w:r>
      <w:r>
        <w:rPr>
          <w:rFonts w:ascii="Arial" w:hAnsi="Arial" w:cs="Arial" w:eastAsia="Arial"/>
          <w:color w:val="1F2430"/>
          <w:sz w:val="19"/>
          <w:szCs w:val="19"/>
          <w:highlight w:val="yellow"/>
          <w:rtl/>
        </w:rPr>
        <w:t>י"ב חודשים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סמכות ייחודית לביה"ד</w:t>
      </w:r>
      <w:r>
        <w:rPr>
          <w:rFonts w:ascii="Arial" w:hAnsi="Arial" w:cs="Arial" w:eastAsia="Arial"/>
          <w:color w:val="1F2430"/>
          <w:sz w:val="19"/>
          <w:szCs w:val="19"/>
          <w:rtl/>
        </w:rPr>
        <w:t xml:space="preserve"> (ס' 1); הכרזה כללית מחייבת גם את בימ"ש.</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שרגאי</w:t>
      </w:r>
      <w:r>
        <w:rPr>
          <w:rFonts w:ascii="Arial" w:hAnsi="Arial" w:cs="Arial" w:eastAsia="Arial"/>
          <w:color w:val="1F2430"/>
          <w:sz w:val="19"/>
          <w:szCs w:val="19"/>
          <w:rtl/>
        </w:rPr>
        <w:t xml:space="preserve"> → ביה"ד קבע "</w:t>
      </w:r>
      <w:r>
        <w:rPr>
          <w:rFonts w:ascii="Arial" w:hAnsi="Arial" w:cs="Arial" w:eastAsia="Arial"/>
          <w:color w:val="1F2430"/>
          <w:sz w:val="19"/>
          <w:szCs w:val="19"/>
          <w:highlight w:val="yellow"/>
          <w:rtl/>
        </w:rPr>
        <w:t>לעניין המזונות</w:t>
      </w:r>
      <w:r>
        <w:rPr>
          <w:rFonts w:ascii="Arial" w:hAnsi="Arial" w:cs="Arial" w:eastAsia="Arial"/>
          <w:color w:val="1F2430"/>
          <w:sz w:val="19"/>
          <w:szCs w:val="19"/>
          <w:rtl/>
        </w:rPr>
        <w:t xml:space="preserve"> דינה כמורדת" אחרי שהאישה תבעה בבימ"ש → חריגה מסמכות.</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מקיטן</w:t>
      </w:r>
      <w:r>
        <w:rPr>
          <w:rFonts w:ascii="Arial" w:hAnsi="Arial" w:cs="Arial" w:eastAsia="Arial"/>
          <w:color w:val="1F2430"/>
          <w:sz w:val="19"/>
          <w:szCs w:val="19"/>
          <w:rtl/>
        </w:rPr>
        <w:t xml:space="preserve"> → בימ"ש כבר פסק מזונות = מעשה בית דין; הכרזה מאוחרת לא תחייבו אוטומטית.</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"אני רוצה להתגרש" ללא הצדקה → סיכון לכתובה, למורדת ולמזונות (תשובת המרצה).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4. </w:t>
      </w:r>
      <w:r>
        <w:tab/>
      </w:r>
      <w:r>
        <w:rPr>
          <w:rFonts w:ascii="Arial" w:hAnsi="Arial" w:cs="Arial" w:eastAsia="Arial"/>
          <w:b/>
          <w:bCs/>
          <w:color w:val="1F2430"/>
          <w:sz w:val="19"/>
          <w:szCs w:val="19"/>
          <w:rtl/>
        </w:rPr>
        <w:t>בגידה / מעשה כיעור</w:t>
      </w:r>
      <w:r>
        <w:rPr>
          <w:rFonts w:ascii="Arial" w:hAnsi="Arial" w:cs="Arial" w:eastAsia="Arial"/>
          <w:color w:val="1F2430"/>
          <w:sz w:val="19"/>
          <w:szCs w:val="19"/>
          <w:rtl/>
        </w:rPr>
        <w:t xml:space="preserve"> – עילות הבעל בלבד; שני עדים; הודאה לבדה אינה מספיקה בלי "רגליים לדבר".</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טביב</w:t>
      </w:r>
      <w:r>
        <w:rPr>
          <w:rFonts w:ascii="Arial" w:hAnsi="Arial" w:cs="Arial" w:eastAsia="Arial"/>
          <w:color w:val="1F2430"/>
          <w:sz w:val="19"/>
          <w:szCs w:val="19"/>
          <w:rtl/>
        </w:rPr>
        <w:t xml:space="preserve"> → קביעת ביה"ד = </w:t>
      </w:r>
      <w:r>
        <w:rPr>
          <w:rFonts w:ascii="Arial" w:hAnsi="Arial" w:cs="Arial" w:eastAsia="Arial"/>
          <w:color w:val="1F2430"/>
          <w:sz w:val="19"/>
          <w:szCs w:val="19"/>
          <w:highlight w:val="yellow"/>
          <w:rtl/>
        </w:rPr>
        <w:t>השתק פלוגתא לעובדות, לא למסקנות</w:t>
      </w:r>
      <w:r>
        <w:rPr>
          <w:rFonts w:ascii="Arial" w:hAnsi="Arial" w:cs="Arial" w:eastAsia="Arial"/>
          <w:color w:val="1F2430"/>
          <w:sz w:val="19"/>
          <w:szCs w:val="19"/>
          <w:rtl/>
        </w:rPr>
        <w:t>; המסקנה – לערכאה האזרחית שבה הוגשה התביעה.</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גל נ' גל; כהן נ' כהן</w:t>
      </w:r>
      <w:r>
        <w:rPr>
          <w:rFonts w:ascii="Arial" w:hAnsi="Arial" w:cs="Arial" w:eastAsia="Arial"/>
          <w:color w:val="1F2430"/>
          <w:sz w:val="19"/>
          <w:szCs w:val="19"/>
          <w:rtl/>
        </w:rPr>
        <w:t xml:space="preserve"> → "גבר שלא חי עם אשתו לא יכול לצפות שתשב בחיבוק ידיים".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5. </w:t>
      </w:r>
      <w:r>
        <w:tab/>
      </w:r>
      <w:r>
        <w:rPr>
          <w:rFonts w:ascii="Arial" w:hAnsi="Arial" w:cs="Arial" w:eastAsia="Arial"/>
          <w:b/>
          <w:bCs/>
          <w:color w:val="1F2430"/>
          <w:sz w:val="19"/>
          <w:szCs w:val="19"/>
          <w:rtl/>
        </w:rPr>
        <w:t>עוברת על דת משה</w:t>
      </w:r>
      <w:r>
        <w:rPr>
          <w:rFonts w:ascii="Arial" w:hAnsi="Arial" w:cs="Arial" w:eastAsia="Arial"/>
          <w:color w:val="1F2430"/>
          <w:sz w:val="19"/>
          <w:szCs w:val="19"/>
          <w:rtl/>
        </w:rPr>
        <w:t xml:space="preserve"> – מחטיאה במזיד; לא בשגגה, לא בכפייה, לא כשהבעל אינו מקפיד.</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6. </w:t>
      </w:r>
      <w:r>
        <w:tab/>
      </w:r>
      <w:r>
        <w:rPr>
          <w:rFonts w:ascii="Arial" w:hAnsi="Arial" w:cs="Arial" w:eastAsia="Arial"/>
          <w:b/>
          <w:bCs/>
          <w:color w:val="1F2430"/>
          <w:sz w:val="19"/>
          <w:szCs w:val="19"/>
          <w:rtl/>
        </w:rPr>
        <w:t>עוברת על דת יהודית</w:t>
      </w:r>
      <w:r>
        <w:rPr>
          <w:rFonts w:ascii="Arial" w:hAnsi="Arial" w:cs="Arial" w:eastAsia="Arial"/>
          <w:color w:val="1F2430"/>
          <w:sz w:val="19"/>
          <w:szCs w:val="19"/>
          <w:rtl/>
        </w:rPr>
        <w:t xml:space="preserve"> – פריצות, השפלה; נדרשת </w:t>
      </w:r>
      <w:r>
        <w:rPr>
          <w:rFonts w:ascii="Arial" w:hAnsi="Arial" w:cs="Arial" w:eastAsia="Arial"/>
          <w:color w:val="1F2430"/>
          <w:sz w:val="19"/>
          <w:szCs w:val="19"/>
          <w:highlight w:val="yellow"/>
          <w:rtl/>
        </w:rPr>
        <w:t>התמדה</w:t>
      </w:r>
      <w:r>
        <w:rPr>
          <w:rFonts w:ascii="Arial" w:hAnsi="Arial" w:cs="Arial" w:eastAsia="Arial"/>
          <w:color w:val="1F2430"/>
          <w:sz w:val="19"/>
          <w:szCs w:val="19"/>
          <w:rtl/>
        </w:rPr>
        <w:t>; לפי אורח חיי הזוג.</w:t>
      </w:r>
    </w:p>
    <w:tbl>
      <w:tblPr>
        <w:tblW w:type="dxa" w:w="10206"/>
        <w:jc w:val="center"/>
        <w:tblLook w:firstColumn="1" w:firstRow="1" w:lastColumn="0" w:lastRow="0" w:noHBand="0" w:noVBand="1" w:val="04A0"/>
        <w:bidiVisual/>
        <w:tblLayout w:type="fixed"/>
      </w:tblPr>
      <w:tblGrid>
        <w:gridCol w:w="3925"/>
        <w:gridCol w:w="3140"/>
        <w:gridCol w:w="3140"/>
      </w:tblGrid>
      <w:tr>
        <w:trPr>
          <w:tblHeader/>
        </w:trPr>
        <w:tc>
          <w:tcPr>
            <w:tcW w:type="dxa" w:w="392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עילה</w:t>
            </w:r>
          </w:p>
        </w:tc>
        <w:tc>
          <w:tcPr>
            <w:tcW w:type="dxa" w:w="3140"/>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הדדית</w:t>
            </w:r>
          </w:p>
        </w:tc>
        <w:tc>
          <w:tcPr>
            <w:tcW w:type="dxa" w:w="3140"/>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מחילה</w:t>
            </w:r>
          </w:p>
        </w:tc>
      </w:tr>
      <w:tr>
        <w:trPr>
          <w:cantSplit/>
        </w:trPr>
        <w:tc>
          <w:tcPr>
            <w:tcW w:type="dxa" w:w="39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בגידה</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לא</w:t>
            </w:r>
          </w:p>
        </w:tc>
      </w:tr>
      <w:tr>
        <w:trPr>
          <w:cantSplit/>
        </w:trPr>
        <w:tc>
          <w:tcPr>
            <w:tcW w:type="dxa" w:w="39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מעשה כיעור</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highlight w:val="yellow"/>
                <w:rtl/>
              </w:rPr>
              <w:t>כן</w:t>
            </w:r>
          </w:p>
        </w:tc>
      </w:tr>
      <w:tr>
        <w:trPr>
          <w:cantSplit/>
        </w:trPr>
        <w:tc>
          <w:tcPr>
            <w:tcW w:type="dxa" w:w="39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דת משה</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r>
        <w:trPr>
          <w:cantSplit/>
        </w:trPr>
        <w:tc>
          <w:tcPr>
            <w:tcW w:type="dxa" w:w="39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דת יהודית</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כן</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היתר לשאת אישה נוספת בגלל התנהגות האישה – עשוי לפגוע במזונותיה.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6.9 סרבנות גט מטעמים כלכליים – בע"מ 3151/14 (רובינשטיין, זילברטל, ברק-ארז)</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b/>
          <w:bCs/>
          <w:color w:val="1F2430"/>
          <w:sz w:val="19"/>
          <w:szCs w:val="19"/>
          <w:rtl/>
        </w:rPr>
        <w:t>מי קובע?</w:t>
      </w:r>
      <w:r>
        <w:rPr>
          <w:rFonts w:ascii="Arial" w:hAnsi="Arial" w:cs="Arial" w:eastAsia="Arial"/>
          <w:color w:val="1F2430"/>
          <w:sz w:val="19"/>
          <w:szCs w:val="19"/>
          <w:rtl/>
        </w:rPr>
        <w:t xml:space="preserve"> ביה"ד – סמכות ייחודית ("מות הנישואין"). גם בימ"ש – </w:t>
      </w:r>
      <w:r>
        <w:rPr>
          <w:rFonts w:ascii="Arial" w:hAnsi="Arial" w:cs="Arial" w:eastAsia="Arial"/>
          <w:color w:val="1F2430"/>
          <w:sz w:val="19"/>
          <w:szCs w:val="19"/>
          <w:highlight w:val="yellow"/>
          <w:rtl/>
        </w:rPr>
        <w:t>סמכות אגבית, ס' 76</w:t>
      </w:r>
      <w:r>
        <w:rPr>
          <w:rFonts w:ascii="Arial" w:hAnsi="Arial" w:cs="Arial" w:eastAsia="Arial"/>
          <w:color w:val="1F2430"/>
          <w:sz w:val="19"/>
          <w:szCs w:val="19"/>
          <w:rtl/>
        </w:rPr>
        <w:t xml:space="preserve"> (רובינשטיין וזילברטל), ללא מעשה בית דין.</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b/>
          <w:bCs/>
          <w:color w:val="1F2430"/>
          <w:sz w:val="19"/>
          <w:szCs w:val="19"/>
          <w:rtl/>
        </w:rPr>
        <w:t>שלילה אוטומטית?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לא</w:t>
      </w:r>
      <w:r>
        <w:rPr>
          <w:rFonts w:ascii="Arial" w:hAnsi="Arial" w:cs="Arial" w:eastAsia="Arial"/>
          <w:color w:val="1F2430"/>
          <w:sz w:val="19"/>
          <w:szCs w:val="19"/>
          <w:rtl/>
        </w:rPr>
        <w:t>. בוחנים: מניע (נקמה/סחטנות מול חשש קיומי); יכולת קיום אחרי הגירושין (רכוש; מזונות עד חלוקת רכוש); קרבה לפרישה; השתלבות בעבודה.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b/>
          <w:bCs/>
          <w:color w:val="1F2430"/>
          <w:sz w:val="19"/>
          <w:szCs w:val="19"/>
          <w:rtl/>
        </w:rPr>
        <w:t>אמרת אגב:</w:t>
      </w:r>
      <w:r>
        <w:rPr>
          <w:rFonts w:ascii="Arial" w:hAnsi="Arial" w:cs="Arial" w:eastAsia="Arial"/>
          <w:color w:val="1F2430"/>
          <w:sz w:val="19"/>
          <w:szCs w:val="19"/>
          <w:rtl/>
        </w:rPr>
        <w:t xml:space="preserve"> אין מניעה למזונות חוזיים גם בנישואין כדמו"י – לפי המרצה: </w:t>
      </w:r>
      <w:r>
        <w:rPr>
          <w:rFonts w:ascii="Arial" w:hAnsi="Arial" w:cs="Arial" w:eastAsia="Arial"/>
          <w:color w:val="1F2430"/>
          <w:sz w:val="19"/>
          <w:szCs w:val="19"/>
          <w:highlight w:val="yellow"/>
          <w:rtl/>
        </w:rPr>
        <w:t>מיעוט, טרם יושם</w:t>
      </w:r>
      <w:r>
        <w:rPr>
          <w:rFonts w:ascii="Arial" w:hAnsi="Arial" w:cs="Arial" w:eastAsia="Arial"/>
          <w:color w:val="1F2430"/>
          <w:sz w:val="19"/>
          <w:szCs w:val="19"/>
          <w:rtl/>
        </w:rPr>
        <w:t>.</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6.10 סמכות נמשכת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שינוי נסיבות → פתיחה מחדש באותה ערכאה (פרק 4). בגידה אחרי פסק המזונות = שינוי נסיבות.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בעל שמעכב את הגט – האישה "</w:t>
      </w:r>
      <w:r>
        <w:rPr>
          <w:rFonts w:ascii="Arial" w:hAnsi="Arial" w:cs="Arial" w:eastAsia="Arial"/>
          <w:color w:val="1F2430"/>
          <w:sz w:val="19"/>
          <w:szCs w:val="19"/>
          <w:highlight w:val="yellow"/>
          <w:rtl/>
        </w:rPr>
        <w:t>מעוכבת מחמתו</w:t>
      </w:r>
      <w:r>
        <w:rPr>
          <w:rFonts w:ascii="Arial" w:hAnsi="Arial" w:cs="Arial" w:eastAsia="Arial"/>
          <w:color w:val="1F2430"/>
          <w:sz w:val="19"/>
          <w:szCs w:val="19"/>
          <w:rtl/>
        </w:rPr>
        <w:t>" ועשויה להמשיך להיות זכאית.</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6.11 שתי הערכאות</w:t>
      </w:r>
    </w:p>
    <w:tbl>
      <w:tblPr>
        <w:tblW w:type="dxa" w:w="10206"/>
        <w:jc w:val="center"/>
        <w:tblLook w:firstColumn="1" w:firstRow="1" w:lastColumn="0" w:lastRow="0" w:noHBand="0" w:noVBand="1" w:val="04A0"/>
        <w:bidiVisual/>
        <w:tblLayout w:type="fixed"/>
      </w:tblPr>
      <w:tblGrid>
        <w:gridCol w:w="2822"/>
        <w:gridCol w:w="3257"/>
        <w:gridCol w:w="4125"/>
      </w:tblGrid>
      <w:tr>
        <w:trPr>
          <w:tblHeader/>
        </w:trPr>
        <w:tc>
          <w:tcPr>
            <w:tcW w:type="dxa" w:w="282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p>
        </w:tc>
        <w:tc>
          <w:tcPr>
            <w:tcW w:type="dxa" w:w="3257"/>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ביה"ד הרבני</w:t>
            </w:r>
          </w:p>
        </w:tc>
        <w:tc>
          <w:tcPr>
            <w:tcW w:type="dxa" w:w="412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בימ"ש לענייני משפחה</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דין</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תורה</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תורה (ס' 2(א))</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מדור</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ספציפי</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חלופי אפשרי</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מורדת</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מכריז (ייחודי)</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כפוף להכרזה כללית</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בגידה</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עובדות + מסקנות</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השתק רק לעובדות</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סרבנות כלכלית</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אגבי (ס' 76)</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6.12 עץ החלטה לאירוע במבחן</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b/>
          <w:bCs/>
          <w:color w:val="1F2430"/>
          <w:sz w:val="19"/>
          <w:szCs w:val="19"/>
          <w:rtl/>
        </w:rPr>
        <w:t>מי התובעת והיכן?</w:t>
      </w:r>
      <w:r>
        <w:rPr>
          <w:rFonts w:ascii="Arial" w:hAnsi="Arial" w:cs="Arial" w:eastAsia="Arial"/>
          <w:color w:val="1F2430"/>
          <w:sz w:val="19"/>
          <w:szCs w:val="19"/>
          <w:rtl/>
        </w:rPr>
        <w:t xml:space="preserve"> אישה יהודייה – יכולה לבחור: ביה"ד (ס' 4) או בימ"ש. בעל – רק בכריכה לתביעת גירושין (ס' 3). מי הקדים? (פרק 3).</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b/>
          <w:bCs/>
          <w:color w:val="1F2430"/>
          <w:sz w:val="19"/>
          <w:szCs w:val="19"/>
          <w:rtl/>
        </w:rPr>
        <w:t>איזה דין?</w:t>
      </w:r>
      <w:r>
        <w:rPr>
          <w:rFonts w:ascii="Arial" w:hAnsi="Arial" w:cs="Arial" w:eastAsia="Arial"/>
          <w:color w:val="1F2430"/>
          <w:sz w:val="19"/>
          <w:szCs w:val="19"/>
          <w:rtl/>
        </w:rPr>
        <w:t xml:space="preserve"> נשואים כדמו"י → דין תורה בשתי הערכאות (ס' 2(א)). נשואים אזרחית/ידועים בציבור → פרק 8.</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b/>
          <w:bCs/>
          <w:color w:val="1F2430"/>
          <w:sz w:val="19"/>
          <w:szCs w:val="19"/>
          <w:rtl/>
        </w:rPr>
        <w:t>האם יש חיוב?</w:t>
      </w:r>
      <w:r>
        <w:rPr>
          <w:rFonts w:ascii="Arial" w:hAnsi="Arial" w:cs="Arial" w:eastAsia="Arial"/>
          <w:color w:val="1F2430"/>
          <w:sz w:val="19"/>
          <w:szCs w:val="19"/>
          <w:rtl/>
        </w:rPr>
        <w:t xml:space="preserve"> בדקו תוקף נישואין (ספק → אין מזונות).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4. </w:t>
      </w:r>
      <w:r>
        <w:tab/>
      </w:r>
      <w:r>
        <w:rPr>
          <w:rFonts w:ascii="Arial" w:hAnsi="Arial" w:cs="Arial" w:eastAsia="Arial"/>
          <w:b/>
          <w:bCs/>
          <w:color w:val="1F2430"/>
          <w:sz w:val="19"/>
          <w:szCs w:val="19"/>
          <w:rtl/>
        </w:rPr>
        <w:t>שיעור:</w:t>
      </w:r>
      <w:r>
        <w:rPr>
          <w:rFonts w:ascii="Arial" w:hAnsi="Arial" w:cs="Arial" w:eastAsia="Arial"/>
          <w:color w:val="1F2430"/>
          <w:sz w:val="19"/>
          <w:szCs w:val="19"/>
          <w:rtl/>
        </w:rPr>
        <w:t xml:space="preserve"> עולה עמו; כדי צרכיה; מדור (ספציפי או חלופי – לפי הערכאה).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5. </w:t>
      </w:r>
      <w:r>
        <w:tab/>
      </w:r>
      <w:r>
        <w:rPr>
          <w:rFonts w:ascii="Arial" w:hAnsi="Arial" w:cs="Arial" w:eastAsia="Arial"/>
          <w:b/>
          <w:bCs/>
          <w:color w:val="1F2430"/>
          <w:sz w:val="19"/>
          <w:szCs w:val="19"/>
          <w:rtl/>
        </w:rPr>
        <w:t>טענות קיזוז:</w:t>
      </w:r>
      <w:r>
        <w:rPr>
          <w:rFonts w:ascii="Arial" w:hAnsi="Arial" w:cs="Arial" w:eastAsia="Arial"/>
          <w:color w:val="1F2430"/>
          <w:sz w:val="19"/>
          <w:szCs w:val="19"/>
          <w:rtl/>
        </w:rPr>
        <w:t xml:space="preserve"> האם האישה משתכרת בפועל? יש לה פירות בפועל? הבעל טוען לפוטנציאל → פלולי + הפרמטרים.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6. </w:t>
      </w:r>
      <w:r>
        <w:tab/>
      </w:r>
      <w:r>
        <w:rPr>
          <w:rFonts w:ascii="Arial" w:hAnsi="Arial" w:cs="Arial" w:eastAsia="Arial"/>
          <w:b/>
          <w:bCs/>
          <w:color w:val="1F2430"/>
          <w:sz w:val="19"/>
          <w:szCs w:val="19"/>
          <w:rtl/>
        </w:rPr>
        <w:t>טענות פטור:</w:t>
      </w:r>
      <w:r>
        <w:rPr>
          <w:rFonts w:ascii="Arial" w:hAnsi="Arial" w:cs="Arial" w:eastAsia="Arial"/>
          <w:color w:val="1F2430"/>
          <w:sz w:val="19"/>
          <w:szCs w:val="19"/>
          <w:rtl/>
        </w:rPr>
        <w:t xml:space="preserve"> איזו עילה? מי קבע אותה ומתי? הכרזה כללית או "לעניין המזונות"? קדמה לה פסיקת מזונות (מקיטן)? הוכחה בשני עדים? יש הדדיות/מחילה?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7. </w:t>
      </w:r>
      <w:r>
        <w:tab/>
      </w:r>
      <w:r>
        <w:rPr>
          <w:rFonts w:ascii="Arial" w:hAnsi="Arial" w:cs="Arial" w:eastAsia="Arial"/>
          <w:b/>
          <w:bCs/>
          <w:color w:val="1F2430"/>
          <w:sz w:val="19"/>
          <w:szCs w:val="19"/>
          <w:rtl/>
        </w:rPr>
        <w:t>סרבנות גט?</w:t>
      </w:r>
      <w:r>
        <w:rPr>
          <w:rFonts w:ascii="Arial" w:hAnsi="Arial" w:cs="Arial" w:eastAsia="Arial"/>
          <w:color w:val="1F2430"/>
          <w:sz w:val="19"/>
          <w:szCs w:val="19"/>
          <w:rtl/>
        </w:rPr>
        <w:t xml:space="preserve"> ס' 76 + שלושת השיקולים; אין שלילה אוטומטית.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8. </w:t>
      </w:r>
      <w:r>
        <w:tab/>
      </w:r>
      <w:r>
        <w:rPr>
          <w:rFonts w:ascii="Arial" w:hAnsi="Arial" w:cs="Arial" w:eastAsia="Arial"/>
          <w:b/>
          <w:bCs/>
          <w:color w:val="1F2430"/>
          <w:sz w:val="19"/>
          <w:szCs w:val="19"/>
          <w:rtl/>
        </w:rPr>
        <w:t>שינוי נסיבות?</w:t>
      </w:r>
      <w:r>
        <w:rPr>
          <w:rFonts w:ascii="Arial" w:hAnsi="Arial" w:cs="Arial" w:eastAsia="Arial"/>
          <w:color w:val="1F2430"/>
          <w:sz w:val="19"/>
          <w:szCs w:val="19"/>
          <w:rtl/>
        </w:rPr>
        <w:t xml:space="preserve"> פתיחה מחדש באותה ערכאה; "מעוכבת מחמתו".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אירוע לדוגמה</w:t>
            </w:r>
          </w:p>
          <w:p>
            <w:pPr>
              <w:bidi/>
              <w:spacing w:before="0" w:after="60" w:line="300" w:lineRule="auto"/>
              <w:jc w:val="both"/>
            </w:pPr>
            <w:r>
              <w:rPr>
                <w:rFonts w:ascii="Arial" w:hAnsi="Arial" w:cs="Arial" w:eastAsia="Arial"/>
                <w:color w:val="1F2430"/>
                <w:sz w:val="18"/>
                <w:szCs w:val="18"/>
                <w:rtl/>
              </w:rPr>
              <w:t xml:space="preserve">אסתי עזבה את הבית בשל אלימות מאיר ותבעה מזונות אישה בבימ"ש לענייני משפחה. מאיר מיהר לביה"ד, שהכריז עליה מורדת לכל דין. אם </w:t>
            </w:r>
            <w:r>
              <w:rPr>
                <w:rFonts w:ascii="Arial" w:hAnsi="Arial" w:cs="Arial" w:eastAsia="Arial"/>
                <w:b/>
                <w:bCs/>
                <w:color w:val="1F2430"/>
                <w:sz w:val="18"/>
                <w:szCs w:val="18"/>
                <w:rtl/>
              </w:rPr>
              <w:t>טרם</w:t>
            </w:r>
            <w:r>
              <w:rPr>
                <w:rFonts w:ascii="Arial" w:hAnsi="Arial" w:cs="Arial" w:eastAsia="Arial"/>
                <w:color w:val="1F2430"/>
                <w:sz w:val="18"/>
                <w:szCs w:val="18"/>
                <w:rtl/>
              </w:rPr>
              <w:t xml:space="preserve"> נפסקו מזונות – בימ"ש יקבל את ההכרזה הכללית (היא מחייבת). אם בימ"ש </w:t>
            </w:r>
            <w:r>
              <w:rPr>
                <w:rFonts w:ascii="Arial" w:hAnsi="Arial" w:cs="Arial" w:eastAsia="Arial"/>
                <w:b/>
                <w:bCs/>
                <w:color w:val="1F2430"/>
                <w:sz w:val="18"/>
                <w:szCs w:val="18"/>
                <w:rtl/>
              </w:rPr>
              <w:t>כבר פסק</w:t>
            </w:r>
            <w:r>
              <w:rPr>
                <w:rFonts w:ascii="Arial" w:hAnsi="Arial" w:cs="Arial" w:eastAsia="Arial"/>
                <w:color w:val="1F2430"/>
                <w:sz w:val="18"/>
                <w:szCs w:val="18"/>
                <w:rtl/>
              </w:rPr>
              <w:t xml:space="preserve"> מזונות – נוצר מעשה בית דין, וההכרזה המאוחרת לא תחייבו אוטומטית (מקיטן). ואם ביה"ד היה קובע רק "לעניין המזונות" – חריגה מסמכות (שרגאי). בנוסף, אסתי יכולה לטעון שאינה עמו מסיבה מוצדקת (מילר – קל כנוצה).</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מלכודות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שני "שרגאי":</w:t>
      </w:r>
      <w:r>
        <w:rPr>
          <w:rFonts w:ascii="Arial" w:hAnsi="Arial" w:cs="Arial" w:eastAsia="Arial"/>
          <w:color w:val="1F2430"/>
          <w:sz w:val="19"/>
          <w:szCs w:val="19"/>
          <w:rtl/>
        </w:rPr>
        <w:t xml:space="preserve"> מורדת ("לעניין המזונות") ≠ שרגאי של כריכת מזונות ילדים (רק השבה – פרקים 3, 10).</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שני "מילר":</w:t>
      </w:r>
      <w:r>
        <w:rPr>
          <w:rFonts w:ascii="Arial" w:hAnsi="Arial" w:cs="Arial" w:eastAsia="Arial"/>
          <w:color w:val="1F2430"/>
          <w:sz w:val="19"/>
          <w:szCs w:val="19"/>
          <w:rtl/>
        </w:rPr>
        <w:t xml:space="preserve"> מעין מורדת ≠ שושנה מילר (רישום גיור – פרק 9).</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שני "גולדנברג":</w:t>
      </w:r>
      <w:r>
        <w:rPr>
          <w:rFonts w:ascii="Arial" w:hAnsi="Arial" w:cs="Arial" w:eastAsia="Arial"/>
          <w:color w:val="1F2430"/>
          <w:sz w:val="19"/>
          <w:szCs w:val="19"/>
          <w:rtl/>
        </w:rPr>
        <w:t xml:space="preserve"> מדור ספציפי (בג"ץ 207/04) ≠ זיקה לישראל בס' 4 (קנול וגולדנברג – פרק 3).</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סידיס</w:t>
      </w:r>
      <w:r>
        <w:rPr>
          <w:rFonts w:ascii="Arial" w:hAnsi="Arial" w:cs="Arial" w:eastAsia="Arial"/>
          <w:color w:val="1F2430"/>
          <w:sz w:val="19"/>
          <w:szCs w:val="19"/>
          <w:rtl/>
        </w:rPr>
        <w:t xml:space="preserve"> – גם הלכת "ענייני הממון נשרו מענייני הנישואין, למעט הכתובה" (פרק 2), וגם דחיית קיזוז פירות לפני 1976.</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שמגר בחקק</w:t>
      </w:r>
      <w:r>
        <w:rPr>
          <w:rFonts w:ascii="Arial" w:hAnsi="Arial" w:cs="Arial" w:eastAsia="Arial"/>
          <w:color w:val="1F2430"/>
          <w:sz w:val="19"/>
          <w:szCs w:val="19"/>
          <w:rtl/>
        </w:rPr>
        <w:t xml:space="preserve"> – מיעוט; אל תבחרו "כל מקור הכנסה".</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ביקל ופדן</w:t>
      </w:r>
      <w:r>
        <w:rPr>
          <w:rFonts w:ascii="Arial" w:hAnsi="Arial" w:cs="Arial" w:eastAsia="Arial"/>
          <w:color w:val="1F2430"/>
          <w:sz w:val="19"/>
          <w:szCs w:val="19"/>
          <w:rtl/>
        </w:rPr>
        <w:t xml:space="preserve"> – אינם ההלכה הנוהגת; פלולי הפך אותם לחריג.</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השתק פלוגתא</w:t>
      </w:r>
      <w:r>
        <w:rPr>
          <w:rFonts w:ascii="Arial" w:hAnsi="Arial" w:cs="Arial" w:eastAsia="Arial"/>
          <w:color w:val="1F2430"/>
          <w:sz w:val="19"/>
          <w:szCs w:val="19"/>
          <w:rtl/>
        </w:rPr>
        <w:t xml:space="preserve"> – לעובדות בלבד, לא למסקנות (טביב).</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מזונות חוזיים</w:t>
      </w:r>
      <w:r>
        <w:rPr>
          <w:rFonts w:ascii="Arial" w:hAnsi="Arial" w:cs="Arial" w:eastAsia="Arial"/>
          <w:color w:val="1F2430"/>
          <w:sz w:val="19"/>
          <w:szCs w:val="19"/>
          <w:rtl/>
        </w:rPr>
        <w:t xml:space="preserve"> – לא לנשואים כדמו"י (8256/99; אמרת האגב ב-3151/14 – מיעוט).</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2(א) – דין אישי בשתי הערכאות; ס' 2(ב) – אזרחי למי שאין לו דין אישי.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10, 11 (וגם 2א) – פרוצדורליים, חלים על כולם.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עולה עמו; כדי צרכיה; לא מרכושה. כליפה מול אקנין; יאיר וגולדנברג; סייגי דיכובסקי.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מזור → ביקל, פדן → </w:t>
            </w:r>
            <w:r>
              <w:rPr>
                <w:rFonts w:ascii="Arial" w:hAnsi="Arial" w:cs="Arial" w:eastAsia="Arial"/>
                <w:color w:val="1F2430"/>
                <w:sz w:val="18"/>
                <w:szCs w:val="18"/>
                <w:highlight w:val="yellow"/>
                <w:rtl/>
              </w:rPr>
              <w:t>פלולי</w:t>
            </w:r>
            <w:r>
              <w:rPr>
                <w:rFonts w:ascii="Arial" w:hAnsi="Arial" w:cs="Arial" w:eastAsia="Arial"/>
                <w:color w:val="1F2430"/>
                <w:sz w:val="18"/>
                <w:szCs w:val="18"/>
                <w:rtl/>
              </w:rPr>
              <w:t>: אין קיזוז פוטנציאל, למעט חריג, נטל על הבעל.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שיווי זכויות (1951) → סידיס → ס' 2א (1976) → </w:t>
            </w:r>
            <w:r>
              <w:rPr>
                <w:rFonts w:ascii="Arial" w:hAnsi="Arial" w:cs="Arial" w:eastAsia="Arial"/>
                <w:color w:val="1F2430"/>
                <w:sz w:val="18"/>
                <w:szCs w:val="18"/>
                <w:highlight w:val="yellow"/>
                <w:rtl/>
              </w:rPr>
              <w:t>חקק (אלון)</w:t>
            </w:r>
            <w:r>
              <w:rPr>
                <w:rFonts w:ascii="Arial" w:hAnsi="Arial" w:cs="Arial" w:eastAsia="Arial"/>
                <w:color w:val="1F2430"/>
                <w:sz w:val="18"/>
                <w:szCs w:val="18"/>
                <w:rtl/>
              </w:rPr>
              <w:t>: רק פירות בפועל.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"אינני ניזונת ואינני עושה" – אפשר; ויתור על פירות/פדיון – אי אפשר.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מילר – קל כנוצה; שרגאי – "לעניין המזונות" = חריגה; טביב – השתק לעובדות בלבד.</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בגידה – אין מחילה; כיעור – יש; דת משה/יהודית – הדדיות ומחילה.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3151/14 – ס' 76; אין שלילה אוטומטית.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3949AB"/>
            <w:tcBorders>
              <w:top w:val="single" w:sz="4" w:space="0" w:color="3949AB"/>
              <w:left w:val="single" w:sz="4" w:space="0" w:color="3949AB"/>
              <w:bottom w:val="single" w:sz="4" w:space="0" w:color="3949AB"/>
              <w:right w:val="single" w:sz="4" w:space="0" w:color="3949AB"/>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7</w:t>
            </w:r>
          </w:p>
          <w:p>
            <w:pPr>
              <w:bidi/>
              <w:spacing w:before="0" w:after="0" w:line="264" w:lineRule="auto"/>
              <w:outlineLvl w:val="0"/>
            </w:pPr>
            <w:r>
              <w:rPr>
                <w:rFonts w:ascii="Arial" w:hAnsi="Arial" w:cs="Arial" w:eastAsia="Arial"/>
                <w:b/>
                <w:bCs/>
                <w:color w:val="FFFFFF"/>
                <w:sz w:val="42"/>
                <w:szCs w:val="42"/>
                <w:rtl/>
              </w:rPr>
              <w:t>נישואין בדין הדתי ובעיות הכשרות</w:t>
            </w:r>
          </w:p>
        </w:tc>
      </w:tr>
    </w:tbl>
    <w:p>
      <w:pPr>
        <w:bidi/>
        <w:spacing w:after="0" w:before="0" w:line="20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מפת הפרק</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נקודת המוצא: </w:t>
      </w:r>
      <w:r>
        <w:rPr>
          <w:rFonts w:ascii="Arial" w:hAnsi="Arial" w:cs="Arial" w:eastAsia="Arial"/>
          <w:b/>
          <w:bCs/>
          <w:color w:val="1F2430"/>
          <w:sz w:val="19"/>
          <w:szCs w:val="19"/>
          <w:rtl/>
        </w:rPr>
        <w:t>סעיף 2 לחוק שיפוט בתי דין רבניים</w:t>
      </w:r>
      <w:r>
        <w:rPr>
          <w:rFonts w:ascii="Arial" w:hAnsi="Arial" w:cs="Arial" w:eastAsia="Arial"/>
          <w:color w:val="1F2430"/>
          <w:sz w:val="19"/>
          <w:szCs w:val="19"/>
          <w:rtl/>
        </w:rPr>
        <w:t xml:space="preserve"> – נישואין וגירושין של יהודים נערכים לפי דין תורה.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תוקף נישואין דתיים = </w:t>
      </w:r>
      <w:r>
        <w:rPr>
          <w:rFonts w:ascii="Arial" w:hAnsi="Arial" w:cs="Arial" w:eastAsia="Arial"/>
          <w:b/>
          <w:bCs/>
          <w:color w:val="1F2430"/>
          <w:sz w:val="19"/>
          <w:szCs w:val="19"/>
          <w:rtl/>
        </w:rPr>
        <w:t>כושר</w:t>
      </w:r>
      <w:r>
        <w:rPr>
          <w:rFonts w:ascii="Arial" w:hAnsi="Arial" w:cs="Arial" w:eastAsia="Arial"/>
          <w:color w:val="1F2430"/>
          <w:sz w:val="19"/>
          <w:szCs w:val="19"/>
          <w:rtl/>
        </w:rPr>
        <w:t xml:space="preserve"> (מי רשאי) + </w:t>
      </w:r>
      <w:r>
        <w:rPr>
          <w:rFonts w:ascii="Arial" w:hAnsi="Arial" w:cs="Arial" w:eastAsia="Arial"/>
          <w:b/>
          <w:bCs/>
          <w:color w:val="1F2430"/>
          <w:sz w:val="19"/>
          <w:szCs w:val="19"/>
          <w:rtl/>
        </w:rPr>
        <w:t>צורה</w:t>
      </w:r>
      <w:r>
        <w:rPr>
          <w:rFonts w:ascii="Arial" w:hAnsi="Arial" w:cs="Arial" w:eastAsia="Arial"/>
          <w:color w:val="1F2430"/>
          <w:sz w:val="19"/>
          <w:szCs w:val="19"/>
          <w:rtl/>
        </w:rPr>
        <w:t xml:space="preserve"> (מה המעשה).</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1. הצורה: טקס הנישואין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שני שלבים</w:t>
      </w:r>
    </w:p>
    <w:tbl>
      <w:tblPr>
        <w:tblW w:type="dxa" w:w="10206"/>
        <w:jc w:val="center"/>
        <w:tblLook w:firstColumn="1" w:firstRow="1" w:lastColumn="0" w:lastRow="0" w:noHBand="0" w:noVBand="1" w:val="04A0"/>
        <w:bidiVisual/>
        <w:tblLayout w:type="fixed"/>
      </w:tblPr>
      <w:tblGrid>
        <w:gridCol w:w="1563"/>
        <w:gridCol w:w="3769"/>
        <w:gridCol w:w="4873"/>
      </w:tblGrid>
      <w:tr>
        <w:trPr>
          <w:tblHeader/>
        </w:trPr>
        <w:tc>
          <w:tcPr>
            <w:tcW w:type="dxa" w:w="156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שלב</w:t>
            </w:r>
          </w:p>
        </w:tc>
        <w:tc>
          <w:tcPr>
            <w:tcW w:type="dxa" w:w="3769"/>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כולל</w:t>
            </w:r>
          </w:p>
        </w:tc>
        <w:tc>
          <w:tcPr>
            <w:tcW w:type="dxa" w:w="487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הערה</w:t>
            </w:r>
          </w:p>
        </w:tc>
      </w:tr>
      <w:tr>
        <w:trPr>
          <w:cantSplit/>
        </w:trPr>
        <w:tc>
          <w:tcPr>
            <w:tcW w:type="dxa" w:w="156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קידושין (אירוסין)</w:t>
            </w:r>
          </w:p>
        </w:tc>
        <w:tc>
          <w:tcPr>
            <w:tcW w:type="dxa" w:w="37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ברכות, טבעת, "הרי את מקודשת לי", שני עדים</w:t>
            </w:r>
          </w:p>
        </w:tc>
        <w:tc>
          <w:tcPr>
            <w:tcW w:type="dxa" w:w="487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מכאן היא "אשת איש"; חרטה = גט</w:t>
            </w:r>
          </w:p>
        </w:tc>
      </w:tr>
      <w:tr>
        <w:trPr>
          <w:cantSplit/>
        </w:trPr>
        <w:tc>
          <w:tcPr>
            <w:tcW w:type="dxa" w:w="156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נישואין</w:t>
            </w:r>
          </w:p>
        </w:tc>
        <w:tc>
          <w:tcPr>
            <w:tcW w:type="dxa" w:w="37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הקראת הכתובה, חופה</w:t>
            </w:r>
          </w:p>
        </w:tc>
        <w:tc>
          <w:tcPr>
            <w:tcW w:type="dxa" w:w="487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בעבר שנה אחרי הקידושין; חז"ל איחדו לטקס אחד "רב רושם"</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שלוש דרכי הקידושין</w:t>
      </w:r>
    </w:p>
    <w:tbl>
      <w:tblPr>
        <w:tblW w:type="dxa" w:w="10206"/>
        <w:jc w:val="center"/>
        <w:tblLook w:firstColumn="1" w:firstRow="1" w:lastColumn="0" w:lastRow="0" w:noHBand="0" w:noVBand="1" w:val="04A0"/>
        <w:bidiVisual/>
        <w:tblLayout w:type="fixed"/>
      </w:tblPr>
      <w:tblGrid>
        <w:gridCol w:w="1233"/>
        <w:gridCol w:w="3893"/>
        <w:gridCol w:w="5079"/>
      </w:tblGrid>
      <w:tr>
        <w:trPr>
          <w:tblHeader/>
        </w:trPr>
        <w:tc>
          <w:tcPr>
            <w:tcW w:type="dxa" w:w="123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דרך</w:t>
            </w:r>
          </w:p>
        </w:tc>
        <w:tc>
          <w:tcPr>
            <w:tcW w:type="dxa" w:w="389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מהות</w:t>
            </w:r>
          </w:p>
        </w:tc>
        <w:tc>
          <w:tcPr>
            <w:tcW w:type="dxa" w:w="5078"/>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נקודה למבחן</w:t>
            </w:r>
          </w:p>
        </w:tc>
      </w:tr>
      <w:tr>
        <w:trPr>
          <w:cantSplit/>
        </w:trPr>
        <w:tc>
          <w:tcPr>
            <w:tcW w:type="dxa" w:w="12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כסף</w:t>
            </w:r>
          </w:p>
        </w:tc>
        <w:tc>
          <w:tcPr>
            <w:tcW w:type="dxa" w:w="389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שווה פרוטה (לא חובה טבעת)</w:t>
            </w:r>
          </w:p>
        </w:tc>
        <w:tc>
          <w:tcPr>
            <w:tcW w:type="dxa" w:w="507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הדרך המקובלת כיום</w:t>
            </w:r>
          </w:p>
        </w:tc>
      </w:tr>
      <w:tr>
        <w:trPr>
          <w:cantSplit/>
        </w:trPr>
        <w:tc>
          <w:tcPr>
            <w:tcW w:type="dxa" w:w="12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שטר</w:t>
            </w:r>
          </w:p>
        </w:tc>
        <w:tc>
          <w:tcPr>
            <w:tcW w:type="dxa" w:w="389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"הרי את מקודשת לי" בכתב, נמסר לאישה</w:t>
            </w:r>
          </w:p>
        </w:tc>
        <w:tc>
          <w:tcPr>
            <w:tcW w:type="dxa" w:w="507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טפסי קפריסין אינם קידושי שטר לפי רוב הפוסקים (דקלרטיביים, לא קונסטיטוטיביים)</w:t>
            </w:r>
          </w:p>
        </w:tc>
      </w:tr>
      <w:tr>
        <w:trPr>
          <w:cantSplit/>
        </w:trPr>
        <w:tc>
          <w:tcPr>
            <w:tcW w:type="dxa" w:w="12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ביאה</w:t>
            </w:r>
          </w:p>
        </w:tc>
        <w:tc>
          <w:tcPr>
            <w:tcW w:type="dxa" w:w="389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יחסי אישות לשם קידושין, העדים שומעים את המילים</w:t>
            </w:r>
          </w:p>
        </w:tc>
        <w:tc>
          <w:tcPr>
            <w:tcW w:type="dxa" w:w="507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אסורה מדרבנן (פריצות) אך תופסת</w:t>
            </w:r>
            <w:r>
              <w:rPr>
                <w:rFonts w:ascii="Arial" w:hAnsi="Arial" w:cs="Arial" w:eastAsia="Arial"/>
                <w:color w:val="1F2430"/>
                <w:sz w:val="17"/>
                <w:szCs w:val="17"/>
                <w:rtl/>
              </w:rPr>
              <w:t xml:space="preserve"> – מקור הספק בנישואין אזרחיים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תנאים מצטברים מדין תורה:</w:t>
      </w:r>
      <w:r>
        <w:rPr>
          <w:rFonts w:ascii="Arial" w:hAnsi="Arial" w:cs="Arial" w:eastAsia="Arial"/>
          <w:color w:val="1F2430"/>
          <w:sz w:val="19"/>
          <w:szCs w:val="19"/>
          <w:rtl/>
        </w:rPr>
        <w:t xml:space="preserve"> דרך קידושין + </w:t>
      </w:r>
      <w:r>
        <w:rPr>
          <w:rFonts w:ascii="Arial" w:hAnsi="Arial" w:cs="Arial" w:eastAsia="Arial"/>
          <w:b/>
          <w:bCs/>
          <w:color w:val="1F2430"/>
          <w:sz w:val="19"/>
          <w:szCs w:val="19"/>
          <w:rtl/>
        </w:rPr>
        <w:t>כוונה</w:t>
      </w:r>
      <w:r>
        <w:rPr>
          <w:rFonts w:ascii="Arial" w:hAnsi="Arial" w:cs="Arial" w:eastAsia="Arial"/>
          <w:color w:val="1F2430"/>
          <w:sz w:val="19"/>
          <w:szCs w:val="19"/>
          <w:rtl/>
        </w:rPr>
        <w:t xml:space="preserve"> + </w:t>
      </w:r>
      <w:r>
        <w:rPr>
          <w:rFonts w:ascii="Arial" w:hAnsi="Arial" w:cs="Arial" w:eastAsia="Arial"/>
          <w:b/>
          <w:bCs/>
          <w:color w:val="1F2430"/>
          <w:sz w:val="19"/>
          <w:szCs w:val="19"/>
          <w:rtl/>
        </w:rPr>
        <w:t>שני עדים כשרים</w:t>
      </w:r>
      <w:r>
        <w:rPr>
          <w:rFonts w:ascii="Arial" w:hAnsi="Arial" w:cs="Arial" w:eastAsia="Arial"/>
          <w:color w:val="1F2430"/>
          <w:sz w:val="19"/>
          <w:szCs w:val="19"/>
          <w:rtl/>
        </w:rPr>
        <w:t>. רב אינו נדרש. אין קידושין בכפייה (מגיל 12 וחצי – רק בהסכמתה).</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העדים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עדי קיום</w:t>
      </w:r>
      <w:r>
        <w:rPr>
          <w:rFonts w:ascii="Arial" w:hAnsi="Arial" w:cs="Arial" w:eastAsia="Arial"/>
          <w:color w:val="1F2430"/>
          <w:sz w:val="19"/>
          <w:szCs w:val="19"/>
          <w:rtl/>
        </w:rPr>
        <w:t xml:space="preserve"> (לא עדי בירור): חלק מהטקס; עד פסול עלול להפיל את הקידושין.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פסול קרבה</w:t>
      </w:r>
      <w:r>
        <w:rPr>
          <w:rFonts w:ascii="Arial" w:hAnsi="Arial" w:cs="Arial" w:eastAsia="Arial"/>
          <w:color w:val="1F2430"/>
          <w:sz w:val="19"/>
          <w:szCs w:val="19"/>
          <w:rtl/>
        </w:rPr>
        <w:t xml:space="preserve"> – קרוב של החתן או הכלה; די באחד.</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פסול מחלל שבת בפרהסיה</w:t>
      </w:r>
      <w:r>
        <w:rPr>
          <w:rFonts w:ascii="Arial" w:hAnsi="Arial" w:cs="Arial" w:eastAsia="Arial"/>
          <w:color w:val="1F2430"/>
          <w:sz w:val="19"/>
          <w:szCs w:val="19"/>
          <w:rtl/>
        </w:rPr>
        <w:t xml:space="preserve"> – </w:t>
      </w:r>
      <w:r>
        <w:rPr>
          <w:rFonts w:ascii="Arial" w:hAnsi="Arial" w:cs="Arial" w:eastAsia="Arial"/>
          <w:b/>
          <w:bCs/>
          <w:color w:val="1F2430"/>
          <w:sz w:val="19"/>
          <w:szCs w:val="19"/>
          <w:rtl/>
        </w:rPr>
        <w:t>תיק 1068330/1</w:t>
      </w:r>
      <w:r>
        <w:rPr>
          <w:rFonts w:ascii="Arial" w:hAnsi="Arial" w:cs="Arial" w:eastAsia="Arial"/>
          <w:color w:val="1F2430"/>
          <w:sz w:val="19"/>
          <w:szCs w:val="19"/>
          <w:rtl/>
        </w:rPr>
        <w:t>: לא די בהודאת העד; נדרשים שני עדים שומרי שבת שיעידו בפניו.</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יש פוסקים: גם אם העדים שנבחרו פסולים – יש כשרים בקהל.</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כשרות העדים וכשרות להינשא = "ענייני נישואין" בסמכות ייחודית של בית הדין; בג"ץ לא מתערב.</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חדר ייחוד – לא מעכב. אירוסין מודרניים בלי טבעת ועדים – לא יוצרים דבר.</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תקנות תש"י (1950, "חרם ירושלים") – ארבעה תנאים מצטברים לטקס הממוסד</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color w:val="1F2430"/>
          <w:sz w:val="19"/>
          <w:szCs w:val="19"/>
          <w:rtl/>
        </w:rPr>
        <w:t>רב והשגחתו.</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color w:val="1F2430"/>
          <w:sz w:val="19"/>
          <w:szCs w:val="19"/>
          <w:rtl/>
        </w:rPr>
        <w:t>בשעת חופה.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color w:val="1F2430"/>
          <w:sz w:val="19"/>
          <w:szCs w:val="19"/>
          <w:rtl/>
        </w:rPr>
        <w:t>מניין (10).</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4. </w:t>
      </w:r>
      <w:r>
        <w:tab/>
      </w:r>
      <w:r>
        <w:rPr>
          <w:rFonts w:ascii="Arial" w:hAnsi="Arial" w:cs="Arial" w:eastAsia="Arial"/>
          <w:color w:val="1F2430"/>
          <w:sz w:val="19"/>
          <w:szCs w:val="19"/>
          <w:rtl/>
        </w:rPr>
        <w:t>רשות רושמת (הרבנות) – חידוש ישראלי.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p>
          <w:p>
            <w:pPr>
              <w:bidi/>
              <w:spacing w:before="0" w:after="60" w:line="300" w:lineRule="auto"/>
              <w:jc w:val="both"/>
            </w:pPr>
            <w:r>
              <w:rPr>
                <w:rFonts w:ascii="Arial" w:hAnsi="Arial" w:cs="Arial" w:eastAsia="Arial"/>
                <w:color w:val="1F2430"/>
                <w:sz w:val="18"/>
                <w:szCs w:val="18"/>
                <w:rtl/>
              </w:rPr>
              <w:t xml:space="preserve">חסר אחד מהם? </w:t>
            </w:r>
            <w:r>
              <w:rPr>
                <w:rFonts w:ascii="Arial" w:hAnsi="Arial" w:cs="Arial" w:eastAsia="Arial"/>
                <w:b/>
                <w:bCs/>
                <w:color w:val="1F2430"/>
                <w:sz w:val="18"/>
                <w:szCs w:val="18"/>
                <w:rtl/>
              </w:rPr>
              <w:t>הקידושין עדיין תופסים מדין תורה</w:t>
            </w:r>
            <w:r>
              <w:rPr>
                <w:rFonts w:ascii="Arial" w:hAnsi="Arial" w:cs="Arial" w:eastAsia="Arial"/>
                <w:color w:val="1F2430"/>
                <w:sz w:val="18"/>
                <w:szCs w:val="18"/>
                <w:rtl/>
              </w:rPr>
              <w:t xml:space="preserve"> (נישואין פרטיים – פרק 8).</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מצבי ספק</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גרושים שחזרו ובעלו</w:t>
      </w:r>
      <w:r>
        <w:rPr>
          <w:rFonts w:ascii="Arial" w:hAnsi="Arial" w:cs="Arial" w:eastAsia="Arial"/>
          <w:color w:val="1F2430"/>
          <w:sz w:val="19"/>
          <w:szCs w:val="19"/>
          <w:rtl/>
        </w:rPr>
        <w:t xml:space="preserve"> – חזקת </w:t>
      </w:r>
      <w:r>
        <w:rPr>
          <w:rFonts w:ascii="Arial" w:hAnsi="Arial" w:cs="Arial" w:eastAsia="Arial"/>
          <w:b/>
          <w:bCs/>
          <w:color w:val="1F2430"/>
          <w:sz w:val="19"/>
          <w:szCs w:val="19"/>
          <w:rtl/>
        </w:rPr>
        <w:t>"אין אדם עושה בעילתו בעילת זנות"</w:t>
      </w:r>
      <w:r>
        <w:rPr>
          <w:rFonts w:ascii="Arial" w:hAnsi="Arial" w:cs="Arial" w:eastAsia="Arial"/>
          <w:color w:val="1F2430"/>
          <w:sz w:val="19"/>
          <w:szCs w:val="19"/>
          <w:rtl/>
        </w:rPr>
        <w:t xml:space="preserve"> ← מקודשת, צריכה גט שני.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הצעת נישואין עם טבעת ועדים</w:t>
      </w:r>
      <w:r>
        <w:rPr>
          <w:rFonts w:ascii="Arial" w:hAnsi="Arial" w:cs="Arial" w:eastAsia="Arial"/>
          <w:color w:val="1F2430"/>
          <w:sz w:val="19"/>
          <w:szCs w:val="19"/>
          <w:rtl/>
        </w:rPr>
        <w:t xml:space="preserve"> – עלולה להיחשב קידושין (אזהרת הרב יצחק יוסף).</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 </w:t>
      </w:r>
      <w:r>
        <w:rPr>
          <w:rFonts w:ascii="Arial" w:hAnsi="Arial" w:cs="Arial" w:eastAsia="Arial"/>
          <w:b/>
          <w:bCs/>
          <w:color w:val="1F2430"/>
          <w:sz w:val="19"/>
          <w:szCs w:val="19"/>
          <w:rtl/>
        </w:rPr>
        <w:t>תיק 1178079/1</w:t>
      </w:r>
      <w:r>
        <w:rPr>
          <w:rFonts w:ascii="Arial" w:hAnsi="Arial" w:cs="Arial" w:eastAsia="Arial"/>
          <w:color w:val="1F2430"/>
          <w:sz w:val="19"/>
          <w:szCs w:val="19"/>
          <w:rtl/>
        </w:rPr>
        <w:t>: ככלל אין גט, אפילו לא לחומרא; חריג: גרושים כדמו"י שחזרו לחיות יחד.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כלל הזהב</w:t>
            </w:r>
          </w:p>
          <w:p>
            <w:pPr>
              <w:bidi/>
              <w:spacing w:before="0" w:after="60" w:line="300" w:lineRule="auto"/>
              <w:jc w:val="both"/>
            </w:pPr>
            <w:r>
              <w:rPr>
                <w:rFonts w:ascii="Arial" w:hAnsi="Arial" w:cs="Arial" w:eastAsia="Arial"/>
                <w:color w:val="1F2430"/>
                <w:sz w:val="18"/>
                <w:szCs w:val="18"/>
                <w:rtl/>
              </w:rPr>
              <w:t xml:space="preserve">ספק באיסור ← </w:t>
            </w:r>
            <w:r>
              <w:rPr>
                <w:rFonts w:ascii="Arial" w:hAnsi="Arial" w:cs="Arial" w:eastAsia="Arial"/>
                <w:b/>
                <w:bCs/>
                <w:color w:val="1F2430"/>
                <w:sz w:val="18"/>
                <w:szCs w:val="18"/>
                <w:rtl/>
              </w:rPr>
              <w:t>גט לחומרא</w:t>
            </w:r>
            <w:r>
              <w:rPr>
                <w:rFonts w:ascii="Arial" w:hAnsi="Arial" w:cs="Arial" w:eastAsia="Arial"/>
                <w:color w:val="1F2430"/>
                <w:sz w:val="18"/>
                <w:szCs w:val="18"/>
                <w:rtl/>
              </w:rPr>
              <w:t xml:space="preserve">. ספק בממון ← </w:t>
            </w:r>
            <w:r>
              <w:rPr>
                <w:rFonts w:ascii="Arial" w:hAnsi="Arial" w:cs="Arial" w:eastAsia="Arial"/>
                <w:b/>
                <w:bCs/>
                <w:color w:val="1F2430"/>
                <w:sz w:val="18"/>
                <w:szCs w:val="18"/>
                <w:rtl/>
              </w:rPr>
              <w:t>"אין מוציאין ממון מספק"</w:t>
            </w:r>
            <w:r>
              <w:rPr>
                <w:rFonts w:ascii="Arial" w:hAnsi="Arial" w:cs="Arial" w:eastAsia="Arial"/>
                <w:color w:val="1F2430"/>
                <w:sz w:val="18"/>
                <w:szCs w:val="18"/>
                <w:rtl/>
              </w:rPr>
              <w:t>: אין כתובה ואין מזונות. הספק יוצר חובות, לא זכויות.</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2. כושר: גיל הנישואין</w:t>
      </w:r>
    </w:p>
    <w:tbl>
      <w:tblPr>
        <w:tblW w:type="dxa" w:w="10206"/>
        <w:jc w:val="center"/>
        <w:tblLook w:firstColumn="1" w:firstRow="1" w:lastColumn="0" w:lastRow="0" w:noHBand="0" w:noVBand="1" w:val="04A0"/>
        <w:bidiVisual/>
        <w:tblLayout w:type="fixed"/>
      </w:tblPr>
      <w:tblGrid>
        <w:gridCol w:w="3488"/>
        <w:gridCol w:w="6717"/>
      </w:tblGrid>
      <w:tr>
        <w:trPr>
          <w:tblHeader/>
        </w:trPr>
        <w:tc>
          <w:tcPr>
            <w:tcW w:type="dxa" w:w="3488"/>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6717"/>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גיל</w:t>
            </w:r>
          </w:p>
        </w:tc>
      </w:tr>
      <w:tr>
        <w:trPr>
          <w:cantSplit/>
        </w:trPr>
        <w:tc>
          <w:tcPr>
            <w:tcW w:type="dxa" w:w="348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דין תורה</w:t>
            </w:r>
          </w:p>
        </w:tc>
        <w:tc>
          <w:tcPr>
            <w:tcW w:type="dxa" w:w="671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 13, אישה 12 וחצי (גם העדים יכולים להיות בני 13)</w:t>
            </w:r>
          </w:p>
        </w:tc>
      </w:tr>
      <w:tr>
        <w:trPr>
          <w:cantSplit/>
        </w:trPr>
        <w:tc>
          <w:tcPr>
            <w:tcW w:type="dxa" w:w="348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תקנת הרבנות תש"י</w:t>
            </w:r>
          </w:p>
        </w:tc>
        <w:tc>
          <w:tcPr>
            <w:tcW w:type="dxa" w:w="671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אישה בלבד – 16 (חשש לאם ולעובר); אינה עוקרת דין תורה</w:t>
            </w:r>
          </w:p>
        </w:tc>
      </w:tr>
      <w:tr>
        <w:trPr>
          <w:cantSplit/>
        </w:trPr>
        <w:tc>
          <w:tcPr>
            <w:tcW w:type="dxa" w:w="348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חוק גיל הנישואין (מאז 2013)</w:t>
            </w:r>
          </w:p>
        </w:tc>
        <w:tc>
          <w:tcPr>
            <w:tcW w:type="dxa" w:w="671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18 לשני המינים (קודם: 17, "נער/נערה")</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חוק גיל הנישואין, התש"י-1950 – שרשרת הסעיפים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ס' 1</w:t>
      </w:r>
      <w:r>
        <w:rPr>
          <w:rFonts w:ascii="Arial" w:hAnsi="Arial" w:cs="Arial" w:eastAsia="Arial"/>
          <w:color w:val="1F2430"/>
          <w:sz w:val="19"/>
          <w:szCs w:val="19"/>
          <w:rtl/>
        </w:rPr>
        <w:t xml:space="preserve"> – "נישואין" </w:t>
      </w:r>
      <w:r>
        <w:rPr>
          <w:rFonts w:ascii="Arial" w:hAnsi="Arial" w:cs="Arial" w:eastAsia="Arial"/>
          <w:b/>
          <w:bCs/>
          <w:color w:val="1F2430"/>
          <w:sz w:val="19"/>
          <w:szCs w:val="19"/>
          <w:rtl/>
        </w:rPr>
        <w:t>כוללים קידושין</w:t>
      </w:r>
      <w:r>
        <w:rPr>
          <w:rFonts w:ascii="Arial" w:hAnsi="Arial" w:cs="Arial" w:eastAsia="Arial"/>
          <w:color w:val="1F2430"/>
          <w:sz w:val="19"/>
          <w:szCs w:val="19"/>
          <w:rtl/>
        </w:rPr>
        <w:t>; "קטין" לפי ס' 3 לחוק הכשרות המשפטית (מתחת ל-18).</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ס' 2</w:t>
      </w:r>
      <w:r>
        <w:rPr>
          <w:rFonts w:ascii="Arial" w:hAnsi="Arial" w:cs="Arial" w:eastAsia="Arial"/>
          <w:color w:val="1F2430"/>
          <w:sz w:val="19"/>
          <w:szCs w:val="19"/>
          <w:rtl/>
        </w:rPr>
        <w:t xml:space="preserve"> – עבירה: (א) נשא קטינה / נשאה קטין; (ב) ערך או סייע; (ג) השיא בנו או בתו או מי שבאפוטרופסותו ← </w:t>
      </w:r>
      <w:r>
        <w:rPr>
          <w:rFonts w:ascii="Arial" w:hAnsi="Arial" w:cs="Arial" w:eastAsia="Arial"/>
          <w:b/>
          <w:bCs/>
          <w:color w:val="1F2430"/>
          <w:sz w:val="19"/>
          <w:szCs w:val="19"/>
          <w:rtl/>
        </w:rPr>
        <w:t>מאסר שנתיים או קנס</w:t>
      </w:r>
      <w:r>
        <w:rPr>
          <w:rFonts w:ascii="Arial" w:hAnsi="Arial" w:cs="Arial" w:eastAsia="Arial"/>
          <w:color w:val="1F2430"/>
          <w:sz w:val="19"/>
          <w:szCs w:val="19"/>
          <w:rtl/>
        </w:rPr>
        <w:t>. כמעט אינו נאכף; מגורים משותפים אינם עבירה.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ס' 3א</w:t>
      </w:r>
      <w:r>
        <w:rPr>
          <w:rFonts w:ascii="Arial" w:hAnsi="Arial" w:cs="Arial" w:eastAsia="Arial"/>
          <w:color w:val="1F2430"/>
          <w:sz w:val="19"/>
          <w:szCs w:val="19"/>
          <w:rtl/>
        </w:rPr>
        <w:t xml:space="preserve"> – נישואין בניגוד לס' 2 שתופסים לפי הדין האישי ← "עילת תביעה להתרתם... הכל לפי הוראות החוק החל על ענייני המעמד האישי". </w:t>
      </w:r>
      <w:r>
        <w:rPr>
          <w:rFonts w:ascii="Arial" w:hAnsi="Arial" w:cs="Arial" w:eastAsia="Arial"/>
          <w:b/>
          <w:bCs/>
          <w:color w:val="1F2430"/>
          <w:sz w:val="19"/>
          <w:szCs w:val="19"/>
          <w:rtl/>
        </w:rPr>
        <w:t>בפועל ריק מתוכן</w:t>
      </w:r>
      <w:r>
        <w:rPr>
          <w:rFonts w:ascii="Arial" w:hAnsi="Arial" w:cs="Arial" w:eastAsia="Arial"/>
          <w:color w:val="1F2430"/>
          <w:sz w:val="19"/>
          <w:szCs w:val="19"/>
          <w:rtl/>
        </w:rPr>
        <w:t>: הקידושין תופסים, וההלכה אינה רואה בכך עילה.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ס' 5א</w:t>
      </w:r>
      <w:r>
        <w:rPr>
          <w:rFonts w:ascii="Arial" w:hAnsi="Arial" w:cs="Arial" w:eastAsia="Arial"/>
          <w:color w:val="1F2430"/>
          <w:sz w:val="19"/>
          <w:szCs w:val="19"/>
          <w:rtl/>
        </w:rPr>
        <w:t xml:space="preserve"> – </w:t>
      </w:r>
      <w:r>
        <w:rPr>
          <w:rFonts w:ascii="Arial" w:hAnsi="Arial" w:cs="Arial" w:eastAsia="Arial"/>
          <w:b/>
          <w:bCs/>
          <w:color w:val="1F2430"/>
          <w:sz w:val="19"/>
          <w:szCs w:val="19"/>
          <w:rtl/>
        </w:rPr>
        <w:t>בית המשפט לענייני משפחה</w:t>
      </w:r>
      <w:r>
        <w:rPr>
          <w:rFonts w:ascii="Arial" w:hAnsi="Arial" w:cs="Arial" w:eastAsia="Arial"/>
          <w:color w:val="1F2430"/>
          <w:sz w:val="19"/>
          <w:szCs w:val="19"/>
          <w:rtl/>
        </w:rPr>
        <w:t xml:space="preserve"> (לא בית הדין – האיסור אזרחי) רשאי להתיר אם: </w:t>
      </w:r>
      <w:r>
        <w:rPr>
          <w:rFonts w:ascii="Arial" w:hAnsi="Arial" w:cs="Arial" w:eastAsia="Arial"/>
          <w:b/>
          <w:bCs/>
          <w:color w:val="1F2430"/>
          <w:sz w:val="19"/>
          <w:szCs w:val="19"/>
          <w:rtl/>
        </w:rPr>
        <w:t>מלאו 16</w:t>
      </w:r>
      <w:r>
        <w:rPr>
          <w:rFonts w:ascii="Arial" w:hAnsi="Arial" w:cs="Arial" w:eastAsia="Arial"/>
          <w:color w:val="1F2430"/>
          <w:sz w:val="19"/>
          <w:szCs w:val="19"/>
          <w:rtl/>
        </w:rPr>
        <w:t xml:space="preserve"> + </w:t>
      </w:r>
      <w:r>
        <w:rPr>
          <w:rFonts w:ascii="Arial" w:hAnsi="Arial" w:cs="Arial" w:eastAsia="Arial"/>
          <w:b/>
          <w:bCs/>
          <w:color w:val="1F2430"/>
          <w:sz w:val="19"/>
          <w:szCs w:val="19"/>
          <w:rtl/>
        </w:rPr>
        <w:t>נסיבות מיוחדות הקשורות בטובת הקטין</w:t>
      </w:r>
      <w:r>
        <w:rPr>
          <w:rFonts w:ascii="Arial" w:hAnsi="Arial" w:cs="Arial" w:eastAsia="Arial"/>
          <w:color w:val="1F2430"/>
          <w:sz w:val="19"/>
          <w:szCs w:val="19"/>
          <w:rtl/>
        </w:rPr>
        <w:t xml:space="preserve"> + </w:t>
      </w:r>
      <w:r>
        <w:rPr>
          <w:rFonts w:ascii="Arial" w:hAnsi="Arial" w:cs="Arial" w:eastAsia="Arial"/>
          <w:b/>
          <w:bCs/>
          <w:color w:val="1F2430"/>
          <w:sz w:val="19"/>
          <w:szCs w:val="19"/>
          <w:rtl/>
        </w:rPr>
        <w:t>לאחר ששמע את הקטין</w:t>
      </w:r>
      <w:r>
        <w:rPr>
          <w:rFonts w:ascii="Arial" w:hAnsi="Arial" w:cs="Arial" w:eastAsia="Arial"/>
          <w:color w:val="1F2430"/>
          <w:sz w:val="19"/>
          <w:szCs w:val="19"/>
          <w:rtl/>
        </w:rPr>
        <w:t>. הנוסח הישן (ס' 5): "נערה שילדה או בהריון" – בית המשפט המחוזי; תיקון מס' 6 צמצם.</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פסיקה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צמ"ש 58933-12-18</w:t>
      </w:r>
      <w:r>
        <w:rPr>
          <w:rFonts w:ascii="Arial" w:hAnsi="Arial" w:cs="Arial" w:eastAsia="Arial"/>
          <w:color w:val="1F2430"/>
          <w:sz w:val="19"/>
          <w:szCs w:val="19"/>
          <w:rtl/>
        </w:rPr>
        <w:t xml:space="preserve"> (14.1.19) ← קטינים שהכירו באינסטגרם, היא בהיריון, חוסר בשלות ← </w:t>
      </w:r>
      <w:r>
        <w:rPr>
          <w:rFonts w:ascii="Arial" w:hAnsi="Arial" w:cs="Arial" w:eastAsia="Arial"/>
          <w:b/>
          <w:bCs/>
          <w:color w:val="1F2430"/>
          <w:sz w:val="19"/>
          <w:szCs w:val="19"/>
          <w:rtl/>
        </w:rPr>
        <w:t>היריון כשלעצמו אינו נסיבה מיוחדת</w:t>
      </w:r>
      <w:r>
        <w:rPr>
          <w:rFonts w:ascii="Arial" w:hAnsi="Arial" w:cs="Arial" w:eastAsia="Arial"/>
          <w:color w:val="1F2430"/>
          <w:sz w:val="19"/>
          <w:szCs w:val="19"/>
          <w:rtl/>
        </w:rPr>
        <w:t>; הבקשה נדחתה.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ע"א 501/81</w:t>
      </w:r>
      <w:r>
        <w:rPr>
          <w:rFonts w:ascii="Arial" w:hAnsi="Arial" w:cs="Arial" w:eastAsia="Arial"/>
          <w:color w:val="1F2430"/>
          <w:sz w:val="19"/>
          <w:szCs w:val="19"/>
          <w:rtl/>
        </w:rPr>
        <w:t xml:space="preserve"> ← אירוסין, הכנות לחתונה ושייכות למגזר </w:t>
      </w:r>
      <w:r>
        <w:rPr>
          <w:rFonts w:ascii="Arial" w:hAnsi="Arial" w:cs="Arial" w:eastAsia="Arial"/>
          <w:b/>
          <w:bCs/>
          <w:color w:val="1F2430"/>
          <w:sz w:val="19"/>
          <w:szCs w:val="19"/>
          <w:rtl/>
        </w:rPr>
        <w:t>אינם</w:t>
      </w:r>
      <w:r>
        <w:rPr>
          <w:rFonts w:ascii="Arial" w:hAnsi="Arial" w:cs="Arial" w:eastAsia="Arial"/>
          <w:color w:val="1F2430"/>
          <w:sz w:val="19"/>
          <w:szCs w:val="19"/>
          <w:rtl/>
        </w:rPr>
        <w:t xml:space="preserve"> נסיבה מיוחדת.</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3. כושר: עריות ואשת איש (כרת / מיתה)</w:t>
      </w:r>
    </w:p>
    <w:tbl>
      <w:tblPr>
        <w:tblW w:type="dxa" w:w="10206"/>
        <w:jc w:val="center"/>
        <w:tblLook w:firstColumn="1" w:firstRow="1" w:lastColumn="0" w:lastRow="0" w:noHBand="0" w:noVBand="1" w:val="04A0"/>
        <w:bidiVisual/>
        <w:tblLayout w:type="fixed"/>
      </w:tblPr>
      <w:tblGrid>
        <w:gridCol w:w="1632"/>
        <w:gridCol w:w="8573"/>
      </w:tblGrid>
      <w:tr>
        <w:trPr>
          <w:tblHeader/>
        </w:trPr>
        <w:tc>
          <w:tcPr>
            <w:tcW w:type="dxa" w:w="163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p>
        </w:tc>
        <w:tc>
          <w:tcPr>
            <w:tcW w:type="dxa" w:w="8572"/>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תוצאה</w:t>
            </w:r>
          </w:p>
        </w:tc>
      </w:tr>
      <w:tr>
        <w:trPr>
          <w:cantSplit/>
        </w:trPr>
        <w:tc>
          <w:tcPr>
            <w:tcW w:type="dxa" w:w="16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תוקף</w:t>
            </w:r>
          </w:p>
        </w:tc>
        <w:tc>
          <w:tcPr>
            <w:tcW w:type="dxa" w:w="857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אין</w:t>
            </w:r>
            <w:r>
              <w:rPr>
                <w:rFonts w:ascii="Arial" w:hAnsi="Arial" w:cs="Arial" w:eastAsia="Arial"/>
                <w:color w:val="1F2430"/>
                <w:sz w:val="17"/>
                <w:szCs w:val="17"/>
                <w:rtl/>
              </w:rPr>
              <w:t xml:space="preserve"> – בטלים מעיקרם</w:t>
            </w:r>
          </w:p>
        </w:tc>
      </w:tr>
      <w:tr>
        <w:trPr>
          <w:cantSplit/>
        </w:trPr>
        <w:tc>
          <w:tcPr>
            <w:tcW w:type="dxa" w:w="16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גט</w:t>
            </w:r>
          </w:p>
        </w:tc>
        <w:tc>
          <w:tcPr>
            <w:tcW w:type="dxa" w:w="857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אין צורך</w:t>
            </w:r>
          </w:p>
        </w:tc>
      </w:tr>
      <w:tr>
        <w:trPr>
          <w:cantSplit/>
        </w:trPr>
        <w:tc>
          <w:tcPr>
            <w:tcW w:type="dxa" w:w="16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ילדים</w:t>
            </w:r>
          </w:p>
        </w:tc>
        <w:tc>
          <w:tcPr>
            <w:tcW w:type="dxa" w:w="857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ממזרים</w:t>
            </w:r>
            <w:r>
              <w:rPr>
                <w:rFonts w:ascii="Arial" w:hAnsi="Arial" w:cs="Arial" w:eastAsia="Arial"/>
                <w:color w:val="1F2430"/>
                <w:sz w:val="17"/>
                <w:szCs w:val="17"/>
                <w:rtl/>
              </w:rPr>
              <w:t xml:space="preserve"> (ממזר נישא רק לממזרה או לגיורת)</w:t>
            </w:r>
          </w:p>
        </w:tc>
      </w:tr>
      <w:tr>
        <w:trPr>
          <w:cantSplit/>
        </w:trPr>
        <w:tc>
          <w:tcPr>
            <w:tcW w:type="dxa" w:w="16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ממון</w:t>
            </w:r>
          </w:p>
        </w:tc>
        <w:tc>
          <w:tcPr>
            <w:tcW w:type="dxa" w:w="857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דוגמה: אחים מאומצים שהתחתנו כדת – הטקס לא תפס.</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מניעת ממזרות: שמונה דיינים ביטלו נישואי אם (בעל שהתגייר בלי כוונה לשמור מצוות) ← הילדים נפטרו מממזרות.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תרומת זרע</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תיק 1123955/1</w:t>
      </w:r>
      <w:r>
        <w:rPr>
          <w:rFonts w:ascii="Arial" w:hAnsi="Arial" w:cs="Arial" w:eastAsia="Arial"/>
          <w:color w:val="1F2430"/>
          <w:sz w:val="19"/>
          <w:szCs w:val="19"/>
          <w:rtl/>
        </w:rPr>
        <w:t xml:space="preserve"> ← רווקה ביקשה היתר נישואין לבתה "השתוקי" ← הרב פיינשטיין: ממזרות רק בדרך אישות, לא בטכנולוגיה; הרב עובדיה: </w:t>
      </w:r>
      <w:r>
        <w:rPr>
          <w:rFonts w:ascii="Arial" w:hAnsi="Arial" w:cs="Arial" w:eastAsia="Arial"/>
          <w:b/>
          <w:bCs/>
          <w:color w:val="1F2430"/>
          <w:sz w:val="19"/>
          <w:szCs w:val="19"/>
          <w:rtl/>
        </w:rPr>
        <w:t>ספק ספיקא</w:t>
      </w:r>
      <w:r>
        <w:rPr>
          <w:rFonts w:ascii="Arial" w:hAnsi="Arial" w:cs="Arial" w:eastAsia="Arial"/>
          <w:color w:val="1F2430"/>
          <w:sz w:val="19"/>
          <w:szCs w:val="19"/>
          <w:rtl/>
        </w:rPr>
        <w:t xml:space="preserve"> (רוב בעיר ורוב התורמים אינם ממזרים) ← כשרה; תיקון לאחר 4 חודשים: </w:t>
      </w:r>
      <w:r>
        <w:rPr>
          <w:rFonts w:ascii="Arial" w:hAnsi="Arial" w:cs="Arial" w:eastAsia="Arial"/>
          <w:b/>
          <w:bCs/>
          <w:color w:val="1F2430"/>
          <w:sz w:val="19"/>
          <w:szCs w:val="19"/>
          <w:rtl/>
        </w:rPr>
        <w:t>חשש נישואי אחים</w:t>
      </w:r>
      <w:r>
        <w:rPr>
          <w:rFonts w:ascii="Arial" w:hAnsi="Arial" w:cs="Arial" w:eastAsia="Arial"/>
          <w:color w:val="1F2430"/>
          <w:sz w:val="19"/>
          <w:szCs w:val="19"/>
          <w:rtl/>
        </w:rPr>
        <w:t xml:space="preserve"> ← בדיקה גנטית (בצו שופט) או לשאול את אבי החתן אם תרם. תורם לא יהודי ← הבת אסורה לכהן.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תזכיר חוק בנק הזרע 2016</w:t>
      </w:r>
      <w:r>
        <w:rPr>
          <w:rFonts w:ascii="Arial" w:hAnsi="Arial" w:cs="Arial" w:eastAsia="Arial"/>
          <w:color w:val="1F2430"/>
          <w:sz w:val="19"/>
          <w:szCs w:val="19"/>
          <w:rtl/>
        </w:rPr>
        <w:t xml:space="preserve"> – לא עבר; כיום רק החיסיון מגן על התורם.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בג"ץ 4077/12 פלונית נ' משרד הבריאות</w:t>
      </w:r>
      <w:r>
        <w:rPr>
          <w:rFonts w:ascii="Arial" w:hAnsi="Arial" w:cs="Arial" w:eastAsia="Arial"/>
          <w:color w:val="1F2430"/>
          <w:sz w:val="19"/>
          <w:szCs w:val="19"/>
          <w:rtl/>
        </w:rPr>
        <w:t xml:space="preserve"> ← תורם חזר בו; אוטונומיית התורם מול זכות חוזית של הנתרמת ← </w:t>
      </w:r>
      <w:r>
        <w:rPr>
          <w:rFonts w:ascii="Arial" w:hAnsi="Arial" w:cs="Arial" w:eastAsia="Arial"/>
          <w:b/>
          <w:bCs/>
          <w:color w:val="1F2430"/>
          <w:sz w:val="19"/>
          <w:szCs w:val="19"/>
          <w:rtl/>
        </w:rPr>
        <w:t>לטובת התורם</w:t>
      </w:r>
      <w:r>
        <w:rPr>
          <w:rFonts w:ascii="Arial" w:hAnsi="Arial" w:cs="Arial" w:eastAsia="Arial"/>
          <w:color w:val="1F2430"/>
          <w:sz w:val="19"/>
          <w:szCs w:val="19"/>
          <w:rtl/>
        </w:rPr>
        <w:t xml:space="preserve"> (לפי מה שנלמד).</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חוק אימוץ ילדים – ס' 30</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(א) פנקס האימוצים סגור; רשאים לעיין: </w:t>
      </w:r>
      <w:r>
        <w:rPr>
          <w:rFonts w:ascii="Arial" w:hAnsi="Arial" w:cs="Arial" w:eastAsia="Arial"/>
          <w:b/>
          <w:bCs/>
          <w:color w:val="1F2430"/>
          <w:sz w:val="19"/>
          <w:szCs w:val="19"/>
          <w:rtl/>
        </w:rPr>
        <w:t>היועמ"ש</w:t>
      </w:r>
      <w:r>
        <w:rPr>
          <w:rFonts w:ascii="Arial" w:hAnsi="Arial" w:cs="Arial" w:eastAsia="Arial"/>
          <w:color w:val="1F2430"/>
          <w:sz w:val="19"/>
          <w:szCs w:val="19"/>
          <w:rtl/>
        </w:rPr>
        <w:t xml:space="preserve">, </w:t>
      </w:r>
      <w:r>
        <w:rPr>
          <w:rFonts w:ascii="Arial" w:hAnsi="Arial" w:cs="Arial" w:eastAsia="Arial"/>
          <w:b/>
          <w:bCs/>
          <w:color w:val="1F2430"/>
          <w:sz w:val="19"/>
          <w:szCs w:val="19"/>
          <w:rtl/>
        </w:rPr>
        <w:t>רושם נישואין</w:t>
      </w:r>
      <w:r>
        <w:rPr>
          <w:rFonts w:ascii="Arial" w:hAnsi="Arial" w:cs="Arial" w:eastAsia="Arial"/>
          <w:color w:val="1F2430"/>
          <w:sz w:val="19"/>
          <w:szCs w:val="19"/>
          <w:rtl/>
        </w:rPr>
        <w:t xml:space="preserve"> (לצורך תפקידו), </w:t>
      </w:r>
      <w:r>
        <w:rPr>
          <w:rFonts w:ascii="Arial" w:hAnsi="Arial" w:cs="Arial" w:eastAsia="Arial"/>
          <w:b/>
          <w:bCs/>
          <w:color w:val="1F2430"/>
          <w:sz w:val="19"/>
          <w:szCs w:val="19"/>
          <w:rtl/>
        </w:rPr>
        <w:t>עובד סוציאלי ראשי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(ב) מאומץ בן </w:t>
      </w:r>
      <w:r>
        <w:rPr>
          <w:rFonts w:ascii="Arial" w:hAnsi="Arial" w:cs="Arial" w:eastAsia="Arial"/>
          <w:b/>
          <w:bCs/>
          <w:color w:val="1F2430"/>
          <w:sz w:val="19"/>
          <w:szCs w:val="19"/>
          <w:rtl/>
        </w:rPr>
        <w:t>18</w:t>
      </w:r>
      <w:r>
        <w:rPr>
          <w:rFonts w:ascii="Arial" w:hAnsi="Arial" w:cs="Arial" w:eastAsia="Arial"/>
          <w:color w:val="1F2430"/>
          <w:sz w:val="19"/>
          <w:szCs w:val="19"/>
          <w:rtl/>
        </w:rPr>
        <w:t xml:space="preserve"> – בהיתר עובד סוציאלי; סירב – בית המשפט, לאחר תסקיר.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המטרה: מניעת עריות; המרשם אינו מציין אימוץ, תרומה או פונדקאות.</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4. פונדקאות ונישואי אחים – חוק הסכמים לנשיאת עוברים, התשנ"ו-1996</w:t>
      </w:r>
    </w:p>
    <w:tbl>
      <w:tblPr>
        <w:tblW w:type="dxa" w:w="10206"/>
        <w:jc w:val="center"/>
        <w:tblLook w:firstColumn="1" w:firstRow="1" w:lastColumn="0" w:lastRow="0" w:noHBand="0" w:noVBand="1" w:val="04A0"/>
        <w:bidiVisual/>
        <w:tblLayout w:type="fixed"/>
      </w:tblPr>
      <w:tblGrid>
        <w:gridCol w:w="1289"/>
        <w:gridCol w:w="5404"/>
        <w:gridCol w:w="3512"/>
      </w:tblGrid>
      <w:tr>
        <w:trPr>
          <w:tblHeader/>
        </w:trPr>
        <w:tc>
          <w:tcPr>
            <w:tcW w:type="dxa" w:w="1289"/>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5404"/>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קובע</w:t>
            </w:r>
          </w:p>
        </w:tc>
        <w:tc>
          <w:tcPr>
            <w:tcW w:type="dxa" w:w="3512"/>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היגיון הלכתי</w:t>
            </w: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5(א)(1), (1א)</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תושבי ישראל; </w:t>
            </w:r>
            <w:r>
              <w:rPr>
                <w:rFonts w:ascii="Arial" w:hAnsi="Arial" w:cs="Arial" w:eastAsia="Arial"/>
                <w:b/>
                <w:bCs/>
                <w:color w:val="1F2430"/>
                <w:sz w:val="17"/>
                <w:szCs w:val="17"/>
                <w:rtl/>
              </w:rPr>
              <w:t>אם נושאת לא נשואה</w:t>
            </w:r>
            <w:r>
              <w:rPr>
                <w:rFonts w:ascii="Arial" w:hAnsi="Arial" w:cs="Arial" w:eastAsia="Arial"/>
                <w:color w:val="1F2430"/>
                <w:sz w:val="17"/>
                <w:szCs w:val="17"/>
                <w:rtl/>
              </w:rPr>
              <w:t xml:space="preserve"> (אלא אם לא נמצאה במאמץ סביר)</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חשש ממזרות</w:t>
            </w: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10(א)-(ב)</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משמורת – להורים המיועדים; אפוטרופוס – עובד סוציאלי עד צו הורות</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11(א)</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בקשה לצו הורות תוך </w:t>
            </w:r>
            <w:r>
              <w:rPr>
                <w:rFonts w:ascii="Arial" w:hAnsi="Arial" w:cs="Arial" w:eastAsia="Arial"/>
                <w:b/>
                <w:bCs/>
                <w:color w:val="1F2430"/>
                <w:sz w:val="17"/>
                <w:szCs w:val="17"/>
                <w:rtl/>
              </w:rPr>
              <w:t>7 ימים</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12(א)-(ב)</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 xml:space="preserve">צו הורות = הורים ואפוטרופסים; </w:t>
            </w:r>
            <w:r>
              <w:rPr>
                <w:rFonts w:ascii="Arial" w:hAnsi="Arial" w:cs="Arial" w:eastAsia="Arial"/>
                <w:b/>
                <w:bCs/>
                <w:color w:val="1F2430"/>
                <w:sz w:val="17"/>
                <w:szCs w:val="17"/>
                <w:rtl/>
              </w:rPr>
              <w:t>לא פוגע בדיני איסור והיתר</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הפונדקאית היא האם ההלכתית (רוב הפוסקים)</w:t>
            </w: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13(א)</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חזרת אם נושאת – רק בשינוי נסיבות ובלי פגיעה בטובת הילד</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16(א)</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רישום בפנקס בידי רשם שימנה שר המשפטים</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בדיקת "אחות הלכתית"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פונדקאית לא יהודייה ← הילד צריך גיור.</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5. כושר: חייבי לאוין – אסור אך תקף</w:t>
      </w:r>
    </w:p>
    <w:tbl>
      <w:tblPr>
        <w:tblW w:type="dxa" w:w="10206"/>
        <w:jc w:val="center"/>
        <w:tblLook w:firstColumn="1" w:firstRow="1" w:lastColumn="0" w:lastRow="0" w:noHBand="0" w:noVBand="1" w:val="04A0"/>
        <w:bidiVisual/>
        <w:tblLayout w:type="fixed"/>
      </w:tblPr>
      <w:tblGrid>
        <w:gridCol w:w="2006"/>
        <w:gridCol w:w="1914"/>
        <w:gridCol w:w="1269"/>
        <w:gridCol w:w="3738"/>
        <w:gridCol w:w="1276"/>
      </w:tblGrid>
      <w:tr>
        <w:trPr>
          <w:tblHeader/>
        </w:trPr>
        <w:tc>
          <w:tcPr>
            <w:tcW w:type="dxa" w:w="2006"/>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זוג</w:t>
            </w:r>
          </w:p>
        </w:tc>
        <w:tc>
          <w:tcPr>
            <w:tcW w:type="dxa" w:w="1915"/>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תוקף</w:t>
            </w:r>
          </w:p>
        </w:tc>
        <w:tc>
          <w:tcPr>
            <w:tcW w:type="dxa" w:w="1270"/>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w:t>
            </w:r>
          </w:p>
        </w:tc>
        <w:tc>
          <w:tcPr>
            <w:tcW w:type="dxa" w:w="3738"/>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ילדים</w:t>
            </w:r>
          </w:p>
        </w:tc>
        <w:tc>
          <w:tcPr>
            <w:tcW w:type="dxa" w:w="1276"/>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ממון בדין הדתי</w:t>
            </w:r>
          </w:p>
        </w:tc>
      </w:tr>
      <w:tr>
        <w:trPr>
          <w:cantSplit/>
        </w:trPr>
        <w:tc>
          <w:tcPr>
            <w:tcW w:type="dxa" w:w="200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כהן + גרושה (או גיורת)</w:t>
            </w:r>
          </w:p>
        </w:tc>
        <w:tc>
          <w:tcPr>
            <w:tcW w:type="dxa" w:w="1915"/>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תופס לחומרא</w:t>
            </w:r>
          </w:p>
        </w:tc>
        <w:tc>
          <w:tcPr>
            <w:tcW w:type="dxa" w:w="12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(יכפוהו)</w:t>
            </w:r>
          </w:p>
        </w:tc>
        <w:tc>
          <w:tcPr>
            <w:tcW w:type="dxa" w:w="373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כשרים אך </w:t>
            </w:r>
            <w:r>
              <w:rPr>
                <w:rFonts w:ascii="Arial" w:hAnsi="Arial" w:cs="Arial" w:eastAsia="Arial"/>
                <w:b/>
                <w:bCs/>
                <w:color w:val="1F2430"/>
                <w:sz w:val="17"/>
                <w:szCs w:val="17"/>
                <w:rtl/>
              </w:rPr>
              <w:t>חללים</w:t>
            </w:r>
            <w:r>
              <w:rPr>
                <w:rFonts w:ascii="Arial" w:hAnsi="Arial" w:cs="Arial" w:eastAsia="Arial"/>
                <w:color w:val="1F2430"/>
                <w:sz w:val="17"/>
                <w:szCs w:val="17"/>
                <w:rtl/>
              </w:rPr>
              <w:t xml:space="preserve"> (בת חללה – אסורה לכהן)</w:t>
            </w:r>
          </w:p>
        </w:tc>
        <w:tc>
          <w:tcPr>
            <w:tcW w:type="dxa" w:w="127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(יש אזרחי)</w:t>
            </w:r>
          </w:p>
        </w:tc>
      </w:tr>
      <w:tr>
        <w:trPr>
          <w:cantSplit/>
        </w:trPr>
        <w:tc>
          <w:tcPr>
            <w:tcW w:type="dxa" w:w="200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ממזר + יהודייה</w:t>
            </w:r>
          </w:p>
        </w:tc>
        <w:tc>
          <w:tcPr>
            <w:tcW w:type="dxa" w:w="1915"/>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תופס לחומרא</w:t>
            </w:r>
          </w:p>
        </w:tc>
        <w:tc>
          <w:tcPr>
            <w:tcW w:type="dxa" w:w="12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כן (יכפוהו)</w:t>
            </w:r>
          </w:p>
        </w:tc>
        <w:tc>
          <w:tcPr>
            <w:tcW w:type="dxa" w:w="373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ממזרים</w:t>
            </w:r>
          </w:p>
        </w:tc>
        <w:tc>
          <w:tcPr>
            <w:tcW w:type="dxa" w:w="127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 (יש אזרחי)</w:t>
            </w:r>
          </w:p>
        </w:tc>
      </w:tr>
      <w:tr>
        <w:trPr>
          <w:cantSplit/>
        </w:trPr>
        <w:tc>
          <w:tcPr>
            <w:tcW w:type="dxa" w:w="200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יהודייה + מוסלמי</w:t>
            </w:r>
          </w:p>
        </w:tc>
        <w:tc>
          <w:tcPr>
            <w:tcW w:type="dxa" w:w="1915"/>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ביהדות; יש באסלאם</w:t>
            </w:r>
          </w:p>
        </w:tc>
        <w:tc>
          <w:tcPr>
            <w:tcW w:type="dxa" w:w="12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ביהדות אין</w:t>
            </w:r>
          </w:p>
        </w:tc>
        <w:tc>
          <w:tcPr>
            <w:tcW w:type="dxa" w:w="373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כפולי דת</w:t>
            </w:r>
          </w:p>
        </w:tc>
        <w:tc>
          <w:tcPr>
            <w:tcW w:type="dxa" w:w="127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(יש אזרחי)</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כהן וגרושה – עבירה </w:t>
      </w:r>
      <w:r>
        <w:rPr>
          <w:rFonts w:ascii="Arial" w:hAnsi="Arial" w:cs="Arial" w:eastAsia="Arial"/>
          <w:b/>
          <w:bCs/>
          <w:color w:val="1F2430"/>
          <w:sz w:val="19"/>
          <w:szCs w:val="19"/>
          <w:rtl/>
        </w:rPr>
        <w:t>דתית</w:t>
      </w:r>
      <w:r>
        <w:rPr>
          <w:rFonts w:ascii="Arial" w:hAnsi="Arial" w:cs="Arial" w:eastAsia="Arial"/>
          <w:color w:val="1F2430"/>
          <w:sz w:val="19"/>
          <w:szCs w:val="19"/>
          <w:rtl/>
        </w:rPr>
        <w:t xml:space="preserve"> בלבד; המרשם רושם אותם; החללות נובעת מזהות ההורים, לא מצורת הטקס.</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אשת איש שבגדה</w:t>
      </w:r>
      <w:r>
        <w:rPr>
          <w:rFonts w:ascii="Arial" w:hAnsi="Arial" w:cs="Arial" w:eastAsia="Arial"/>
          <w:color w:val="1F2430"/>
          <w:sz w:val="19"/>
          <w:szCs w:val="19"/>
          <w:rtl/>
        </w:rPr>
        <w:t xml:space="preserve"> ← אסורה לבעלה ולבועלה גם אחרי הגירושין (הגבר אינו נאסר); לפי הנחיות נשיא בית הדין הגדול (</w:t>
      </w:r>
      <w:r>
        <w:rPr>
          <w:rFonts w:ascii="Arial" w:hAnsi="Arial" w:cs="Arial" w:eastAsia="Arial"/>
          <w:b/>
          <w:bCs/>
          <w:color w:val="1F2430"/>
          <w:sz w:val="19"/>
          <w:szCs w:val="19"/>
          <w:rtl/>
        </w:rPr>
        <w:t>בג"ץ 5676/12 פלונית</w:t>
      </w:r>
      <w:r>
        <w:rPr>
          <w:rFonts w:ascii="Arial" w:hAnsi="Arial" w:cs="Arial" w:eastAsia="Arial"/>
          <w:color w:val="1F2430"/>
          <w:sz w:val="19"/>
          <w:szCs w:val="19"/>
          <w:rtl/>
        </w:rPr>
        <w:t>) – הבגידה נרשמת בגירושין.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אמצעי בית הדין: </w:t>
      </w:r>
      <w:r>
        <w:rPr>
          <w:rFonts w:ascii="Arial" w:hAnsi="Arial" w:cs="Arial" w:eastAsia="Arial"/>
          <w:b/>
          <w:bCs/>
          <w:color w:val="1F2430"/>
          <w:sz w:val="19"/>
          <w:szCs w:val="19"/>
          <w:rtl/>
        </w:rPr>
        <w:t>כפייה</w:t>
      </w:r>
      <w:r>
        <w:rPr>
          <w:rFonts w:ascii="Arial" w:hAnsi="Arial" w:cs="Arial" w:eastAsia="Arial"/>
          <w:color w:val="1F2430"/>
          <w:sz w:val="19"/>
          <w:szCs w:val="19"/>
          <w:rtl/>
        </w:rPr>
        <w:t xml:space="preserve"> (נדירה; גט מעושה פסול) ← </w:t>
      </w:r>
      <w:r>
        <w:rPr>
          <w:rFonts w:ascii="Arial" w:hAnsi="Arial" w:cs="Arial" w:eastAsia="Arial"/>
          <w:b/>
          <w:bCs/>
          <w:color w:val="1F2430"/>
          <w:sz w:val="19"/>
          <w:szCs w:val="19"/>
          <w:rtl/>
        </w:rPr>
        <w:t>חיוב</w:t>
      </w:r>
      <w:r>
        <w:rPr>
          <w:rFonts w:ascii="Arial" w:hAnsi="Arial" w:cs="Arial" w:eastAsia="Arial"/>
          <w:color w:val="1F2430"/>
          <w:sz w:val="19"/>
          <w:szCs w:val="19"/>
          <w:rtl/>
        </w:rPr>
        <w:t xml:space="preserve"> (חסימת חשבון, עיקולים, עיכוב יציאה) ← </w:t>
      </w:r>
      <w:r>
        <w:rPr>
          <w:rFonts w:ascii="Arial" w:hAnsi="Arial" w:cs="Arial" w:eastAsia="Arial"/>
          <w:b/>
          <w:bCs/>
          <w:color w:val="1F2430"/>
          <w:sz w:val="19"/>
          <w:szCs w:val="19"/>
          <w:rtl/>
        </w:rPr>
        <w:t>משא ומתן</w:t>
      </w:r>
      <w:r>
        <w:rPr>
          <w:rFonts w:ascii="Arial" w:hAnsi="Arial" w:cs="Arial" w:eastAsia="Arial"/>
          <w:color w:val="1F2430"/>
          <w:sz w:val="19"/>
          <w:szCs w:val="19"/>
          <w:rtl/>
        </w:rPr>
        <w:t xml:space="preserve"> (פתח לסחיטה).</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ריבוי נישואין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חרם דרבנו גרשום</w:t>
      </w:r>
      <w:r>
        <w:rPr>
          <w:rFonts w:ascii="Arial" w:hAnsi="Arial" w:cs="Arial" w:eastAsia="Arial"/>
          <w:color w:val="1F2430"/>
          <w:sz w:val="19"/>
          <w:szCs w:val="19"/>
          <w:rtl/>
        </w:rPr>
        <w:t xml:space="preserve">: (1) אסור לשאת אישה שנייה (חריג: </w:t>
      </w:r>
      <w:r>
        <w:rPr>
          <w:rFonts w:ascii="Arial" w:hAnsi="Arial" w:cs="Arial" w:eastAsia="Arial"/>
          <w:b/>
          <w:bCs/>
          <w:color w:val="1F2430"/>
          <w:sz w:val="19"/>
          <w:szCs w:val="19"/>
          <w:rtl/>
        </w:rPr>
        <w:t>היתר נישואין</w:t>
      </w:r>
      <w:r>
        <w:rPr>
          <w:rFonts w:ascii="Arial" w:hAnsi="Arial" w:cs="Arial" w:eastAsia="Arial"/>
          <w:color w:val="1F2430"/>
          <w:sz w:val="19"/>
          <w:szCs w:val="19"/>
          <w:rtl/>
        </w:rPr>
        <w:t>, למשל מורדת או חולה); (2) אסור לגרש בעל כורחה. לאישה אין היתר מקביל.</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חוק העונשין</w:t>
      </w:r>
      <w:r>
        <w:rPr>
          <w:rFonts w:ascii="Arial" w:hAnsi="Arial" w:cs="Arial" w:eastAsia="Arial"/>
          <w:color w:val="1F2430"/>
          <w:sz w:val="19"/>
          <w:szCs w:val="19"/>
          <w:rtl/>
        </w:rPr>
        <w:t xml:space="preserve">: </w:t>
      </w:r>
      <w:r>
        <w:rPr>
          <w:rFonts w:ascii="Arial" w:hAnsi="Arial" w:cs="Arial" w:eastAsia="Arial"/>
          <w:b/>
          <w:bCs/>
          <w:color w:val="1F2430"/>
          <w:sz w:val="19"/>
          <w:szCs w:val="19"/>
          <w:rtl/>
        </w:rPr>
        <w:t>ס' 176</w:t>
      </w:r>
      <w:r>
        <w:rPr>
          <w:rFonts w:ascii="Arial" w:hAnsi="Arial" w:cs="Arial" w:eastAsia="Arial"/>
          <w:color w:val="1F2430"/>
          <w:sz w:val="19"/>
          <w:szCs w:val="19"/>
          <w:rtl/>
        </w:rPr>
        <w:t xml:space="preserve"> – נשוי שנושא אחרת ← </w:t>
      </w:r>
      <w:r>
        <w:rPr>
          <w:rFonts w:ascii="Arial" w:hAnsi="Arial" w:cs="Arial" w:eastAsia="Arial"/>
          <w:b/>
          <w:bCs/>
          <w:color w:val="1F2430"/>
          <w:sz w:val="19"/>
          <w:szCs w:val="19"/>
          <w:rtl/>
        </w:rPr>
        <w:t>5 שנות מאסר</w:t>
      </w:r>
      <w:r>
        <w:rPr>
          <w:rFonts w:ascii="Arial" w:hAnsi="Arial" w:cs="Arial" w:eastAsia="Arial"/>
          <w:color w:val="1F2430"/>
          <w:sz w:val="19"/>
          <w:szCs w:val="19"/>
          <w:rtl/>
        </w:rPr>
        <w:t xml:space="preserve">; </w:t>
      </w:r>
      <w:r>
        <w:rPr>
          <w:rFonts w:ascii="Arial" w:hAnsi="Arial" w:cs="Arial" w:eastAsia="Arial"/>
          <w:b/>
          <w:bCs/>
          <w:color w:val="1F2430"/>
          <w:sz w:val="19"/>
          <w:szCs w:val="19"/>
          <w:rtl/>
        </w:rPr>
        <w:t>ס' 178</w:t>
      </w:r>
      <w:r>
        <w:rPr>
          <w:rFonts w:ascii="Arial" w:hAnsi="Arial" w:cs="Arial" w:eastAsia="Arial"/>
          <w:color w:val="1F2430"/>
          <w:sz w:val="19"/>
          <w:szCs w:val="19"/>
          <w:rtl/>
        </w:rPr>
        <w:t xml:space="preserve"> – לא משנה אם הקודמים לפי דין המדינה או הדת, אם החדשים תקפים או בטלים, ואם נערכו בחו"ל (בנושא אזרח או תושב); </w:t>
      </w:r>
      <w:r>
        <w:rPr>
          <w:rFonts w:ascii="Arial" w:hAnsi="Arial" w:cs="Arial" w:eastAsia="Arial"/>
          <w:b/>
          <w:bCs/>
          <w:color w:val="1F2430"/>
          <w:sz w:val="19"/>
          <w:szCs w:val="19"/>
          <w:rtl/>
        </w:rPr>
        <w:t>ס' 179</w:t>
      </w:r>
      <w:r>
        <w:rPr>
          <w:rFonts w:ascii="Arial" w:hAnsi="Arial" w:cs="Arial" w:eastAsia="Arial"/>
          <w:color w:val="1F2430"/>
          <w:sz w:val="19"/>
          <w:szCs w:val="19"/>
          <w:rtl/>
        </w:rPr>
        <w:t xml:space="preserve"> – פטור אם ניתן היתר בפסק דין סופי של בית דין רבני </w:t>
      </w:r>
      <w:r>
        <w:rPr>
          <w:rFonts w:ascii="Arial" w:hAnsi="Arial" w:cs="Arial" w:eastAsia="Arial"/>
          <w:b/>
          <w:bCs/>
          <w:color w:val="1F2430"/>
          <w:sz w:val="19"/>
          <w:szCs w:val="19"/>
          <w:rtl/>
        </w:rPr>
        <w:t>שאושר בידי נשיא בית הדין הגדול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ידוע בציבור של נשוי ≠ ביגמיה.</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6. פגם בנישואין אזרחיים בדין הדתי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הטקס האזרחי עצמו </w:t>
      </w:r>
      <w:r>
        <w:rPr>
          <w:rFonts w:ascii="Arial" w:hAnsi="Arial" w:cs="Arial" w:eastAsia="Arial"/>
          <w:b/>
          <w:bCs/>
          <w:color w:val="1F2430"/>
          <w:sz w:val="19"/>
          <w:szCs w:val="19"/>
          <w:rtl/>
        </w:rPr>
        <w:t>אינו מקדש</w:t>
      </w:r>
      <w:r>
        <w:rPr>
          <w:rFonts w:ascii="Arial" w:hAnsi="Arial" w:cs="Arial" w:eastAsia="Arial"/>
          <w:color w:val="1F2430"/>
          <w:sz w:val="19"/>
          <w:szCs w:val="19"/>
          <w:rtl/>
        </w:rPr>
        <w:t>; הספק נובע מ</w:t>
      </w:r>
      <w:r>
        <w:rPr>
          <w:rFonts w:ascii="Arial" w:hAnsi="Arial" w:cs="Arial" w:eastAsia="Arial"/>
          <w:b/>
          <w:bCs/>
          <w:color w:val="1F2430"/>
          <w:sz w:val="19"/>
          <w:szCs w:val="19"/>
          <w:rtl/>
        </w:rPr>
        <w:t>יחסי האישות</w:t>
      </w:r>
      <w:r>
        <w:rPr>
          <w:rFonts w:ascii="Arial" w:hAnsi="Arial" w:cs="Arial" w:eastAsia="Arial"/>
          <w:color w:val="1F2430"/>
          <w:sz w:val="19"/>
          <w:szCs w:val="19"/>
          <w:rtl/>
        </w:rPr>
        <w:t xml:space="preserve"> (ביאה) + חזקת </w:t>
      </w:r>
      <w:r>
        <w:rPr>
          <w:rFonts w:ascii="Arial" w:hAnsi="Arial" w:cs="Arial" w:eastAsia="Arial"/>
          <w:b/>
          <w:bCs/>
          <w:color w:val="1F2430"/>
          <w:sz w:val="19"/>
          <w:szCs w:val="19"/>
          <w:rtl/>
        </w:rPr>
        <w:t>אאעבב"ז</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54"/>
        <w:gridCol w:w="3990"/>
        <w:gridCol w:w="4961"/>
      </w:tblGrid>
      <w:tr>
        <w:trPr>
          <w:tblHeader/>
        </w:trPr>
        <w:tc>
          <w:tcPr>
            <w:tcW w:type="dxa" w:w="1254"/>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p>
        </w:tc>
        <w:tc>
          <w:tcPr>
            <w:tcW w:type="dxa" w:w="3990"/>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מקלה</w:t>
            </w:r>
          </w:p>
        </w:tc>
        <w:tc>
          <w:tcPr>
            <w:tcW w:type="dxa" w:w="4961"/>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מחמירה</w:t>
            </w:r>
          </w:p>
        </w:tc>
      </w:tr>
      <w:tr>
        <w:trPr>
          <w:cantSplit/>
        </w:trPr>
        <w:tc>
          <w:tcPr>
            <w:tcW w:type="dxa" w:w="125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תוצאה</w:t>
            </w:r>
          </w:p>
        </w:tc>
        <w:tc>
          <w:tcPr>
            <w:tcW w:type="dxa" w:w="399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אין גט</w:t>
            </w:r>
          </w:p>
        </w:tc>
        <w:tc>
          <w:tcPr>
            <w:tcW w:type="dxa" w:w="496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נשואים מספק ← גט מספק</w:t>
            </w:r>
          </w:p>
        </w:tc>
      </w:tr>
      <w:tr>
        <w:trPr>
          <w:cantSplit/>
        </w:trPr>
        <w:tc>
          <w:tcPr>
            <w:tcW w:type="dxa" w:w="125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מי</w:t>
            </w:r>
          </w:p>
        </w:tc>
        <w:tc>
          <w:tcPr>
            <w:tcW w:type="dxa" w:w="399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רוב הפוסקים</w:t>
            </w:r>
          </w:p>
        </w:tc>
        <w:tc>
          <w:tcPr>
            <w:tcW w:type="dxa" w:w="496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חלק מהפוסקים</w:t>
            </w:r>
          </w:p>
        </w:tc>
      </w:tr>
      <w:tr>
        <w:trPr>
          <w:cantSplit/>
        </w:trPr>
        <w:tc>
          <w:tcPr>
            <w:tcW w:type="dxa" w:w="125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קבוצה</w:t>
            </w:r>
          </w:p>
        </w:tc>
        <w:tc>
          <w:tcPr>
            <w:tcW w:type="dxa" w:w="399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 חיתון</w:t>
            </w:r>
            <w:r>
              <w:rPr>
                <w:rFonts w:ascii="Arial" w:hAnsi="Arial" w:cs="Arial" w:eastAsia="Arial"/>
                <w:color w:val="1F2430"/>
                <w:sz w:val="17"/>
                <w:szCs w:val="17"/>
                <w:rtl/>
              </w:rPr>
              <w:t xml:space="preserve"> ("היו הולכים לרבנות")</w:t>
            </w:r>
          </w:p>
        </w:tc>
        <w:tc>
          <w:tcPr>
            <w:tcW w:type="dxa" w:w="496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פסולי חיתון</w:t>
            </w:r>
            <w:r>
              <w:rPr>
                <w:rFonts w:ascii="Arial" w:hAnsi="Arial" w:cs="Arial" w:eastAsia="Arial"/>
                <w:color w:val="1F2430"/>
                <w:sz w:val="17"/>
                <w:szCs w:val="17"/>
                <w:rtl/>
              </w:rPr>
              <w:t xml:space="preserve">; </w:t>
            </w:r>
            <w:r>
              <w:rPr>
                <w:rFonts w:ascii="Arial" w:hAnsi="Arial" w:cs="Arial" w:eastAsia="Arial"/>
                <w:b/>
                <w:bCs/>
                <w:color w:val="1F2430"/>
                <w:sz w:val="17"/>
                <w:szCs w:val="17"/>
                <w:rtl/>
              </w:rPr>
              <w:t>עולים</w:t>
            </w:r>
            <w:r>
              <w:rPr>
                <w:rFonts w:ascii="Arial" w:hAnsi="Arial" w:cs="Arial" w:eastAsia="Arial"/>
                <w:color w:val="1F2430"/>
                <w:sz w:val="17"/>
                <w:szCs w:val="17"/>
                <w:rtl/>
              </w:rPr>
              <w:t xml:space="preserve"> שנישאו אזרחית בחו"ל</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מגביר סיכון: ניסו קודם ברבנות; טקס אצל רב רפורמי.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השלכות גט מספק: </w:t>
      </w:r>
      <w:r>
        <w:rPr>
          <w:rFonts w:ascii="Arial" w:hAnsi="Arial" w:cs="Arial" w:eastAsia="Arial"/>
          <w:b/>
          <w:bCs/>
          <w:color w:val="1F2430"/>
          <w:sz w:val="19"/>
          <w:szCs w:val="19"/>
          <w:rtl/>
        </w:rPr>
        <w:t>ביגמיה</w:t>
      </w:r>
      <w:r>
        <w:rPr>
          <w:rFonts w:ascii="Arial" w:hAnsi="Arial" w:cs="Arial" w:eastAsia="Arial"/>
          <w:color w:val="1F2430"/>
          <w:sz w:val="19"/>
          <w:szCs w:val="19"/>
          <w:rtl/>
        </w:rPr>
        <w:t xml:space="preserve">, </w:t>
      </w:r>
      <w:r>
        <w:rPr>
          <w:rFonts w:ascii="Arial" w:hAnsi="Arial" w:cs="Arial" w:eastAsia="Arial"/>
          <w:b/>
          <w:bCs/>
          <w:color w:val="1F2430"/>
          <w:sz w:val="19"/>
          <w:szCs w:val="19"/>
          <w:rtl/>
        </w:rPr>
        <w:t>ממזרות</w:t>
      </w:r>
      <w:r>
        <w:rPr>
          <w:rFonts w:ascii="Arial" w:hAnsi="Arial" w:cs="Arial" w:eastAsia="Arial"/>
          <w:color w:val="1F2430"/>
          <w:sz w:val="19"/>
          <w:szCs w:val="19"/>
          <w:rtl/>
        </w:rPr>
        <w:t xml:space="preserve">, </w:t>
      </w:r>
      <w:r>
        <w:rPr>
          <w:rFonts w:ascii="Arial" w:hAnsi="Arial" w:cs="Arial" w:eastAsia="Arial"/>
          <w:b/>
          <w:bCs/>
          <w:color w:val="1F2430"/>
          <w:sz w:val="19"/>
          <w:szCs w:val="19"/>
          <w:rtl/>
        </w:rPr>
        <w:t>עגינות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ילדי זוג כשר שנישא אזרחית – </w:t>
      </w:r>
      <w:r>
        <w:rPr>
          <w:rFonts w:ascii="Arial" w:hAnsi="Arial" w:cs="Arial" w:eastAsia="Arial"/>
          <w:b/>
          <w:bCs/>
          <w:color w:val="1F2430"/>
          <w:sz w:val="19"/>
          <w:szCs w:val="19"/>
          <w:rtl/>
        </w:rPr>
        <w:t>כשרים</w:t>
      </w:r>
      <w:r>
        <w:rPr>
          <w:rFonts w:ascii="Arial" w:hAnsi="Arial" w:cs="Arial" w:eastAsia="Arial"/>
          <w:color w:val="1F2430"/>
          <w:sz w:val="19"/>
          <w:szCs w:val="19"/>
          <w:rtl/>
        </w:rPr>
        <w:t>.</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 דיני בני נח – בג"ץ 2232/03 (תיק 4276/ס"ג)</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color w:val="1F2430"/>
          <w:sz w:val="19"/>
          <w:szCs w:val="19"/>
          <w:rtl/>
        </w:rPr>
        <w:t>כשירי חיתון; קפריסין + רב רפורמי; בית הדין הצהיר "אינם נשואים כדמו"י", ו"רשאים להינשא כפנויים" ← בית הדין הגדול תיקן ל"</w:t>
      </w:r>
      <w:r>
        <w:rPr>
          <w:rFonts w:ascii="Arial" w:hAnsi="Arial" w:cs="Arial" w:eastAsia="Arial"/>
          <w:b/>
          <w:bCs/>
          <w:color w:val="1F2430"/>
          <w:sz w:val="19"/>
          <w:szCs w:val="19"/>
          <w:rtl/>
        </w:rPr>
        <w:t>מתיר</w:t>
      </w:r>
      <w:r>
        <w:rPr>
          <w:rFonts w:ascii="Arial" w:hAnsi="Arial" w:cs="Arial" w:eastAsia="Arial"/>
          <w:color w:val="1F2430"/>
          <w:sz w:val="19"/>
          <w:szCs w:val="19"/>
          <w:rtl/>
        </w:rPr>
        <w:t xml:space="preserve"> את הנישואין".</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color w:val="1F2430"/>
          <w:sz w:val="19"/>
          <w:szCs w:val="19"/>
          <w:rtl/>
        </w:rPr>
        <w:t>ברק שאל ארבע שאלות: תוקף, סמכות, עילות, זכויות ממוניות.</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color w:val="1F2430"/>
          <w:sz w:val="19"/>
          <w:szCs w:val="19"/>
          <w:rtl/>
        </w:rPr>
        <w:t xml:space="preserve">בית הדין הגדול: היהודים לא חדלו להיות </w:t>
      </w:r>
      <w:r>
        <w:rPr>
          <w:rFonts w:ascii="Arial" w:hAnsi="Arial" w:cs="Arial" w:eastAsia="Arial"/>
          <w:b/>
          <w:bCs/>
          <w:color w:val="1F2430"/>
          <w:sz w:val="19"/>
          <w:szCs w:val="19"/>
          <w:rtl/>
        </w:rPr>
        <w:t>בני נח</w:t>
      </w:r>
      <w:r>
        <w:rPr>
          <w:rFonts w:ascii="Arial" w:hAnsi="Arial" w:cs="Arial" w:eastAsia="Arial"/>
          <w:color w:val="1F2430"/>
          <w:sz w:val="19"/>
          <w:szCs w:val="19"/>
          <w:rtl/>
        </w:rPr>
        <w:t xml:space="preserve"> ← לנישואין אזרחיים יש ערך כ"</w:t>
      </w:r>
      <w:r>
        <w:rPr>
          <w:rFonts w:ascii="Arial" w:hAnsi="Arial" w:cs="Arial" w:eastAsia="Arial"/>
          <w:b/>
          <w:bCs/>
          <w:color w:val="1F2430"/>
          <w:sz w:val="19"/>
          <w:szCs w:val="19"/>
          <w:rtl/>
        </w:rPr>
        <w:t>דרג ב'</w:t>
      </w:r>
      <w:r>
        <w:rPr>
          <w:rFonts w:ascii="Arial" w:hAnsi="Arial" w:cs="Arial" w:eastAsia="Arial"/>
          <w:color w:val="1F2430"/>
          <w:sz w:val="19"/>
          <w:szCs w:val="19"/>
          <w:rtl/>
        </w:rPr>
        <w:t>" ("חצי נשואים").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4. </w:t>
      </w:r>
      <w:r>
        <w:tab/>
      </w:r>
      <w:r>
        <w:rPr>
          <w:rFonts w:ascii="Arial" w:hAnsi="Arial" w:cs="Arial" w:eastAsia="Arial"/>
          <w:b/>
          <w:bCs/>
          <w:color w:val="1F2430"/>
          <w:sz w:val="19"/>
          <w:szCs w:val="19"/>
          <w:rtl/>
        </w:rPr>
        <w:t>כובע דתי</w:t>
      </w:r>
      <w:r>
        <w:rPr>
          <w:rFonts w:ascii="Arial" w:hAnsi="Arial" w:cs="Arial" w:eastAsia="Arial"/>
          <w:color w:val="1F2430"/>
          <w:sz w:val="19"/>
          <w:szCs w:val="19"/>
          <w:rtl/>
        </w:rPr>
        <w:t xml:space="preserve"> ← קידושין או ספק ← </w:t>
      </w:r>
      <w:r>
        <w:rPr>
          <w:rFonts w:ascii="Arial" w:hAnsi="Arial" w:cs="Arial" w:eastAsia="Arial"/>
          <w:b/>
          <w:bCs/>
          <w:color w:val="1F2430"/>
          <w:sz w:val="19"/>
          <w:szCs w:val="19"/>
          <w:rtl/>
        </w:rPr>
        <w:t>גט מספק</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5. </w:t>
      </w:r>
      <w:r>
        <w:tab/>
      </w:r>
      <w:r>
        <w:rPr>
          <w:rFonts w:ascii="Arial" w:hAnsi="Arial" w:cs="Arial" w:eastAsia="Arial"/>
          <w:color w:val="1F2430"/>
          <w:sz w:val="19"/>
          <w:szCs w:val="19"/>
          <w:rtl/>
        </w:rPr>
        <w:t xml:space="preserve">אין קידושין ← </w:t>
      </w:r>
      <w:r>
        <w:rPr>
          <w:rFonts w:ascii="Arial" w:hAnsi="Arial" w:cs="Arial" w:eastAsia="Arial"/>
          <w:b/>
          <w:bCs/>
          <w:color w:val="1F2430"/>
          <w:sz w:val="19"/>
          <w:szCs w:val="19"/>
          <w:rtl/>
        </w:rPr>
        <w:t>כובע אזרחי</w:t>
      </w:r>
      <w:r>
        <w:rPr>
          <w:rFonts w:ascii="Arial" w:hAnsi="Arial" w:cs="Arial" w:eastAsia="Arial"/>
          <w:color w:val="1F2430"/>
          <w:sz w:val="19"/>
          <w:szCs w:val="19"/>
          <w:rtl/>
        </w:rPr>
        <w:t xml:space="preserve"> ← </w:t>
      </w:r>
      <w:r>
        <w:rPr>
          <w:rFonts w:ascii="Arial" w:hAnsi="Arial" w:cs="Arial" w:eastAsia="Arial"/>
          <w:b/>
          <w:bCs/>
          <w:color w:val="1F2430"/>
          <w:sz w:val="19"/>
          <w:szCs w:val="19"/>
          <w:rtl/>
        </w:rPr>
        <w:t>פסק דין התרה</w:t>
      </w:r>
      <w:r>
        <w:rPr>
          <w:rFonts w:ascii="Arial" w:hAnsi="Arial" w:cs="Arial" w:eastAsia="Arial"/>
          <w:color w:val="1F2430"/>
          <w:sz w:val="19"/>
          <w:szCs w:val="19"/>
          <w:rtl/>
        </w:rPr>
        <w:t xml:space="preserve">, עילת </w:t>
      </w:r>
      <w:r>
        <w:rPr>
          <w:rFonts w:ascii="Arial" w:hAnsi="Arial" w:cs="Arial" w:eastAsia="Arial"/>
          <w:b/>
          <w:bCs/>
          <w:color w:val="1F2430"/>
          <w:sz w:val="19"/>
          <w:szCs w:val="19"/>
          <w:rtl/>
        </w:rPr>
        <w:t>תום הקשר</w:t>
      </w:r>
      <w:r>
        <w:rPr>
          <w:rFonts w:ascii="Arial" w:hAnsi="Arial" w:cs="Arial" w:eastAsia="Arial"/>
          <w:color w:val="1F2430"/>
          <w:sz w:val="19"/>
          <w:szCs w:val="19"/>
          <w:rtl/>
        </w:rPr>
        <w:t>, בלי הסכמה.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6. </w:t>
      </w:r>
      <w:r>
        <w:tab/>
      </w:r>
      <w:r>
        <w:rPr>
          <w:rFonts w:ascii="Arial" w:hAnsi="Arial" w:cs="Arial" w:eastAsia="Arial"/>
          <w:b/>
          <w:bCs/>
          <w:color w:val="1F2430"/>
          <w:sz w:val="19"/>
          <w:szCs w:val="19"/>
          <w:rtl/>
        </w:rPr>
        <w:t>אין זכויות ממוניות</w:t>
      </w:r>
      <w:r>
        <w:rPr>
          <w:rFonts w:ascii="Arial" w:hAnsi="Arial" w:cs="Arial" w:eastAsia="Arial"/>
          <w:color w:val="1F2430"/>
          <w:sz w:val="19"/>
          <w:szCs w:val="19"/>
          <w:rtl/>
        </w:rPr>
        <w:t xml:space="preserve"> בבית הדין ← רכוש ומזונות אישה בבית המשפט האזרחי (פרק 8).</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תיק (טבריה) 80581-21-1</w:t>
      </w:r>
      <w:r>
        <w:rPr>
          <w:rFonts w:ascii="Arial" w:hAnsi="Arial" w:cs="Arial" w:eastAsia="Arial"/>
          <w:color w:val="1F2430"/>
          <w:sz w:val="19"/>
          <w:szCs w:val="19"/>
          <w:rtl/>
        </w:rPr>
        <w:t xml:space="preserve"> (24.6.09) ← מזונות חוזיים וחלוקת רכוש חוזית בבית הדין מכוח </w:t>
      </w:r>
      <w:r>
        <w:rPr>
          <w:rFonts w:ascii="Arial" w:hAnsi="Arial" w:cs="Arial" w:eastAsia="Arial"/>
          <w:b/>
          <w:bCs/>
          <w:color w:val="1F2430"/>
          <w:sz w:val="19"/>
          <w:szCs w:val="19"/>
          <w:rtl/>
        </w:rPr>
        <w:t>"מנהג המדינה"</w:t>
      </w:r>
      <w:r>
        <w:rPr>
          <w:rFonts w:ascii="Arial" w:hAnsi="Arial" w:cs="Arial" w:eastAsia="Arial"/>
          <w:color w:val="1F2430"/>
          <w:sz w:val="19"/>
          <w:szCs w:val="19"/>
          <w:rtl/>
        </w:rPr>
        <w:t>; האם זה גובר על הלכת בג"ץ – לא הוכרע.</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עץ החלטה: "האם נדרש גט?"</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color w:val="1F2430"/>
          <w:sz w:val="19"/>
          <w:szCs w:val="19"/>
          <w:rtl/>
        </w:rPr>
        <w:t>אחד מבני הזוג אינו יהודי? ← אין תוקף ביהדות, אין גט.</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color w:val="1F2430"/>
          <w:sz w:val="19"/>
          <w:szCs w:val="19"/>
          <w:rtl/>
        </w:rPr>
        <w:t>עריות / אשת איש? ← אין תוקף, אין גט, ממזרים.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color w:val="1F2430"/>
          <w:sz w:val="19"/>
          <w:szCs w:val="19"/>
          <w:rtl/>
        </w:rPr>
        <w:t>לאו (כהן וגרושה, ממזר)? ← תופס, גט לחומרא (כפייה).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4. </w:t>
      </w:r>
      <w:r>
        <w:tab/>
      </w:r>
      <w:r>
        <w:rPr>
          <w:rFonts w:ascii="Arial" w:hAnsi="Arial" w:cs="Arial" w:eastAsia="Arial"/>
          <w:color w:val="1F2430"/>
          <w:sz w:val="19"/>
          <w:szCs w:val="19"/>
          <w:rtl/>
        </w:rPr>
        <w:t>היו כסף/שטר/ביאה + כוונה + 2 עדים כשרים? ← תופס, גם בלי רב, חופה, מניין או רישום.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5. </w:t>
      </w:r>
      <w:r>
        <w:tab/>
      </w:r>
      <w:r>
        <w:rPr>
          <w:rFonts w:ascii="Arial" w:hAnsi="Arial" w:cs="Arial" w:eastAsia="Arial"/>
          <w:color w:val="1F2430"/>
          <w:sz w:val="19"/>
          <w:szCs w:val="19"/>
          <w:rtl/>
        </w:rPr>
        <w:t>נישואין אזרחיים? ← כשירי חיתון: נטייה שאין צורך בגט (פסק דין התרה); פסולי חיתון או עולים: נטייה לגט מספק.</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6. </w:t>
      </w:r>
      <w:r>
        <w:tab/>
      </w:r>
      <w:r>
        <w:rPr>
          <w:rFonts w:ascii="Arial" w:hAnsi="Arial" w:cs="Arial" w:eastAsia="Arial"/>
          <w:color w:val="1F2430"/>
          <w:sz w:val="19"/>
          <w:szCs w:val="19"/>
          <w:rtl/>
        </w:rPr>
        <w:t>ידועים בציבור? ← אין גט, אלא אם היו גרושים שחזרו.</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7. </w:t>
      </w:r>
      <w:r>
        <w:tab/>
      </w:r>
      <w:r>
        <w:rPr>
          <w:rFonts w:ascii="Arial" w:hAnsi="Arial" w:cs="Arial" w:eastAsia="Arial"/>
          <w:color w:val="1F2430"/>
          <w:sz w:val="19"/>
          <w:szCs w:val="19"/>
          <w:rtl/>
        </w:rPr>
        <w:t>זכויות ממוניות בספק? ← "אין מוציאין ממון מספק".</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3 דרכים: כסף, שטר, ביאה; ביאה אסורה מדרבנן אך תופסת.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עדים = </w:t>
      </w:r>
      <w:r>
        <w:rPr>
          <w:rFonts w:ascii="Arial" w:hAnsi="Arial" w:cs="Arial" w:eastAsia="Arial"/>
          <w:b/>
          <w:bCs/>
          <w:color w:val="1F2430"/>
          <w:sz w:val="19"/>
          <w:szCs w:val="19"/>
          <w:rtl/>
        </w:rPr>
        <w:t>עדי קיום</w:t>
      </w:r>
      <w:r>
        <w:rPr>
          <w:rFonts w:ascii="Arial" w:hAnsi="Arial" w:cs="Arial" w:eastAsia="Arial"/>
          <w:color w:val="1F2430"/>
          <w:sz w:val="19"/>
          <w:szCs w:val="19"/>
          <w:rtl/>
        </w:rPr>
        <w:t>; פסול קרבה ומחלל שבת בפרהסיה (1068330/1).</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4 תקנות תש"י: רב, חופה, מניין, רשות רושמת – אינן תנאי לתוקף מדין תורה.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גיל: 18 בחוק; "נישואין" כוללים קידושין; עונש שנתיים; היתר מגיל 16 בבית המשפט לענייני משפחה; היריון לבדו אינו מספיק (58933-12-18; 501/81).</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עריות = אין תוקף + ממזרים; לאוין = תוקף + גט לחומרא.</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כהן וגרושה ← חללים; ממזר ויהודייה ← ממזרים; יהודייה ומוסלמי ← כפולי דת.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אימוץ ס' 30: רושם נישואין רשאי לעיין; פונדקאות ס' 12(ב): לא פוגע באיסור והיתר.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ביגמיה: ס' 176 (5 שנים), 178, 179 (היתר + אישור נשיא בית הדין הגדול).</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נישואין אזרחיים: מקלה (כשירי חיתון) מול מחמירה (פסולי חיתון, עולים); בני נח – כובע דתי וכובע אזרחי.</w:t>
      </w:r>
    </w:p>
    <w:tbl>
      <w:tblPr>
        <w:tblW w:type="dxa" w:w="10206"/>
        <w:tblLook w:firstColumn="1" w:firstRow="1" w:lastColumn="0" w:lastRow="0" w:noHBand="0" w:noVBand="1" w:val="04A0"/>
        <w:bidiVisual/>
        <w:tblLayout w:type="fixed"/>
      </w:tblPr>
      <w:tblGrid>
        <w:gridCol w:w="10206"/>
      </w:tblGrid>
      <w:tr>
        <w:tc>
          <w:tcPr>
            <w:tcW w:type="dxa" w:w="10205"/>
            <w:shd w:val="clear" w:color="auto" w:fill="9C2F7E"/>
            <w:tcBorders>
              <w:top w:val="single" w:sz="4" w:space="0" w:color="9C2F7E"/>
              <w:left w:val="single" w:sz="4" w:space="0" w:color="9C2F7E"/>
              <w:bottom w:val="single" w:sz="4" w:space="0" w:color="9C2F7E"/>
              <w:right w:val="single" w:sz="4" w:space="0" w:color="9C2F7E"/>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8</w:t>
            </w:r>
          </w:p>
          <w:p>
            <w:pPr>
              <w:bidi/>
              <w:spacing w:before="0" w:after="0" w:line="264" w:lineRule="auto"/>
              <w:outlineLvl w:val="0"/>
            </w:pPr>
            <w:r>
              <w:rPr>
                <w:rFonts w:ascii="Arial" w:hAnsi="Arial" w:cs="Arial" w:eastAsia="Arial"/>
                <w:b/>
                <w:bCs/>
                <w:color w:val="FFFFFF"/>
                <w:sz w:val="42"/>
                <w:szCs w:val="42"/>
                <w:rtl/>
              </w:rPr>
              <w:t>נישואין פרטיים ונישואין אזרחיים – תוקפם והתרתם</w:t>
            </w:r>
          </w:p>
        </w:tc>
      </w:tr>
    </w:tbl>
    <w:p>
      <w:pPr>
        <w:bidi/>
        <w:spacing w:after="0" w:before="0" w:line="20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מפת הפרק</w:t>
      </w:r>
    </w:p>
    <w:p>
      <w:pPr>
        <w:bidi/>
        <w:spacing w:before="0" w:after="100" w:line="300" w:lineRule="auto"/>
        <w:jc w:val="both"/>
      </w:pPr>
      <w:r>
        <w:rPr>
          <w:rFonts w:ascii="Arial" w:hAnsi="Arial" w:cs="Arial" w:eastAsia="Arial"/>
          <w:color w:val="1F2430"/>
          <w:sz w:val="19"/>
          <w:szCs w:val="19"/>
          <w:rtl/>
        </w:rPr>
        <w:t xml:space="preserve">שלוש דרכים לעקוף את סעיף 2 לחוק שיפוט בתי דין רבניים: </w:t>
      </w:r>
      <w:r>
        <w:rPr>
          <w:rFonts w:ascii="Arial" w:hAnsi="Arial" w:cs="Arial" w:eastAsia="Arial"/>
          <w:b/>
          <w:bCs/>
          <w:color w:val="1F2430"/>
          <w:sz w:val="19"/>
          <w:szCs w:val="19"/>
          <w:rtl/>
        </w:rPr>
        <w:t>נישואין אזרחיים</w:t>
      </w:r>
      <w:r>
        <w:rPr>
          <w:rFonts w:ascii="Arial" w:hAnsi="Arial" w:cs="Arial" w:eastAsia="Arial"/>
          <w:color w:val="1F2430"/>
          <w:sz w:val="19"/>
          <w:szCs w:val="19"/>
          <w:rtl/>
        </w:rPr>
        <w:t xml:space="preserve"> (שליח – מקסיקו/פרגוואי; נוכחות – קפריסין/פראג; זום – יוטה), </w:t>
      </w:r>
      <w:r>
        <w:rPr>
          <w:rFonts w:ascii="Arial" w:hAnsi="Arial" w:cs="Arial" w:eastAsia="Arial"/>
          <w:b/>
          <w:bCs/>
          <w:color w:val="1F2430"/>
          <w:sz w:val="19"/>
          <w:szCs w:val="19"/>
          <w:rtl/>
        </w:rPr>
        <w:t>נישואין פרטיים</w:t>
      </w:r>
      <w:r>
        <w:rPr>
          <w:rFonts w:ascii="Arial" w:hAnsi="Arial" w:cs="Arial" w:eastAsia="Arial"/>
          <w:color w:val="1F2430"/>
          <w:sz w:val="19"/>
          <w:szCs w:val="19"/>
          <w:rtl/>
        </w:rPr>
        <w:t xml:space="preserve">, </w:t>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בכל מקרה שואלים שלוש שאלות נפרדות: </w:t>
      </w:r>
      <w:r>
        <w:rPr>
          <w:rFonts w:ascii="Arial" w:hAnsi="Arial" w:cs="Arial" w:eastAsia="Arial"/>
          <w:b/>
          <w:bCs/>
          <w:color w:val="1F2430"/>
          <w:sz w:val="19"/>
          <w:szCs w:val="19"/>
          <w:rtl/>
        </w:rPr>
        <w:t>תוקף/התרה</w:t>
      </w:r>
      <w:r>
        <w:rPr>
          <w:rFonts w:ascii="Arial" w:hAnsi="Arial" w:cs="Arial" w:eastAsia="Arial"/>
          <w:color w:val="1F2430"/>
          <w:sz w:val="19"/>
          <w:szCs w:val="19"/>
          <w:rtl/>
        </w:rPr>
        <w:t xml:space="preserve">, </w:t>
      </w:r>
      <w:r>
        <w:rPr>
          <w:rFonts w:ascii="Arial" w:hAnsi="Arial" w:cs="Arial" w:eastAsia="Arial"/>
          <w:b/>
          <w:bCs/>
          <w:color w:val="1F2430"/>
          <w:sz w:val="19"/>
          <w:szCs w:val="19"/>
          <w:rtl/>
        </w:rPr>
        <w:t>ממון</w:t>
      </w:r>
      <w:r>
        <w:rPr>
          <w:rFonts w:ascii="Arial" w:hAnsi="Arial" w:cs="Arial" w:eastAsia="Arial"/>
          <w:color w:val="1F2430"/>
          <w:sz w:val="19"/>
          <w:szCs w:val="19"/>
          <w:rtl/>
        </w:rPr>
        <w:t xml:space="preserve">, </w:t>
      </w:r>
      <w:r>
        <w:rPr>
          <w:rFonts w:ascii="Arial" w:hAnsi="Arial" w:cs="Arial" w:eastAsia="Arial"/>
          <w:b/>
          <w:bCs/>
          <w:color w:val="1F2430"/>
          <w:sz w:val="19"/>
          <w:szCs w:val="19"/>
          <w:rtl/>
        </w:rPr>
        <w:t>רישום</w:t>
      </w:r>
      <w:r>
        <w:rPr>
          <w:rFonts w:ascii="Arial" w:hAnsi="Arial" w:cs="Arial" w:eastAsia="Arial"/>
          <w:color w:val="1F2430"/>
          <w:sz w:val="19"/>
          <w:szCs w:val="19"/>
          <w:rtl/>
        </w:rPr>
        <w:t xml:space="preserve"> (פרק 9).</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עיקרון־על</w:t>
            </w:r>
          </w:p>
          <w:p>
            <w:pPr>
              <w:bidi/>
              <w:spacing w:before="0" w:after="60" w:line="300" w:lineRule="auto"/>
              <w:jc w:val="both"/>
            </w:pPr>
            <w:r>
              <w:rPr>
                <w:rFonts w:ascii="Arial" w:hAnsi="Arial" w:cs="Arial" w:eastAsia="Arial"/>
                <w:color w:val="1F2430"/>
                <w:sz w:val="18"/>
                <w:szCs w:val="18"/>
                <w:rtl/>
              </w:rPr>
              <w:t>"אין קשר בין שאלת הסטטוס לבין שאלת החיובים" (ברק, פלונית).</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נישואין פרטיים – יסודות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הגדרה</w:t>
      </w:r>
      <w:r>
        <w:rPr>
          <w:rFonts w:ascii="Arial" w:hAnsi="Arial" w:cs="Arial" w:eastAsia="Arial"/>
          <w:color w:val="1F2430"/>
          <w:sz w:val="19"/>
          <w:szCs w:val="19"/>
          <w:rtl/>
        </w:rPr>
        <w:t xml:space="preserve">: טקס (בדרך כלל דתי) ללא רשות הנישואין וללא רישום. </w:t>
      </w:r>
      <w:r>
        <w:rPr>
          <w:rFonts w:ascii="Arial" w:hAnsi="Arial" w:cs="Arial" w:eastAsia="Arial"/>
          <w:b/>
          <w:bCs/>
          <w:color w:val="1F2430"/>
          <w:sz w:val="19"/>
          <w:szCs w:val="19"/>
          <w:rtl/>
        </w:rPr>
        <w:t>הלכתית עשוי לתפוס</w:t>
      </w:r>
      <w:r>
        <w:rPr>
          <w:rFonts w:ascii="Arial" w:hAnsi="Arial" w:cs="Arial" w:eastAsia="Arial"/>
          <w:color w:val="1F2430"/>
          <w:sz w:val="19"/>
          <w:szCs w:val="19"/>
          <w:rtl/>
        </w:rPr>
        <w:t>, לפחות לחומרא.</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מי</w:t>
      </w:r>
      <w:r>
        <w:rPr>
          <w:rFonts w:ascii="Arial" w:hAnsi="Arial" w:cs="Arial" w:eastAsia="Arial"/>
          <w:color w:val="1F2430"/>
          <w:sz w:val="19"/>
          <w:szCs w:val="19"/>
          <w:rtl/>
        </w:rPr>
        <w:t>: קטינים; רפורמים וקונסרבטיבים; פסולי חיתון; מי שרוצים להישאר "יחידים" מול הרשויות (מס, קצבאות); מי שרוצים להקל על הפרידה.</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רישום</w:t>
      </w:r>
      <w:r>
        <w:rPr>
          <w:rFonts w:ascii="Arial" w:hAnsi="Arial" w:cs="Arial" w:eastAsia="Arial"/>
          <w:color w:val="1F2430"/>
          <w:sz w:val="19"/>
          <w:szCs w:val="19"/>
          <w:rtl/>
        </w:rPr>
        <w:t>: לא נרשמים, כי הפקיד אינו מקבל הצהרות פרטיות.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7 לפקודת הנישואין והגירושין (רישום)</w:t>
      </w:r>
      <w:r>
        <w:rPr>
          <w:rFonts w:ascii="Arial" w:hAnsi="Arial" w:cs="Arial" w:eastAsia="Arial"/>
          <w:color w:val="1F2430"/>
          <w:sz w:val="19"/>
          <w:szCs w:val="19"/>
          <w:rtl/>
        </w:rPr>
        <w:t xml:space="preserve">: מי שאינו דואג לרישום נישואיו/גירושיו, </w:t>
      </w:r>
      <w:r>
        <w:rPr>
          <w:rFonts w:ascii="Arial" w:hAnsi="Arial" w:cs="Arial" w:eastAsia="Arial"/>
          <w:b/>
          <w:bCs/>
          <w:color w:val="1F2430"/>
          <w:sz w:val="19"/>
          <w:szCs w:val="19"/>
          <w:rtl/>
        </w:rPr>
        <w:t>או נישואין שסידר לאחר</w:t>
      </w:r>
      <w:r>
        <w:rPr>
          <w:rFonts w:ascii="Arial" w:hAnsi="Arial" w:cs="Arial" w:eastAsia="Arial"/>
          <w:color w:val="1F2430"/>
          <w:sz w:val="19"/>
          <w:szCs w:val="19"/>
          <w:rtl/>
        </w:rPr>
        <w:t>, צפוי ל</w:t>
      </w:r>
      <w:r>
        <w:rPr>
          <w:rFonts w:ascii="Arial" w:hAnsi="Arial" w:cs="Arial" w:eastAsia="Arial"/>
          <w:b/>
          <w:bCs/>
          <w:color w:val="1F2430"/>
          <w:sz w:val="19"/>
          <w:szCs w:val="19"/>
          <w:rtl/>
        </w:rPr>
        <w:t>מאסר שנתיים</w:t>
      </w:r>
      <w:r>
        <w:rPr>
          <w:rFonts w:ascii="Arial" w:hAnsi="Arial" w:cs="Arial" w:eastAsia="Arial"/>
          <w:color w:val="1F2430"/>
          <w:sz w:val="19"/>
          <w:szCs w:val="19"/>
          <w:rtl/>
        </w:rPr>
        <w:t>. הסעיף נועד להילחם בתופעה, אך כמעט אינו נאכף.</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רוגוזינסקי (ע"א 450/70)</w:t>
      </w:r>
      <w:r>
        <w:rPr>
          <w:rFonts w:ascii="Arial" w:hAnsi="Arial" w:cs="Arial" w:eastAsia="Arial"/>
          <w:color w:val="1F2430"/>
          <w:sz w:val="19"/>
          <w:szCs w:val="19"/>
          <w:rtl/>
        </w:rPr>
        <w:t xml:space="preserve">: חברי קיבוץ "אתאיסטים" שנישאו בטקס פרטי. "יהודי" נקבע לפי </w:t>
      </w:r>
      <w:r>
        <w:rPr>
          <w:rFonts w:ascii="Arial" w:hAnsi="Arial" w:cs="Arial" w:eastAsia="Arial"/>
          <w:b/>
          <w:bCs/>
          <w:color w:val="1F2430"/>
          <w:sz w:val="19"/>
          <w:szCs w:val="19"/>
          <w:rtl/>
        </w:rPr>
        <w:t>מבחן הלכתי</w:t>
      </w:r>
      <w:r>
        <w:rPr>
          <w:rFonts w:ascii="Arial" w:hAnsi="Arial" w:cs="Arial" w:eastAsia="Arial"/>
          <w:color w:val="1F2430"/>
          <w:sz w:val="19"/>
          <w:szCs w:val="19"/>
          <w:rtl/>
        </w:rPr>
        <w:t>, ותוקף נישואיהם בסמכות בית הדין הרבני.</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כשירי חיתון בנישואין פרטיים – "לא נעזור"</w:t>
      </w:r>
    </w:p>
    <w:tbl>
      <w:tblPr>
        <w:tblW w:type="dxa" w:w="10206"/>
        <w:jc w:val="center"/>
        <w:tblLook w:firstColumn="1" w:firstRow="1" w:lastColumn="0" w:lastRow="0" w:noHBand="0" w:noVBand="1" w:val="04A0"/>
        <w:bidiVisual/>
        <w:tblLayout w:type="fixed"/>
      </w:tblPr>
      <w:tblGrid>
        <w:gridCol w:w="4020"/>
        <w:gridCol w:w="6185"/>
      </w:tblGrid>
      <w:tr>
        <w:trPr>
          <w:tblHeader/>
        </w:trPr>
        <w:tc>
          <w:tcPr>
            <w:tcW w:type="dxa" w:w="402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618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w:t>
            </w:r>
          </w:p>
        </w:tc>
      </w:tr>
      <w:tr>
        <w:trPr>
          <w:cantSplit/>
        </w:trPr>
        <w:tc>
          <w:tcPr>
            <w:tcW w:type="dxa" w:w="40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צונן נ' שטל (ע"א 32/81)</w:t>
            </w:r>
          </w:p>
        </w:tc>
        <w:tc>
          <w:tcPr>
            <w:tcW w:type="dxa" w:w="61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הרבנות סירבה (חסר אישור גירושין), והם ערכו טקס פרטי מלא. המחוזי פסק מזונות מכוח הסכם משתמע. </w:t>
            </w:r>
            <w:r>
              <w:rPr>
                <w:rFonts w:ascii="Arial" w:hAnsi="Arial" w:cs="Arial" w:eastAsia="Arial"/>
                <w:b/>
                <w:bCs/>
                <w:color w:val="1F2430"/>
                <w:sz w:val="17"/>
                <w:szCs w:val="17"/>
                <w:rtl/>
              </w:rPr>
              <w:t>אלון</w:t>
            </w:r>
            <w:r>
              <w:rPr>
                <w:rFonts w:ascii="Arial" w:hAnsi="Arial" w:cs="Arial" w:eastAsia="Arial"/>
                <w:color w:val="1F2430"/>
                <w:sz w:val="17"/>
                <w:szCs w:val="17"/>
                <w:rtl/>
              </w:rPr>
              <w:t xml:space="preserve">: "קידושין נסתרים" ופגיעה בתקנת הציבור, ולכן </w:t>
            </w:r>
            <w:r>
              <w:rPr>
                <w:rFonts w:ascii="Arial" w:hAnsi="Arial" w:cs="Arial" w:eastAsia="Arial"/>
                <w:b/>
                <w:bCs/>
                <w:color w:val="1F2430"/>
                <w:sz w:val="17"/>
                <w:szCs w:val="17"/>
                <w:rtl/>
              </w:rPr>
              <w:t>אין מזונות</w:t>
            </w:r>
            <w:r>
              <w:rPr>
                <w:rFonts w:ascii="Arial" w:hAnsi="Arial" w:cs="Arial" w:eastAsia="Arial"/>
                <w:color w:val="1F2430"/>
                <w:sz w:val="17"/>
                <w:szCs w:val="17"/>
                <w:rtl/>
              </w:rPr>
              <w:t xml:space="preserve">. </w:t>
            </w:r>
            <w:r>
              <w:rPr>
                <w:rFonts w:ascii="Arial" w:hAnsi="Arial" w:cs="Arial" w:eastAsia="Arial"/>
                <w:b/>
                <w:bCs/>
                <w:color w:val="1F2430"/>
                <w:sz w:val="17"/>
                <w:szCs w:val="17"/>
                <w:rtl/>
              </w:rPr>
              <w:t>שמגר</w:t>
            </w:r>
            <w:r>
              <w:rPr>
                <w:rFonts w:ascii="Arial" w:hAnsi="Arial" w:cs="Arial" w:eastAsia="Arial"/>
                <w:color w:val="1F2430"/>
                <w:sz w:val="17"/>
                <w:szCs w:val="17"/>
                <w:rtl/>
              </w:rPr>
              <w:t>: בלי נישואין אין גמירות דעת להתחייב</w:t>
            </w:r>
          </w:p>
        </w:tc>
      </w:tr>
      <w:tr>
        <w:trPr>
          <w:cantSplit/>
        </w:trPr>
        <w:tc>
          <w:tcPr>
            <w:tcW w:type="dxa" w:w="40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פלונית (ברק)</w:t>
            </w:r>
          </w:p>
        </w:tc>
        <w:tc>
          <w:tcPr>
            <w:tcW w:type="dxa" w:w="61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 xml:space="preserve">המזונות החוזיים </w:t>
            </w:r>
            <w:r>
              <w:rPr>
                <w:rFonts w:ascii="Arial" w:hAnsi="Arial" w:cs="Arial" w:eastAsia="Arial"/>
                <w:b/>
                <w:bCs/>
                <w:color w:val="1F2430"/>
                <w:sz w:val="17"/>
                <w:szCs w:val="17"/>
                <w:rtl/>
              </w:rPr>
              <w:t>אינם חלים</w:t>
            </w:r>
            <w:r>
              <w:rPr>
                <w:rFonts w:ascii="Arial" w:hAnsi="Arial" w:cs="Arial" w:eastAsia="Arial"/>
                <w:color w:val="1F2430"/>
                <w:sz w:val="17"/>
                <w:szCs w:val="17"/>
                <w:rtl/>
              </w:rPr>
              <w:t xml:space="preserve"> על נישואין פרטיים של כשירי חיתון; גיבוי לצונן</w:t>
            </w:r>
          </w:p>
        </w:tc>
      </w:tr>
      <w:tr>
        <w:trPr>
          <w:cantSplit/>
        </w:trPr>
        <w:tc>
          <w:tcPr>
            <w:tcW w:type="dxa" w:w="40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1093889/1 (אזורי ירושלים, הרב לביא)</w:t>
            </w:r>
          </w:p>
        </w:tc>
        <w:tc>
          <w:tcPr>
            <w:tcW w:type="dxa" w:w="61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נוהל "הלבנה": שם עורך הנישואין, הצהרה שהזוג פנוי, והתחייבות שלא יחתן שוב. העורך סירב, ולכן: התנהלות חסרת תום לב, חובה להסדיר נישואין ברבנות, ורישום ב</w:t>
            </w:r>
            <w:r>
              <w:rPr>
                <w:rFonts w:ascii="Arial" w:hAnsi="Arial" w:cs="Arial" w:eastAsia="Arial"/>
                <w:b/>
                <w:bCs/>
                <w:color w:val="1F2430"/>
                <w:sz w:val="17"/>
                <w:szCs w:val="17"/>
                <w:rtl/>
              </w:rPr>
              <w:t>רשימת מעוכבי הנישואין</w:t>
            </w:r>
          </w:p>
        </w:tc>
      </w:tr>
      <w:tr>
        <w:trPr>
          <w:cantSplit/>
        </w:trPr>
        <w:tc>
          <w:tcPr>
            <w:tcW w:type="dxa" w:w="40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בג"ץ 2102/18 פלוני נ' ביה"ד הגדול</w:t>
            </w:r>
          </w:p>
        </w:tc>
        <w:tc>
          <w:tcPr>
            <w:tcW w:type="dxa" w:w="61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העתירה נדחתה: בית הדין לא חרג מסמכותו ("ספקות רציניים" בתוקף הטקס)</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w:t>
            </w:r>
          </w:p>
          <w:p>
            <w:pPr>
              <w:bidi/>
              <w:spacing w:before="0" w:after="60" w:line="300" w:lineRule="auto"/>
              <w:jc w:val="both"/>
            </w:pPr>
            <w:r>
              <w:rPr>
                <w:rFonts w:ascii="Arial" w:hAnsi="Arial" w:cs="Arial" w:eastAsia="Arial"/>
                <w:color w:val="1F2430"/>
                <w:sz w:val="18"/>
                <w:szCs w:val="18"/>
                <w:rtl/>
              </w:rPr>
              <w:t xml:space="preserve">כשירי חיתון שנישאו פרטית במצב </w:t>
            </w:r>
            <w:r>
              <w:rPr>
                <w:rFonts w:ascii="Arial" w:hAnsi="Arial" w:cs="Arial" w:eastAsia="Arial"/>
                <w:b/>
                <w:bCs/>
                <w:color w:val="1F2430"/>
                <w:sz w:val="18"/>
                <w:szCs w:val="18"/>
                <w:rtl/>
              </w:rPr>
              <w:t>גרוע</w:t>
            </w:r>
            <w:r>
              <w:rPr>
                <w:rFonts w:ascii="Arial" w:hAnsi="Arial" w:cs="Arial" w:eastAsia="Arial"/>
                <w:color w:val="1F2430"/>
                <w:sz w:val="18"/>
                <w:szCs w:val="18"/>
                <w:rtl/>
              </w:rPr>
              <w:t xml:space="preserve"> מידועים בציבור: לידועים בציבור יש מזונות חוזיים, ולהם לא. הפתרון: </w:t>
            </w:r>
            <w:r>
              <w:rPr>
                <w:rFonts w:ascii="Arial" w:hAnsi="Arial" w:cs="Arial" w:eastAsia="Arial"/>
                <w:b/>
                <w:bCs/>
                <w:color w:val="1F2430"/>
                <w:sz w:val="18"/>
                <w:szCs w:val="18"/>
                <w:rtl/>
              </w:rPr>
              <w:t>הסכם מפורש</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פסולי חיתון בנישואין פרטיים – "נעזור"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תזכורת (פרק 7): </w:t>
      </w:r>
      <w:r>
        <w:rPr>
          <w:rFonts w:ascii="Arial" w:hAnsi="Arial" w:cs="Arial" w:eastAsia="Arial"/>
          <w:b/>
          <w:bCs/>
          <w:color w:val="1F2430"/>
          <w:sz w:val="19"/>
          <w:szCs w:val="19"/>
          <w:rtl/>
        </w:rPr>
        <w:t>כרת/מיתה</w:t>
      </w:r>
      <w:r>
        <w:rPr>
          <w:rFonts w:ascii="Arial" w:hAnsi="Arial" w:cs="Arial" w:eastAsia="Arial"/>
          <w:color w:val="1F2430"/>
          <w:sz w:val="19"/>
          <w:szCs w:val="19"/>
          <w:rtl/>
        </w:rPr>
        <w:t xml:space="preserve"> – אין תפיסה ואין צורך בגט. </w:t>
      </w:r>
      <w:r>
        <w:rPr>
          <w:rFonts w:ascii="Arial" w:hAnsi="Arial" w:cs="Arial" w:eastAsia="Arial"/>
          <w:b/>
          <w:bCs/>
          <w:color w:val="1F2430"/>
          <w:sz w:val="19"/>
          <w:szCs w:val="19"/>
          <w:rtl/>
        </w:rPr>
        <w:t>לאוין</w:t>
      </w:r>
      <w:r>
        <w:rPr>
          <w:rFonts w:ascii="Arial" w:hAnsi="Arial" w:cs="Arial" w:eastAsia="Arial"/>
          <w:color w:val="1F2430"/>
          <w:sz w:val="19"/>
          <w:szCs w:val="19"/>
          <w:rtl/>
        </w:rPr>
        <w:t xml:space="preserve"> (כהן וגרושה, ממזר ויהודייה) – אסור, אך תופס לחומרא ונדרש גט.</w:t>
      </w:r>
    </w:p>
    <w:tbl>
      <w:tblPr>
        <w:tblW w:type="dxa" w:w="10206"/>
        <w:jc w:val="center"/>
        <w:tblLook w:firstColumn="1" w:firstRow="1" w:lastColumn="0" w:lastRow="0" w:noHBand="0" w:noVBand="1" w:val="04A0"/>
        <w:bidiVisual/>
        <w:tblLayout w:type="fixed"/>
      </w:tblPr>
      <w:tblGrid>
        <w:gridCol w:w="3085"/>
        <w:gridCol w:w="7120"/>
      </w:tblGrid>
      <w:tr>
        <w:trPr>
          <w:tblHeader/>
        </w:trPr>
        <w:tc>
          <w:tcPr>
            <w:tcW w:type="dxa" w:w="308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712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עובדות → הלכה</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רודניצקי (בג"ץ 51/69)</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כהן וגרושה, טקס פרטי, ילד חלל. בית הדין כתב רק "חששות" (טבעת לפני הנוסח, עדים מחללי שבת), והפקיד סירב לרשום. בג"ץ: מחמת הספק </w:t>
            </w:r>
            <w:r>
              <w:rPr>
                <w:rFonts w:ascii="Arial" w:hAnsi="Arial" w:cs="Arial" w:eastAsia="Arial"/>
                <w:b/>
                <w:bCs/>
                <w:color w:val="1F2430"/>
                <w:sz w:val="17"/>
                <w:szCs w:val="17"/>
                <w:rtl/>
              </w:rPr>
              <w:t>אסורים להינשא לאחרים בלי גט</w:t>
            </w:r>
            <w:r>
              <w:rPr>
                <w:rFonts w:ascii="Arial" w:hAnsi="Arial" w:cs="Arial" w:eastAsia="Arial"/>
                <w:color w:val="1F2430"/>
                <w:sz w:val="17"/>
                <w:szCs w:val="17"/>
                <w:rtl/>
              </w:rPr>
              <w:t xml:space="preserve">, ולכן </w:t>
            </w:r>
            <w:r>
              <w:rPr>
                <w:rFonts w:ascii="Arial" w:hAnsi="Arial" w:cs="Arial" w:eastAsia="Arial"/>
                <w:b/>
                <w:bCs/>
                <w:color w:val="1F2430"/>
                <w:sz w:val="17"/>
                <w:szCs w:val="17"/>
                <w:rtl/>
              </w:rPr>
              <w:t>לרשום כנשואים</w:t>
            </w:r>
            <w:r>
              <w:rPr>
                <w:rFonts w:ascii="Arial" w:hAnsi="Arial" w:cs="Arial" w:eastAsia="Arial"/>
                <w:color w:val="1F2430"/>
                <w:sz w:val="17"/>
                <w:szCs w:val="17"/>
                <w:rtl/>
              </w:rPr>
              <w:t>. "איזה פתרון הוא זה... לשלוח את תושבי המדינה אל מחוץ לגבולותיה"</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סעיף 76 לחוק בתי המשפט</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 xml:space="preserve">סמכות נגררת: הכרעה אגבית בשאלה שבסמכות ייחודית של ערכאה אחרת, </w:t>
            </w:r>
            <w:r>
              <w:rPr>
                <w:rFonts w:ascii="Arial" w:hAnsi="Arial" w:cs="Arial" w:eastAsia="Arial"/>
                <w:b/>
                <w:bCs/>
                <w:color w:val="1F2430"/>
                <w:sz w:val="17"/>
                <w:szCs w:val="17"/>
                <w:rtl/>
              </w:rPr>
              <w:t>רק לצורך אותו עניין</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גורפינקל</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כהן וגרושה פנו ישר למרשם עם תצהירים ותמונות. בג"ץ: </w:t>
            </w:r>
            <w:r>
              <w:rPr>
                <w:rFonts w:ascii="Arial" w:hAnsi="Arial" w:cs="Arial" w:eastAsia="Arial"/>
                <w:b/>
                <w:bCs/>
                <w:color w:val="1F2430"/>
                <w:sz w:val="17"/>
                <w:szCs w:val="17"/>
                <w:rtl/>
              </w:rPr>
              <w:t>קודם בית הדין הרבני</w:t>
            </w:r>
            <w:r>
              <w:rPr>
                <w:rFonts w:ascii="Arial" w:hAnsi="Arial" w:cs="Arial" w:eastAsia="Arial"/>
                <w:color w:val="1F2430"/>
                <w:sz w:val="17"/>
                <w:szCs w:val="17"/>
                <w:rtl/>
              </w:rPr>
              <w:t xml:space="preserve"> (מיצוי הליכים)</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כהן (ע"א 640/82)</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 xml:space="preserve">אישור הסכם לפי חוק יחסי ממון. הגדול קבע "לא יינשאו לאחרים בלי גט מספק/מחומרא". ברק: </w:t>
            </w:r>
            <w:r>
              <w:rPr>
                <w:rFonts w:ascii="Arial" w:hAnsi="Arial" w:cs="Arial" w:eastAsia="Arial"/>
                <w:b/>
                <w:bCs/>
                <w:color w:val="1F2430"/>
                <w:sz w:val="17"/>
                <w:szCs w:val="17"/>
                <w:rtl/>
              </w:rPr>
              <w:t>"יותר נשואים מרווקים"</w:t>
            </w:r>
            <w:r>
              <w:rPr>
                <w:rFonts w:ascii="Arial" w:hAnsi="Arial" w:cs="Arial" w:eastAsia="Arial"/>
                <w:color w:val="1F2430"/>
                <w:sz w:val="17"/>
                <w:szCs w:val="17"/>
                <w:rtl/>
              </w:rPr>
              <w:t>, ולכן זכויות ממוניות</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טפר (ע"א 373/72)</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יהודי ונוצרייה בטקס פרטי. </w:t>
            </w:r>
            <w:r>
              <w:rPr>
                <w:rFonts w:ascii="Arial" w:hAnsi="Arial" w:cs="Arial" w:eastAsia="Arial"/>
                <w:b/>
                <w:bCs/>
                <w:color w:val="1F2430"/>
                <w:sz w:val="17"/>
                <w:szCs w:val="17"/>
                <w:rtl/>
              </w:rPr>
              <w:t>נדחה</w:t>
            </w:r>
            <w:r>
              <w:rPr>
                <w:rFonts w:ascii="Arial" w:hAnsi="Arial" w:cs="Arial" w:eastAsia="Arial"/>
                <w:color w:val="1F2430"/>
                <w:sz w:val="17"/>
                <w:szCs w:val="17"/>
                <w:rtl/>
              </w:rPr>
              <w:t>: הקידושין אינם תופסים כלל, ולכן אין רישום. החלופות: נישואין אזרחיים או ידועים בציבור</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מעמד הילד</w:t>
      </w:r>
      <w:r>
        <w:rPr>
          <w:rFonts w:ascii="Arial" w:hAnsi="Arial" w:cs="Arial" w:eastAsia="Arial"/>
          <w:color w:val="1F2430"/>
          <w:sz w:val="19"/>
          <w:szCs w:val="19"/>
          <w:rtl/>
        </w:rPr>
        <w:t xml:space="preserve"> נקבע לפי המעמד ההלכתי של ההורים, לא לפי צורת הטקס.</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נישואין אזרחיים – הדין הדתי בקצרה (פרק 7)</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הטקס אינו מקדש. </w:t>
      </w:r>
      <w:r>
        <w:rPr>
          <w:rFonts w:ascii="Arial" w:hAnsi="Arial" w:cs="Arial" w:eastAsia="Arial"/>
          <w:b/>
          <w:bCs/>
          <w:color w:val="1F2430"/>
          <w:sz w:val="19"/>
          <w:szCs w:val="19"/>
          <w:rtl/>
        </w:rPr>
        <w:t>הספק נובע מחיי האישות</w:t>
      </w:r>
      <w:r>
        <w:rPr>
          <w:rFonts w:ascii="Arial" w:hAnsi="Arial" w:cs="Arial" w:eastAsia="Arial"/>
          <w:color w:val="1F2430"/>
          <w:sz w:val="19"/>
          <w:szCs w:val="19"/>
          <w:rtl/>
        </w:rPr>
        <w:t xml:space="preserve"> ("אין אדם עושה בעילתו בעילת זנות").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מקלה</w:t>
      </w:r>
      <w:r>
        <w:rPr>
          <w:rFonts w:ascii="Arial" w:hAnsi="Arial" w:cs="Arial" w:eastAsia="Arial"/>
          <w:color w:val="1F2430"/>
          <w:sz w:val="19"/>
          <w:szCs w:val="19"/>
          <w:rtl/>
        </w:rPr>
        <w:t xml:space="preserve"> (מרכזית): אין תוקף; בעיקר לכשירי חיתון.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מחמירה</w:t>
      </w:r>
      <w:r>
        <w:rPr>
          <w:rFonts w:ascii="Arial" w:hAnsi="Arial" w:cs="Arial" w:eastAsia="Arial"/>
          <w:color w:val="1F2430"/>
          <w:sz w:val="19"/>
          <w:szCs w:val="19"/>
          <w:rtl/>
        </w:rPr>
        <w:t>: נשואים מספק; בעיקר לפסולי חיתון ולעולים שנישאו אזרחית בחו"ל.</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השלכות של "גט מספק": </w:t>
      </w:r>
      <w:r>
        <w:rPr>
          <w:rFonts w:ascii="Arial" w:hAnsi="Arial" w:cs="Arial" w:eastAsia="Arial"/>
          <w:b/>
          <w:bCs/>
          <w:color w:val="1F2430"/>
          <w:sz w:val="19"/>
          <w:szCs w:val="19"/>
          <w:rtl/>
        </w:rPr>
        <w:t>ביגמיה, ממזרות, עגינות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המשפט מעדיף נישואין אזרחיים על פני פרטיים: הם </w:t>
      </w:r>
      <w:r>
        <w:rPr>
          <w:rFonts w:ascii="Arial" w:hAnsi="Arial" w:cs="Arial" w:eastAsia="Arial"/>
          <w:b/>
          <w:bCs/>
          <w:color w:val="1F2430"/>
          <w:sz w:val="19"/>
          <w:szCs w:val="19"/>
          <w:rtl/>
        </w:rPr>
        <w:t>מתועדים ורשומים</w:t>
      </w:r>
      <w:r>
        <w:rPr>
          <w:rFonts w:ascii="Arial" w:hAnsi="Arial" w:cs="Arial" w:eastAsia="Arial"/>
          <w:color w:val="1F2430"/>
          <w:sz w:val="19"/>
          <w:szCs w:val="19"/>
          <w:rtl/>
        </w:rPr>
        <w:t xml:space="preserve"> (פרק 9). סעיף 2 מתייחס לנישואין </w:t>
      </w:r>
      <w:r>
        <w:rPr>
          <w:rFonts w:ascii="Arial" w:hAnsi="Arial" w:cs="Arial" w:eastAsia="Arial"/>
          <w:b/>
          <w:bCs/>
          <w:color w:val="1F2430"/>
          <w:sz w:val="19"/>
          <w:szCs w:val="19"/>
          <w:rtl/>
        </w:rPr>
        <w:t>בישראל</w:t>
      </w:r>
      <w:r>
        <w:rPr>
          <w:rFonts w:ascii="Arial" w:hAnsi="Arial" w:cs="Arial" w:eastAsia="Arial"/>
          <w:color w:val="1F2430"/>
          <w:sz w:val="19"/>
          <w:szCs w:val="19"/>
          <w:rtl/>
        </w:rPr>
        <w:t>.</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בג"ץ 2232/03 – התרת נישואין אזרחיים</w:t>
      </w:r>
    </w:p>
    <w:p>
      <w:pPr>
        <w:bidi/>
        <w:spacing w:before="0" w:after="100" w:line="300" w:lineRule="auto"/>
        <w:jc w:val="both"/>
      </w:pPr>
      <w:r>
        <w:rPr>
          <w:rFonts w:ascii="Arial" w:hAnsi="Arial" w:cs="Arial" w:eastAsia="Arial"/>
          <w:b/>
          <w:bCs/>
          <w:color w:val="1F2430"/>
          <w:sz w:val="19"/>
          <w:szCs w:val="19"/>
          <w:rtl/>
        </w:rPr>
        <w:t>שרשרת העובדות:</w:t>
      </w:r>
      <w:r>
        <w:rPr>
          <w:rFonts w:ascii="Arial" w:hAnsi="Arial" w:cs="Arial" w:eastAsia="Arial"/>
          <w:color w:val="1F2430"/>
          <w:sz w:val="19"/>
          <w:szCs w:val="19"/>
          <w:rtl/>
        </w:rPr>
        <w:t xml:space="preserve"> כשירי חיתון, קפריסין 1987 וטקס אצל רב רפורמי → הבעל ביקש הצהרה "אינם נשואים כדמו"י" ואחריה "רשאים להינשא כפנויים" (פירוק המעגל האזרחי) → בית הדין הגדול תיקן ל"</w:t>
      </w:r>
      <w:r>
        <w:rPr>
          <w:rFonts w:ascii="Arial" w:hAnsi="Arial" w:cs="Arial" w:eastAsia="Arial"/>
          <w:b/>
          <w:bCs/>
          <w:color w:val="1F2430"/>
          <w:sz w:val="19"/>
          <w:szCs w:val="19"/>
          <w:rtl/>
        </w:rPr>
        <w:t>מתיר את הנישואין</w:t>
      </w:r>
      <w:r>
        <w:rPr>
          <w:rFonts w:ascii="Arial" w:hAnsi="Arial" w:cs="Arial" w:eastAsia="Arial"/>
          <w:color w:val="1F2430"/>
          <w:sz w:val="19"/>
          <w:szCs w:val="19"/>
          <w:rtl/>
        </w:rPr>
        <w:t xml:space="preserve">" (הכרה בקשר האזרחי ופירוקו) → האישה בבג"ץ: הותרו בלי עילה → ברק ביקש </w:t>
      </w:r>
      <w:r>
        <w:rPr>
          <w:rFonts w:ascii="Arial" w:hAnsi="Arial" w:cs="Arial" w:eastAsia="Arial"/>
          <w:b/>
          <w:bCs/>
          <w:color w:val="1F2430"/>
          <w:sz w:val="19"/>
          <w:szCs w:val="19"/>
          <w:rtl/>
        </w:rPr>
        <w:t>פסק דין משלים</w:t>
      </w:r>
      <w:r>
        <w:rPr>
          <w:rFonts w:ascii="Arial" w:hAnsi="Arial" w:cs="Arial" w:eastAsia="Arial"/>
          <w:color w:val="1F2430"/>
          <w:sz w:val="19"/>
          <w:szCs w:val="19"/>
          <w:rtl/>
        </w:rPr>
        <w:t xml:space="preserve"> על 4 שאלות.</w:t>
      </w:r>
    </w:p>
    <w:tbl>
      <w:tblPr>
        <w:tblW w:type="dxa" w:w="10206"/>
        <w:jc w:val="center"/>
        <w:tblLook w:firstColumn="1" w:firstRow="1" w:lastColumn="0" w:lastRow="0" w:noHBand="0" w:noVBand="1" w:val="04A0"/>
        <w:bidiVisual/>
        <w:tblLayout w:type="fixed"/>
      </w:tblPr>
      <w:tblGrid>
        <w:gridCol w:w="1407"/>
        <w:gridCol w:w="8798"/>
      </w:tblGrid>
      <w:tr>
        <w:trPr>
          <w:tblHeader/>
        </w:trPr>
        <w:tc>
          <w:tcPr>
            <w:tcW w:type="dxa" w:w="1408"/>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שאלה</w:t>
            </w:r>
          </w:p>
        </w:tc>
        <w:tc>
          <w:tcPr>
            <w:tcW w:type="dxa" w:w="8797"/>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תשובת בית הדין הגדול</w:t>
            </w:r>
          </w:p>
        </w:tc>
      </w:tr>
      <w:tr>
        <w:trPr>
          <w:cantSplit/>
        </w:trPr>
        <w:tc>
          <w:tcPr>
            <w:tcW w:type="dxa" w:w="140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תוקף</w:t>
            </w:r>
          </w:p>
        </w:tc>
        <w:tc>
          <w:tcPr>
            <w:tcW w:type="dxa" w:w="879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דיני בני נח</w:t>
            </w:r>
            <w:r>
              <w:rPr>
                <w:rFonts w:ascii="Arial" w:hAnsi="Arial" w:cs="Arial" w:eastAsia="Arial"/>
                <w:color w:val="1F2430"/>
                <w:sz w:val="17"/>
                <w:szCs w:val="17"/>
                <w:rtl/>
              </w:rPr>
              <w:t>: נישואין "דרג ב'", "חצי נשואים"</w:t>
            </w:r>
          </w:p>
        </w:tc>
      </w:tr>
      <w:tr>
        <w:trPr>
          <w:cantSplit/>
        </w:trPr>
        <w:tc>
          <w:tcPr>
            <w:tcW w:type="dxa" w:w="140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סמכות</w:t>
            </w:r>
          </w:p>
        </w:tc>
        <w:tc>
          <w:tcPr>
            <w:tcW w:type="dxa" w:w="879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בית הדין הרבני</w:t>
            </w:r>
          </w:p>
        </w:tc>
      </w:tr>
      <w:tr>
        <w:trPr>
          <w:cantSplit/>
        </w:trPr>
        <w:tc>
          <w:tcPr>
            <w:tcW w:type="dxa" w:w="140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עילות</w:t>
            </w:r>
          </w:p>
        </w:tc>
        <w:tc>
          <w:tcPr>
            <w:tcW w:type="dxa" w:w="879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ספק: גט (הסכמה או עילה). אין נישואין: </w:t>
            </w:r>
            <w:r>
              <w:rPr>
                <w:rFonts w:ascii="Arial" w:hAnsi="Arial" w:cs="Arial" w:eastAsia="Arial"/>
                <w:b/>
                <w:bCs/>
                <w:color w:val="1F2430"/>
                <w:sz w:val="17"/>
                <w:szCs w:val="17"/>
                <w:rtl/>
              </w:rPr>
              <w:t>תום הקשר</w:t>
            </w:r>
          </w:p>
        </w:tc>
      </w:tr>
      <w:tr>
        <w:trPr>
          <w:cantSplit/>
        </w:trPr>
        <w:tc>
          <w:tcPr>
            <w:tcW w:type="dxa" w:w="140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ממון</w:t>
            </w:r>
          </w:p>
        </w:tc>
        <w:tc>
          <w:tcPr>
            <w:tcW w:type="dxa" w:w="879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לא ניתן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עץ החלטה:</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1. </w:t>
      </w:r>
      <w:r>
        <w:tab/>
      </w:r>
      <w:r>
        <w:rPr>
          <w:rFonts w:ascii="Arial" w:hAnsi="Arial" w:cs="Arial" w:eastAsia="Arial"/>
          <w:color w:val="1F2430"/>
          <w:sz w:val="19"/>
          <w:szCs w:val="19"/>
          <w:rtl/>
        </w:rPr>
        <w:t>שני יהודים → בית הדין הרבני (שלושה דיינים). יהודי ולא־יהודי → בית המשפט, לפי חוק שיפוט בענייני התרת נישואין (מקרים מיוחדים), עם חוות דעת של הדתות (פרק 2).</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2. </w:t>
      </w:r>
      <w:r>
        <w:tab/>
      </w:r>
      <w:r>
        <w:rPr>
          <w:rFonts w:ascii="Arial" w:hAnsi="Arial" w:cs="Arial" w:eastAsia="Arial"/>
          <w:b/>
          <w:bCs/>
          <w:color w:val="1F2430"/>
          <w:sz w:val="19"/>
          <w:szCs w:val="19"/>
          <w:rtl/>
        </w:rPr>
        <w:t>כובע דתי</w:t>
      </w:r>
      <w:r>
        <w:rPr>
          <w:rFonts w:ascii="Arial" w:hAnsi="Arial" w:cs="Arial" w:eastAsia="Arial"/>
          <w:color w:val="1F2430"/>
          <w:sz w:val="19"/>
          <w:szCs w:val="19"/>
          <w:rtl/>
        </w:rPr>
        <w:t xml:space="preserve">: יש קידושין או ספק → </w:t>
      </w:r>
      <w:r>
        <w:rPr>
          <w:rFonts w:ascii="Arial" w:hAnsi="Arial" w:cs="Arial" w:eastAsia="Arial"/>
          <w:b/>
          <w:bCs/>
          <w:color w:val="1F2430"/>
          <w:sz w:val="19"/>
          <w:szCs w:val="19"/>
          <w:rtl/>
        </w:rPr>
        <w:t>גט מספק</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3. </w:t>
      </w:r>
      <w:r>
        <w:tab/>
      </w:r>
      <w:r>
        <w:rPr>
          <w:rFonts w:ascii="Arial" w:hAnsi="Arial" w:cs="Arial" w:eastAsia="Arial"/>
          <w:color w:val="1F2430"/>
          <w:sz w:val="19"/>
          <w:szCs w:val="19"/>
          <w:rtl/>
        </w:rPr>
        <w:t xml:space="preserve">אין קידושין → </w:t>
      </w:r>
      <w:r>
        <w:rPr>
          <w:rFonts w:ascii="Arial" w:hAnsi="Arial" w:cs="Arial" w:eastAsia="Arial"/>
          <w:b/>
          <w:bCs/>
          <w:color w:val="1F2430"/>
          <w:sz w:val="19"/>
          <w:szCs w:val="19"/>
          <w:rtl/>
        </w:rPr>
        <w:t>כובע אזרחי</w:t>
      </w:r>
      <w:r>
        <w:rPr>
          <w:rFonts w:ascii="Arial" w:hAnsi="Arial" w:cs="Arial" w:eastAsia="Arial"/>
          <w:color w:val="1F2430"/>
          <w:sz w:val="19"/>
          <w:szCs w:val="19"/>
          <w:rtl/>
        </w:rPr>
        <w:t xml:space="preserve"> → </w:t>
      </w:r>
      <w:r>
        <w:rPr>
          <w:rFonts w:ascii="Arial" w:hAnsi="Arial" w:cs="Arial" w:eastAsia="Arial"/>
          <w:b/>
          <w:bCs/>
          <w:color w:val="1F2430"/>
          <w:sz w:val="19"/>
          <w:szCs w:val="19"/>
          <w:rtl/>
        </w:rPr>
        <w:t>פסק דין להתרת נישואין</w:t>
      </w:r>
      <w:r>
        <w:rPr>
          <w:rFonts w:ascii="Arial" w:hAnsi="Arial" w:cs="Arial" w:eastAsia="Arial"/>
          <w:color w:val="1F2430"/>
          <w:sz w:val="19"/>
          <w:szCs w:val="19"/>
          <w:rtl/>
        </w:rPr>
        <w:t xml:space="preserve">: עילת תום הקשר, </w:t>
      </w:r>
      <w:r>
        <w:rPr>
          <w:rFonts w:ascii="Arial" w:hAnsi="Arial" w:cs="Arial" w:eastAsia="Arial"/>
          <w:b/>
          <w:bCs/>
          <w:color w:val="1F2430"/>
          <w:sz w:val="19"/>
          <w:szCs w:val="19"/>
          <w:rtl/>
        </w:rPr>
        <w:t>בלי הסכמה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4. </w:t>
      </w:r>
      <w:r>
        <w:tab/>
      </w:r>
      <w:r>
        <w:rPr>
          <w:rFonts w:ascii="Arial" w:hAnsi="Arial" w:cs="Arial" w:eastAsia="Arial"/>
          <w:b/>
          <w:bCs/>
          <w:color w:val="1F2430"/>
          <w:sz w:val="19"/>
          <w:szCs w:val="19"/>
          <w:rtl/>
        </w:rPr>
        <w:t>רכוש ומזונות → בית המשפט האזרחי בלבד</w:t>
      </w:r>
      <w:r>
        <w:rPr>
          <w:rFonts w:ascii="Arial" w:hAnsi="Arial" w:cs="Arial" w:eastAsia="Arial"/>
          <w:color w:val="1F2430"/>
          <w:sz w:val="19"/>
          <w:szCs w:val="19"/>
          <w:rtl/>
        </w:rPr>
        <w:t xml:space="preserve"> (פיצול של ברק).</w:t>
      </w:r>
    </w:p>
    <w:tbl>
      <w:tblPr>
        <w:tblW w:type="dxa" w:w="10206"/>
        <w:jc w:val="center"/>
        <w:tblLook w:firstColumn="1" w:firstRow="1" w:lastColumn="0" w:lastRow="0" w:noHBand="0" w:noVBand="1" w:val="04A0"/>
        <w:bidiVisual/>
        <w:tblLayout w:type="fixed"/>
      </w:tblPr>
      <w:tblGrid>
        <w:gridCol w:w="1276"/>
        <w:gridCol w:w="5874"/>
        <w:gridCol w:w="3054"/>
      </w:tblGrid>
      <w:tr>
        <w:trPr>
          <w:tblHeader/>
        </w:trPr>
        <w:tc>
          <w:tcPr>
            <w:tcW w:type="dxa" w:w="1276"/>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5874"/>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w:t>
            </w:r>
          </w:p>
        </w:tc>
        <w:tc>
          <w:tcPr>
            <w:tcW w:type="dxa" w:w="305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התרה בפסק דין</w:t>
            </w:r>
          </w:p>
        </w:tc>
      </w:tr>
      <w:tr>
        <w:trPr>
          <w:cantSplit/>
        </w:trPr>
        <w:tc>
          <w:tcPr>
            <w:tcW w:type="dxa" w:w="12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הסכמה</w:t>
            </w:r>
          </w:p>
        </w:tc>
        <w:tc>
          <w:tcPr>
            <w:tcW w:type="dxa" w:w="58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נדרשת</w:t>
            </w:r>
          </w:p>
        </w:tc>
        <w:tc>
          <w:tcPr>
            <w:tcW w:type="dxa" w:w="3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נדרשת</w:t>
            </w:r>
          </w:p>
        </w:tc>
      </w:tr>
      <w:tr>
        <w:trPr>
          <w:cantSplit/>
        </w:trPr>
        <w:tc>
          <w:tcPr>
            <w:tcW w:type="dxa" w:w="12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עילה</w:t>
            </w:r>
          </w:p>
        </w:tc>
        <w:tc>
          <w:tcPr>
            <w:tcW w:type="dxa" w:w="58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הסכמה / עילה (אלימות, בגידה); סנקציות רק כשיש עילה</w:t>
            </w:r>
          </w:p>
        </w:tc>
        <w:tc>
          <w:tcPr>
            <w:tcW w:type="dxa" w:w="3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תום הקשר</w:t>
            </w:r>
          </w:p>
        </w:tc>
      </w:tr>
      <w:tr>
        <w:trPr>
          <w:cantSplit/>
        </w:trPr>
        <w:tc>
          <w:tcPr>
            <w:tcW w:type="dxa" w:w="12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הגנת החלש</w:t>
            </w:r>
          </w:p>
        </w:tc>
        <w:tc>
          <w:tcPr>
            <w:tcW w:type="dxa" w:w="58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"לתפוס בשיניים"</w:t>
            </w:r>
          </w:p>
        </w:tc>
        <w:tc>
          <w:tcPr>
            <w:tcW w:type="dxa" w:w="3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פיצוי בכסף (מזונות חוזיים)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ברק מעדיף</w:t>
      </w:r>
      <w:r>
        <w:rPr>
          <w:rFonts w:ascii="Arial" w:hAnsi="Arial" w:cs="Arial" w:eastAsia="Arial"/>
          <w:color w:val="1F2430"/>
          <w:sz w:val="19"/>
          <w:szCs w:val="19"/>
          <w:rtl/>
        </w:rPr>
        <w:t xml:space="preserve"> לא להחזיק אנשים בקשר מת, ולפצות את החלש בכסף.</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מי ניצח?</w:t>
      </w:r>
      <w:r>
        <w:rPr>
          <w:rFonts w:ascii="Arial" w:hAnsi="Arial" w:cs="Arial" w:eastAsia="Arial"/>
          <w:color w:val="1F2430"/>
          <w:sz w:val="19"/>
          <w:szCs w:val="19"/>
          <w:rtl/>
        </w:rPr>
        <w:t xml:space="preserve"> הבעל, שקיבל פירוק מיידי. מדוע בית הדין הסכים? כדי שכל הזוגות יעברו בירור דתי (מניעת ממזרות), ושלא יגרשו כל זוג פעמיים.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כריכה</w:t>
      </w:r>
      <w:r>
        <w:rPr>
          <w:rFonts w:ascii="Arial" w:hAnsi="Arial" w:cs="Arial" w:eastAsia="Arial"/>
          <w:color w:val="1F2430"/>
          <w:sz w:val="19"/>
          <w:szCs w:val="19"/>
          <w:rtl/>
        </w:rPr>
        <w:t xml:space="preserve">: כריכת מזונות האישה בידי הבעל בנישואין אזרחיים היא </w:t>
      </w:r>
      <w:r>
        <w:rPr>
          <w:rFonts w:ascii="Arial" w:hAnsi="Arial" w:cs="Arial" w:eastAsia="Arial"/>
          <w:b/>
          <w:bCs/>
          <w:color w:val="1F2430"/>
          <w:sz w:val="19"/>
          <w:szCs w:val="19"/>
          <w:rtl/>
        </w:rPr>
        <w:t>לא כנה</w:t>
      </w:r>
      <w:r>
        <w:rPr>
          <w:rFonts w:ascii="Arial" w:hAnsi="Arial" w:cs="Arial" w:eastAsia="Arial"/>
          <w:color w:val="1F2430"/>
          <w:sz w:val="19"/>
          <w:szCs w:val="19"/>
          <w:rtl/>
        </w:rPr>
        <w:t xml:space="preserve"> (בית הדין אינו פוסק בהם).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טבריה (80581-21-1, 2009)</w:t>
      </w:r>
      <w:r>
        <w:rPr>
          <w:rFonts w:ascii="Arial" w:hAnsi="Arial" w:cs="Arial" w:eastAsia="Arial"/>
          <w:color w:val="1F2430"/>
          <w:sz w:val="19"/>
          <w:szCs w:val="19"/>
          <w:rtl/>
        </w:rPr>
        <w:t>: מזונות ורכוש חוזיים גם בבית הדין, מכוח "מנהג המדינה". האם הפיצול עדיין עומד? לא ידוע.</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חד־מיניים</w:t>
      </w:r>
      <w:r>
        <w:rPr>
          <w:rFonts w:ascii="Arial" w:hAnsi="Arial" w:cs="Arial" w:eastAsia="Arial"/>
          <w:color w:val="1F2430"/>
          <w:sz w:val="19"/>
          <w:szCs w:val="19"/>
          <w:rtl/>
        </w:rPr>
        <w:t xml:space="preserve">: בית הדין סירב ("אין אגרה"). </w:t>
      </w:r>
      <w:r>
        <w:rPr>
          <w:rFonts w:ascii="Arial" w:hAnsi="Arial" w:cs="Arial" w:eastAsia="Arial"/>
          <w:b/>
          <w:bCs/>
          <w:color w:val="1F2430"/>
          <w:sz w:val="19"/>
          <w:szCs w:val="19"/>
          <w:rtl/>
        </w:rPr>
        <w:t>תמ"ש 11264-09-12</w:t>
      </w:r>
      <w:r>
        <w:rPr>
          <w:rFonts w:ascii="Arial" w:hAnsi="Arial" w:cs="Arial" w:eastAsia="Arial"/>
          <w:color w:val="1F2430"/>
          <w:sz w:val="19"/>
          <w:szCs w:val="19"/>
          <w:rtl/>
        </w:rPr>
        <w:t>: בית הדין הפקיע את סמכותו, ובית המשפט מתיר (פרשנות תכליתית: אין ספק דתי לפתור).</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ממון: סקורניק → פלונית</w:t>
      </w:r>
    </w:p>
    <w:tbl>
      <w:tblPr>
        <w:tblW w:type="dxa" w:w="10206"/>
        <w:jc w:val="center"/>
        <w:tblLook w:firstColumn="1" w:firstRow="1" w:lastColumn="0" w:lastRow="0" w:noHBand="0" w:noVBand="1" w:val="04A0"/>
        <w:bidiVisual/>
        <w:tblLayout w:type="fixed"/>
      </w:tblPr>
      <w:tblGrid>
        <w:gridCol w:w="2095"/>
        <w:gridCol w:w="4055"/>
        <w:gridCol w:w="4055"/>
      </w:tblGrid>
      <w:tr>
        <w:trPr>
          <w:tblHeader/>
        </w:trPr>
        <w:tc>
          <w:tcPr>
            <w:tcW w:type="dxa" w:w="209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405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עובדות</w:t>
            </w:r>
          </w:p>
        </w:tc>
        <w:tc>
          <w:tcPr>
            <w:tcW w:type="dxa" w:w="405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w:t>
            </w:r>
          </w:p>
        </w:tc>
      </w:tr>
      <w:tr>
        <w:trPr>
          <w:cantSplit/>
        </w:trPr>
        <w:tc>
          <w:tcPr>
            <w:tcW w:type="dxa" w:w="209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סקורניק (ע"א 191/51)</w:t>
            </w:r>
          </w:p>
        </w:tc>
        <w:tc>
          <w:tcPr>
            <w:tcW w:type="dxa" w:w="4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תושבי פולין, נישואין אזרחיים שם, עלייה, תביעת מזונות</w:t>
            </w:r>
          </w:p>
        </w:tc>
        <w:tc>
          <w:tcPr>
            <w:tcW w:type="dxa" w:w="4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מעמד נקבע לפי הדין בעת רכישתו ואינו אובד עם שינוי מושב. </w:t>
            </w:r>
            <w:r>
              <w:rPr>
                <w:rFonts w:ascii="Arial" w:hAnsi="Arial" w:cs="Arial" w:eastAsia="Arial"/>
                <w:b/>
                <w:bCs/>
                <w:color w:val="1F2430"/>
                <w:sz w:val="17"/>
                <w:szCs w:val="17"/>
                <w:rtl/>
              </w:rPr>
              <w:t>נשואים</w:t>
            </w:r>
            <w:r>
              <w:rPr>
                <w:rFonts w:ascii="Arial" w:hAnsi="Arial" w:cs="Arial" w:eastAsia="Arial"/>
                <w:color w:val="1F2430"/>
                <w:sz w:val="17"/>
                <w:szCs w:val="17"/>
                <w:rtl/>
              </w:rPr>
              <w:t xml:space="preserve">, ולכן </w:t>
            </w:r>
            <w:r>
              <w:rPr>
                <w:rFonts w:ascii="Arial" w:hAnsi="Arial" w:cs="Arial" w:eastAsia="Arial"/>
                <w:b/>
                <w:bCs/>
                <w:color w:val="1F2430"/>
                <w:sz w:val="17"/>
                <w:szCs w:val="17"/>
                <w:rtl/>
              </w:rPr>
              <w:t>מזונות לפי הדין האישי</w:t>
            </w:r>
            <w:r>
              <w:rPr>
                <w:rFonts w:ascii="Arial" w:hAnsi="Arial" w:cs="Arial" w:eastAsia="Arial"/>
                <w:color w:val="1F2430"/>
                <w:sz w:val="17"/>
                <w:szCs w:val="17"/>
                <w:rtl/>
              </w:rPr>
              <w:t xml:space="preserve"> (השופט אולשן)</w:t>
            </w:r>
          </w:p>
        </w:tc>
      </w:tr>
      <w:tr>
        <w:trPr>
          <w:cantSplit/>
        </w:trPr>
        <w:tc>
          <w:tcPr>
            <w:tcW w:type="dxa" w:w="209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פלונית (רע"א 8256/99, 2003)</w:t>
            </w:r>
          </w:p>
        </w:tc>
        <w:tc>
          <w:tcPr>
            <w:tcW w:type="dxa" w:w="4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תושבי ישראל כשירי חיתון, פרגוואי בשליח, נרשמו, שנה יחד. הריון מאחר (שאלת ממזרות). משפחה ומחוזי דחו; בית הדין הצהיר "פנויה"</w:t>
            </w:r>
          </w:p>
        </w:tc>
        <w:tc>
          <w:tcPr>
            <w:tcW w:type="dxa" w:w="4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חוזה משתמע</w:t>
            </w:r>
            <w:r>
              <w:rPr>
                <w:rFonts w:ascii="Arial" w:hAnsi="Arial" w:cs="Arial" w:eastAsia="Arial"/>
                <w:color w:val="1F2430"/>
                <w:sz w:val="17"/>
                <w:szCs w:val="17"/>
                <w:rtl/>
              </w:rPr>
              <w:t xml:space="preserve">, והטקס הוא החוזה. </w:t>
            </w:r>
            <w:r>
              <w:rPr>
                <w:rFonts w:ascii="Arial" w:hAnsi="Arial" w:cs="Arial" w:eastAsia="Arial"/>
                <w:b/>
                <w:bCs/>
                <w:color w:val="1F2430"/>
                <w:sz w:val="17"/>
                <w:szCs w:val="17"/>
                <w:rtl/>
              </w:rPr>
              <w:t>מזונות חוזיים/משקמים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נימוקי ברק:</w:t>
      </w:r>
      <w:r>
        <w:rPr>
          <w:rFonts w:ascii="Arial" w:hAnsi="Arial" w:cs="Arial" w:eastAsia="Arial"/>
          <w:color w:val="1F2430"/>
          <w:sz w:val="19"/>
          <w:szCs w:val="19"/>
          <w:rtl/>
        </w:rPr>
        <w:t xml:space="preserve"> מבחן הסטטוס צר מדי · </w:t>
      </w:r>
      <w:r>
        <w:rPr>
          <w:rFonts w:ascii="Arial" w:hAnsi="Arial" w:cs="Arial" w:eastAsia="Arial"/>
          <w:b/>
          <w:bCs/>
          <w:color w:val="1F2430"/>
          <w:sz w:val="19"/>
          <w:szCs w:val="19"/>
          <w:rtl/>
        </w:rPr>
        <w:t>תקנת הציבור</w:t>
      </w:r>
      <w:r>
        <w:rPr>
          <w:rFonts w:ascii="Arial" w:hAnsi="Arial" w:cs="Arial" w:eastAsia="Arial"/>
          <w:color w:val="1F2430"/>
          <w:sz w:val="19"/>
          <w:szCs w:val="19"/>
          <w:rtl/>
        </w:rPr>
        <w:t xml:space="preserve"> = ה"אני מאמין" החברתי, וההסכם מקדם שוויון, צדק והגינות, ולכן אינו נוגד את סעיף 2 · "</w:t>
      </w:r>
      <w:r>
        <w:rPr>
          <w:rFonts w:ascii="Arial" w:hAnsi="Arial" w:cs="Arial" w:eastAsia="Arial"/>
          <w:b/>
          <w:bCs/>
          <w:color w:val="1F2430"/>
          <w:sz w:val="19"/>
          <w:szCs w:val="19"/>
          <w:rtl/>
        </w:rPr>
        <w:t>אינם עוברי אורח שתאונת דרכים אקראית הפגישה ביניהם</w:t>
      </w:r>
      <w:r>
        <w:rPr>
          <w:rFonts w:ascii="Arial" w:hAnsi="Arial" w:cs="Arial" w:eastAsia="Arial"/>
          <w:color w:val="1F2430"/>
          <w:sz w:val="19"/>
          <w:szCs w:val="19"/>
          <w:rtl/>
        </w:rPr>
        <w:t xml:space="preserve">" · תוכן החיוב לפי </w:t>
      </w:r>
      <w:r>
        <w:rPr>
          <w:rFonts w:ascii="Arial" w:hAnsi="Arial" w:cs="Arial" w:eastAsia="Arial"/>
          <w:b/>
          <w:bCs/>
          <w:color w:val="1F2430"/>
          <w:sz w:val="19"/>
          <w:szCs w:val="19"/>
          <w:rtl/>
        </w:rPr>
        <w:t>תום הלב</w:t>
      </w:r>
      <w:r>
        <w:rPr>
          <w:rFonts w:ascii="Arial" w:hAnsi="Arial" w:cs="Arial" w:eastAsia="Arial"/>
          <w:color w:val="1F2430"/>
          <w:sz w:val="19"/>
          <w:szCs w:val="19"/>
          <w:rtl/>
        </w:rPr>
        <w:t xml:space="preserve"> (ביקורת: מושג אלסטי).</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חל על</w:t>
      </w:r>
      <w:r>
        <w:rPr>
          <w:rFonts w:ascii="Arial" w:hAnsi="Arial" w:cs="Arial" w:eastAsia="Arial"/>
          <w:color w:val="1F2430"/>
          <w:sz w:val="19"/>
          <w:szCs w:val="19"/>
          <w:rtl/>
        </w:rPr>
        <w:t>: נישואין אזרחיים, ידועים בציבור, יהודי ולא־יהודי, בני אותו מין, פסולי חיתון ("עיוור לדת, גזע ומין").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לא חל על</w:t>
      </w:r>
      <w:r>
        <w:rPr>
          <w:rFonts w:ascii="Arial" w:hAnsi="Arial" w:cs="Arial" w:eastAsia="Arial"/>
          <w:color w:val="1F2430"/>
          <w:sz w:val="19"/>
          <w:szCs w:val="19"/>
          <w:rtl/>
        </w:rPr>
        <w:t>: נשואים כדמו"י ("מי שהתחיל במסלול נשאר בו", בלי לזגזג); עולים בנוסח סקורניק; פרטיים של כשירי חיתון (צונן).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יציאה</w:t>
      </w:r>
      <w:r>
        <w:rPr>
          <w:rFonts w:ascii="Arial" w:hAnsi="Arial" w:cs="Arial" w:eastAsia="Arial"/>
          <w:color w:val="1F2430"/>
          <w:sz w:val="19"/>
          <w:szCs w:val="19"/>
          <w:rtl/>
        </w:rPr>
        <w:t xml:space="preserve">: רק בהסכם ממון </w:t>
      </w:r>
      <w:r>
        <w:rPr>
          <w:rFonts w:ascii="Arial" w:hAnsi="Arial" w:cs="Arial" w:eastAsia="Arial"/>
          <w:b/>
          <w:bCs/>
          <w:color w:val="1F2430"/>
          <w:sz w:val="19"/>
          <w:szCs w:val="19"/>
          <w:rtl/>
        </w:rPr>
        <w:t>מפורש</w:t>
      </w:r>
      <w:r>
        <w:rPr>
          <w:rFonts w:ascii="Arial" w:hAnsi="Arial" w:cs="Arial" w:eastAsia="Arial"/>
          <w:color w:val="1F2430"/>
          <w:sz w:val="19"/>
          <w:szCs w:val="19"/>
          <w:rtl/>
        </w:rPr>
        <w:t xml:space="preserve"> לעניין מזונות; הפרדה רכושית לא מספיקה. אצל נשואים נדרש </w:t>
      </w:r>
      <w:r>
        <w:rPr>
          <w:rFonts w:ascii="Arial" w:hAnsi="Arial" w:cs="Arial" w:eastAsia="Arial"/>
          <w:b/>
          <w:bCs/>
          <w:color w:val="1F2430"/>
          <w:sz w:val="19"/>
          <w:szCs w:val="19"/>
          <w:rtl/>
        </w:rPr>
        <w:t>אישור שופט</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512"/>
        <w:gridCol w:w="4158"/>
        <w:gridCol w:w="4536"/>
      </w:tblGrid>
      <w:tr>
        <w:trPr>
          <w:tblHeader/>
        </w:trPr>
        <w:tc>
          <w:tcPr>
            <w:tcW w:type="dxa" w:w="1512"/>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4157"/>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דתיים</w:t>
            </w:r>
          </w:p>
        </w:tc>
        <w:tc>
          <w:tcPr>
            <w:tcW w:type="dxa" w:w="453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חוזיים/משקמים</w:t>
            </w:r>
          </w:p>
        </w:tc>
      </w:tr>
      <w:tr>
        <w:trPr>
          <w:cantSplit/>
        </w:trPr>
        <w:tc>
          <w:tcPr>
            <w:tcW w:type="dxa" w:w="151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זכאי</w:t>
            </w:r>
          </w:p>
        </w:tc>
        <w:tc>
          <w:tcPr>
            <w:tcW w:type="dxa" w:w="415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אישה בלבד</w:t>
            </w:r>
          </w:p>
        </w:tc>
        <w:tc>
          <w:tcPr>
            <w:tcW w:type="dxa" w:w="45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גם גבר</w:t>
            </w:r>
          </w:p>
        </w:tc>
      </w:tr>
      <w:tr>
        <w:trPr>
          <w:cantSplit/>
        </w:trPr>
        <w:tc>
          <w:tcPr>
            <w:tcW w:type="dxa" w:w="151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עד מתי</w:t>
            </w:r>
          </w:p>
        </w:tc>
        <w:tc>
          <w:tcPr>
            <w:tcW w:type="dxa" w:w="415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עד הגט</w:t>
            </w:r>
          </w:p>
        </w:tc>
        <w:tc>
          <w:tcPr>
            <w:tcW w:type="dxa" w:w="45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גם אחרי הפרידה</w:t>
            </w:r>
          </w:p>
        </w:tc>
      </w:tr>
      <w:tr>
        <w:trPr>
          <w:cantSplit/>
        </w:trPr>
        <w:tc>
          <w:tcPr>
            <w:tcW w:type="dxa" w:w="151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בגידה</w:t>
            </w:r>
          </w:p>
        </w:tc>
        <w:tc>
          <w:tcPr>
            <w:tcW w:type="dxa" w:w="415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עלולה לשלול</w:t>
            </w:r>
          </w:p>
        </w:tc>
        <w:tc>
          <w:tcPr>
            <w:tcW w:type="dxa" w:w="45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אוטומטית; לפי תום הלב</w:t>
            </w:r>
          </w:p>
        </w:tc>
      </w:tr>
      <w:tr>
        <w:trPr>
          <w:cantSplit/>
        </w:trPr>
        <w:tc>
          <w:tcPr>
            <w:tcW w:type="dxa" w:w="151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מקור</w:t>
            </w:r>
          </w:p>
        </w:tc>
        <w:tc>
          <w:tcPr>
            <w:tcW w:type="dxa" w:w="415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סעיף 2(א) לחוק המזונות</w:t>
            </w:r>
          </w:p>
        </w:tc>
        <w:tc>
          <w:tcPr>
            <w:tcW w:type="dxa" w:w="45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דיני חוזים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שיקולים</w:t>
      </w:r>
      <w:r>
        <w:rPr>
          <w:rFonts w:ascii="Arial" w:hAnsi="Arial" w:cs="Arial" w:eastAsia="Arial"/>
          <w:color w:val="1F2430"/>
          <w:sz w:val="19"/>
          <w:szCs w:val="19"/>
          <w:rtl/>
        </w:rPr>
        <w:t xml:space="preserve"> (תרגול): מקור פרנסה חלופי (השכלה, הכשרה, גיל, רכוש). </w:t>
      </w:r>
      <w:r>
        <w:rPr>
          <w:rFonts w:ascii="Arial" w:hAnsi="Arial" w:cs="Arial" w:eastAsia="Arial"/>
          <w:b/>
          <w:bCs/>
          <w:color w:val="1F2430"/>
          <w:sz w:val="19"/>
          <w:szCs w:val="19"/>
          <w:rtl/>
        </w:rPr>
        <w:t>משך</w:t>
      </w:r>
      <w:r>
        <w:rPr>
          <w:rFonts w:ascii="Arial" w:hAnsi="Arial" w:cs="Arial" w:eastAsia="Arial"/>
          <w:color w:val="1F2430"/>
          <w:sz w:val="19"/>
          <w:szCs w:val="19"/>
          <w:rtl/>
        </w:rPr>
        <w:t xml:space="preserve"> (המרצה): לפי אומדנה, בחודשים או בסכום גלובלי, ולעיתים כלום.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תמ"ש 67910/00</w:t>
      </w:r>
      <w:r>
        <w:rPr>
          <w:rFonts w:ascii="Arial" w:hAnsi="Arial" w:cs="Arial" w:eastAsia="Arial"/>
          <w:color w:val="1F2430"/>
          <w:sz w:val="19"/>
          <w:szCs w:val="19"/>
          <w:rtl/>
        </w:rPr>
        <w:t xml:space="preserve">: לפני פלונית – 5,000 ש"ח לאישה ו־2,500 ש"ח לילדה עד הגט (2001). אחרי – </w:t>
      </w:r>
      <w:r>
        <w:rPr>
          <w:rFonts w:ascii="Arial" w:hAnsi="Arial" w:cs="Arial" w:eastAsia="Arial"/>
          <w:b/>
          <w:bCs/>
          <w:color w:val="1F2430"/>
          <w:sz w:val="19"/>
          <w:szCs w:val="19"/>
          <w:rtl/>
        </w:rPr>
        <w:t>5 שנים נוספות</w:t>
      </w:r>
      <w:r>
        <w:rPr>
          <w:rFonts w:ascii="Arial" w:hAnsi="Arial" w:cs="Arial" w:eastAsia="Arial"/>
          <w:color w:val="1F2430"/>
          <w:sz w:val="19"/>
          <w:szCs w:val="19"/>
          <w:rtl/>
        </w:rPr>
        <w:t xml:space="preserve"> של מזונות משקמים.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בע"מ 3151/14</w:t>
      </w:r>
      <w:r>
        <w:rPr>
          <w:rFonts w:ascii="Arial" w:hAnsi="Arial" w:cs="Arial" w:eastAsia="Arial"/>
          <w:color w:val="1F2430"/>
          <w:sz w:val="19"/>
          <w:szCs w:val="19"/>
          <w:rtl/>
        </w:rPr>
        <w:t>: אמרת אגב, מזונות משקמים אפשריים גם לנשואים כדמו"י במצבי קיצון. המרצה: "נשאר בגדר מיעוט... טרם בוצע".</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2(ב) לחוק המזונות</w:t>
      </w:r>
      <w:r>
        <w:rPr>
          <w:rFonts w:ascii="Arial" w:hAnsi="Arial" w:cs="Arial" w:eastAsia="Arial"/>
          <w:color w:val="1F2430"/>
          <w:sz w:val="19"/>
          <w:szCs w:val="19"/>
          <w:rtl/>
        </w:rPr>
        <w:t xml:space="preserve"> (מי שאין עליו דין אישי – דין אזרחי). המרצה: אחרי 8256/99, מי שנישא אזרחית זכאי למזונות חוזיים.</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ידועים בציבור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מצב עובדתי, לא סטטוס</w:t>
      </w:r>
      <w:r>
        <w:rPr>
          <w:rFonts w:ascii="Arial" w:hAnsi="Arial" w:cs="Arial" w:eastAsia="Arial"/>
          <w:color w:val="1F2430"/>
          <w:sz w:val="19"/>
          <w:szCs w:val="19"/>
          <w:rtl/>
        </w:rPr>
        <w:t>; לא נרשמים. "קשה כקריעת ים סוף" (</w:t>
      </w:r>
      <w:r>
        <w:rPr>
          <w:rFonts w:ascii="Arial" w:hAnsi="Arial" w:cs="Arial" w:eastAsia="Arial"/>
          <w:b/>
          <w:bCs/>
          <w:color w:val="1F2430"/>
          <w:sz w:val="19"/>
          <w:szCs w:val="19"/>
          <w:rtl/>
        </w:rPr>
        <w:t>דרדיאן נ' עמידר, ע"א 42/65</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תנאים</w:t>
      </w:r>
      <w:r>
        <w:rPr>
          <w:rFonts w:ascii="Arial" w:hAnsi="Arial" w:cs="Arial" w:eastAsia="Arial"/>
          <w:color w:val="1F2430"/>
          <w:sz w:val="19"/>
          <w:szCs w:val="19"/>
          <w:rtl/>
        </w:rPr>
        <w:t xml:space="preserve">: חיי משפחה + משק בית משותף (סעיף 55 לחוק הירושה). </w:t>
      </w:r>
      <w:r>
        <w:rPr>
          <w:rFonts w:ascii="Arial" w:hAnsi="Arial" w:cs="Arial" w:eastAsia="Arial"/>
          <w:b/>
          <w:bCs/>
          <w:color w:val="1F2430"/>
          <w:sz w:val="19"/>
          <w:szCs w:val="19"/>
          <w:rtl/>
        </w:rPr>
        <w:t>אין חובה לגור יחד</w:t>
      </w:r>
      <w:r>
        <w:rPr>
          <w:rFonts w:ascii="Arial" w:hAnsi="Arial" w:cs="Arial" w:eastAsia="Arial"/>
          <w:color w:val="1F2430"/>
          <w:sz w:val="19"/>
          <w:szCs w:val="19"/>
          <w:rtl/>
        </w:rPr>
        <w:t xml:space="preserve">. נבחן "אומד דעתם"; הנטל על הטוען. </w:t>
      </w:r>
      <w:r>
        <w:rPr>
          <w:rFonts w:ascii="Arial" w:hAnsi="Arial" w:cs="Arial" w:eastAsia="Arial"/>
          <w:b/>
          <w:bCs/>
          <w:color w:val="1F2430"/>
          <w:sz w:val="19"/>
          <w:szCs w:val="19"/>
          <w:rtl/>
        </w:rPr>
        <w:t>גם נשוי יכול להיות ידוע בציבור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שלמה חברה לביטוח (רע"א 3323/23)</w:t>
      </w:r>
      <w:r>
        <w:rPr>
          <w:rFonts w:ascii="Arial" w:hAnsi="Arial" w:cs="Arial" w:eastAsia="Arial"/>
          <w:color w:val="1F2430"/>
          <w:sz w:val="19"/>
          <w:szCs w:val="19"/>
          <w:rtl/>
        </w:rPr>
        <w:t xml:space="preserve">: שנה וחצי יחד, רישום לנישואין בקפריסין, מוות בתאונה. </w:t>
      </w:r>
      <w:r>
        <w:rPr>
          <w:rFonts w:ascii="Arial" w:hAnsi="Arial" w:cs="Arial" w:eastAsia="Arial"/>
          <w:b/>
          <w:bCs/>
          <w:color w:val="1F2430"/>
          <w:sz w:val="19"/>
          <w:szCs w:val="19"/>
          <w:rtl/>
        </w:rPr>
        <w:t>החמרה</w:t>
      </w:r>
      <w:r>
        <w:rPr>
          <w:rFonts w:ascii="Arial" w:hAnsi="Arial" w:cs="Arial" w:eastAsia="Arial"/>
          <w:color w:val="1F2430"/>
          <w:sz w:val="19"/>
          <w:szCs w:val="19"/>
          <w:rtl/>
        </w:rPr>
        <w:t xml:space="preserve">: נדרש אומד דעת לקשר מחייב הדומה לנישואין. </w:t>
      </w:r>
      <w:r>
        <w:rPr>
          <w:rFonts w:ascii="Arial" w:hAnsi="Arial" w:cs="Arial" w:eastAsia="Arial"/>
          <w:b/>
          <w:bCs/>
          <w:color w:val="1F2430"/>
          <w:sz w:val="19"/>
          <w:szCs w:val="19"/>
          <w:rtl/>
        </w:rPr>
        <w:t>6 אינדיקציות</w:t>
      </w:r>
      <w:r>
        <w:rPr>
          <w:rFonts w:ascii="Arial" w:hAnsi="Arial" w:cs="Arial" w:eastAsia="Arial"/>
          <w:color w:val="1F2430"/>
          <w:sz w:val="19"/>
          <w:szCs w:val="19"/>
          <w:rtl/>
        </w:rPr>
        <w:t xml:space="preserve"> (לא מצטברות): שיתוף נכסים · כתובת רשומה משותפת · חשבון משותף · ילדים · מוטב בפוליסה · טקס מיסוד.</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גט (1178079/1)</w:t>
      </w:r>
      <w:r>
        <w:rPr>
          <w:rFonts w:ascii="Arial" w:hAnsi="Arial" w:cs="Arial" w:eastAsia="Arial"/>
          <w:color w:val="1F2430"/>
          <w:sz w:val="19"/>
          <w:szCs w:val="19"/>
          <w:rtl/>
        </w:rPr>
        <w:t xml:space="preserve">: 11 שנים ו־2 ילדים, בלי טקס → </w:t>
      </w:r>
      <w:r>
        <w:rPr>
          <w:rFonts w:ascii="Arial" w:hAnsi="Arial" w:cs="Arial" w:eastAsia="Arial"/>
          <w:b/>
          <w:bCs/>
          <w:color w:val="1F2430"/>
          <w:sz w:val="19"/>
          <w:szCs w:val="19"/>
          <w:rtl/>
        </w:rPr>
        <w:t>אין גט, גם לא לחומרא</w:t>
      </w:r>
      <w:r>
        <w:rPr>
          <w:rFonts w:ascii="Arial" w:hAnsi="Arial" w:cs="Arial" w:eastAsia="Arial"/>
          <w:color w:val="1F2430"/>
          <w:sz w:val="19"/>
          <w:szCs w:val="19"/>
          <w:rtl/>
        </w:rPr>
        <w:t>. גט רק ל: גרושים שחזרו לחיות יחד · נישואין אזרחיים · נישואין פרטיים. הסיבה: ידועים בציבור לא רצו להינשא.</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זכויות</w:t>
      </w:r>
      <w:r>
        <w:rPr>
          <w:rFonts w:ascii="Arial" w:hAnsi="Arial" w:cs="Arial" w:eastAsia="Arial"/>
          <w:color w:val="1F2430"/>
          <w:sz w:val="19"/>
          <w:szCs w:val="19"/>
          <w:rtl/>
        </w:rPr>
        <w:t>: מזונות חוזיים בלבד · ירושה (סעיף 55) · מזונות מן העיזבון (סעיף 57(ג)) · הלכת השיתוף עם כוונה ספציפית (פרק 11) · מזונות ילדים לפי הדין האישי.</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הסכם ממון</w:t>
      </w:r>
      <w:r>
        <w:rPr>
          <w:rFonts w:ascii="Arial" w:hAnsi="Arial" w:cs="Arial" w:eastAsia="Arial"/>
          <w:color w:val="1F2430"/>
          <w:sz w:val="19"/>
          <w:szCs w:val="19"/>
          <w:rtl/>
        </w:rPr>
        <w:t>: אינו טעון אישור ("מספיק לחתום בבית"). אפשר לאשרו לפי חוק בית המשפט לענייני משפחה ("הידועה בציבור כאשתו").</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התניה "איננו ידועים בציבור"</w:t>
      </w:r>
      <w:r>
        <w:rPr>
          <w:rFonts w:ascii="Arial" w:hAnsi="Arial" w:cs="Arial" w:eastAsia="Arial"/>
          <w:color w:val="1F2430"/>
          <w:sz w:val="19"/>
          <w:szCs w:val="19"/>
          <w:rtl/>
        </w:rPr>
        <w:t xml:space="preserve">: </w:t>
      </w:r>
      <w:r>
        <w:rPr>
          <w:rFonts w:ascii="Arial" w:hAnsi="Arial" w:cs="Arial" w:eastAsia="Arial"/>
          <w:b/>
          <w:bCs/>
          <w:color w:val="1F2430"/>
          <w:sz w:val="19"/>
          <w:szCs w:val="19"/>
          <w:rtl/>
        </w:rPr>
        <w:t>בר נאור</w:t>
      </w:r>
      <w:r>
        <w:rPr>
          <w:rFonts w:ascii="Arial" w:hAnsi="Arial" w:cs="Arial" w:eastAsia="Arial"/>
          <w:color w:val="1F2430"/>
          <w:sz w:val="19"/>
          <w:szCs w:val="19"/>
          <w:rtl/>
        </w:rPr>
        <w:t xml:space="preserve"> – אי אפשר לשלול מראש מסקנה העולה מעובדות. </w:t>
      </w:r>
      <w:r>
        <w:rPr>
          <w:rFonts w:ascii="Arial" w:hAnsi="Arial" w:cs="Arial" w:eastAsia="Arial"/>
          <w:b/>
          <w:bCs/>
          <w:color w:val="1F2430"/>
          <w:sz w:val="19"/>
          <w:szCs w:val="19"/>
          <w:rtl/>
        </w:rPr>
        <w:t>תמ"ש 51940/98 (שוחט)</w:t>
      </w:r>
      <w:r>
        <w:rPr>
          <w:rFonts w:ascii="Arial" w:hAnsi="Arial" w:cs="Arial" w:eastAsia="Arial"/>
          <w:color w:val="1F2430"/>
          <w:sz w:val="19"/>
          <w:szCs w:val="19"/>
          <w:rtl/>
        </w:rPr>
        <w:t xml:space="preserve"> – סטייה מהסכם שמשקף ניצול או שאינו תואם את החיים בפועל.</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ביגמיה</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176 לחוק העונשין</w:t>
      </w:r>
      <w:r>
        <w:rPr>
          <w:rFonts w:ascii="Arial" w:hAnsi="Arial" w:cs="Arial" w:eastAsia="Arial"/>
          <w:color w:val="1F2430"/>
          <w:sz w:val="19"/>
          <w:szCs w:val="19"/>
          <w:rtl/>
        </w:rPr>
        <w:t>: נשוי הנושא אחרת – 5 שנות מאסר.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178</w:t>
      </w:r>
      <w:r>
        <w:rPr>
          <w:rFonts w:ascii="Arial" w:hAnsi="Arial" w:cs="Arial" w:eastAsia="Arial"/>
          <w:color w:val="1F2430"/>
          <w:sz w:val="19"/>
          <w:szCs w:val="19"/>
          <w:rtl/>
        </w:rPr>
        <w:t xml:space="preserve">: לא משנה אם הנישואין החדשים </w:t>
      </w:r>
      <w:r>
        <w:rPr>
          <w:rFonts w:ascii="Arial" w:hAnsi="Arial" w:cs="Arial" w:eastAsia="Arial"/>
          <w:b/>
          <w:bCs/>
          <w:color w:val="1F2430"/>
          <w:sz w:val="19"/>
          <w:szCs w:val="19"/>
          <w:rtl/>
        </w:rPr>
        <w:t>בטלים</w:t>
      </w:r>
      <w:r>
        <w:rPr>
          <w:rFonts w:ascii="Arial" w:hAnsi="Arial" w:cs="Arial" w:eastAsia="Arial"/>
          <w:color w:val="1F2430"/>
          <w:sz w:val="19"/>
          <w:szCs w:val="19"/>
          <w:rtl/>
        </w:rPr>
        <w:t xml:space="preserve">, או אם נערכו </w:t>
      </w:r>
      <w:r>
        <w:rPr>
          <w:rFonts w:ascii="Arial" w:hAnsi="Arial" w:cs="Arial" w:eastAsia="Arial"/>
          <w:b/>
          <w:bCs/>
          <w:color w:val="1F2430"/>
          <w:sz w:val="19"/>
          <w:szCs w:val="19"/>
          <w:rtl/>
        </w:rPr>
        <w:t>בחו"ל</w:t>
      </w:r>
      <w:r>
        <w:rPr>
          <w:rFonts w:ascii="Arial" w:hAnsi="Arial" w:cs="Arial" w:eastAsia="Arial"/>
          <w:color w:val="1F2430"/>
          <w:sz w:val="19"/>
          <w:szCs w:val="19"/>
          <w:rtl/>
        </w:rPr>
        <w:t xml:space="preserve"> (כשהנושא אזרח או תושב).</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179</w:t>
      </w:r>
      <w:r>
        <w:rPr>
          <w:rFonts w:ascii="Arial" w:hAnsi="Arial" w:cs="Arial" w:eastAsia="Arial"/>
          <w:color w:val="1F2430"/>
          <w:sz w:val="19"/>
          <w:szCs w:val="19"/>
          <w:rtl/>
        </w:rPr>
        <w:t>: פטור כשניתן היתר נישואין שאושר בידי נשיא בית הדין הגדול.</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ידועה בציבור ≠ ביגמיה.</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טבלת כל המצבים</w:t>
      </w:r>
    </w:p>
    <w:tbl>
      <w:tblPr>
        <w:tblW w:type="dxa" w:w="10206"/>
        <w:jc w:val="center"/>
        <w:tblLook w:firstColumn="1" w:firstRow="1" w:lastColumn="0" w:lastRow="0" w:noHBand="0" w:noVBand="1" w:val="04A0"/>
        <w:bidiVisual/>
        <w:tblLayout w:type="fixed"/>
      </w:tblPr>
      <w:tblGrid>
        <w:gridCol w:w="2486"/>
        <w:gridCol w:w="3402"/>
        <w:gridCol w:w="2616"/>
        <w:gridCol w:w="1701"/>
      </w:tblGrid>
      <w:tr>
        <w:trPr>
          <w:tblHeader/>
        </w:trPr>
        <w:tc>
          <w:tcPr>
            <w:tcW w:type="dxa" w:w="2486"/>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3402"/>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גט/התרה</w:t>
            </w:r>
          </w:p>
        </w:tc>
        <w:tc>
          <w:tcPr>
            <w:tcW w:type="dxa" w:w="2617"/>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זכויות באזרחי</w:t>
            </w:r>
          </w:p>
        </w:tc>
        <w:tc>
          <w:tcPr>
            <w:tcW w:type="dxa" w:w="1701"/>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מרשם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כשירים – אזרחיים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 נטייה להתרה</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חוזיים</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נרשמים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פסולים – אזרחיים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גט מספק</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זכויות ממוניות</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נרשמים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עולים שנישאו בחו"ל</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גט מספק</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לפי הדין (סקורניק)</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נרשמים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מעורבים / חד־מיניים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התרה בבית המשפט</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זכויות אזרחיות</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נרשמים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כשירים – פרטיים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(צונן)</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פסולים – פרטיים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גט מספק</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כן (כהן)</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כן (רודניצקי)</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ידועים בציבור</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גט</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חוזיים, ירושה, שיתוף</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7 לפקודה: מאסר שנתיים, גם למסדר.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צונן: לכשירים שנישאו פרטית אין מזונות. רודניצקי: פסולים שנישאו פרטית נרשמים. טפר: זוג מעורב לא.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כהן 640/82: "יותר נשואים מרווקים". גורפינקל: קודם בית הדין.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2232/03: בני נח, שני כובעים, התרה ללא הסכמה בעילת תום הקשר, ממון באזרחי.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סקורניק: סטטוס זר מוכר ומזונות דתיים. פלונית: חוזה משתמע ומזונות משקמים אחרי הפרידה; יציאה רק בהסכם מפורש.</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בבית הדין: "אין מוציאין ממון מספק".</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ידועים בציבור: אין גט; 6 אינדיקציות (שלמה לביטוח); הסכם ממון ללא אישור.</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9A6B00"/>
            <w:tcBorders>
              <w:top w:val="single" w:sz="4" w:space="0" w:color="9A6B00"/>
              <w:left w:val="single" w:sz="4" w:space="0" w:color="9A6B00"/>
              <w:bottom w:val="single" w:sz="4" w:space="0" w:color="9A6B00"/>
              <w:right w:val="single" w:sz="4" w:space="0" w:color="9A6B0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9</w:t>
            </w:r>
          </w:p>
          <w:p>
            <w:pPr>
              <w:bidi/>
              <w:spacing w:before="0" w:after="0" w:line="264" w:lineRule="auto"/>
              <w:outlineLvl w:val="0"/>
            </w:pPr>
            <w:r>
              <w:rPr>
                <w:rFonts w:ascii="Arial" w:hAnsi="Arial" w:cs="Arial" w:eastAsia="Arial"/>
                <w:b/>
                <w:bCs/>
                <w:color w:val="FFFFFF"/>
                <w:sz w:val="42"/>
                <w:szCs w:val="42"/>
                <w:rtl/>
              </w:rPr>
              <w:t>רישום נישואין ועריכת נישואין וגירושין</w:t>
            </w:r>
          </w:p>
        </w:tc>
      </w:tr>
    </w:tbl>
    <w:p>
      <w:pPr>
        <w:bidi/>
        <w:spacing w:after="0" w:before="0" w:line="20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עיקרון העל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שלוש שאלות נפרדות</w:t>
            </w:r>
          </w:p>
          <w:p>
            <w:pPr>
              <w:bidi/>
              <w:spacing w:before="0" w:after="60" w:line="300" w:lineRule="auto"/>
              <w:jc w:val="both"/>
            </w:pPr>
            <w:r>
              <w:rPr>
                <w:rFonts w:ascii="Arial" w:hAnsi="Arial" w:cs="Arial" w:eastAsia="Arial"/>
                <w:color w:val="1F2430"/>
                <w:sz w:val="18"/>
                <w:szCs w:val="18"/>
                <w:rtl/>
              </w:rPr>
              <w:t xml:space="preserve">תוקף (פרקים 7–8); זכויות ממוניות (פרק 8); </w:t>
            </w:r>
            <w:r>
              <w:rPr>
                <w:rFonts w:ascii="Arial" w:hAnsi="Arial" w:cs="Arial" w:eastAsia="Arial"/>
                <w:color w:val="1F2430"/>
                <w:sz w:val="18"/>
                <w:szCs w:val="18"/>
                <w:highlight w:val="yellow"/>
                <w:rtl/>
              </w:rPr>
              <w:t>רישום</w:t>
            </w:r>
            <w:r>
              <w:rPr>
                <w:rFonts w:ascii="Arial" w:hAnsi="Arial" w:cs="Arial" w:eastAsia="Arial"/>
                <w:color w:val="1F2430"/>
                <w:sz w:val="18"/>
                <w:szCs w:val="18"/>
                <w:rtl/>
              </w:rPr>
              <w:t xml:space="preserve"> (הפרק הזה). רישום במרשם ≠ הכרעה בתוקף הנישואין. המרשם = מאסף סטטיסטי; פקיד הרישום אינו בית משפט.</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חוק מרשם האוכלוסין</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סעיף 2(א) — מה נרשם</w:t>
      </w:r>
    </w:p>
    <w:p>
      <w:pPr>
        <w:bidi/>
        <w:spacing w:before="0" w:after="100" w:line="300" w:lineRule="auto"/>
        <w:jc w:val="both"/>
      </w:pPr>
      <w:r>
        <w:rPr>
          <w:rFonts w:ascii="Arial" w:hAnsi="Arial" w:cs="Arial" w:eastAsia="Arial"/>
          <w:color w:val="1F2430"/>
          <w:sz w:val="19"/>
          <w:szCs w:val="19"/>
          <w:rtl/>
        </w:rPr>
        <w:t xml:space="preserve">שם ושמות קודמים; שמות ההורים; תאריך ומקום לידה; מין; </w:t>
      </w:r>
      <w:r>
        <w:rPr>
          <w:rFonts w:ascii="Arial" w:hAnsi="Arial" w:cs="Arial" w:eastAsia="Arial"/>
          <w:b/>
          <w:bCs/>
          <w:color w:val="1F2430"/>
          <w:sz w:val="19"/>
          <w:szCs w:val="19"/>
          <w:rtl/>
        </w:rPr>
        <w:t>לאום; דת; מצב אישי (רווק/נשוי/גרוש/אלמן); שם בן הזוג</w:t>
      </w:r>
      <w:r>
        <w:rPr>
          <w:rFonts w:ascii="Arial" w:hAnsi="Arial" w:cs="Arial" w:eastAsia="Arial"/>
          <w:color w:val="1F2430"/>
          <w:sz w:val="19"/>
          <w:szCs w:val="19"/>
          <w:rtl/>
        </w:rPr>
        <w:t xml:space="preserve">; ילדים; אזרחויות; מען (ומען דיגיטלי); תאריך כניסה; תאריך תושבות. לזכור במיוחד: </w:t>
      </w:r>
      <w:r>
        <w:rPr>
          <w:rFonts w:ascii="Arial" w:hAnsi="Arial" w:cs="Arial" w:eastAsia="Arial"/>
          <w:color w:val="1F2430"/>
          <w:sz w:val="19"/>
          <w:szCs w:val="19"/>
          <w:highlight w:val="yellow"/>
          <w:rtl/>
        </w:rPr>
        <w:t>מין + לאום + דת + מצב אישי</w:t>
      </w:r>
      <w:r>
        <w:rPr>
          <w:rFonts w:ascii="Arial" w:hAnsi="Arial" w:cs="Arial" w:eastAsia="Arial"/>
          <w:color w:val="1F2430"/>
          <w:sz w:val="19"/>
          <w:szCs w:val="19"/>
          <w:rtl/>
        </w:rPr>
        <w:t>. תעודת הזהות = תמצית בלבד.</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סעיף 3 — ראיה לכאורה</w:t>
      </w:r>
    </w:p>
    <w:tbl>
      <w:tblPr>
        <w:tblW w:type="dxa" w:w="10206"/>
        <w:jc w:val="center"/>
        <w:tblLook w:firstColumn="1" w:firstRow="1" w:lastColumn="0" w:lastRow="0" w:noHBand="0" w:noVBand="1" w:val="04A0"/>
        <w:bidiVisual/>
        <w:tblLayout w:type="fixed"/>
      </w:tblPr>
      <w:tblGrid>
        <w:gridCol w:w="5832"/>
        <w:gridCol w:w="4374"/>
      </w:tblGrid>
      <w:tr>
        <w:trPr>
          <w:tblHeader/>
        </w:trPr>
        <w:tc>
          <w:tcPr>
            <w:tcW w:type="dxa" w:w="5831"/>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פסקאות</w:t>
            </w:r>
          </w:p>
        </w:tc>
        <w:tc>
          <w:tcPr>
            <w:tcW w:type="dxa" w:w="4373"/>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w:t>
            </w:r>
          </w:p>
        </w:tc>
      </w:tr>
      <w:tr>
        <w:trPr>
          <w:cantSplit/>
        </w:trPr>
        <w:tc>
          <w:tcPr>
            <w:tcW w:type="dxa" w:w="583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1–4 (שם, הורים, לידה, מין)</w:t>
            </w:r>
          </w:p>
        </w:tc>
        <w:tc>
          <w:tcPr>
            <w:tcW w:type="dxa" w:w="437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ראיה לכאורה</w:t>
            </w:r>
          </w:p>
        </w:tc>
      </w:tr>
      <w:tr>
        <w:trPr>
          <w:cantSplit/>
        </w:trPr>
        <w:tc>
          <w:tcPr>
            <w:tcW w:type="dxa" w:w="583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highlight w:val="yellow"/>
                <w:rtl/>
              </w:rPr>
              <w:t>5–8 (לאום, דת, מצב אישי, שם בן הזוג)</w:t>
            </w:r>
          </w:p>
        </w:tc>
        <w:tc>
          <w:tcPr>
            <w:tcW w:type="dxa" w:w="437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לא ראיה לכאורה — רישום סטטיסטי</w:t>
            </w:r>
          </w:p>
        </w:tc>
      </w:tr>
      <w:tr>
        <w:trPr>
          <w:cantSplit/>
        </w:trPr>
        <w:tc>
          <w:tcPr>
            <w:tcW w:type="dxa" w:w="583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9–13 (ילדים, אזרחות, מען, כניסה, תושבות)</w:t>
            </w:r>
          </w:p>
        </w:tc>
        <w:tc>
          <w:tcPr>
            <w:tcW w:type="dxa" w:w="437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ראיה לכאורה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גיל 18 בתעודה → ראיה לכאורה (קניית אלכוהול); מי שטוען אחרת — מביא ראיה סותרת.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"יהודי"/"גרושה" בתעודה → הרבנות רשאית לדרוש הוכחה.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תכלית: המדינה מנהלת מרשם בלי לפגוע בדין הדתי (עולי ברה"מ — כ-300 אלף שאינם יהודים נרשמו כיהודים מכוח חוק השבות; לרבנות יש "הגנה"). הסדר ייחודי לישראל.</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שושנה מילר — גיור רפורמי מחו"ל; שר הפנים ביקש לרשום "התגיירה", לא הותר — והתפטר.</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שינוי סטטוס</w:t>
      </w:r>
    </w:p>
    <w:p>
      <w:pPr>
        <w:bidi/>
        <w:spacing w:before="0" w:after="100" w:line="300" w:lineRule="auto"/>
        <w:jc w:val="both"/>
      </w:pPr>
      <w:r>
        <w:rPr>
          <w:rFonts w:ascii="Arial" w:hAnsi="Arial" w:cs="Arial" w:eastAsia="Arial"/>
          <w:color w:val="1F2430"/>
          <w:sz w:val="19"/>
          <w:szCs w:val="19"/>
          <w:rtl/>
        </w:rPr>
        <w:t xml:space="preserve">4 סטטוסים. "רווק" — אוטומטית בלידה (בית החולים מדווח). </w:t>
      </w:r>
      <w:r>
        <w:rPr>
          <w:rFonts w:ascii="Arial" w:hAnsi="Arial" w:cs="Arial" w:eastAsia="Arial"/>
          <w:color w:val="1F2430"/>
          <w:sz w:val="19"/>
          <w:szCs w:val="19"/>
          <w:highlight w:val="yellow"/>
          <w:rtl/>
        </w:rPr>
        <w:t>אדם פרטי אינו משנה סטטוס בהצהרה</w:t>
      </w:r>
      <w:r>
        <w:rPr>
          <w:rFonts w:ascii="Arial" w:hAnsi="Arial" w:cs="Arial" w:eastAsia="Arial"/>
          <w:color w:val="1F2430"/>
          <w:sz w:val="19"/>
          <w:szCs w:val="19"/>
          <w:rtl/>
        </w:rPr>
        <w:t xml:space="preserve"> — נדרשת גושפנקה שלטונית: רשות / בית משפט / בית דין.</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פרק ב' — מסירת הודעות</w:t>
      </w:r>
    </w:p>
    <w:tbl>
      <w:tblPr>
        <w:tblW w:type="dxa" w:w="10206"/>
        <w:jc w:val="center"/>
        <w:tblLook w:firstColumn="1" w:firstRow="1" w:lastColumn="0" w:lastRow="0" w:noHBand="0" w:noVBand="1" w:val="04A0"/>
        <w:bidiVisual/>
        <w:tblLayout w:type="fixed"/>
      </w:tblPr>
      <w:tblGrid>
        <w:gridCol w:w="1227"/>
        <w:gridCol w:w="2654"/>
        <w:gridCol w:w="4528"/>
        <w:gridCol w:w="1795"/>
      </w:tblGrid>
      <w:tr>
        <w:trPr>
          <w:tblHeader/>
        </w:trPr>
        <w:tc>
          <w:tcPr>
            <w:tcW w:type="dxa" w:w="1227"/>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2654"/>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4528"/>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w:t>
            </w:r>
          </w:p>
        </w:tc>
        <w:tc>
          <w:tcPr>
            <w:tcW w:type="dxa" w:w="1796"/>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מתי</w:t>
            </w:r>
          </w:p>
        </w:tc>
      </w:tr>
      <w:tr>
        <w:trPr>
          <w:cantSplit/>
        </w:trPr>
        <w:tc>
          <w:tcPr>
            <w:tcW w:type="dxa" w:w="122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w:t>
            </w:r>
          </w:p>
        </w:tc>
        <w:tc>
          <w:tcPr>
            <w:tcW w:type="dxa" w:w="265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הרשות</w:t>
            </w:r>
          </w:p>
        </w:tc>
        <w:tc>
          <w:tcPr>
            <w:tcW w:type="dxa" w:w="452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שנרשמו לפי פקודת הנישואין והגירושין (רישום)</w:t>
            </w:r>
          </w:p>
        </w:tc>
        <w:tc>
          <w:tcPr>
            <w:tcW w:type="dxa" w:w="179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14 יום</w:t>
            </w:r>
          </w:p>
        </w:tc>
      </w:tr>
      <w:tr>
        <w:trPr>
          <w:cantSplit/>
        </w:trPr>
        <w:tc>
          <w:tcPr>
            <w:tcW w:type="dxa" w:w="122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16</w:t>
            </w:r>
          </w:p>
        </w:tc>
        <w:tc>
          <w:tcPr>
            <w:tcW w:type="dxa" w:w="265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בית משפט / בית דין דתי</w:t>
            </w:r>
          </w:p>
        </w:tc>
        <w:tc>
          <w:tcPr>
            <w:tcW w:type="dxa" w:w="452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החלטה המשנה פרט רישום; צו אימוץ, תעודת גירושין, הצהרת מוות</w:t>
            </w:r>
          </w:p>
        </w:tc>
        <w:tc>
          <w:tcPr>
            <w:tcW w:type="dxa" w:w="179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העתק לפקיד הרישום הראשי</w:t>
            </w:r>
          </w:p>
        </w:tc>
      </w:tr>
      <w:tr>
        <w:trPr>
          <w:cantSplit/>
        </w:trPr>
        <w:tc>
          <w:tcPr>
            <w:tcW w:type="dxa" w:w="122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17</w:t>
            </w:r>
          </w:p>
        </w:tc>
        <w:tc>
          <w:tcPr>
            <w:tcW w:type="dxa" w:w="265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התושב (וגם עבור קטין/בגיר שבחסותו)</w:t>
            </w:r>
          </w:p>
        </w:tc>
        <w:tc>
          <w:tcPr>
            <w:tcW w:type="dxa" w:w="452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שינוי שלא לפי 5א, 15, 16 — למשל נישואין אזרחיים בחו"ל</w:t>
            </w:r>
          </w:p>
        </w:tc>
        <w:tc>
          <w:tcPr>
            <w:tcW w:type="dxa" w:w="179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30 יום</w:t>
            </w:r>
          </w:p>
        </w:tc>
      </w:tr>
    </w:tbl>
    <w:p>
      <w:pPr>
        <w:bidi/>
        <w:spacing w:after="0" w:before="0" w:line="120" w:lineRule="exact"/>
      </w:pPr>
      <w:r>
        <w:rPr>
          <w:sz w:val="2"/>
        </w:rPr>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פרק ג' — סמכויות פקיד הרישום</w:t>
      </w:r>
    </w:p>
    <w:tbl>
      <w:tblPr>
        <w:tblW w:type="dxa" w:w="10206"/>
        <w:jc w:val="center"/>
        <w:tblLook w:firstColumn="1" w:firstRow="1" w:lastColumn="0" w:lastRow="0" w:noHBand="0" w:noVBand="1" w:val="04A0"/>
        <w:bidiVisual/>
        <w:tblLayout w:type="fixed"/>
      </w:tblPr>
      <w:tblGrid>
        <w:gridCol w:w="1245"/>
        <w:gridCol w:w="3740"/>
        <w:gridCol w:w="5219"/>
      </w:tblGrid>
      <w:tr>
        <w:trPr>
          <w:tblHeader/>
        </w:trPr>
        <w:tc>
          <w:tcPr>
            <w:tcW w:type="dxa" w:w="124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p>
        </w:tc>
        <w:tc>
          <w:tcPr>
            <w:tcW w:type="dxa" w:w="3741"/>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19ב — רישום ראשון</w:t>
            </w:r>
          </w:p>
        </w:tc>
        <w:tc>
          <w:tcPr>
            <w:tcW w:type="dxa" w:w="5219"/>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19ג — שינוי רישום</w:t>
            </w:r>
          </w:p>
        </w:tc>
      </w:tr>
      <w:tr>
        <w:trPr>
          <w:cantSplit/>
        </w:trPr>
        <w:tc>
          <w:tcPr>
            <w:tcW w:type="dxa" w:w="124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דוגמה</w:t>
            </w:r>
          </w:p>
        </w:tc>
        <w:tc>
          <w:tcPr>
            <w:tcW w:type="dxa" w:w="374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עולה חדש</w:t>
            </w:r>
          </w:p>
        </w:tc>
        <w:tc>
          <w:tcPr>
            <w:tcW w:type="dxa" w:w="5219"/>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רווק → נשוי</w:t>
            </w:r>
          </w:p>
        </w:tc>
      </w:tr>
      <w:tr>
        <w:trPr>
          <w:cantSplit/>
        </w:trPr>
        <w:tc>
          <w:tcPr>
            <w:tcW w:type="dxa" w:w="124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איך</w:t>
            </w:r>
          </w:p>
        </w:tc>
        <w:tc>
          <w:tcPr>
            <w:tcW w:type="dxa" w:w="374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תעודה ציבורית; באין — הודעה/הצהרה (ס' 5–14)</w:t>
            </w:r>
          </w:p>
        </w:tc>
        <w:tc>
          <w:tcPr>
            <w:tcW w:type="dxa" w:w="5219"/>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 xml:space="preserve">מסמך רשות (15) / החלטה שיפוטית (16) / הודעה (17) + </w:t>
            </w:r>
            <w:r>
              <w:rPr>
                <w:rFonts w:ascii="Arial" w:hAnsi="Arial" w:cs="Arial" w:eastAsia="Arial"/>
                <w:color w:val="1F2430"/>
                <w:sz w:val="17"/>
                <w:szCs w:val="17"/>
                <w:highlight w:val="yellow"/>
                <w:rtl/>
              </w:rPr>
              <w:t>תעודה ציבורית</w:t>
            </w:r>
          </w:p>
        </w:tc>
      </w:tr>
      <w:tr>
        <w:trPr>
          <w:cantSplit/>
        </w:trPr>
        <w:tc>
          <w:tcPr>
            <w:tcW w:type="dxa" w:w="124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הצהרה לבד</w:t>
            </w:r>
          </w:p>
        </w:tc>
        <w:tc>
          <w:tcPr>
            <w:tcW w:type="dxa" w:w="374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(באין תעודה)</w:t>
            </w:r>
          </w:p>
        </w:tc>
        <w:tc>
          <w:tcPr>
            <w:tcW w:type="dxa" w:w="5219"/>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 למעט מען / מען דיגיטלי</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פונק שלזינגר והרחבותיה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143/64 פונק שלזינגר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יהודי ישראלי + נוצרייה בלגית נישאו בקפריסין; ביקשה להירשם נשואה (ולשאת את שם בעלה); הפקיד סירב. 5 שופטים.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רוב — זוסמן: שאלה טכנית-מנהלית ("לא בתוקף הנישואין אלא בצידוק סירוב הפקיד"). תעודה ציבורית תקינה → </w:t>
            </w:r>
            <w:r>
              <w:rPr>
                <w:rFonts w:ascii="Arial" w:hAnsi="Arial" w:cs="Arial" w:eastAsia="Arial"/>
                <w:color w:val="1F2430"/>
                <w:sz w:val="18"/>
                <w:szCs w:val="18"/>
                <w:highlight w:val="yellow"/>
                <w:rtl/>
              </w:rPr>
              <w:t>חובה לרשום</w:t>
            </w:r>
            <w:r>
              <w:rPr>
                <w:rFonts w:ascii="Arial" w:hAnsi="Arial" w:cs="Arial" w:eastAsia="Arial"/>
                <w:color w:val="1F2430"/>
                <w:sz w:val="18"/>
                <w:szCs w:val="18"/>
                <w:rtl/>
              </w:rPr>
              <w:t>. סירוב רק ב</w:t>
            </w:r>
            <w:r>
              <w:rPr>
                <w:rFonts w:ascii="Arial" w:hAnsi="Arial" w:cs="Arial" w:eastAsia="Arial"/>
                <w:color w:val="1F2430"/>
                <w:sz w:val="18"/>
                <w:szCs w:val="18"/>
                <w:highlight w:val="yellow"/>
                <w:rtl/>
              </w:rPr>
              <w:t>אי נכונות גלויה לעין</w:t>
            </w:r>
            <w:r>
              <w:rPr>
                <w:rFonts w:ascii="Arial" w:hAnsi="Arial" w:cs="Arial" w:eastAsia="Arial"/>
                <w:color w:val="1F2430"/>
                <w:sz w:val="18"/>
                <w:szCs w:val="18"/>
                <w:rtl/>
              </w:rPr>
              <w:t xml:space="preserve"> (בגיר עם תעודה "בן 5") או </w:t>
            </w:r>
            <w:r>
              <w:rPr>
                <w:rFonts w:ascii="Arial" w:hAnsi="Arial" w:cs="Arial" w:eastAsia="Arial"/>
                <w:color w:val="1F2430"/>
                <w:sz w:val="18"/>
                <w:szCs w:val="18"/>
                <w:highlight w:val="yellow"/>
                <w:rtl/>
              </w:rPr>
              <w:t>זיוף</w:t>
            </w:r>
            <w:r>
              <w:rPr>
                <w:rFonts w:ascii="Arial" w:hAnsi="Arial" w:cs="Arial" w:eastAsia="Arial"/>
                <w:color w:val="1F2430"/>
                <w:sz w:val="18"/>
                <w:szCs w:val="18"/>
                <w:rtl/>
              </w:rPr>
              <w:t xml:space="preserve">. מיעוט — </w:t>
            </w:r>
            <w:r>
              <w:rPr>
                <w:rFonts w:ascii="Arial" w:hAnsi="Arial" w:cs="Arial" w:eastAsia="Arial"/>
                <w:color w:val="1F2430"/>
                <w:sz w:val="18"/>
                <w:szCs w:val="18"/>
                <w:highlight w:val="yellow"/>
                <w:rtl/>
              </w:rPr>
              <w:t>זילברג</w:t>
            </w:r>
            <w:r>
              <w:rPr>
                <w:rFonts w:ascii="Arial" w:hAnsi="Arial" w:cs="Arial" w:eastAsia="Arial"/>
                <w:color w:val="1F2430"/>
                <w:sz w:val="18"/>
                <w:szCs w:val="18"/>
                <w:rtl/>
              </w:rPr>
              <w:t xml:space="preserve">: כתוב "נשוי" ולא "עבר טקס" — לא לרשום.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הבסיס לכל הפרק.</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נימוקי זוסמן בתבליטים: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פקיד ≠ שופט בקיא במשפט בין-לאומי פרטי.</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מרשם = איסוף סטטיסטי, לא הוכחה.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הוראות הקבע של הרבנות (תש"י) — לא להסתמך רק על ת"ז.</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צורת הנישואין — לפי הדין במקום הטקס (סקורניק).</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highlight w:val="yellow"/>
          <w:rtl/>
        </w:rPr>
        <w:t>סעיף 2 לחוק שיפוט בתי דין רבניים חל רק על נישואין בישראל</w:t>
      </w:r>
      <w:r>
        <w:rPr>
          <w:rFonts w:ascii="Arial" w:hAnsi="Arial" w:cs="Arial" w:eastAsia="Arial"/>
          <w:color w:val="1F2430"/>
          <w:sz w:val="19"/>
          <w:szCs w:val="19"/>
          <w:rtl/>
        </w:rPr>
        <w:t xml:space="preserve"> → נישואין בחו"ל אינם חייבים להיות לפי דין תורה.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בעקבות ההלכה תוקן חוק המרשם (סעיף 3).</w:t>
      </w:r>
    </w:p>
    <w:p>
      <w:pPr>
        <w:bidi/>
        <w:spacing w:before="0" w:after="100" w:line="300" w:lineRule="auto"/>
        <w:jc w:val="both"/>
      </w:pPr>
      <w:r>
        <w:rPr>
          <w:rFonts w:ascii="Arial" w:hAnsi="Arial" w:cs="Arial" w:eastAsia="Arial"/>
          <w:color w:val="1F2430"/>
          <w:sz w:val="19"/>
          <w:szCs w:val="19"/>
          <w:rtl/>
        </w:rPr>
        <w:t>שרשרת ההלכות: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נעמת</w:t>
      </w:r>
      <w:r>
        <w:rPr>
          <w:rFonts w:ascii="Arial" w:hAnsi="Arial" w:cs="Arial" w:eastAsia="Arial"/>
          <w:color w:val="1F2430"/>
          <w:sz w:val="19"/>
          <w:szCs w:val="19"/>
          <w:rtl/>
        </w:rPr>
        <w:t xml:space="preserve"> → גיור רפורמי → נרשם יהודי (רישום ≠ הכרעה במעמד דתי).</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בן ארי (בג"ץ 3045/05)</w:t>
      </w:r>
      <w:r>
        <w:rPr>
          <w:rFonts w:ascii="Arial" w:hAnsi="Arial" w:cs="Arial" w:eastAsia="Arial"/>
          <w:color w:val="1F2430"/>
          <w:sz w:val="19"/>
          <w:szCs w:val="19"/>
          <w:rtl/>
        </w:rPr>
        <w:t xml:space="preserve"> → זוגות מאותו מין → </w:t>
      </w:r>
      <w:r>
        <w:rPr>
          <w:rFonts w:ascii="Arial" w:hAnsi="Arial" w:cs="Arial" w:eastAsia="Arial"/>
          <w:color w:val="1F2430"/>
          <w:sz w:val="19"/>
          <w:szCs w:val="19"/>
          <w:highlight w:val="yellow"/>
          <w:rtl/>
        </w:rPr>
        <w:t>פונק שלזינגר חלה גם עליהם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בריל (עע"מ 7368/22)</w:t>
      </w:r>
      <w:r>
        <w:rPr>
          <w:rFonts w:ascii="Arial" w:hAnsi="Arial" w:cs="Arial" w:eastAsia="Arial"/>
          <w:color w:val="1F2430"/>
          <w:sz w:val="19"/>
          <w:szCs w:val="19"/>
          <w:rtl/>
        </w:rPr>
        <w:t xml:space="preserve"> → נישואי זום ביוטה → </w:t>
      </w:r>
      <w:r>
        <w:rPr>
          <w:rFonts w:ascii="Arial" w:hAnsi="Arial" w:cs="Arial" w:eastAsia="Arial"/>
          <w:color w:val="1F2430"/>
          <w:sz w:val="19"/>
          <w:szCs w:val="19"/>
          <w:highlight w:val="yellow"/>
          <w:rtl/>
        </w:rPr>
        <w:t>נרשמים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פסרו גולדשטיין</w:t>
      </w:r>
      <w:r>
        <w:rPr>
          <w:rFonts w:ascii="Arial" w:hAnsi="Arial" w:cs="Arial" w:eastAsia="Arial"/>
          <w:color w:val="1F2430"/>
          <w:sz w:val="19"/>
          <w:szCs w:val="19"/>
          <w:rtl/>
        </w:rPr>
        <w:t xml:space="preserve"> → נישואי קונסול זר בישראל; </w:t>
      </w:r>
      <w:r>
        <w:rPr>
          <w:rFonts w:ascii="Arial" w:hAnsi="Arial" w:cs="Arial" w:eastAsia="Arial"/>
          <w:b/>
          <w:bCs/>
          <w:color w:val="1F2430"/>
          <w:sz w:val="19"/>
          <w:szCs w:val="19"/>
          <w:rtl/>
        </w:rPr>
        <w:t>אל סלבדור</w:t>
      </w:r>
      <w:r>
        <w:rPr>
          <w:rFonts w:ascii="Arial" w:hAnsi="Arial" w:cs="Arial" w:eastAsia="Arial"/>
          <w:color w:val="1F2430"/>
          <w:sz w:val="19"/>
          <w:szCs w:val="19"/>
          <w:rtl/>
        </w:rPr>
        <w:t xml:space="preserve"> → נישואין במיופה כוח — הלכת פונק שלזינגר הוחלה.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3045/05 בן ארי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5 עתירות, זוגות גברים ישראלים, נישאו בקנדה; הפקיד סירב — "אי נכונות גלויה לעין".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7 שופטים, </w:t>
            </w:r>
            <w:r>
              <w:rPr>
                <w:rFonts w:ascii="Arial" w:hAnsi="Arial" w:cs="Arial" w:eastAsia="Arial"/>
                <w:color w:val="1F2430"/>
                <w:sz w:val="18"/>
                <w:szCs w:val="18"/>
                <w:highlight w:val="yellow"/>
                <w:rtl/>
              </w:rPr>
              <w:t>6:1</w:t>
            </w:r>
            <w:r>
              <w:rPr>
                <w:rFonts w:ascii="Arial" w:hAnsi="Arial" w:cs="Arial" w:eastAsia="Arial"/>
                <w:color w:val="1F2430"/>
                <w:sz w:val="18"/>
                <w:szCs w:val="18"/>
                <w:rtl/>
              </w:rPr>
              <w:t xml:space="preserve">. ברק: רישום סטטיסטי; אי נכונות גלויה = עובדתית, כאן שאלה משפטית; אין בכך הכרה בנישואין חד-מיניים או סטטוס חדש.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טענות המדינה נדחו (ראו טבלה).</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2095"/>
        <w:gridCol w:w="4055"/>
        <w:gridCol w:w="4055"/>
      </w:tblGrid>
      <w:tr>
        <w:trPr>
          <w:tblHeader/>
        </w:trPr>
        <w:tc>
          <w:tcPr>
            <w:tcW w:type="dxa" w:w="209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טענת המדינה</w:t>
            </w:r>
          </w:p>
        </w:tc>
        <w:tc>
          <w:tcPr>
            <w:tcW w:type="dxa" w:w="405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ברק (רוב)</w:t>
            </w:r>
          </w:p>
        </w:tc>
        <w:tc>
          <w:tcPr>
            <w:tcW w:type="dxa" w:w="405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רובינשטיין (מיעוט)</w:t>
            </w:r>
          </w:p>
        </w:tc>
      </w:tr>
      <w:tr>
        <w:trPr>
          <w:cantSplit/>
        </w:trPr>
        <w:tc>
          <w:tcPr>
            <w:tcW w:type="dxa" w:w="20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רשויות וציבור מסתמכים על הרישום</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"חזקה על הרשויות שמודעות לאופי המוגבל של הרישום"; צריך ללמד אותן</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אדם מן היישוב לא מבחין בין רישום להכרה</w:t>
            </w:r>
          </w:p>
        </w:tc>
      </w:tr>
      <w:tr>
        <w:trPr>
          <w:cantSplit/>
        </w:trPr>
        <w:tc>
          <w:tcPr>
            <w:tcW w:type="dxa" w:w="20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שר הפנים יחליט</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highlight w:val="yellow"/>
                <w:rtl/>
              </w:rPr>
              <w:t>הסדר ראשוני</w:t>
            </w:r>
            <w:r>
              <w:rPr>
                <w:rFonts w:ascii="Arial" w:hAnsi="Arial" w:cs="Arial" w:eastAsia="Arial"/>
                <w:color w:val="1F2430"/>
                <w:sz w:val="17"/>
                <w:szCs w:val="17"/>
                <w:rtl/>
              </w:rPr>
              <w:t xml:space="preserve"> — רק הכנסת</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הכנסת צריכה להכריע, לא בית המשפט</w:t>
            </w:r>
          </w:p>
        </w:tc>
      </w:tr>
      <w:tr>
        <w:trPr>
          <w:cantSplit/>
        </w:trPr>
        <w:tc>
          <w:tcPr>
            <w:tcW w:type="dxa" w:w="20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אין צורך ברישום</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כאן זכויות כלכליות, אלא סמל ("דגל"); זה בכלל אי נכונות גלויה לעין; 6 מתוך 190 מדינות; אמון הציבור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אחרי בן ארי — גירושין:</w:t>
      </w:r>
      <w:r>
        <w:rPr>
          <w:rFonts w:ascii="Arial" w:hAnsi="Arial" w:cs="Arial" w:eastAsia="Arial"/>
          <w:color w:val="1F2430"/>
          <w:sz w:val="19"/>
          <w:szCs w:val="19"/>
          <w:rtl/>
        </w:rPr>
        <w:t xml:space="preserve"> בית הדין הרבני סירב ("אין אגרה") → תמ"ש 11264-09-12: "בהשתהותו... הפקיע בית הדין את סמכותו"; פרשנות תכליתית — אין ספק נישואין דתיים → </w:t>
      </w:r>
      <w:r>
        <w:rPr>
          <w:rFonts w:ascii="Arial" w:hAnsi="Arial" w:cs="Arial" w:eastAsia="Arial"/>
          <w:color w:val="1F2430"/>
          <w:sz w:val="19"/>
          <w:szCs w:val="19"/>
          <w:highlight w:val="yellow"/>
          <w:rtl/>
        </w:rPr>
        <w:t>בית המשפט לענייני משפחה מתיר</w:t>
      </w:r>
      <w:r>
        <w:rPr>
          <w:rFonts w:ascii="Arial" w:hAnsi="Arial" w:cs="Arial" w:eastAsia="Arial"/>
          <w:color w:val="1F2430"/>
          <w:sz w:val="19"/>
          <w:szCs w:val="19"/>
          <w:rtl/>
        </w:rPr>
        <w:t xml:space="preserve">. אין אחידות: "ביטול" או "התרת" נישואין. למה להתגרש? </w:t>
      </w:r>
      <w:r>
        <w:rPr>
          <w:rFonts w:ascii="Arial" w:hAnsi="Arial" w:cs="Arial" w:eastAsia="Arial"/>
          <w:color w:val="1F2430"/>
          <w:sz w:val="19"/>
          <w:szCs w:val="19"/>
          <w:highlight w:val="yellow"/>
          <w:rtl/>
        </w:rPr>
        <w:t>כי הם רשומים</w:t>
      </w:r>
      <w:r>
        <w:rPr>
          <w:rFonts w:ascii="Arial" w:hAnsi="Arial" w:cs="Arial" w:eastAsia="Arial"/>
          <w:color w:val="1F2430"/>
          <w:sz w:val="19"/>
          <w:szCs w:val="19"/>
          <w:rtl/>
        </w:rPr>
        <w:t xml:space="preserve"> ואינם יכולים להינשא לאחרים. 2010–2016: כ-581 זוגות נרשמו. זכויות — מזונות חוזיים (פרק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עע"מ 7368/22 משרד הפנים נ' בריל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יוטה — טקס בזום; עורך ביוטה, הזוג ו-2 עדים (18+) בישראל; תעודה זהה לטקס פיזי. 6 זוגות נרשמו; שר הפנים עצר. הפקיד: "מירב הזיקות לישראל — נערכו בישראל". המדינה: ריקון הכרעת המחוקק שאין נישואין אזרחיים בישראל. שתי ערכאות קמא — הפקיד טעה; המדינה ערערה.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ערעור נדחה. פונק שלזינגר: בודקים רק תעודה ציבורית תקינה מגורם מוסמך; העורך ביוטה ומוסמך שם; לצורך המרשם </w:t>
            </w:r>
            <w:r>
              <w:rPr>
                <w:rFonts w:ascii="Arial" w:hAnsi="Arial" w:cs="Arial" w:eastAsia="Arial"/>
                <w:color w:val="1F2430"/>
                <w:sz w:val="18"/>
                <w:szCs w:val="18"/>
                <w:highlight w:val="yellow"/>
                <w:rtl/>
              </w:rPr>
              <w:t>אין הבדל</w:t>
            </w:r>
            <w:r>
              <w:rPr>
                <w:rFonts w:ascii="Arial" w:hAnsi="Arial" w:cs="Arial" w:eastAsia="Arial"/>
                <w:color w:val="1F2430"/>
                <w:sz w:val="18"/>
                <w:szCs w:val="18"/>
                <w:rtl/>
              </w:rPr>
              <w:t xml:space="preserve"> בין טיסה לחו"ל לבין טקס מרחוק. "לרישום הנישואין יש חשיבות מעשית, אך אין הוא מצביע על תוקפם... ואף לא משמש כראיה לכאורה לנכונותו".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רישום ≠ תוקף; אך בפועל הרישום מקנה זכויות רבות. גירושין (שני יהודים) — בבית הדין הרבני, מחלוקת מחמירה/מקלה בספק.</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נישואין פרטיים והרישום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 xml:space="preserve">אין תעודה ציבורית → </w:t>
      </w:r>
      <w:r>
        <w:rPr>
          <w:rFonts w:ascii="Arial" w:hAnsi="Arial" w:cs="Arial" w:eastAsia="Arial"/>
          <w:color w:val="1F2430"/>
          <w:sz w:val="19"/>
          <w:szCs w:val="19"/>
          <w:highlight w:val="yellow"/>
          <w:rtl/>
        </w:rPr>
        <w:t>לא נרשמים</w:t>
      </w:r>
      <w:r>
        <w:rPr>
          <w:rFonts w:ascii="Arial" w:hAnsi="Arial" w:cs="Arial" w:eastAsia="Arial"/>
          <w:color w:val="1F2430"/>
          <w:sz w:val="19"/>
          <w:szCs w:val="19"/>
          <w:rtl/>
        </w:rPr>
        <w:t xml:space="preserve"> (המרשם לא מקבל הצהרות פרטיות). הדין המהותי — פרק 8.</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היפוך: פרטיים כדמו"י — אולי תוקף, אין רישום; אזרחיים בחו"ל — רישום, תוקף מוטל בספק.</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מי? קטינים; רפורמים/קונסרבטיבים; פסולי חיתון (כהן+גרושה); "יחידניים" מול הרשויות (מס, קצבאות); הקלה על פרידה.</w:t>
      </w:r>
    </w:p>
    <w:tbl>
      <w:tblPr>
        <w:tblW w:type="dxa" w:w="10206"/>
        <w:jc w:val="center"/>
        <w:tblLook w:firstColumn="1" w:firstRow="1" w:lastColumn="0" w:lastRow="0" w:noHBand="0" w:noVBand="1" w:val="04A0"/>
        <w:bidiVisual/>
        <w:tblLayout w:type="fixed"/>
      </w:tblPr>
      <w:tblGrid>
        <w:gridCol w:w="2738"/>
        <w:gridCol w:w="3733"/>
        <w:gridCol w:w="3733"/>
      </w:tblGrid>
      <w:tr>
        <w:trPr>
          <w:tblHeader/>
        </w:trPr>
        <w:tc>
          <w:tcPr>
            <w:tcW w:type="dxa" w:w="2738"/>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3733"/>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עובדות</w:t>
            </w:r>
          </w:p>
        </w:tc>
        <w:tc>
          <w:tcPr>
            <w:tcW w:type="dxa" w:w="3733"/>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 (רישום)</w:t>
            </w:r>
          </w:p>
        </w:tc>
      </w:tr>
      <w:tr>
        <w:trPr>
          <w:cantSplit/>
        </w:trPr>
        <w:tc>
          <w:tcPr>
            <w:tcW w:type="dxa" w:w="27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highlight w:val="yellow"/>
                <w:rtl/>
              </w:rPr>
              <w:t>רודניצקי</w:t>
            </w:r>
            <w:r>
              <w:rPr>
                <w:rFonts w:ascii="Arial" w:hAnsi="Arial" w:cs="Arial" w:eastAsia="Arial"/>
                <w:b/>
                <w:bCs/>
                <w:color w:val="1F2430"/>
                <w:sz w:val="17"/>
                <w:szCs w:val="17"/>
                <w:rtl/>
              </w:rPr>
              <w:t xml:space="preserve"> (בג"ץ 51/69)</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כהן+גרושה, טקס פרטי, ילד חלל; ביה"ד: "חששות"; הפקיד: רק "ספק" מספיק</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מחמת הספק אסורים לאחרים בלי גט → </w:t>
            </w:r>
            <w:r>
              <w:rPr>
                <w:rFonts w:ascii="Arial" w:hAnsi="Arial" w:cs="Arial" w:eastAsia="Arial"/>
                <w:color w:val="1F2430"/>
                <w:sz w:val="17"/>
                <w:szCs w:val="17"/>
                <w:highlight w:val="yellow"/>
                <w:rtl/>
              </w:rPr>
              <w:t>לרשום</w:t>
            </w:r>
            <w:r>
              <w:rPr>
                <w:rFonts w:ascii="Arial" w:hAnsi="Arial" w:cs="Arial" w:eastAsia="Arial"/>
                <w:color w:val="1F2430"/>
                <w:sz w:val="17"/>
                <w:szCs w:val="17"/>
                <w:rtl/>
              </w:rPr>
              <w:t>; אגבית (ס' 76), לצורך המרשם בלבד; "לשלוח את תושבי המדינה אל מחוץ לגבולותיה"</w:t>
            </w:r>
          </w:p>
        </w:tc>
      </w:tr>
      <w:tr>
        <w:trPr>
          <w:cantSplit/>
        </w:trPr>
        <w:tc>
          <w:tcPr>
            <w:tcW w:type="dxa" w:w="27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גורפינקל</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כהן+גרושה; הגיע לפקיד עם תצהירי עדים ותמונות</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highlight w:val="yellow"/>
                <w:rtl/>
              </w:rPr>
              <w:t>קודם לבית הדין הרבני</w:t>
            </w:r>
            <w:r>
              <w:rPr>
                <w:rFonts w:ascii="Arial" w:hAnsi="Arial" w:cs="Arial" w:eastAsia="Arial"/>
                <w:color w:val="1F2430"/>
                <w:sz w:val="17"/>
                <w:szCs w:val="17"/>
                <w:rtl/>
              </w:rPr>
              <w:t xml:space="preserve"> (מיצוי); תצהירים פרטיים ≠ תעודה ציבורית</w:t>
            </w:r>
          </w:p>
        </w:tc>
      </w:tr>
      <w:tr>
        <w:trPr>
          <w:cantSplit/>
        </w:trPr>
        <w:tc>
          <w:tcPr>
            <w:tcW w:type="dxa" w:w="27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טפר (ע"א 373/72)</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יהודי + נוצרייה, טקס יהודי פרטי</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 קידושין אינם תופסים כלל; אין השוואה לרודניצקי</w:t>
            </w:r>
          </w:p>
        </w:tc>
      </w:tr>
      <w:tr>
        <w:trPr>
          <w:cantSplit/>
        </w:trPr>
        <w:tc>
          <w:tcPr>
            <w:tcW w:type="dxa" w:w="27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ביה"ד אזורי ירושלים 1093889/1 + בג"ץ 2102/18</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בקשה לאשר נישואין פרטיים</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 xml:space="preserve">נוהל: שם עורך הנישואין + הצהרה שהזוג פנוי + </w:t>
            </w:r>
            <w:r>
              <w:rPr>
                <w:rFonts w:ascii="Arial" w:hAnsi="Arial" w:cs="Arial" w:eastAsia="Arial"/>
                <w:color w:val="1F2430"/>
                <w:sz w:val="17"/>
                <w:szCs w:val="17"/>
                <w:highlight w:val="yellow"/>
                <w:rtl/>
              </w:rPr>
              <w:t>התחייבות לא לערוך עוד נישואין לא רשומים</w:t>
            </w:r>
            <w:r>
              <w:rPr>
                <w:rFonts w:ascii="Arial" w:hAnsi="Arial" w:cs="Arial" w:eastAsia="Arial"/>
                <w:color w:val="1F2430"/>
                <w:sz w:val="17"/>
                <w:szCs w:val="17"/>
                <w:rtl/>
              </w:rPr>
              <w:t xml:space="preserve">; סירב → הסדרה ברבנות + </w:t>
            </w:r>
            <w:r>
              <w:rPr>
                <w:rFonts w:ascii="Arial" w:hAnsi="Arial" w:cs="Arial" w:eastAsia="Arial"/>
                <w:color w:val="1F2430"/>
                <w:sz w:val="17"/>
                <w:szCs w:val="17"/>
                <w:highlight w:val="yellow"/>
                <w:rtl/>
              </w:rPr>
              <w:t>רשימת מעוכבי נישואין</w:t>
            </w:r>
            <w:r>
              <w:rPr>
                <w:rFonts w:ascii="Arial" w:hAnsi="Arial" w:cs="Arial" w:eastAsia="Arial"/>
                <w:color w:val="1F2430"/>
                <w:sz w:val="17"/>
                <w:szCs w:val="17"/>
                <w:rtl/>
              </w:rPr>
              <w:t>; בג"ץ לא התערב</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פקודת הנישואין והגירושין (רישום)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 xml:space="preserve">רשות רושמת = </w:t>
      </w:r>
      <w:r>
        <w:rPr>
          <w:rFonts w:ascii="Arial" w:hAnsi="Arial" w:cs="Arial" w:eastAsia="Arial"/>
          <w:color w:val="1F2430"/>
          <w:sz w:val="19"/>
          <w:szCs w:val="19"/>
          <w:highlight w:val="yellow"/>
          <w:rtl/>
        </w:rPr>
        <w:t>חידוש ישראלי</w:t>
      </w:r>
      <w:r>
        <w:rPr>
          <w:rFonts w:ascii="Arial" w:hAnsi="Arial" w:cs="Arial" w:eastAsia="Arial"/>
          <w:color w:val="1F2430"/>
          <w:sz w:val="19"/>
          <w:szCs w:val="19"/>
          <w:rtl/>
        </w:rPr>
        <w:t xml:space="preserve"> (מדין תורה הקידושין תופסים גם בלעדיה).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 2</w:t>
      </w:r>
      <w:r>
        <w:rPr>
          <w:rFonts w:ascii="Arial" w:hAnsi="Arial" w:cs="Arial" w:eastAsia="Arial"/>
          <w:color w:val="1F2430"/>
          <w:sz w:val="19"/>
          <w:szCs w:val="19"/>
          <w:rtl/>
        </w:rPr>
        <w:t xml:space="preserve"> — רשות רושמת (הרבנות).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 2א</w:t>
      </w:r>
      <w:r>
        <w:rPr>
          <w:rFonts w:ascii="Arial" w:hAnsi="Arial" w:cs="Arial" w:eastAsia="Arial"/>
          <w:color w:val="1F2430"/>
          <w:sz w:val="19"/>
          <w:szCs w:val="19"/>
          <w:rtl/>
        </w:rPr>
        <w:t xml:space="preserve"> (בעקבות "צוהר") — רישום </w:t>
      </w:r>
      <w:r>
        <w:rPr>
          <w:rFonts w:ascii="Arial" w:hAnsi="Arial" w:cs="Arial" w:eastAsia="Arial"/>
          <w:color w:val="1F2430"/>
          <w:sz w:val="19"/>
          <w:szCs w:val="19"/>
          <w:highlight w:val="yellow"/>
          <w:rtl/>
        </w:rPr>
        <w:t>אצל כל רב שמונה כרושם נישואין</w:t>
      </w:r>
      <w:r>
        <w:rPr>
          <w:rFonts w:ascii="Arial" w:hAnsi="Arial" w:cs="Arial" w:eastAsia="Arial"/>
          <w:color w:val="1F2430"/>
          <w:sz w:val="19"/>
          <w:szCs w:val="19"/>
          <w:rtl/>
        </w:rPr>
        <w:t>, בלי קשר למקום מגורים או לעריכה.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 7</w:t>
      </w:r>
      <w:r>
        <w:rPr>
          <w:rFonts w:ascii="Arial" w:hAnsi="Arial" w:cs="Arial" w:eastAsia="Arial"/>
          <w:color w:val="1F2430"/>
          <w:sz w:val="19"/>
          <w:szCs w:val="19"/>
          <w:rtl/>
        </w:rPr>
        <w:t xml:space="preserve"> (תיקון תשע"ד) — "כל שאינו דואג לרישום הנישואין או הגירושין שלו או לרישום הנישואין או הגירושין שהוא סידר לאחר, דינו – </w:t>
      </w:r>
      <w:r>
        <w:rPr>
          <w:rFonts w:ascii="Arial" w:hAnsi="Arial" w:cs="Arial" w:eastAsia="Arial"/>
          <w:color w:val="1F2430"/>
          <w:sz w:val="19"/>
          <w:szCs w:val="19"/>
          <w:highlight w:val="yellow"/>
          <w:rtl/>
        </w:rPr>
        <w:t>מאסר שנתיים</w:t>
      </w:r>
      <w:r>
        <w:rPr>
          <w:rFonts w:ascii="Arial" w:hAnsi="Arial" w:cs="Arial" w:eastAsia="Arial"/>
          <w:color w:val="1F2430"/>
          <w:sz w:val="19"/>
          <w:szCs w:val="19"/>
          <w:rtl/>
        </w:rPr>
        <w:t>". חל על בני הזוג ועל המסדר. כמעט אינו נאכף; אך אין רישום.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רציונל: לדעת מי "אשת איש" (חשש ממזרות).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קרוב: חוק גיל הנישואין ס' 2 — נישואי קטין, עריכה/סיוע, השאת קטין: שנתיים או קנס (פרק 7).</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חוק העונשין 176–179</w:t>
      </w:r>
    </w:p>
    <w:p>
      <w:pPr>
        <w:bidi/>
        <w:spacing w:before="0" w:after="100" w:line="300" w:lineRule="auto"/>
        <w:jc w:val="both"/>
      </w:pPr>
      <w:r>
        <w:rPr>
          <w:rFonts w:ascii="Arial" w:hAnsi="Arial" w:cs="Arial" w:eastAsia="Arial"/>
          <w:color w:val="1F2430"/>
          <w:sz w:val="19"/>
          <w:szCs w:val="19"/>
          <w:rtl/>
        </w:rPr>
        <w:t>רקע — חרם דרבנו גרשום: (1) איסור לשאת אישה נוספת; (2) איסור לגרש בעל כורחה. חל בעיקר על "אישה כשרה" → היתר נישואין לגבר במקרים חריגים (מורדת, חולה); לאישה — אין מקבילה (עגונה).</w:t>
      </w:r>
    </w:p>
    <w:tbl>
      <w:tblPr>
        <w:tblW w:type="dxa" w:w="10206"/>
        <w:jc w:val="center"/>
        <w:tblLook w:firstColumn="1" w:firstRow="1" w:lastColumn="0" w:lastRow="0" w:noHBand="0" w:noVBand="1" w:val="04A0"/>
        <w:bidiVisual/>
        <w:tblLayout w:type="fixed"/>
      </w:tblPr>
      <w:tblGrid>
        <w:gridCol w:w="1224"/>
        <w:gridCol w:w="4490"/>
        <w:gridCol w:w="4490"/>
      </w:tblGrid>
      <w:tr>
        <w:trPr>
          <w:tblHeader/>
        </w:trPr>
        <w:tc>
          <w:tcPr>
            <w:tcW w:type="dxa" w:w="1224"/>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449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c>
          <w:tcPr>
            <w:tcW w:type="dxa" w:w="449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עונש/תנאי</w:t>
            </w:r>
          </w:p>
        </w:tc>
      </w:tr>
      <w:tr>
        <w:trPr>
          <w:cantSplit/>
        </w:trPr>
        <w:tc>
          <w:tcPr>
            <w:tcW w:type="dxa" w:w="122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176</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נשוי הנושא אחרת / נשואה הנישאת לאחר</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5 שנות מאסר</w:t>
            </w:r>
          </w:p>
        </w:tc>
      </w:tr>
      <w:tr>
        <w:trPr>
          <w:cantSplit/>
        </w:trPr>
        <w:tc>
          <w:tcPr>
            <w:tcW w:type="dxa" w:w="122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178</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אין נפקא מינה: (1) תוקף הקודמים לפי דין המדינה או הדין הדתי; (2) החדשים תקפים או בטלים; (3) החדשים בחו"ל — אם הנושא אזרח/תושב ישראל</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כל אקט נישואין = עבירה</w:t>
            </w:r>
          </w:p>
        </w:tc>
      </w:tr>
      <w:tr>
        <w:trPr>
          <w:cantSplit/>
        </w:trPr>
        <w:tc>
          <w:tcPr>
            <w:tcW w:type="dxa" w:w="122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179</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היתר נישואין</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דין החל = דין תורה + פס"ד סופי של בית דין רבני + </w:t>
            </w:r>
            <w:r>
              <w:rPr>
                <w:rFonts w:ascii="Arial" w:hAnsi="Arial" w:cs="Arial" w:eastAsia="Arial"/>
                <w:color w:val="1F2430"/>
                <w:sz w:val="17"/>
                <w:szCs w:val="17"/>
                <w:highlight w:val="yellow"/>
                <w:rtl/>
              </w:rPr>
              <w:t>אישור נשיא בית הדין הרבני הגדול</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highlight w:val="yellow"/>
          <w:rtl/>
        </w:rPr>
        <w:t>ידועה בציבור של נשוי ≠ ביגמיה</w:t>
      </w:r>
      <w:r>
        <w:rPr>
          <w:rFonts w:ascii="Arial" w:hAnsi="Arial" w:cs="Arial" w:eastAsia="Arial"/>
          <w:color w:val="1F2430"/>
          <w:sz w:val="19"/>
          <w:szCs w:val="19"/>
          <w:rtl/>
        </w:rPr>
        <w:t xml:space="preserve"> — צריך אקט נישואין.</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היתר בשל התנהגות האישה → השלכה על מזונותיה; היתר בשל מחלתה → תנאים כלכליים (הפקדת כתובה/צוואה ומזונות).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דוגמאות: הרשעה בריבוי נישואין לאחר נישואין אזרחיים בעודו נשוי כדמו"י; ריבוי ידועות בציבור — אין עבירה (הצעת חוק לא אושרה); פסלר — אלון (מיעוט): "ערוץ עוקף לביגמיה".</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עץ החלטה — האם לרשום?</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1. </w:t>
      </w:r>
      <w:r>
        <w:tab/>
      </w:r>
      <w:r>
        <w:rPr>
          <w:rFonts w:ascii="Arial" w:hAnsi="Arial" w:cs="Arial" w:eastAsia="Arial"/>
          <w:color w:val="1F2430"/>
          <w:sz w:val="19"/>
          <w:szCs w:val="19"/>
          <w:rtl/>
        </w:rPr>
        <w:t>האם מדובר ברישום ראשון (19ב) או בשינוי (19ג)? בשינוי — הצהרה לבדה לא מספיקה (למעט מען).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2. </w:t>
      </w:r>
      <w:r>
        <w:tab/>
      </w:r>
      <w:r>
        <w:rPr>
          <w:rFonts w:ascii="Arial" w:hAnsi="Arial" w:cs="Arial" w:eastAsia="Arial"/>
          <w:color w:val="1F2430"/>
          <w:sz w:val="19"/>
          <w:szCs w:val="19"/>
          <w:rtl/>
        </w:rPr>
        <w:t>האם יש מסמך מרשות (15), החלטה שיפוטית (16), או תעודה ציבורית (17)? אם יש רק תצהירים פרטיים → לא רושמים (גורפינקל).</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3. </w:t>
      </w:r>
      <w:r>
        <w:tab/>
      </w:r>
      <w:r>
        <w:rPr>
          <w:rFonts w:ascii="Arial" w:hAnsi="Arial" w:cs="Arial" w:eastAsia="Arial"/>
          <w:color w:val="1F2430"/>
          <w:sz w:val="19"/>
          <w:szCs w:val="19"/>
          <w:rtl/>
        </w:rPr>
        <w:t xml:space="preserve">האם התעודה מזויפת או יש אי נכונות </w:t>
      </w:r>
      <w:r>
        <w:rPr>
          <w:rFonts w:ascii="Arial" w:hAnsi="Arial" w:cs="Arial" w:eastAsia="Arial"/>
          <w:color w:val="1F2430"/>
          <w:sz w:val="19"/>
          <w:szCs w:val="19"/>
          <w:highlight w:val="yellow"/>
          <w:rtl/>
        </w:rPr>
        <w:t>עובדתית</w:t>
      </w:r>
      <w:r>
        <w:rPr>
          <w:rFonts w:ascii="Arial" w:hAnsi="Arial" w:cs="Arial" w:eastAsia="Arial"/>
          <w:color w:val="1F2430"/>
          <w:sz w:val="19"/>
          <w:szCs w:val="19"/>
          <w:rtl/>
        </w:rPr>
        <w:t xml:space="preserve"> גלויה לעין? אם כן → רשאי לסרב.</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4. </w:t>
      </w:r>
      <w:r>
        <w:tab/>
      </w:r>
      <w:r>
        <w:rPr>
          <w:rFonts w:ascii="Arial" w:hAnsi="Arial" w:cs="Arial" w:eastAsia="Arial"/>
          <w:color w:val="1F2430"/>
          <w:sz w:val="19"/>
          <w:szCs w:val="19"/>
          <w:rtl/>
        </w:rPr>
        <w:t>אחרת → רושמים, גם לזוג מעורב (פונק שלזינגר), חד-מיני (בן ארי), זום (בריל).</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5. </w:t>
      </w:r>
      <w:r>
        <w:tab/>
      </w:r>
      <w:r>
        <w:rPr>
          <w:rFonts w:ascii="Arial" w:hAnsi="Arial" w:cs="Arial" w:eastAsia="Arial"/>
          <w:color w:val="1F2430"/>
          <w:sz w:val="19"/>
          <w:szCs w:val="19"/>
          <w:rtl/>
        </w:rPr>
        <w:t>נישואין פרטיים: כשירי חיתון → בדרך כלל לא; פסולי חיתון → פנייה לבית הדין, ובספק → רישום (רודניצקי); זוג מעורב → לא (טפר).</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6. </w:t>
      </w:r>
      <w:r>
        <w:tab/>
      </w:r>
      <w:r>
        <w:rPr>
          <w:rFonts w:ascii="Arial" w:hAnsi="Arial" w:cs="Arial" w:eastAsia="Arial"/>
          <w:color w:val="1F2430"/>
          <w:sz w:val="19"/>
          <w:szCs w:val="19"/>
          <w:rtl/>
        </w:rPr>
        <w:t>ידועים בציבור → אין סטטוס במרשם.</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חייבים לזכור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רישום ≠ תוקף. פקיד = מאסף סטטיסטי.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3: לאום, דת, מצב אישי, שם בן הזוג — לא ראיה לכאורה.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15 — רשות, 14 יום; 16 — ערכאה, העתק; 17 — אדם, 30 יום.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19ב — הצהרה מותרת באין תעודה; 19ג — הצהרה לא מספיקה (רק מען).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פונק שלזינגר (143/64): רוב זוסמן, מיעוט זילברג; חריג: אי נכונות גלויה לעין / זיוף; ס' 2 לחוק השיפוט — רק בישראל.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נעמת — גיור רפורמי נרשם.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בן ארי (3045/05): 7 שופטים, 6:1; ברק — הסדר ראשוני; רובינשטיין — מיעוט.</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גירושי חד-מיניים: תמ"ש 11264-09-12 — בית המשפט לענייני משפחה.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בריל (7368/22): זום ביוטה = נרשמים; 6 זוגות; ציטוט "חשיבות מעשית".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רודניצקי — רישום מחמת ספק; גורפינקל — קודם ביה"ד; טפר — מעורב, לא.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פקודה: ס' 2, 2א (כל רושם), 7 (שנתיים, גם למסדר).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176 (5 שנים), 178 (אין נפקא מינה), 179 (היתר + אישור נשיא ביה"ד הגדול).</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0B7FA0"/>
            <w:tcBorders>
              <w:top w:val="single" w:sz="4" w:space="0" w:color="0B7FA0"/>
              <w:left w:val="single" w:sz="4" w:space="0" w:color="0B7FA0"/>
              <w:bottom w:val="single" w:sz="4" w:space="0" w:color="0B7FA0"/>
              <w:right w:val="single" w:sz="4" w:space="0" w:color="0B7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10</w:t>
            </w:r>
          </w:p>
          <w:p>
            <w:pPr>
              <w:bidi/>
              <w:spacing w:before="0" w:after="0" w:line="264" w:lineRule="auto"/>
              <w:outlineLvl w:val="0"/>
            </w:pPr>
            <w:r>
              <w:rPr>
                <w:rFonts w:ascii="Arial" w:hAnsi="Arial" w:cs="Arial" w:eastAsia="Arial"/>
                <w:b/>
                <w:bCs/>
                <w:color w:val="FFFFFF"/>
                <w:sz w:val="42"/>
                <w:szCs w:val="42"/>
                <w:rtl/>
              </w:rPr>
              <w:t>מזונות ילדים ומשמורת</w:t>
            </w:r>
          </w:p>
        </w:tc>
      </w:tr>
    </w:tbl>
    <w:p>
      <w:pPr>
        <w:bidi/>
        <w:spacing w:after="0" w:before="0" w:line="20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 המפה בשורה אחת</w:t>
      </w:r>
    </w:p>
    <w:tbl>
      <w:tblPr>
        <w:tblW w:type="dxa" w:w="10206"/>
        <w:jc w:val="center"/>
        <w:tblLook w:firstColumn="1" w:firstRow="1" w:lastColumn="0" w:lastRow="0" w:noHBand="0" w:noVBand="1" w:val="04A0"/>
        <w:bidiVisual/>
        <w:tblLayout w:type="fixed"/>
      </w:tblPr>
      <w:tblGrid>
        <w:gridCol w:w="1280"/>
        <w:gridCol w:w="4280"/>
        <w:gridCol w:w="4645"/>
      </w:tblGrid>
      <w:tr>
        <w:trPr>
          <w:tblHeader/>
        </w:trPr>
        <w:tc>
          <w:tcPr>
            <w:tcW w:type="dxa" w:w="128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28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w:t>
            </w:r>
          </w:p>
        </w:tc>
        <w:tc>
          <w:tcPr>
            <w:tcW w:type="dxa" w:w="464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r>
      <w:tr>
        <w:trPr>
          <w:cantSplit/>
        </w:trPr>
        <w:tc>
          <w:tcPr>
            <w:tcW w:type="dxa" w:w="128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428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דין אישי</w:t>
            </w:r>
            <w:r>
              <w:rPr>
                <w:rFonts w:ascii="Arial" w:hAnsi="Arial" w:cs="Arial" w:eastAsia="Arial"/>
                <w:color w:val="1F2430"/>
                <w:sz w:val="17"/>
                <w:szCs w:val="17"/>
                <w:rtl/>
              </w:rPr>
              <w:t>, ואם אין דין אישי מחייב: דין אזרחי</w:t>
            </w:r>
          </w:p>
        </w:tc>
        <w:tc>
          <w:tcPr>
            <w:tcW w:type="dxa" w:w="464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לחוק לתיקון דיני המשפחה (מזונות)</w:t>
            </w:r>
          </w:p>
        </w:tc>
      </w:tr>
      <w:tr>
        <w:trPr>
          <w:cantSplit/>
        </w:trPr>
        <w:tc>
          <w:tcPr>
            <w:tcW w:type="dxa" w:w="128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משמורת</w:t>
            </w:r>
          </w:p>
        </w:tc>
        <w:tc>
          <w:tcPr>
            <w:tcW w:type="dxa" w:w="428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דין אזרחי</w:t>
            </w:r>
            <w:r>
              <w:rPr>
                <w:rFonts w:ascii="Arial" w:hAnsi="Arial" w:cs="Arial" w:eastAsia="Arial"/>
                <w:color w:val="1F2430"/>
                <w:sz w:val="17"/>
                <w:szCs w:val="17"/>
                <w:rtl/>
              </w:rPr>
              <w:t>, גם בבית הדין הרבני</w:t>
            </w:r>
          </w:p>
        </w:tc>
        <w:tc>
          <w:tcPr>
            <w:tcW w:type="dxa" w:w="464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חוק הכשרות המשפטית והאפוטרופסות (סעיפים 24, 25, 79)</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סמכות וכריכה (שרגאי, וינטר נ׳ בארי, התיקון שמתיר לכרוך את כל סוגי מזונות הילדים): ראו פרק 3. מעמד עצמאי של קטין וסמכות נמשכת: ראו פרק 4.</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10.2 חוק המזונות</w:t>
      </w:r>
    </w:p>
    <w:tbl>
      <w:tblPr>
        <w:tblW w:type="dxa" w:w="10206"/>
        <w:jc w:val="center"/>
        <w:tblLook w:firstColumn="1" w:firstRow="1" w:lastColumn="0" w:lastRow="0" w:noHBand="0" w:noVBand="1" w:val="04A0"/>
        <w:bidiVisual/>
        <w:tblLayout w:type="fixed"/>
      </w:tblPr>
      <w:tblGrid>
        <w:gridCol w:w="1291"/>
        <w:gridCol w:w="8914"/>
      </w:tblGrid>
      <w:tr>
        <w:trPr>
          <w:tblHeader/>
        </w:trPr>
        <w:tc>
          <w:tcPr>
            <w:tcW w:type="dxa" w:w="129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891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קובע</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3(א)</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חייב במזונות ילדיו הקטינים (וילדי בן הזוג) </w:t>
            </w:r>
            <w:r>
              <w:rPr>
                <w:rFonts w:ascii="Arial" w:hAnsi="Arial" w:cs="Arial" w:eastAsia="Arial"/>
                <w:color w:val="1F2430"/>
                <w:sz w:val="17"/>
                <w:szCs w:val="17"/>
                <w:highlight w:val="yellow"/>
                <w:rtl/>
              </w:rPr>
              <w:t>לפי הדין האישי</w:t>
            </w:r>
            <w:r>
              <w:rPr>
                <w:rFonts w:ascii="Arial" w:hAnsi="Arial" w:cs="Arial" w:eastAsia="Arial"/>
                <w:color w:val="1F2430"/>
                <w:sz w:val="17"/>
                <w:szCs w:val="17"/>
                <w:rtl/>
              </w:rPr>
              <w:t>, והחוק לא חל</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3(ב)</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 xml:space="preserve">אם אין דין אישי או שהוא לא מחייב, </w:t>
            </w:r>
            <w:r>
              <w:rPr>
                <w:rFonts w:ascii="Arial" w:hAnsi="Arial" w:cs="Arial" w:eastAsia="Arial"/>
                <w:color w:val="1F2430"/>
                <w:sz w:val="17"/>
                <w:szCs w:val="17"/>
                <w:highlight w:val="yellow"/>
                <w:rtl/>
              </w:rPr>
              <w:t>חייב לפי החוק</w:t>
            </w:r>
            <w:r>
              <w:rPr>
                <w:rFonts w:ascii="Arial" w:hAnsi="Arial" w:cs="Arial" w:eastAsia="Arial"/>
                <w:color w:val="1F2430"/>
                <w:sz w:val="17"/>
                <w:szCs w:val="17"/>
                <w:rtl/>
              </w:rPr>
              <w:t xml:space="preserve"> (רשת ביטחון, ״אבהות אזרחית״)</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3א(א)</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אביו ואמו של קטין חייבים במזונותיו</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3א(ב)</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 xml:space="preserve">בלי קשר למי מחזיק, </w:t>
            </w:r>
            <w:r>
              <w:rPr>
                <w:rFonts w:ascii="Arial" w:hAnsi="Arial" w:cs="Arial" w:eastAsia="Arial"/>
                <w:color w:val="1F2430"/>
                <w:sz w:val="17"/>
                <w:szCs w:val="17"/>
                <w:highlight w:val="yellow"/>
                <w:rtl/>
              </w:rPr>
              <w:t>יחסית להכנסות מכל מקור</w:t>
            </w:r>
            <w:r>
              <w:rPr>
                <w:rFonts w:ascii="Arial" w:hAnsi="Arial" w:cs="Arial" w:eastAsia="Arial"/>
                <w:color w:val="1F2430"/>
                <w:sz w:val="17"/>
                <w:szCs w:val="17"/>
                <w:rtl/>
              </w:rPr>
              <w:t xml:space="preserve"> (לא בהכרח חצי-חצי)</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10</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זמניים עד גמר בירור התביעה</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11</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תביעה באיחור של יותר משנה: אפשר לדחות. גבייה אחרי שנתיים: רק ברשות</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מעל 18 (בשירות צבאי או לאומי: שליש)</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מבחן ביולוגי בדין הדתי</w:t>
      </w:r>
      <w:r>
        <w:rPr>
          <w:rFonts w:ascii="Arial" w:hAnsi="Arial" w:cs="Arial" w:eastAsia="Arial"/>
          <w:color w:val="1F2430"/>
          <w:sz w:val="19"/>
          <w:szCs w:val="19"/>
          <w:rtl/>
        </w:rPr>
        <w:t>: חיוב גם לילד מחוץ לנישואין, בגניבת זרע ובתרומת זרע (אם החיסיון ייפרץ). חל גם על ידועים בציבור, ולא תלוי בצורת הנישואין.</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ילדי בן הזוג</w:t>
      </w:r>
      <w:r>
        <w:rPr>
          <w:rFonts w:ascii="Arial" w:hAnsi="Arial" w:cs="Arial" w:eastAsia="Arial"/>
          <w:color w:val="1F2430"/>
          <w:sz w:val="19"/>
          <w:szCs w:val="19"/>
          <w:rtl/>
        </w:rPr>
        <w:t>: הדין האישי לא מחייב, אלא אם התחייב (למשל בכתובה).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סעיפים 10 ו-11</w:t>
      </w:r>
      <w:r>
        <w:rPr>
          <w:rFonts w:ascii="Arial" w:hAnsi="Arial" w:cs="Arial" w:eastAsia="Arial"/>
          <w:color w:val="1F2430"/>
          <w:sz w:val="19"/>
          <w:szCs w:val="19"/>
          <w:rtl/>
        </w:rPr>
        <w:t xml:space="preserve"> הם פרוצדורליים, ולפי המרצה חלים גם במזונות לפי הדין האישי וגם בבית הדין.</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קוגנטיות</w:t>
      </w:r>
      <w:r>
        <w:rPr>
          <w:rFonts w:ascii="Arial" w:hAnsi="Arial" w:cs="Arial" w:eastAsia="Arial"/>
          <w:color w:val="1F2430"/>
          <w:sz w:val="19"/>
          <w:szCs w:val="19"/>
          <w:rtl/>
        </w:rPr>
        <w:t>: אי אפשר לוותר על מזונות הילד, ולכן נוהגים לכלול תניית שיפוי (סימה אמיר, פרק 4).</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עמ״ש 42513-09-14 (2015)</w:t>
      </w:r>
      <w:r>
        <w:rPr>
          <w:rFonts w:ascii="Arial" w:hAnsi="Arial" w:cs="Arial" w:eastAsia="Arial"/>
          <w:color w:val="1F2430"/>
          <w:sz w:val="19"/>
          <w:szCs w:val="19"/>
          <w:rtl/>
        </w:rPr>
        <w:t xml:space="preserve">: אב יהודי, אם חסרת דת ונישואין אזרחיים. הילדים אינם יהודים, ולכן חל 3א(ב): שני ההורים יחסית, גם מתחת לגיל 6. צורכי ילד בשני בתים הוערכו בלפחות 2,250 ₪. פסק הדין </w:t>
      </w:r>
      <w:r>
        <w:rPr>
          <w:rFonts w:ascii="Arial" w:hAnsi="Arial" w:cs="Arial" w:eastAsia="Arial"/>
          <w:color w:val="1F2430"/>
          <w:sz w:val="19"/>
          <w:szCs w:val="19"/>
          <w:highlight w:val="yellow"/>
          <w:rtl/>
        </w:rPr>
        <w:t>הקדים את 919/15</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עץ החלטה:</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color w:val="1F2430"/>
          <w:sz w:val="19"/>
          <w:szCs w:val="19"/>
          <w:rtl/>
        </w:rPr>
        <w:t>יש דין אישי? אם לא, 3(ב) ו-3א.</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color w:val="1F2430"/>
          <w:sz w:val="19"/>
          <w:szCs w:val="19"/>
          <w:rtl/>
        </w:rPr>
        <w:t>הדין האישי מחייב? אם כן, 3(א) והדין העברי לפי גילאים.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color w:val="1F2430"/>
          <w:sz w:val="19"/>
          <w:szCs w:val="19"/>
          <w:rtl/>
        </w:rPr>
        <w:t>הדין האישי לא מחייב? 3(ב) ו-3א.</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10.3 הדין העברי לפי גילאים</w:t>
      </w:r>
    </w:p>
    <w:tbl>
      <w:tblPr>
        <w:tblW w:type="dxa" w:w="10206"/>
        <w:jc w:val="center"/>
        <w:tblLook w:firstColumn="1" w:firstRow="1" w:lastColumn="0" w:lastRow="0" w:noHBand="0" w:noVBand="1" w:val="04A0"/>
        <w:bidiVisual/>
        <w:tblLayout w:type="fixed"/>
      </w:tblPr>
      <w:tblGrid>
        <w:gridCol w:w="1212"/>
        <w:gridCol w:w="2747"/>
        <w:gridCol w:w="3747"/>
        <w:gridCol w:w="2498"/>
      </w:tblGrid>
      <w:tr>
        <w:trPr>
          <w:tblHeader/>
        </w:trPr>
        <w:tc>
          <w:tcPr>
            <w:tcW w:type="dxa" w:w="121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גיל</w:t>
            </w:r>
          </w:p>
        </w:tc>
        <w:tc>
          <w:tcPr>
            <w:tcW w:type="dxa" w:w="274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3747"/>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הכרחיים</w:t>
            </w:r>
          </w:p>
        </w:tc>
        <w:tc>
          <w:tcPr>
            <w:tcW w:type="dxa" w:w="249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מעבר להכרחי</w:t>
            </w:r>
          </w:p>
        </w:tc>
      </w:tr>
      <w:tr>
        <w:trPr>
          <w:cantSplit/>
        </w:trPr>
        <w:tc>
          <w:tcPr>
            <w:tcW w:type="dxa" w:w="121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0–6</w:t>
            </w:r>
          </w:p>
        </w:tc>
        <w:tc>
          <w:tcPr>
            <w:tcW w:type="dxa" w:w="274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עיקר הדין (רמב״ם, אישות י״ב, י״ד)</w:t>
            </w:r>
          </w:p>
        </w:tc>
        <w:tc>
          <w:tcPr>
            <w:tcW w:type="dxa" w:w="374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חובה מוחלטת לאב</w:t>
            </w:r>
            <w:r>
              <w:rPr>
                <w:rFonts w:ascii="Arial" w:hAnsi="Arial" w:cs="Arial" w:eastAsia="Arial"/>
                <w:color w:val="1F2430"/>
                <w:sz w:val="17"/>
                <w:szCs w:val="17"/>
                <w:rtl/>
              </w:rPr>
              <w:t>, גם אם אינו אמיד, גם אם יש לאם ולילד</w:t>
            </w:r>
          </w:p>
        </w:tc>
        <w:tc>
          <w:tcPr>
            <w:tcW w:type="dxa" w:w="24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צדקה: שני ההורים לפי יכולת (בעבר מחציות)</w:t>
            </w:r>
          </w:p>
        </w:tc>
      </w:tr>
      <w:tr>
        <w:trPr>
          <w:cantSplit/>
        </w:trPr>
        <w:tc>
          <w:tcPr>
            <w:tcW w:type="dxa" w:w="121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6–15</w:t>
            </w:r>
          </w:p>
        </w:tc>
        <w:tc>
          <w:tcPr>
            <w:tcW w:type="dxa" w:w="274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תקנת אושא (עד 12/13) ותקנת תש״ד 1944 (עד 15)</w:t>
            </w:r>
          </w:p>
        </w:tc>
        <w:tc>
          <w:tcPr>
            <w:tcW w:type="dxa" w:w="374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בתחילה רק אב אמיד וילדים נצרכים. פרשנות בית הדין הגדול 1947: מוחלט</w:t>
            </w:r>
          </w:p>
        </w:tc>
        <w:tc>
          <w:tcPr>
            <w:tcW w:type="dxa" w:w="24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צדקה</w:t>
            </w:r>
          </w:p>
        </w:tc>
      </w:tr>
      <w:tr>
        <w:trPr>
          <w:cantSplit/>
        </w:trPr>
        <w:tc>
          <w:tcPr>
            <w:tcW w:type="dxa" w:w="121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15–18</w:t>
            </w:r>
          </w:p>
        </w:tc>
        <w:tc>
          <w:tcPr>
            <w:tcW w:type="dxa" w:w="274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צדקה</w:t>
            </w:r>
          </w:p>
        </w:tc>
        <w:tc>
          <w:tcPr>
            <w:tcW w:type="dxa" w:w="374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שני ההורים לפי יכולת. תקנת תשמ״א: מוחלט לאב</w:t>
            </w:r>
          </w:p>
        </w:tc>
        <w:tc>
          <w:tcPr>
            <w:tcW w:type="dxa" w:w="24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צדקה</w:t>
            </w:r>
          </w:p>
        </w:tc>
      </w:tr>
      <w:tr>
        <w:trPr>
          <w:cantSplit/>
        </w:trPr>
        <w:tc>
          <w:tcPr>
            <w:tcW w:type="dxa" w:w="121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18+</w:t>
            </w:r>
          </w:p>
        </w:tc>
        <w:tc>
          <w:tcPr>
            <w:tcW w:type="dxa" w:w="274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אין חיוב</w:t>
            </w:r>
          </w:p>
        </w:tc>
        <w:tc>
          <w:tcPr>
            <w:tcW w:type="dxa" w:w="374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סעיף 4 (שליש בשירות)</w:t>
            </w:r>
          </w:p>
        </w:tc>
        <w:tc>
          <w:tcPr>
            <w:tcW w:type="dxa" w:w="24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סעיף 4</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השרשרת של 6–15</w:t>
      </w:r>
      <w:r>
        <w:rPr>
          <w:rFonts w:ascii="Arial" w:hAnsi="Arial" w:cs="Arial" w:eastAsia="Arial"/>
          <w:color w:val="1F2430"/>
          <w:sz w:val="19"/>
          <w:szCs w:val="19"/>
          <w:rtl/>
        </w:rPr>
        <w:t>: רוב הפוסקים סבורים שזה חיוב מדין צדקה. מועצת הרבנות הראשית ציינה זאת אך לא הכריעה והשאירה לכל דיין. העליון ״תפס״ את הנקודה ב-919/15.</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מוחלט</w:t>
      </w:r>
      <w:r>
        <w:rPr>
          <w:rFonts w:ascii="Arial" w:hAnsi="Arial" w:cs="Arial" w:eastAsia="Arial"/>
          <w:color w:val="1F2430"/>
          <w:sz w:val="19"/>
          <w:szCs w:val="19"/>
          <w:rtl/>
        </w:rPr>
        <w:t xml:space="preserve"> פירושו על האב בלבד. </w:t>
      </w:r>
      <w:r>
        <w:rPr>
          <w:rFonts w:ascii="Arial" w:hAnsi="Arial" w:cs="Arial" w:eastAsia="Arial"/>
          <w:b/>
          <w:bCs/>
          <w:color w:val="1F2430"/>
          <w:sz w:val="19"/>
          <w:szCs w:val="19"/>
          <w:rtl/>
        </w:rPr>
        <w:t>צדקה</w:t>
      </w:r>
      <w:r>
        <w:rPr>
          <w:rFonts w:ascii="Arial" w:hAnsi="Arial" w:cs="Arial" w:eastAsia="Arial"/>
          <w:color w:val="1F2430"/>
          <w:sz w:val="19"/>
          <w:szCs w:val="19"/>
          <w:rtl/>
        </w:rPr>
        <w:t xml:space="preserve"> פירושה </w:t>
      </w:r>
      <w:r>
        <w:rPr>
          <w:rFonts w:ascii="Arial" w:hAnsi="Arial" w:cs="Arial" w:eastAsia="Arial"/>
          <w:color w:val="1F2430"/>
          <w:sz w:val="19"/>
          <w:szCs w:val="19"/>
          <w:highlight w:val="yellow"/>
          <w:rtl/>
        </w:rPr>
        <w:t>שיתוף האם</w:t>
      </w:r>
      <w:r>
        <w:rPr>
          <w:rFonts w:ascii="Arial" w:hAnsi="Arial" w:cs="Arial" w:eastAsia="Arial"/>
          <w:color w:val="1F2430"/>
          <w:sz w:val="19"/>
          <w:szCs w:val="19"/>
          <w:rtl/>
        </w:rPr>
        <w:t xml:space="preserve"> לפי יכולתה.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״לא כפי עושרו אלא כפי צורכן״</w:t>
      </w:r>
      <w:r>
        <w:rPr>
          <w:rFonts w:ascii="Arial" w:hAnsi="Arial" w:cs="Arial" w:eastAsia="Arial"/>
          <w:color w:val="1F2430"/>
          <w:sz w:val="19"/>
          <w:szCs w:val="19"/>
          <w:rtl/>
        </w:rPr>
        <w:t>: ההכרחיים לא תלויים בהכנסת האב.</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10.4 רכיבים וסכומים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הכרחיים</w:t>
      </w:r>
      <w:r>
        <w:rPr>
          <w:rFonts w:ascii="Arial" w:hAnsi="Arial" w:cs="Arial" w:eastAsia="Arial"/>
          <w:color w:val="1F2430"/>
          <w:sz w:val="19"/>
          <w:szCs w:val="19"/>
          <w:rtl/>
        </w:rPr>
        <w:t>: מזון, ביגוד והנעלה, חינוך פורמלי, ביטוח בריאות ותרופות.</w:t>
      </w:r>
    </w:p>
    <w:p>
      <w:pPr>
        <w:bidi/>
        <w:tabs>
          <w:tab w:val="left" w:pos="623"/>
        </w:tabs>
        <w:spacing w:before="0" w:after="40" w:line="288" w:lineRule="auto"/>
        <w:ind w:right="623"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ע״א 552/87 ורד: כ-1,300–1,400 ₪ לילד.</w:t>
      </w:r>
    </w:p>
    <w:p>
      <w:pPr>
        <w:bidi/>
        <w:tabs>
          <w:tab w:val="left" w:pos="623"/>
        </w:tabs>
        <w:spacing w:before="0" w:after="40" w:line="288" w:lineRule="auto"/>
        <w:ind w:right="623"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עמ״ש (חי׳) 32385-11-18: </w:t>
      </w:r>
      <w:r>
        <w:rPr>
          <w:rFonts w:ascii="Arial" w:hAnsi="Arial" w:cs="Arial" w:eastAsia="Arial"/>
          <w:color w:val="1F2430"/>
          <w:sz w:val="19"/>
          <w:szCs w:val="19"/>
          <w:highlight w:val="yellow"/>
          <w:rtl/>
        </w:rPr>
        <w:t>לא דורש הוכחה</w:t>
      </w:r>
      <w:r>
        <w:rPr>
          <w:rFonts w:ascii="Arial" w:hAnsi="Arial" w:cs="Arial" w:eastAsia="Arial"/>
          <w:color w:val="1F2430"/>
          <w:sz w:val="19"/>
          <w:szCs w:val="19"/>
          <w:rtl/>
        </w:rPr>
        <w:t xml:space="preserve"> (ידיעה שיפוטית), ו-1,600 ₪ סביר. עמ״ש 41465-10-17: 1,300–1,400 לפחות. עמ״ש 46291-01-16: להעלות ל-1,600–1,700.</w:t>
      </w:r>
    </w:p>
    <w:p>
      <w:pPr>
        <w:bidi/>
        <w:tabs>
          <w:tab w:val="left" w:pos="623"/>
        </w:tabs>
        <w:spacing w:before="0" w:after="40" w:line="288" w:lineRule="auto"/>
        <w:ind w:right="623"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לכמה ילדים לא מכפילים את הבסיס, כי יש חפיפה.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מדור</w:t>
      </w:r>
      <w:r>
        <w:rPr>
          <w:rFonts w:ascii="Arial" w:hAnsi="Arial" w:cs="Arial" w:eastAsia="Arial"/>
          <w:color w:val="1F2430"/>
          <w:sz w:val="19"/>
          <w:szCs w:val="19"/>
          <w:rtl/>
        </w:rPr>
        <w:t>: ילד אחד כשליש, שני ילדים 40% יחד, שלושה ומעלה 50% יחד. כולל שכירות והחזקה.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מעבר להכרחי</w:t>
      </w:r>
      <w:r>
        <w:rPr>
          <w:rFonts w:ascii="Arial" w:hAnsi="Arial" w:cs="Arial" w:eastAsia="Arial"/>
          <w:color w:val="1F2430"/>
          <w:sz w:val="19"/>
          <w:szCs w:val="19"/>
          <w:rtl/>
        </w:rPr>
        <w:t xml:space="preserve"> (חוגים, קייטנות, רמת חיים): צדקה, מלידה, לשני ההורים. מחציות עד 2017, אחר כך יחסיות.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בע״מ 3432/09</w:t>
      </w:r>
      <w:r>
        <w:rPr>
          <w:rFonts w:ascii="Arial" w:hAnsi="Arial" w:cs="Arial" w:eastAsia="Arial"/>
          <w:color w:val="1F2430"/>
          <w:sz w:val="19"/>
          <w:szCs w:val="19"/>
          <w:rtl/>
        </w:rPr>
        <w:t>: הכנסה פנויה ב</w:t>
      </w:r>
      <w:r>
        <w:rPr>
          <w:rFonts w:ascii="Arial" w:hAnsi="Arial" w:cs="Arial" w:eastAsia="Arial"/>
          <w:color w:val="1F2430"/>
          <w:sz w:val="19"/>
          <w:szCs w:val="19"/>
          <w:highlight w:val="yellow"/>
          <w:rtl/>
        </w:rPr>
        <w:t>ראייה רחבה</w:t>
      </w:r>
      <w:r>
        <w:rPr>
          <w:rFonts w:ascii="Arial" w:hAnsi="Arial" w:cs="Arial" w:eastAsia="Arial"/>
          <w:color w:val="1F2430"/>
          <w:sz w:val="19"/>
          <w:szCs w:val="19"/>
          <w:rtl/>
        </w:rPr>
        <w:t>: נכסים, חסכונות, שכירות ו</w:t>
      </w:r>
      <w:r>
        <w:rPr>
          <w:rFonts w:ascii="Arial" w:hAnsi="Arial" w:cs="Arial" w:eastAsia="Arial"/>
          <w:color w:val="1F2430"/>
          <w:sz w:val="19"/>
          <w:szCs w:val="19"/>
          <w:highlight w:val="yellow"/>
          <w:rtl/>
        </w:rPr>
        <w:t>פוטנציאל השתכרות</w:t>
      </w:r>
      <w:r>
        <w:rPr>
          <w:rFonts w:ascii="Arial" w:hAnsi="Arial" w:cs="Arial" w:eastAsia="Arial"/>
          <w:color w:val="1F2430"/>
          <w:sz w:val="19"/>
          <w:szCs w:val="19"/>
          <w:rtl/>
        </w:rPr>
        <w:t>. בית הדין הרבני לא מתחשב בפוטנציאל.</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10.5 משמורת: חוק הכשרות</w:t>
      </w:r>
    </w:p>
    <w:tbl>
      <w:tblPr>
        <w:tblW w:type="dxa" w:w="10206"/>
        <w:jc w:val="center"/>
        <w:tblLook w:firstColumn="1" w:firstRow="1" w:lastColumn="0" w:lastRow="0" w:noHBand="0" w:noVBand="1" w:val="04A0"/>
        <w:bidiVisual/>
        <w:tblLayout w:type="fixed"/>
      </w:tblPr>
      <w:tblGrid>
        <w:gridCol w:w="3827"/>
        <w:gridCol w:w="6378"/>
      </w:tblGrid>
      <w:tr>
        <w:trPr>
          <w:tblHeader/>
        </w:trPr>
        <w:tc>
          <w:tcPr>
            <w:tcW w:type="dxa" w:w="3827"/>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637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14 (וסעיף 3 לחוק שיווי זכויות האישה)</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שני ההורים אפוטרופסים טבעיים, שווים</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15</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חובה וזכות לדאוג לצורכי הקטין</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16</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הקטין חייב לציית, תוך כיבוד אב ואם</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17</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לנהוג ״כדרך שהורים מסורים היו נוהגים״</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18</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שיתוף פעולה בין ההורים</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24</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 xml:space="preserve">הסכם בין הורים נפרדים, </w:t>
            </w:r>
            <w:r>
              <w:rPr>
                <w:rFonts w:ascii="Arial" w:hAnsi="Arial" w:cs="Arial" w:eastAsia="Arial"/>
                <w:color w:val="1F2430"/>
                <w:sz w:val="17"/>
                <w:szCs w:val="17"/>
                <w:highlight w:val="yellow"/>
                <w:rtl/>
              </w:rPr>
              <w:t>טעון אישור</w:t>
            </w:r>
            <w:r>
              <w:rPr>
                <w:rFonts w:ascii="Arial" w:hAnsi="Arial" w:cs="Arial" w:eastAsia="Arial"/>
                <w:color w:val="1F2430"/>
                <w:sz w:val="17"/>
                <w:szCs w:val="17"/>
                <w:rtl/>
              </w:rPr>
              <w:t xml:space="preserve"> לטובת הקטין</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25</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הסכם או הסכם לא בוצע: טובת הקטין, ו</w:t>
            </w:r>
            <w:r>
              <w:rPr>
                <w:rFonts w:ascii="Arial" w:hAnsi="Arial" w:cs="Arial" w:eastAsia="Arial"/>
                <w:color w:val="1F2430"/>
                <w:sz w:val="17"/>
                <w:szCs w:val="17"/>
                <w:highlight w:val="yellow"/>
                <w:rtl/>
              </w:rPr>
              <w:t>עד גיל 6 אצל האם</w:t>
            </w:r>
            <w:r>
              <w:rPr>
                <w:rFonts w:ascii="Arial" w:hAnsi="Arial" w:cs="Arial" w:eastAsia="Arial"/>
                <w:color w:val="1F2430"/>
                <w:sz w:val="17"/>
                <w:szCs w:val="17"/>
                <w:rtl/>
              </w:rPr>
              <w:t xml:space="preserve"> אלא אם יש סיבות מיוחדות</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79</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 xml:space="preserve">החוק חל </w:t>
            </w:r>
            <w:r>
              <w:rPr>
                <w:rFonts w:ascii="Arial" w:hAnsi="Arial" w:cs="Arial" w:eastAsia="Arial"/>
                <w:color w:val="1F2430"/>
                <w:sz w:val="17"/>
                <w:szCs w:val="17"/>
                <w:highlight w:val="yellow"/>
                <w:rtl/>
              </w:rPr>
              <w:t>גם על בית דין דתי</w:t>
            </w:r>
            <w:r>
              <w:rPr>
                <w:rFonts w:ascii="Arial" w:hAnsi="Arial" w:cs="Arial" w:eastAsia="Arial"/>
                <w:color w:val="1F2430"/>
                <w:sz w:val="17"/>
                <w:szCs w:val="17"/>
                <w:rtl/>
              </w:rPr>
              <w:t xml:space="preserve"> מוסמך</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תיקון 2020 (איסקוב)</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שלילת אפוטרופסות בכתב אישום ברצח או ניסיון לרצח בן זוג, או באונס או מעשה סדום בקטין. </w:t>
            </w:r>
            <w:r>
              <w:rPr>
                <w:rFonts w:ascii="Arial" w:hAnsi="Arial" w:cs="Arial" w:eastAsia="Arial"/>
                <w:color w:val="1F2430"/>
                <w:sz w:val="17"/>
                <w:szCs w:val="17"/>
                <w:highlight w:val="yellow"/>
                <w:rtl/>
              </w:rPr>
              <w:t>המזונות נשארים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חזקת הגיל הרך:</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חזקה ולא כלל, וניתנת לסתירה בסיבות מיוחדות.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רק בהיעדר הסכמה.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רק במשמורת פיזית, לא באפוטרופסות או בזרם החינוך.</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בפועל משפיעה עד גיל 18: לא מפרידים בין אחים ושומרים על רציפות.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בע״מ 1858/14</w:t>
      </w:r>
      <w:r>
        <w:rPr>
          <w:rFonts w:ascii="Arial" w:hAnsi="Arial" w:cs="Arial" w:eastAsia="Arial"/>
          <w:color w:val="1F2430"/>
          <w:sz w:val="19"/>
          <w:szCs w:val="19"/>
          <w:rtl/>
        </w:rPr>
        <w:t xml:space="preserve">: אם העבירה ילד בן 4 באופן חד-צדדי, ובערכאה הראשונה הילד הועבר לאב. בערעור נקבע שהתנהגות פסולה אינה ״סיבות מיוחדות״, והילד נשאר אצל האם. </w:t>
      </w:r>
      <w:r>
        <w:rPr>
          <w:rFonts w:ascii="Arial" w:hAnsi="Arial" w:cs="Arial" w:eastAsia="Arial"/>
          <w:color w:val="1F2430"/>
          <w:sz w:val="19"/>
          <w:szCs w:val="19"/>
          <w:highlight w:val="yellow"/>
          <w:rtl/>
        </w:rPr>
        <w:t>אין דרך עוקפת</w:t>
      </w:r>
      <w:r>
        <w:rPr>
          <w:rFonts w:ascii="Arial" w:hAnsi="Arial" w:cs="Arial" w:eastAsia="Arial"/>
          <w:color w:val="1F2430"/>
          <w:sz w:val="19"/>
          <w:szCs w:val="19"/>
          <w:rtl/>
        </w:rPr>
        <w:t xml:space="preserve"> לחזקה כל עוד הכנסת לא שינתה אותה.</w:t>
      </w:r>
    </w:p>
    <w:p>
      <w:pPr>
        <w:bidi/>
        <w:spacing w:before="0" w:after="100" w:line="300" w:lineRule="auto"/>
        <w:jc w:val="both"/>
      </w:pPr>
      <w:r>
        <w:rPr>
          <w:rFonts w:ascii="Arial" w:hAnsi="Arial" w:cs="Arial" w:eastAsia="Arial"/>
          <w:b/>
          <w:bCs/>
          <w:color w:val="1F2430"/>
          <w:sz w:val="19"/>
          <w:szCs w:val="19"/>
          <w:rtl/>
        </w:rPr>
        <w:t>משמורת משותפת</w:t>
      </w:r>
      <w:r>
        <w:rPr>
          <w:rFonts w:ascii="Arial" w:hAnsi="Arial" w:cs="Arial" w:eastAsia="Arial"/>
          <w:color w:val="1F2430"/>
          <w:sz w:val="19"/>
          <w:szCs w:val="19"/>
          <w:rtl/>
        </w:rPr>
        <w:t>: 7 לילות מ-14 או 15 מ-30, ואחריות משותפת. השיקולים (לא מצטברים): מסוגלות הורית, שיתוף פעולה (פוטנציאל), רצון הילד (פרמטר בלבד), מעורבות, קשר תקין, מגורים סמוכים.</w:t>
      </w:r>
    </w:p>
    <w:p>
      <w:pPr>
        <w:bidi/>
        <w:spacing w:before="0" w:after="100" w:line="300" w:lineRule="auto"/>
        <w:jc w:val="both"/>
      </w:pPr>
      <w:r>
        <w:rPr>
          <w:rFonts w:ascii="Arial" w:hAnsi="Arial" w:cs="Arial" w:eastAsia="Arial"/>
          <w:b/>
          <w:bCs/>
          <w:color w:val="1F2430"/>
          <w:sz w:val="19"/>
          <w:szCs w:val="19"/>
          <w:rtl/>
        </w:rPr>
        <w:t>סרבנות קשר</w:t>
      </w:r>
      <w:r>
        <w:rPr>
          <w:rFonts w:ascii="Arial" w:hAnsi="Arial" w:cs="Arial" w:eastAsia="Arial"/>
          <w:color w:val="1F2430"/>
          <w:sz w:val="19"/>
          <w:szCs w:val="19"/>
          <w:rtl/>
        </w:rPr>
        <w:t xml:space="preserve"> נובעת מסיבה ממשית, ו</w:t>
      </w:r>
      <w:r>
        <w:rPr>
          <w:rFonts w:ascii="Arial" w:hAnsi="Arial" w:cs="Arial" w:eastAsia="Arial"/>
          <w:b/>
          <w:bCs/>
          <w:color w:val="1F2430"/>
          <w:sz w:val="19"/>
          <w:szCs w:val="19"/>
          <w:rtl/>
        </w:rPr>
        <w:t>ניכור הורי</w:t>
      </w:r>
      <w:r>
        <w:rPr>
          <w:rFonts w:ascii="Arial" w:hAnsi="Arial" w:cs="Arial" w:eastAsia="Arial"/>
          <w:color w:val="1F2430"/>
          <w:sz w:val="19"/>
          <w:szCs w:val="19"/>
          <w:rtl/>
        </w:rPr>
        <w:t xml:space="preserve"> מהסתה. הטיפול: השארת המצב, סנקציות, או ״נשק יום הדין״ (העברת הילד, כולל הכרזה כנזקק).</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10.6 הוועדות</w:t>
      </w:r>
    </w:p>
    <w:tbl>
      <w:tblPr>
        <w:tblW w:type="dxa" w:w="10206"/>
        <w:jc w:val="center"/>
        <w:tblLook w:firstColumn="1" w:firstRow="1" w:lastColumn="0" w:lastRow="0" w:noHBand="0" w:noVBand="1" w:val="04A0"/>
        <w:bidiVisual/>
        <w:tblLayout w:type="fixed"/>
      </w:tblPr>
      <w:tblGrid>
        <w:gridCol w:w="1233"/>
        <w:gridCol w:w="1563"/>
        <w:gridCol w:w="4078"/>
        <w:gridCol w:w="3330"/>
      </w:tblGrid>
      <w:tr>
        <w:trPr>
          <w:tblHeader/>
        </w:trPr>
        <w:tc>
          <w:tcPr>
            <w:tcW w:type="dxa" w:w="123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ועדה</w:t>
            </w:r>
          </w:p>
        </w:tc>
        <w:tc>
          <w:tcPr>
            <w:tcW w:type="dxa" w:w="156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עמד בראשה</w:t>
            </w:r>
          </w:p>
        </w:tc>
        <w:tc>
          <w:tcPr>
            <w:tcW w:type="dxa" w:w="407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המלצה</w:t>
            </w:r>
          </w:p>
        </w:tc>
        <w:tc>
          <w:tcPr>
            <w:tcW w:type="dxa" w:w="333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w:t>
            </w:r>
          </w:p>
        </w:tc>
      </w:tr>
      <w:tr>
        <w:trPr>
          <w:cantSplit/>
        </w:trPr>
        <w:tc>
          <w:tcPr>
            <w:tcW w:type="dxa" w:w="123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שניט 2010</w:t>
            </w:r>
          </w:p>
        </w:tc>
        <w:tc>
          <w:tcPr>
            <w:tcW w:type="dxa" w:w="156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פרופסור לעבודה סוציאלית</w:t>
            </w:r>
          </w:p>
        </w:tc>
        <w:tc>
          <w:tcPr>
            <w:tcW w:type="dxa" w:w="40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ביטול חזקת הגיל הרך</w:t>
            </w:r>
            <w:r>
              <w:rPr>
                <w:rFonts w:ascii="Arial" w:hAnsi="Arial" w:cs="Arial" w:eastAsia="Arial"/>
                <w:color w:val="1F2430"/>
                <w:sz w:val="17"/>
                <w:szCs w:val="17"/>
                <w:rtl/>
              </w:rPr>
              <w:t>, כל מקרה לגופו</w:t>
            </w:r>
          </w:p>
        </w:tc>
        <w:tc>
          <w:tcPr>
            <w:tcW w:type="dxa" w:w="333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נחקקה, ארגוני הנשים מתנגדים. החזקה נחלשה בפועל</w:t>
            </w:r>
          </w:p>
        </w:tc>
      </w:tr>
      <w:tr>
        <w:trPr>
          <w:cantSplit/>
        </w:trPr>
        <w:tc>
          <w:tcPr>
            <w:tcW w:type="dxa" w:w="123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שיפמן 2012</w:t>
            </w:r>
          </w:p>
        </w:tc>
        <w:tc>
          <w:tcPr>
            <w:tcW w:type="dxa" w:w="156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פרופסור למשפטים</w:t>
            </w:r>
          </w:p>
        </w:tc>
        <w:tc>
          <w:tcPr>
            <w:tcW w:type="dxa" w:w="40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דין מזונות אזרחי אחיד</w:t>
            </w:r>
            <w:r>
              <w:rPr>
                <w:rFonts w:ascii="Arial" w:hAnsi="Arial" w:cs="Arial" w:eastAsia="Arial"/>
                <w:color w:val="1F2430"/>
                <w:sz w:val="17"/>
                <w:szCs w:val="17"/>
                <w:rtl/>
              </w:rPr>
              <w:t>, לפי הכנסות, ימי הורות וצרכים, במערכת מנהלית ובנוסחאות</w:t>
            </w:r>
          </w:p>
        </w:tc>
        <w:tc>
          <w:tcPr>
            <w:tcW w:type="dxa" w:w="333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לא נחקקה, השפיעה על הפסיקה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הרקע: אמנת האו״ם בדבר זכויות הילד (1989), וועדת רוטלוי (שמיעת הילד).</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10.7 בע״מ 919/15 (2017)</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שבעה שופטים, פה אחד.</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פוגלמן</w:t>
      </w:r>
      <w:r>
        <w:rPr>
          <w:rFonts w:ascii="Arial" w:hAnsi="Arial" w:cs="Arial" w:eastAsia="Arial"/>
          <w:color w:val="1F2430"/>
          <w:sz w:val="19"/>
          <w:szCs w:val="19"/>
          <w:rtl/>
        </w:rPr>
        <w:t xml:space="preserve">: בגילאי 6–15 </w:t>
      </w:r>
      <w:r>
        <w:rPr>
          <w:rFonts w:ascii="Arial" w:hAnsi="Arial" w:cs="Arial" w:eastAsia="Arial"/>
          <w:color w:val="1F2430"/>
          <w:sz w:val="19"/>
          <w:szCs w:val="19"/>
          <w:highlight w:val="yellow"/>
          <w:rtl/>
        </w:rPr>
        <w:t>שני ההורים מדין צדקה</w:t>
      </w:r>
      <w:r>
        <w:rPr>
          <w:rFonts w:ascii="Arial" w:hAnsi="Arial" w:cs="Arial" w:eastAsia="Arial"/>
          <w:color w:val="1F2430"/>
          <w:sz w:val="19"/>
          <w:szCs w:val="19"/>
          <w:rtl/>
        </w:rPr>
        <w:t xml:space="preserve">, לפי יכולת יחסית מכל המקורות וזמני השהות. במשמורת משותפת ובשוויון כלכלי ייתכן שאין העברה. האם משלמת </w:t>
      </w:r>
      <w:r>
        <w:rPr>
          <w:rFonts w:ascii="Arial" w:hAnsi="Arial" w:cs="Arial" w:eastAsia="Arial"/>
          <w:color w:val="1F2430"/>
          <w:sz w:val="19"/>
          <w:szCs w:val="19"/>
          <w:highlight w:val="yellow"/>
          <w:rtl/>
        </w:rPr>
        <w:t>מהשקל הראשון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ברק-ארז</w:t>
      </w:r>
      <w:r>
        <w:rPr>
          <w:rFonts w:ascii="Arial" w:hAnsi="Arial" w:cs="Arial" w:eastAsia="Arial"/>
          <w:color w:val="1F2430"/>
          <w:sz w:val="19"/>
          <w:szCs w:val="19"/>
          <w:rtl/>
        </w:rPr>
        <w:t>: חוסר אמון מחייב כללים ברורים.</w:t>
      </w:r>
    </w:p>
    <w:tbl>
      <w:tblPr>
        <w:tblW w:type="dxa" w:w="10206"/>
        <w:jc w:val="center"/>
        <w:tblLook w:firstColumn="1" w:firstRow="1" w:lastColumn="0" w:lastRow="0" w:noHBand="0" w:noVBand="1" w:val="04A0"/>
        <w:bidiVisual/>
        <w:tblLayout w:type="fixed"/>
      </w:tblPr>
      <w:tblGrid>
        <w:gridCol w:w="1642"/>
        <w:gridCol w:w="3871"/>
        <w:gridCol w:w="4692"/>
      </w:tblGrid>
      <w:tr>
        <w:trPr>
          <w:tblHeader/>
        </w:trPr>
        <w:tc>
          <w:tcPr>
            <w:tcW w:type="dxa" w:w="164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הוצאות</w:t>
            </w:r>
          </w:p>
        </w:tc>
        <w:tc>
          <w:tcPr>
            <w:tcW w:type="dxa" w:w="387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דוגמאות</w:t>
            </w:r>
          </w:p>
        </w:tc>
        <w:tc>
          <w:tcPr>
            <w:tcW w:type="dxa" w:w="469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מנגנון</w:t>
            </w:r>
          </w:p>
        </w:tc>
      </w:tr>
      <w:tr>
        <w:trPr>
          <w:cantSplit/>
        </w:trPr>
        <w:tc>
          <w:tcPr>
            <w:tcW w:type="dxa" w:w="164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תלויות שהות</w:t>
            </w:r>
          </w:p>
        </w:tc>
        <w:tc>
          <w:tcPr>
            <w:tcW w:type="dxa" w:w="387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מזון, חשמל, מים, הסעות, מדור</w:t>
            </w:r>
          </w:p>
        </w:tc>
        <w:tc>
          <w:tcPr>
            <w:tcW w:type="dxa" w:w="469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הורה כשהילד אצלו (קיזוז בעין)</w:t>
            </w:r>
          </w:p>
        </w:tc>
      </w:tr>
      <w:tr>
        <w:trPr>
          <w:cantSplit/>
        </w:trPr>
        <w:tc>
          <w:tcPr>
            <w:tcW w:type="dxa" w:w="164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לא תלויות שהות</w:t>
            </w:r>
          </w:p>
        </w:tc>
        <w:tc>
          <w:tcPr>
            <w:tcW w:type="dxa" w:w="387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ביגוד, ספרים, חוגים, טלפון, מתנות</w:t>
            </w:r>
          </w:p>
        </w:tc>
        <w:tc>
          <w:tcPr>
            <w:tcW w:type="dxa" w:w="469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הורה מרכז</w:t>
            </w:r>
            <w:r>
              <w:rPr>
                <w:rFonts w:ascii="Arial" w:hAnsi="Arial" w:cs="Arial" w:eastAsia="Arial"/>
                <w:color w:val="1F2430"/>
                <w:sz w:val="17"/>
                <w:szCs w:val="17"/>
                <w:rtl/>
              </w:rPr>
              <w:t xml:space="preserve"> וחשבון משותף לפי יחס</w:t>
            </w:r>
          </w:p>
        </w:tc>
      </w:tr>
      <w:tr>
        <w:trPr>
          <w:cantSplit/>
        </w:trPr>
        <w:tc>
          <w:tcPr>
            <w:tcW w:type="dxa" w:w="164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חריגות</w:t>
            </w:r>
          </w:p>
        </w:tc>
        <w:tc>
          <w:tcPr>
            <w:tcW w:type="dxa" w:w="387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רפואה מיוחדת, שיניים, חינוך מיוחד</w:t>
            </w:r>
          </w:p>
        </w:tc>
        <w:tc>
          <w:tcPr>
            <w:tcW w:type="dxa" w:w="469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לפי כושר השתכרות ומנגנון שבית המשפט קובע</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לפי גילאים:</w:t>
      </w:r>
      <w:r>
        <w:rPr>
          <w:rFonts w:ascii="Arial" w:hAnsi="Arial" w:cs="Arial" w:eastAsia="Arial"/>
          <w:color w:val="1F2430"/>
          <w:sz w:val="19"/>
          <w:szCs w:val="19"/>
          <w:rtl/>
        </w:rPr>
        <w:t xml:space="preserve"> 0–6 ללא שינוי (האב, עם קיזוז שהות). 6–15 השינוי הגדול. 15–18 יחסיות. מעל 18 שליש בשירות.</w:t>
      </w:r>
    </w:p>
    <w:p>
      <w:pPr>
        <w:bidi/>
        <w:spacing w:before="0" w:after="100" w:line="300" w:lineRule="auto"/>
        <w:jc w:val="both"/>
      </w:pPr>
      <w:r>
        <w:rPr>
          <w:rFonts w:ascii="Arial" w:hAnsi="Arial" w:cs="Arial" w:eastAsia="Arial"/>
          <w:b/>
          <w:bCs/>
          <w:color w:val="1F2430"/>
          <w:sz w:val="19"/>
          <w:szCs w:val="19"/>
          <w:rtl/>
        </w:rPr>
        <w:t>עמ״ש (ת״א) 38647-09-17 (2019)</w:t>
      </w:r>
      <w:r>
        <w:rPr>
          <w:rFonts w:ascii="Arial" w:hAnsi="Arial" w:cs="Arial" w:eastAsia="Arial"/>
          <w:color w:val="1F2430"/>
          <w:sz w:val="19"/>
          <w:szCs w:val="19"/>
          <w:rtl/>
        </w:rPr>
        <w:t xml:space="preserve">: ההלכה </w:t>
      </w:r>
      <w:r>
        <w:rPr>
          <w:rFonts w:ascii="Arial" w:hAnsi="Arial" w:cs="Arial" w:eastAsia="Arial"/>
          <w:color w:val="1F2430"/>
          <w:sz w:val="19"/>
          <w:szCs w:val="19"/>
          <w:highlight w:val="yellow"/>
          <w:rtl/>
        </w:rPr>
        <w:t>אינה מוגבלת למשמורת משותפת</w:t>
      </w:r>
      <w:r>
        <w:rPr>
          <w:rFonts w:ascii="Arial" w:hAnsi="Arial" w:cs="Arial" w:eastAsia="Arial"/>
          <w:color w:val="1F2430"/>
          <w:sz w:val="19"/>
          <w:szCs w:val="19"/>
          <w:rtl/>
        </w:rPr>
        <w:t>. ״המוסד״ של הכרחיים מגיל 6 בוטל.</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10.8 חישוב בארבעה שלבים</w:t>
      </w:r>
    </w:p>
    <w:p>
      <w:pPr>
        <w:bidi/>
        <w:spacing w:before="0" w:after="100" w:line="300" w:lineRule="auto"/>
        <w:jc w:val="both"/>
      </w:pPr>
      <w:r>
        <w:rPr>
          <w:rFonts w:ascii="Arial" w:hAnsi="Arial" w:cs="Arial" w:eastAsia="Arial"/>
          <w:color w:val="1F2430"/>
          <w:sz w:val="19"/>
          <w:szCs w:val="19"/>
          <w:rtl/>
        </w:rPr>
        <w:t>מקורות: לפי סיכום השיעור, השופט שוחט (2017). במקראה: עמ״ש (ת״א) 14612-10-16 ותמ״ש 25329-11-17.</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color w:val="1F2430"/>
          <w:sz w:val="19"/>
          <w:szCs w:val="19"/>
          <w:rtl/>
        </w:rPr>
        <w:t>צורכי הילד לפי רמת החיים ערב הפירוד (תלויי שהות, לא תלויים, חריגים).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color w:val="1F2430"/>
          <w:sz w:val="19"/>
          <w:szCs w:val="19"/>
          <w:rtl/>
        </w:rPr>
        <w:t>יכולות כלכליות מכל המקורות.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color w:val="1F2430"/>
          <w:sz w:val="19"/>
          <w:szCs w:val="19"/>
          <w:rtl/>
        </w:rPr>
        <w:t>יחס היכולת.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4. </w:t>
      </w:r>
      <w:r>
        <w:tab/>
      </w:r>
      <w:r>
        <w:rPr>
          <w:rFonts w:ascii="Arial" w:hAnsi="Arial" w:cs="Arial" w:eastAsia="Arial"/>
          <w:color w:val="1F2430"/>
          <w:sz w:val="19"/>
          <w:szCs w:val="19"/>
          <w:rtl/>
        </w:rPr>
        <w:t>זמני השהות.</w:t>
      </w:r>
    </w:p>
    <w:p>
      <w:pPr>
        <w:bidi/>
        <w:spacing w:before="0" w:after="100" w:line="300" w:lineRule="auto"/>
        <w:jc w:val="both"/>
      </w:pPr>
      <w:r>
        <w:rPr>
          <w:rFonts w:ascii="Arial" w:hAnsi="Arial" w:cs="Arial" w:eastAsia="Arial"/>
          <w:b/>
          <w:bCs/>
          <w:color w:val="1F2430"/>
          <w:sz w:val="19"/>
          <w:szCs w:val="19"/>
          <w:rtl/>
        </w:rPr>
        <w:t>הדוגמה: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בת 5</w:t>
      </w:r>
      <w:r>
        <w:rPr>
          <w:rFonts w:ascii="Arial" w:hAnsi="Arial" w:cs="Arial" w:eastAsia="Arial"/>
          <w:color w:val="1F2430"/>
          <w:sz w:val="19"/>
          <w:szCs w:val="19"/>
          <w:rtl/>
        </w:rPr>
        <w:t>: צרכים 1,755 ₪ (600+300+330+525). האב לבדו, עם קיזוז של כ-350 ₪, משלם כ-</w:t>
      </w:r>
      <w:r>
        <w:rPr>
          <w:rFonts w:ascii="Arial" w:hAnsi="Arial" w:cs="Arial" w:eastAsia="Arial"/>
          <w:color w:val="1F2430"/>
          <w:sz w:val="19"/>
          <w:szCs w:val="19"/>
          <w:highlight w:val="yellow"/>
          <w:rtl/>
        </w:rPr>
        <w:t>1,400 ₪</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בת 6</w:t>
      </w:r>
      <w:r>
        <w:rPr>
          <w:rFonts w:ascii="Arial" w:hAnsi="Arial" w:cs="Arial" w:eastAsia="Arial"/>
          <w:color w:val="1F2430"/>
          <w:sz w:val="19"/>
          <w:szCs w:val="19"/>
          <w:rtl/>
        </w:rPr>
        <w:t>: הכנסה פנויה של האב כ-7,000 ₪ ושל האם כ-5,700 ₪, אבל לאם יש גם דירה ונכסים, ולכן היחס 2:3 (</w:t>
      </w:r>
      <w:r>
        <w:rPr>
          <w:rFonts w:ascii="Arial" w:hAnsi="Arial" w:cs="Arial" w:eastAsia="Arial"/>
          <w:color w:val="1F2430"/>
          <w:sz w:val="19"/>
          <w:szCs w:val="19"/>
          <w:highlight w:val="yellow"/>
          <w:rtl/>
        </w:rPr>
        <w:t>40/60</w:t>
      </w:r>
      <w:r>
        <w:rPr>
          <w:rFonts w:ascii="Arial" w:hAnsi="Arial" w:cs="Arial" w:eastAsia="Arial"/>
          <w:color w:val="1F2430"/>
          <w:sz w:val="19"/>
          <w:szCs w:val="19"/>
          <w:rtl/>
        </w:rPr>
        <w:t xml:space="preserve">). צרכים תלויי שהות 2,000: חלק האב 800, פחות 500 שכבר הוציא, ולכן </w:t>
      </w:r>
      <w:r>
        <w:rPr>
          <w:rFonts w:ascii="Arial" w:hAnsi="Arial" w:cs="Arial" w:eastAsia="Arial"/>
          <w:color w:val="1F2430"/>
          <w:sz w:val="19"/>
          <w:szCs w:val="19"/>
          <w:highlight w:val="yellow"/>
          <w:rtl/>
        </w:rPr>
        <w:t>300 ₪</w:t>
      </w:r>
      <w:r>
        <w:rPr>
          <w:rFonts w:ascii="Arial" w:hAnsi="Arial" w:cs="Arial" w:eastAsia="Arial"/>
          <w:color w:val="1F2430"/>
          <w:sz w:val="19"/>
          <w:szCs w:val="19"/>
          <w:rtl/>
        </w:rPr>
        <w:t>. ההוצאות שאינן תלויות שהות מתחלקות 40/60, האם היא ההורה המרכז, והחשבון המשותף מתמלא ב-4,000 מול 6,000.</w:t>
      </w:r>
    </w:p>
    <w:p>
      <w:pPr>
        <w:bidi/>
        <w:spacing w:before="0" w:after="100" w:line="300" w:lineRule="auto"/>
        <w:jc w:val="both"/>
      </w:pPr>
      <w:r>
        <w:rPr>
          <w:rFonts w:ascii="Arial" w:hAnsi="Arial" w:cs="Arial" w:eastAsia="Arial"/>
          <w:b/>
          <w:bCs/>
          <w:color w:val="1F2430"/>
          <w:sz w:val="19"/>
          <w:szCs w:val="19"/>
          <w:rtl/>
        </w:rPr>
        <w:t>נוסחה</w:t>
      </w:r>
      <w:r>
        <w:rPr>
          <w:rFonts w:ascii="Arial" w:hAnsi="Arial" w:cs="Arial" w:eastAsia="Arial"/>
          <w:color w:val="1F2430"/>
          <w:sz w:val="19"/>
          <w:szCs w:val="19"/>
          <w:rtl/>
        </w:rPr>
        <w:t>: A × (B1/(B1+B2) − C1/100).</w:t>
      </w:r>
    </w:p>
    <w:p>
      <w:pPr>
        <w:bidi/>
        <w:spacing w:before="0" w:after="100" w:line="300" w:lineRule="auto"/>
        <w:jc w:val="both"/>
      </w:pPr>
      <w:r>
        <w:rPr>
          <w:rFonts w:ascii="Arial" w:hAnsi="Arial" w:cs="Arial" w:eastAsia="Arial"/>
          <w:b/>
          <w:bCs/>
          <w:color w:val="1F2430"/>
          <w:sz w:val="19"/>
          <w:szCs w:val="19"/>
          <w:rtl/>
        </w:rPr>
        <w:t>תמ״ש (נצ׳) 46640-01-15 (זגורי)</w:t>
      </w:r>
      <w:r>
        <w:rPr>
          <w:rFonts w:ascii="Arial" w:hAnsi="Arial" w:cs="Arial" w:eastAsia="Arial"/>
          <w:color w:val="1F2430"/>
          <w:sz w:val="19"/>
          <w:szCs w:val="19"/>
          <w:rtl/>
        </w:rPr>
        <w:t>: הצמדה למדד, תשלום עד 18 או סיום התיכון (המאוחר), קצבת ילדים לאם, שליש בגיוס, מחצית מהוצאות הבריאות והחינוך, התייעצות מעל 200 ₪, SMS ו-3 ימים להתנגד.</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10.9 מניע פסול למשמורת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״העסקה... אינה משתלמת״: משמורת דורשת זמינות וקיצור שעות עבודה.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highlight w:val="yellow"/>
          <w:rtl/>
        </w:rPr>
        <w:t>המענה נמצא בשלב ההכרעה במשמורת</w:t>
      </w:r>
      <w:r>
        <w:rPr>
          <w:rFonts w:ascii="Arial" w:hAnsi="Arial" w:cs="Arial" w:eastAsia="Arial"/>
          <w:color w:val="1F2430"/>
          <w:sz w:val="19"/>
          <w:szCs w:val="19"/>
          <w:rtl/>
        </w:rPr>
        <w:t xml:space="preserve"> (סעיפים 24 ו-25, חוות דעת מומחים), לא בשלב המזונות.</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10.10 האם 919/15 היא שינוי נסיבות?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זגורי (10726-05-18): בפסק דין כן (בהסכמה עם אליאס), בהסכם לא.</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העליון</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כשלעצמה אינה שינוי נסיבות</w:t>
      </w:r>
      <w:r>
        <w:rPr>
          <w:rFonts w:ascii="Arial" w:hAnsi="Arial" w:cs="Arial" w:eastAsia="Arial"/>
          <w:color w:val="1F2430"/>
          <w:sz w:val="19"/>
          <w:szCs w:val="19"/>
          <w:rtl/>
        </w:rPr>
        <w:t>, לא בפסק דין ולא בהסכם. אם יש שינוי עובדתי מהותי, בוחנים את הרכיב שהשתנה לפי 919/15.</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10.11 בית הדין הרבני</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1266707/1 (בית הדין הגדול, 2020)</w:t>
      </w:r>
      <w:r>
        <w:rPr>
          <w:rFonts w:ascii="Arial" w:hAnsi="Arial" w:cs="Arial" w:eastAsia="Arial"/>
          <w:color w:val="1F2430"/>
          <w:sz w:val="19"/>
          <w:szCs w:val="19"/>
          <w:rtl/>
        </w:rPr>
        <w:t>: רק האב חייב, והאם לכל היותר מדיני צדקה כלליים. ״גילה פנים בתורה שלא כהלכה״. דמי טרחה וטיפול לאם, מדור 1,000–1,500 ₪, ו-30% מהוצאות הבית. למחציות אין מקור בדין.</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1140557/4 (באר שבע, 2018)</w:t>
      </w:r>
      <w:r>
        <w:rPr>
          <w:rFonts w:ascii="Arial" w:hAnsi="Arial" w:cs="Arial" w:eastAsia="Arial"/>
          <w:color w:val="1F2430"/>
          <w:sz w:val="19"/>
          <w:szCs w:val="19"/>
          <w:rtl/>
        </w:rPr>
        <w:t xml:space="preserve">: האב משלם רק לזמן השהות אצל האם. </w:t>
      </w:r>
      <w:r>
        <w:rPr>
          <w:rFonts w:ascii="Arial" w:hAnsi="Arial" w:cs="Arial" w:eastAsia="Arial"/>
          <w:color w:val="1F2430"/>
          <w:sz w:val="19"/>
          <w:szCs w:val="19"/>
          <w:highlight w:val="yellow"/>
          <w:rtl/>
        </w:rPr>
        <w:t>משאירים לאב די סיפוקו</w:t>
      </w:r>
      <w:r>
        <w:rPr>
          <w:rFonts w:ascii="Arial" w:hAnsi="Arial" w:cs="Arial" w:eastAsia="Arial"/>
          <w:color w:val="1F2430"/>
          <w:sz w:val="19"/>
          <w:szCs w:val="19"/>
          <w:rtl/>
        </w:rPr>
        <w:t>, ואין פוטנציאל השתכרות. רק אחר כך בוחנים את האם. ״הכרחיים״ נשאר בכל הגילאים.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דוגמה שנלמדה</w:t>
      </w:r>
      <w:r>
        <w:rPr>
          <w:rFonts w:ascii="Arial" w:hAnsi="Arial" w:cs="Arial" w:eastAsia="Arial"/>
          <w:color w:val="1F2430"/>
          <w:sz w:val="19"/>
          <w:szCs w:val="19"/>
          <w:rtl/>
        </w:rPr>
        <w:t>: האם 3,400 ₪, האב 6,400 ₪, ילדים בני 3 ו-6. נפסקו 900 לכל ילד ועוד 650 מדור (2,450) ומחציות.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היפוך</w:t>
      </w:r>
      <w:r>
        <w:rPr>
          <w:rFonts w:ascii="Arial" w:hAnsi="Arial" w:cs="Arial" w:eastAsia="Arial"/>
          <w:color w:val="1F2430"/>
          <w:sz w:val="19"/>
          <w:szCs w:val="19"/>
          <w:rtl/>
        </w:rPr>
        <w:t>: אישה שמרוויחה יותר מעדיפה היום את בית הדין הרבני.</w:t>
      </w:r>
    </w:p>
    <w:tbl>
      <w:tblPr>
        <w:tblW w:type="dxa" w:w="10206"/>
        <w:jc w:val="center"/>
        <w:tblLook w:firstColumn="1" w:firstRow="1" w:lastColumn="0" w:lastRow="0" w:noHBand="0" w:noVBand="1" w:val="04A0"/>
        <w:bidiVisual/>
        <w:tblLayout w:type="fixed"/>
      </w:tblPr>
      <w:tblGrid>
        <w:gridCol w:w="4639"/>
        <w:gridCol w:w="2969"/>
        <w:gridCol w:w="2597"/>
      </w:tblGrid>
      <w:tr>
        <w:trPr>
          <w:tblHeader/>
        </w:trPr>
        <w:tc>
          <w:tcPr>
            <w:tcW w:type="dxa" w:w="4639"/>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סוגיה</w:t>
            </w:r>
          </w:p>
        </w:tc>
        <w:tc>
          <w:tcPr>
            <w:tcW w:type="dxa" w:w="2969"/>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המשפט האזרחי</w:t>
            </w:r>
          </w:p>
        </w:tc>
        <w:tc>
          <w:tcPr>
            <w:tcW w:type="dxa" w:w="259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הדין הרבני</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עד 6: להשאיר לאב כדי צרכו</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כן</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עד 6: קיזוז שהות</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כן</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כן</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מעל 6: ״הכרחיים״</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מעל 6: מהשקל הראשון</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אב ואם יחסית</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האב</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מעל 6: קיזוז תלויות שהות</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פוטנציאל השתכרות</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כן</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לא</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919/15 לא שינה את גילאי 0–6. אצל ילד בן 5 לא בודקים את הכנסת האם לצורך ההכרחיים.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חזקת הגיל הרך לא נותנת לאם עדיפות בבחירת זרם החינוך. שני ההורים אפוטרופסים שווים.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3(ב) אינו פטור ממזונות אלא מעבר לחוק.</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ההורה המרכז מנהל את ההוצאות, ולא בהכרח משלם יותר.</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תקנת אושא: אכיפה רק בשני תנאים מצטברים, אב אמיד וילדים נצרכים.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שלילת אפוטרופסות לא פוטרת ממזונות.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סדר עבודה באירוע</w:t>
            </w:r>
          </w:p>
          <w:p>
            <w:pPr>
              <w:bidi/>
              <w:spacing w:before="0" w:after="60" w:line="300" w:lineRule="auto"/>
              <w:jc w:val="both"/>
            </w:pPr>
            <w:r>
              <w:rPr>
                <w:rFonts w:ascii="Arial" w:hAnsi="Arial" w:cs="Arial" w:eastAsia="Arial"/>
                <w:color w:val="1F2430"/>
                <w:sz w:val="18"/>
                <w:szCs w:val="18"/>
                <w:rtl/>
              </w:rPr>
              <w:t>מזונות: דין חל (3(א) או 3(ב)), גיל, קיזוז שהות, הכנסה פנויה, סוגי הוצאות והורה מרכז, ערכאה (טבלה). משמורת: הסכם (24) או אין הסכם (25), טובת הילד, חזקת הגיל הרך וסיבות מיוחדות, שיקולי משמורת משותפת.</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color w:val="1F2430"/>
          <w:sz w:val="19"/>
          <w:szCs w:val="19"/>
          <w:rtl/>
        </w:rPr>
        <w:t>3(א) דין אישי. 3(ב) רשת ביטחון. 3א שני ההורים יחסית.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color w:val="1F2430"/>
          <w:sz w:val="19"/>
          <w:szCs w:val="19"/>
          <w:rtl/>
        </w:rPr>
        <w:t>0–6: האב לבדו בהכרחיים. 919/15 לא שינה זאת, רק הוסיף קיזוז.</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color w:val="1F2430"/>
          <w:sz w:val="19"/>
          <w:szCs w:val="19"/>
          <w:rtl/>
        </w:rPr>
        <w:t>6–15: תקנות אושא ותש״ד, דין צדקה, ולכן 919/15 משתף את האם.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4. </w:t>
      </w:r>
      <w:r>
        <w:tab/>
      </w:r>
      <w:r>
        <w:rPr>
          <w:rFonts w:ascii="Arial" w:hAnsi="Arial" w:cs="Arial" w:eastAsia="Arial"/>
          <w:color w:val="1F2430"/>
          <w:sz w:val="19"/>
          <w:szCs w:val="19"/>
          <w:rtl/>
        </w:rPr>
        <w:t>919/15: שבעה שופטים פה אחד. פוגלמן קבע יחסיות ושהות, וברק-ארז שלושה סוגי הוצאות והורה מרכז.</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5. </w:t>
      </w:r>
      <w:r>
        <w:tab/>
      </w:r>
      <w:r>
        <w:rPr>
          <w:rFonts w:ascii="Arial" w:hAnsi="Arial" w:cs="Arial" w:eastAsia="Arial"/>
          <w:color w:val="1F2430"/>
          <w:sz w:val="19"/>
          <w:szCs w:val="19"/>
          <w:rtl/>
        </w:rPr>
        <w:t>3432/09: ראייה רחבה ופוטנציאל השתכרות.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6. </w:t>
      </w:r>
      <w:r>
        <w:tab/>
      </w:r>
      <w:r>
        <w:rPr>
          <w:rFonts w:ascii="Arial" w:hAnsi="Arial" w:cs="Arial" w:eastAsia="Arial"/>
          <w:color w:val="1F2430"/>
          <w:sz w:val="19"/>
          <w:szCs w:val="19"/>
          <w:rtl/>
        </w:rPr>
        <w:t>סעיף 24 הסכם טעון אישור. סעיף 25 טובת הילד ועד גיל 6 אצל האם. סעיף 79 החוק חל גם בבית הדין.</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7. </w:t>
      </w:r>
      <w:r>
        <w:tab/>
      </w:r>
      <w:r>
        <w:rPr>
          <w:rFonts w:ascii="Arial" w:hAnsi="Arial" w:cs="Arial" w:eastAsia="Arial"/>
          <w:color w:val="1F2430"/>
          <w:sz w:val="19"/>
          <w:szCs w:val="19"/>
          <w:rtl/>
        </w:rPr>
        <w:t>שניט: חזקת הגיל הרך. שיפמן: מזונות. אף אחת לא נחקקה.</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8. </w:t>
      </w:r>
      <w:r>
        <w:tab/>
      </w:r>
      <w:r>
        <w:rPr>
          <w:rFonts w:ascii="Arial" w:hAnsi="Arial" w:cs="Arial" w:eastAsia="Arial"/>
          <w:color w:val="1F2430"/>
          <w:sz w:val="19"/>
          <w:szCs w:val="19"/>
          <w:rtl/>
        </w:rPr>
        <w:t>919/15 כשלעצמה אינה שינוי נסיבות.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9. </w:t>
      </w:r>
      <w:r>
        <w:tab/>
      </w:r>
      <w:r>
        <w:rPr>
          <w:rFonts w:ascii="Arial" w:hAnsi="Arial" w:cs="Arial" w:eastAsia="Arial"/>
          <w:color w:val="1F2430"/>
          <w:sz w:val="19"/>
          <w:szCs w:val="19"/>
          <w:rtl/>
        </w:rPr>
        <w:t>בית הדין הרבני דוחה את 919/15: הכרחיים בכל גיל, בלי פוטנציאל השתכרות.</w:t>
      </w:r>
    </w:p>
    <w:tbl>
      <w:tblPr>
        <w:tblW w:type="dxa" w:w="10206"/>
        <w:tblLook w:firstColumn="1" w:firstRow="1" w:lastColumn="0" w:lastRow="0" w:noHBand="0" w:noVBand="1" w:val="04A0"/>
        <w:bidiVisual/>
        <w:tblLayout w:type="fixed"/>
      </w:tblPr>
      <w:tblGrid>
        <w:gridCol w:w="10206"/>
      </w:tblGrid>
      <w:tr>
        <w:tc>
          <w:tcPr>
            <w:tcW w:type="dxa" w:w="10205"/>
            <w:shd w:val="clear" w:color="auto" w:fill="B83227"/>
            <w:tcBorders>
              <w:top w:val="single" w:sz="4" w:space="0" w:color="B83227"/>
              <w:left w:val="single" w:sz="4" w:space="0" w:color="B83227"/>
              <w:bottom w:val="single" w:sz="4" w:space="0" w:color="B83227"/>
              <w:right w:val="single" w:sz="4" w:space="0" w:color="B83227"/>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11</w:t>
            </w:r>
          </w:p>
          <w:p>
            <w:pPr>
              <w:bidi/>
              <w:spacing w:before="0" w:after="0" w:line="264" w:lineRule="auto"/>
              <w:outlineLvl w:val="0"/>
            </w:pPr>
            <w:r>
              <w:rPr>
                <w:rFonts w:ascii="Arial" w:hAnsi="Arial" w:cs="Arial" w:eastAsia="Arial"/>
                <w:b/>
                <w:bCs/>
                <w:color w:val="FFFFFF"/>
                <w:sz w:val="42"/>
                <w:szCs w:val="42"/>
                <w:rtl/>
              </w:rPr>
              <w:t>הלכת השיתוף</w:t>
            </w:r>
          </w:p>
        </w:tc>
      </w:tr>
    </w:tbl>
    <w:p>
      <w:pPr>
        <w:bidi/>
        <w:spacing w:after="0" w:before="0" w:line="20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שני משטרי רכוש - מפת התמצאות</w:t>
      </w:r>
    </w:p>
    <w:tbl>
      <w:tblPr>
        <w:tblW w:type="dxa" w:w="10206"/>
        <w:jc w:val="center"/>
        <w:tblLook w:firstColumn="1" w:firstRow="1" w:lastColumn="0" w:lastRow="0" w:noHBand="0" w:noVBand="1" w:val="04A0"/>
        <w:bidiVisual/>
        <w:tblLayout w:type="fixed"/>
      </w:tblPr>
      <w:tblGrid>
        <w:gridCol w:w="1278"/>
        <w:gridCol w:w="5275"/>
        <w:gridCol w:w="3651"/>
      </w:tblGrid>
      <w:tr>
        <w:trPr>
          <w:tblHeader/>
        </w:trPr>
        <w:tc>
          <w:tcPr>
            <w:tcW w:type="dxa" w:w="1279"/>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p>
        </w:tc>
        <w:tc>
          <w:tcPr>
            <w:tcW w:type="dxa" w:w="5274"/>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3652"/>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איזון משאבים (פרק 12)</w:t>
            </w:r>
          </w:p>
        </w:tc>
      </w:tr>
      <w:tr>
        <w:trPr>
          <w:cantSplit/>
        </w:trPr>
        <w:tc>
          <w:tcPr>
            <w:tcW w:type="dxa" w:w="12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527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 - "חקיקה שיפוטית"</w:t>
            </w:r>
          </w:p>
        </w:tc>
        <w:tc>
          <w:tcPr>
            <w:tcW w:type="dxa" w:w="3652"/>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יחסי ממון, 1973</w:t>
            </w:r>
          </w:p>
        </w:tc>
      </w:tr>
      <w:tr>
        <w:trPr>
          <w:cantSplit/>
        </w:trPr>
        <w:tc>
          <w:tcPr>
            <w:tcW w:type="dxa" w:w="12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על מי</w:t>
            </w:r>
          </w:p>
        </w:tc>
        <w:tc>
          <w:tcPr>
            <w:tcW w:type="dxa" w:w="527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נישאו לפני 1.1.1974 + ידועים בציבור</w:t>
            </w:r>
          </w:p>
        </w:tc>
        <w:tc>
          <w:tcPr>
            <w:tcW w:type="dxa" w:w="3652"/>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נישאו מ-1.1.1974</w:t>
            </w:r>
          </w:p>
        </w:tc>
      </w:tr>
      <w:tr>
        <w:trPr>
          <w:cantSplit/>
        </w:trPr>
        <w:tc>
          <w:tcPr>
            <w:tcW w:type="dxa" w:w="12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הזכות</w:t>
            </w:r>
          </w:p>
        </w:tc>
        <w:tc>
          <w:tcPr>
            <w:tcW w:type="dxa" w:w="527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קניינית</w:t>
            </w:r>
            <w:r>
              <w:rPr>
                <w:rFonts w:ascii="Arial" w:hAnsi="Arial" w:cs="Arial" w:eastAsia="Arial"/>
                <w:color w:val="1F2430"/>
                <w:sz w:val="17"/>
                <w:szCs w:val="17"/>
                <w:rtl/>
              </w:rPr>
              <w:t xml:space="preserve"> (בעלות בנכס)</w:t>
            </w:r>
          </w:p>
        </w:tc>
        <w:tc>
          <w:tcPr>
            <w:tcW w:type="dxa" w:w="3652"/>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אובליגטורית</w:t>
            </w:r>
            <w:r>
              <w:rPr>
                <w:rFonts w:ascii="Arial" w:hAnsi="Arial" w:cs="Arial" w:eastAsia="Arial"/>
                <w:color w:val="1F2430"/>
                <w:sz w:val="17"/>
                <w:szCs w:val="17"/>
                <w:rtl/>
              </w:rPr>
              <w:t xml:space="preserve"> (שווי כספי)</w:t>
            </w:r>
          </w:p>
        </w:tc>
      </w:tr>
      <w:tr>
        <w:trPr>
          <w:cantSplit/>
        </w:trPr>
        <w:tc>
          <w:tcPr>
            <w:tcW w:type="dxa" w:w="12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מתי</w:t>
            </w:r>
          </w:p>
        </w:tc>
        <w:tc>
          <w:tcPr>
            <w:tcW w:type="dxa" w:w="527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משפחתי - מרגע הרכישה; עסקי - מועד קריטי</w:t>
            </w:r>
          </w:p>
        </w:tc>
        <w:tc>
          <w:tcPr>
            <w:tcW w:type="dxa" w:w="3652"/>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במועד האיזון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סעיף 14 לחוק יחסי ממון: פרק האיזון לא חל על מי שנישאו לפני תחילת החוק. פרק הסכמי הממון חל על כולם.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ידועים בציבור: חלה עליהם "הלכת שיתוף מוחלשת" (שחר נ' פרידמן). השיתוף אצלם אינו ברירת מחדל - צריך להוכיח שהם ידועים בציבור ולהוכיח כוונת 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גם נישואין אזרחיים נכנסים למשטר הרכוש (אורון). זוג שנישא בחו"ל לפני 1974 - חלה עליו הלכת השיתוף.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הרציונל: "שר החוץ" שצובר על שמו מול "שר הפנים". </w:t>
      </w:r>
      <w:r>
        <w:rPr>
          <w:rFonts w:ascii="Arial" w:hAnsi="Arial" w:cs="Arial" w:eastAsia="Arial"/>
          <w:color w:val="1F2430"/>
          <w:sz w:val="19"/>
          <w:szCs w:val="19"/>
          <w:highlight w:val="yellow"/>
          <w:rtl/>
        </w:rPr>
        <w:t>חזקת השיתוף גוברת על הרישום</w:t>
      </w:r>
      <w:r>
        <w:rPr>
          <w:rFonts w:ascii="Arial" w:hAnsi="Arial" w:cs="Arial" w:eastAsia="Arial"/>
          <w:color w:val="1F2430"/>
          <w:sz w:val="19"/>
          <w:szCs w:val="19"/>
          <w:rtl/>
        </w:rPr>
        <w:t>, וחלוקה חצי חצי.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רקע: לפי סידיס רכוש אינו מענייני המעמד האישי. סעיף 2 לחוק שיווי זכויות האישה נותן לאישה נשואה כשרות מלאה לקניין.</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התפתחות ההלכה - שלבים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b/>
          <w:bCs/>
          <w:color w:val="1F2430"/>
          <w:sz w:val="19"/>
          <w:szCs w:val="19"/>
          <w:rtl/>
        </w:rPr>
        <w:t>הסכם מכללא (קונסטרוקציה חוזית):</w:t>
      </w:r>
      <w:r>
        <w:rPr>
          <w:rFonts w:ascii="Arial" w:hAnsi="Arial" w:cs="Arial" w:eastAsia="Arial"/>
          <w:color w:val="1F2430"/>
          <w:sz w:val="19"/>
          <w:szCs w:val="19"/>
          <w:rtl/>
        </w:rPr>
        <w:t xml:space="preserve"> מניחים הסכם לא כתוב לשיתוף. תנאים: אורח חיים תקין + מאמץ משותף. הסכם מפורש גובר.</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b/>
          <w:bCs/>
          <w:color w:val="1F2430"/>
          <w:sz w:val="19"/>
          <w:szCs w:val="19"/>
          <w:rtl/>
        </w:rPr>
        <w:t>הסדקים:</w:t>
      </w:r>
      <w:r>
        <w:rPr>
          <w:rFonts w:ascii="Arial" w:hAnsi="Arial" w:cs="Arial" w:eastAsia="Arial"/>
          <w:color w:val="1F2430"/>
          <w:sz w:val="19"/>
          <w:szCs w:val="19"/>
          <w:rtl/>
        </w:rPr>
        <w:t xml:space="preserve"> הסתרת נכסים; אישה שסברה שהכול של הבעל; דמי כיס (בר נתן 724/83); יחסים רעים.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3. </w:t>
      </w:r>
      <w:r>
        <w:tab/>
      </w:r>
      <w:r>
        <w:rPr>
          <w:rFonts w:ascii="Arial" w:hAnsi="Arial" w:cs="Arial" w:eastAsia="Arial"/>
          <w:b/>
          <w:bCs/>
          <w:color w:val="1F2430"/>
          <w:sz w:val="19"/>
          <w:szCs w:val="19"/>
          <w:rtl/>
        </w:rPr>
        <w:t>חזקה נורמטיבית (שנות ה-80):</w:t>
      </w:r>
      <w:r>
        <w:rPr>
          <w:rFonts w:ascii="Arial" w:hAnsi="Arial" w:cs="Arial" w:eastAsia="Arial"/>
          <w:color w:val="1F2430"/>
          <w:sz w:val="19"/>
          <w:szCs w:val="19"/>
          <w:rtl/>
        </w:rPr>
        <w:t xml:space="preserve"> המשפט קובע בעצמו, בלי לבדוק כוונה. התנאי: </w:t>
      </w:r>
      <w:r>
        <w:rPr>
          <w:rFonts w:ascii="Arial" w:hAnsi="Arial" w:cs="Arial" w:eastAsia="Arial"/>
          <w:color w:val="1F2430"/>
          <w:sz w:val="19"/>
          <w:szCs w:val="19"/>
          <w:highlight w:val="yellow"/>
          <w:rtl/>
        </w:rPr>
        <w:t>קורת גג אחת</w:t>
      </w:r>
      <w:r>
        <w:rPr>
          <w:rFonts w:ascii="Arial" w:hAnsi="Arial" w:cs="Arial" w:eastAsia="Arial"/>
          <w:color w:val="1F2430"/>
          <w:sz w:val="19"/>
          <w:szCs w:val="19"/>
          <w:rtl/>
        </w:rPr>
        <w:t>. אין צורך בהרמוניה או במאמץ משותף בפועל. השיתוף מסתיים רק בפירוד של ממש.</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מדג'ר (370/87)</w:t>
      </w:r>
      <w:r>
        <w:rPr>
          <w:rFonts w:ascii="Arial" w:hAnsi="Arial" w:cs="Arial" w:eastAsia="Arial"/>
          <w:color w:val="1F2430"/>
          <w:sz w:val="19"/>
          <w:szCs w:val="19"/>
          <w:rtl/>
        </w:rPr>
        <w:t xml:space="preserve"> → אישה חולת נפש, "תרומה שלילית" לפי המחוזי; ברק: "מסכת אנושית", ולכן בית המרקחת חצי חצי (המחלוקת הייתה בין העיזבונות).</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ההשלכות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חצי חצי, לא לפי תרומה.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חלה על כל העדות, כי זה דין אזרחי טריטוריאלי.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יציאה </w:t>
      </w:r>
      <w:r>
        <w:rPr>
          <w:rFonts w:ascii="Arial" w:hAnsi="Arial" w:cs="Arial" w:eastAsia="Arial"/>
          <w:color w:val="1F2430"/>
          <w:sz w:val="19"/>
          <w:szCs w:val="19"/>
          <w:highlight w:val="yellow"/>
          <w:rtl/>
        </w:rPr>
        <w:t>רק בהסכם ממון מפורש</w:t>
      </w:r>
      <w:r>
        <w:rPr>
          <w:rFonts w:ascii="Arial" w:hAnsi="Arial" w:cs="Arial" w:eastAsia="Arial"/>
          <w:color w:val="1F2430"/>
          <w:sz w:val="19"/>
          <w:szCs w:val="19"/>
          <w:rtl/>
        </w:rPr>
        <w:t xml:space="preserve"> (אצל נשואים - מאושר כדין). בנכס פנימי התנהגות לא מועילה.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highlight w:val="yellow"/>
          <w:rtl/>
        </w:rPr>
        <w:t>זכות קניינית מעכשיו</w:t>
      </w:r>
      <w:r>
        <w:rPr>
          <w:rFonts w:ascii="Arial" w:hAnsi="Arial" w:cs="Arial" w:eastAsia="Arial"/>
          <w:color w:val="1F2430"/>
          <w:sz w:val="19"/>
          <w:szCs w:val="19"/>
          <w:rtl/>
        </w:rPr>
        <w:t>, ממועד הרכישה. אפשר לבקש פס"ד הצהרתי לפני גירושין.</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בית הדין הרבני - בבלי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סמכות ברכוש: רק ב</w:t>
      </w:r>
      <w:r>
        <w:rPr>
          <w:rFonts w:ascii="Arial" w:hAnsi="Arial" w:cs="Arial" w:eastAsia="Arial"/>
          <w:color w:val="1F2430"/>
          <w:sz w:val="19"/>
          <w:szCs w:val="19"/>
          <w:highlight w:val="yellow"/>
          <w:rtl/>
        </w:rPr>
        <w:t>כריכה</w:t>
      </w:r>
      <w:r>
        <w:rPr>
          <w:rFonts w:ascii="Arial" w:hAnsi="Arial" w:cs="Arial" w:eastAsia="Arial"/>
          <w:color w:val="1F2430"/>
          <w:sz w:val="19"/>
          <w:szCs w:val="19"/>
          <w:rtl/>
        </w:rPr>
        <w:t xml:space="preserve"> כנה (סעיף 3), לא בהסכמה (סעיף 9 - סימה אמיר).</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הכלל הישן: "הדין הולך אחר הדיין".</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בבלי (בג"ץ 1000/92)</w:t>
      </w:r>
      <w:r>
        <w:rPr>
          <w:rFonts w:ascii="Arial" w:hAnsi="Arial" w:cs="Arial" w:eastAsia="Arial"/>
          <w:color w:val="1F2430"/>
          <w:sz w:val="19"/>
          <w:szCs w:val="19"/>
          <w:rtl/>
        </w:rPr>
        <w:t xml:space="preserve"> → נישאו ב-1957, הבעל טייס, האישה עזבה את ההוראה. הבעל כרך ונתן גט, והרבני חילק לפי הרישום: הכול לבעל. ברק: זה </w:t>
      </w:r>
      <w:r>
        <w:rPr>
          <w:rFonts w:ascii="Arial" w:hAnsi="Arial" w:cs="Arial" w:eastAsia="Arial"/>
          <w:color w:val="1F2430"/>
          <w:sz w:val="19"/>
          <w:szCs w:val="19"/>
          <w:highlight w:val="yellow"/>
          <w:rtl/>
        </w:rPr>
        <w:t>שוויון פורמלי</w:t>
      </w:r>
      <w:r>
        <w:rPr>
          <w:rFonts w:ascii="Arial" w:hAnsi="Arial" w:cs="Arial" w:eastAsia="Arial"/>
          <w:color w:val="1F2430"/>
          <w:sz w:val="19"/>
          <w:szCs w:val="19"/>
          <w:rtl/>
        </w:rPr>
        <w:t xml:space="preserve">, ונדרש </w:t>
      </w:r>
      <w:r>
        <w:rPr>
          <w:rFonts w:ascii="Arial" w:hAnsi="Arial" w:cs="Arial" w:eastAsia="Arial"/>
          <w:color w:val="1F2430"/>
          <w:sz w:val="19"/>
          <w:szCs w:val="19"/>
          <w:highlight w:val="yellow"/>
          <w:rtl/>
        </w:rPr>
        <w:t>שוויון מהותי</w:t>
      </w:r>
      <w:r>
        <w:rPr>
          <w:rFonts w:ascii="Arial" w:hAnsi="Arial" w:cs="Arial" w:eastAsia="Arial"/>
          <w:color w:val="1F2430"/>
          <w:sz w:val="19"/>
          <w:szCs w:val="19"/>
          <w:rtl/>
        </w:rPr>
        <w:t>. על פי סעיף 1 לחוק שיווי זכויות האישה ("דין אחד יהיה לאשה ולאיש"), "</w:t>
      </w:r>
      <w:r>
        <w:rPr>
          <w:rFonts w:ascii="Arial" w:hAnsi="Arial" w:cs="Arial" w:eastAsia="Arial"/>
          <w:color w:val="1F2430"/>
          <w:sz w:val="19"/>
          <w:szCs w:val="19"/>
          <w:highlight w:val="yellow"/>
          <w:rtl/>
        </w:rPr>
        <w:t>הלכת השיתוף היא דין בישראל</w:t>
      </w:r>
      <w:r>
        <w:rPr>
          <w:rFonts w:ascii="Arial" w:hAnsi="Arial" w:cs="Arial" w:eastAsia="Arial"/>
          <w:color w:val="1F2430"/>
          <w:sz w:val="19"/>
          <w:szCs w:val="19"/>
          <w:rtl/>
        </w:rPr>
        <w:t xml:space="preserve">". מכאן: </w:t>
      </w:r>
      <w:r>
        <w:rPr>
          <w:rFonts w:ascii="Arial" w:hAnsi="Arial" w:cs="Arial" w:eastAsia="Arial"/>
          <w:color w:val="1F2430"/>
          <w:sz w:val="19"/>
          <w:szCs w:val="19"/>
          <w:highlight w:val="yellow"/>
          <w:rtl/>
        </w:rPr>
        <w:t>הדיין הולך אחר הדין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החידוש: התערבות בדין המהותי של בית הדין, לא רק בסמכות. ההלכה גם מצננת את מרוץ הסמכויות (100-0 מול 50-50).</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"או הלכת בבלי או תלמוד בבלי" - אין כפל מבצעים של רכוש וכתובה. לפי המרצה, גם באיזון משאבים.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סעיף 13(ב) לחוק יחסי ממון - בית הדין הדתי נוהג לפי החוק, אלא אם הצדדים הסכימו </w:t>
      </w:r>
      <w:r>
        <w:rPr>
          <w:rFonts w:ascii="Arial" w:hAnsi="Arial" w:cs="Arial" w:eastAsia="Arial"/>
          <w:color w:val="1F2430"/>
          <w:sz w:val="19"/>
          <w:szCs w:val="19"/>
          <w:highlight w:val="yellow"/>
          <w:rtl/>
        </w:rPr>
        <w:t>במפורש</w:t>
      </w:r>
      <w:r>
        <w:rPr>
          <w:rFonts w:ascii="Arial" w:hAnsi="Arial" w:cs="Arial" w:eastAsia="Arial"/>
          <w:color w:val="1F2430"/>
          <w:sz w:val="19"/>
          <w:szCs w:val="19"/>
          <w:rtl/>
        </w:rPr>
        <w:t xml:space="preserve"> לדין הדתי.</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נכס פנימי מול נכס חיצוני</w:t>
      </w:r>
    </w:p>
    <w:tbl>
      <w:tblPr>
        <w:tblW w:type="dxa" w:w="10206"/>
        <w:jc w:val="center"/>
        <w:tblLook w:firstColumn="1" w:firstRow="1" w:lastColumn="0" w:lastRow="0" w:noHBand="0" w:noVBand="1" w:val="04A0"/>
        <w:bidiVisual/>
        <w:tblLayout w:type="fixed"/>
      </w:tblPr>
      <w:tblGrid>
        <w:gridCol w:w="1383"/>
        <w:gridCol w:w="3805"/>
        <w:gridCol w:w="5016"/>
      </w:tblGrid>
      <w:tr>
        <w:trPr>
          <w:tblHeader/>
        </w:trPr>
        <w:tc>
          <w:tcPr>
            <w:tcW w:type="dxa" w:w="1384"/>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p>
        </w:tc>
        <w:tc>
          <w:tcPr>
            <w:tcW w:type="dxa" w:w="3805"/>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פנימי</w:t>
            </w:r>
          </w:p>
        </w:tc>
        <w:tc>
          <w:tcPr>
            <w:tcW w:type="dxa" w:w="5016"/>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חיצוני</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כספי החיים המשותפים</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לפני הנישואין / ירושה / מתנה</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חזקה</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שיתוף, ראיות מינימליות</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אין שיתוף אוטומטי</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נטל</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על ה</w:t>
            </w:r>
            <w:r>
              <w:rPr>
                <w:rFonts w:ascii="Arial" w:hAnsi="Arial" w:cs="Arial" w:eastAsia="Arial"/>
                <w:color w:val="1F2430"/>
                <w:sz w:val="17"/>
                <w:szCs w:val="17"/>
                <w:highlight w:val="yellow"/>
                <w:rtl/>
              </w:rPr>
              <w:t>שולל</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על ה</w:t>
            </w:r>
            <w:r>
              <w:rPr>
                <w:rFonts w:ascii="Arial" w:hAnsi="Arial" w:cs="Arial" w:eastAsia="Arial"/>
                <w:color w:val="1F2430"/>
                <w:sz w:val="17"/>
                <w:szCs w:val="17"/>
                <w:highlight w:val="yellow"/>
                <w:rtl/>
              </w:rPr>
              <w:t>מבקש</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הרמוניה</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לא נדרשת</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נדרשת</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יציאה</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הסכם ממון</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הסכם ממון או התנהגות של הפרדה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המבחן: </w:t>
      </w:r>
      <w:r>
        <w:rPr>
          <w:rFonts w:ascii="Arial" w:hAnsi="Arial" w:cs="Arial" w:eastAsia="Arial"/>
          <w:color w:val="1F2430"/>
          <w:sz w:val="19"/>
          <w:szCs w:val="19"/>
          <w:highlight w:val="yellow"/>
          <w:rtl/>
        </w:rPr>
        <w:t>מקור המימון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בריל (4151/99)</w:t>
      </w:r>
      <w:r>
        <w:rPr>
          <w:rFonts w:ascii="Arial" w:hAnsi="Arial" w:cs="Arial" w:eastAsia="Arial"/>
          <w:color w:val="1F2430"/>
          <w:sz w:val="19"/>
          <w:szCs w:val="19"/>
          <w:rtl/>
        </w:rPr>
        <w:t xml:space="preserve"> → חיים משבריים ("שלי שלי, שלך שלך") וחשבון נפרד. הפנימי חולק והחיצוני לא. חשבון נפרד אינו ראיה להפרדה.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הדרי (806/93)</w:t>
      </w:r>
      <w:r>
        <w:rPr>
          <w:rFonts w:ascii="Arial" w:hAnsi="Arial" w:cs="Arial" w:eastAsia="Arial"/>
          <w:color w:val="1F2430"/>
          <w:sz w:val="19"/>
          <w:szCs w:val="19"/>
          <w:rtl/>
        </w:rPr>
        <w:t xml:space="preserve"> → הדירה נקנתה לפני הנישואין, האישה השלימה 6,000 לירות, 30 שנות נישואין. שמגר: דירת המגורים היא "</w:t>
      </w:r>
      <w:r>
        <w:rPr>
          <w:rFonts w:ascii="Arial" w:hAnsi="Arial" w:cs="Arial" w:eastAsia="Arial"/>
          <w:color w:val="1F2430"/>
          <w:sz w:val="19"/>
          <w:szCs w:val="19"/>
          <w:highlight w:val="yellow"/>
          <w:rtl/>
        </w:rPr>
        <w:t>גולת הכותרת</w:t>
      </w:r>
      <w:r>
        <w:rPr>
          <w:rFonts w:ascii="Arial" w:hAnsi="Arial" w:cs="Arial" w:eastAsia="Arial"/>
          <w:color w:val="1F2430"/>
          <w:sz w:val="19"/>
          <w:szCs w:val="19"/>
          <w:rtl/>
        </w:rPr>
        <w:t>", די בראיות צנועות, והדירה מוטמעת.</w:t>
      </w:r>
    </w:p>
    <w:p>
      <w:pPr>
        <w:bidi/>
        <w:spacing w:before="0" w:after="100" w:line="300" w:lineRule="auto"/>
        <w:jc w:val="both"/>
      </w:pPr>
      <w:r>
        <w:rPr>
          <w:rFonts w:ascii="Arial" w:hAnsi="Arial" w:cs="Arial" w:eastAsia="Arial"/>
          <w:b/>
          <w:bCs/>
          <w:color w:val="1F2430"/>
          <w:sz w:val="19"/>
          <w:szCs w:val="19"/>
          <w:rtl/>
        </w:rPr>
        <w:t>ארבעה פרמטרים לנכס חיצוני (רשימה פתוחה):</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color w:val="1F2430"/>
          <w:sz w:val="19"/>
          <w:szCs w:val="19"/>
          <w:rtl/>
        </w:rPr>
        <w:t>טיב הנכס - דירת מגורים מול נכס השקעה או עסק.</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color w:val="1F2430"/>
          <w:sz w:val="19"/>
          <w:szCs w:val="19"/>
          <w:rtl/>
        </w:rPr>
        <w:t>נישואין ראשונים או שניים.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3. </w:t>
      </w:r>
      <w:r>
        <w:tab/>
      </w:r>
      <w:r>
        <w:rPr>
          <w:rFonts w:ascii="Arial" w:hAnsi="Arial" w:cs="Arial" w:eastAsia="Arial"/>
          <w:color w:val="1F2430"/>
          <w:sz w:val="19"/>
          <w:szCs w:val="19"/>
          <w:rtl/>
        </w:rPr>
        <w:t>שיפוצים והשבחה מכספים משותפים, כולל תשלומי משכנתא - הסימן החזק ביותר.</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4. </w:t>
      </w:r>
      <w:r>
        <w:tab/>
      </w:r>
      <w:r>
        <w:rPr>
          <w:rFonts w:ascii="Arial" w:hAnsi="Arial" w:cs="Arial" w:eastAsia="Arial"/>
          <w:color w:val="1F2430"/>
          <w:sz w:val="19"/>
          <w:szCs w:val="19"/>
          <w:rtl/>
        </w:rPr>
        <w:t>משך הנישואין וטיבם. לפי ההרצאה: לא תוך 5 שנים, נדיר תוך 10, ומ-12-13 שנה ואילך.</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שבח</w:t>
      </w:r>
      <w:r>
        <w:rPr>
          <w:rFonts w:ascii="Arial" w:hAnsi="Arial" w:cs="Arial" w:eastAsia="Arial"/>
          <w:color w:val="1F2430"/>
          <w:sz w:val="19"/>
          <w:szCs w:val="19"/>
          <w:rtl/>
        </w:rPr>
        <w:t xml:space="preserve"> ממאמץ - יכול להיות משותף גם כשהנכס עצמו חיצוני.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נכס חיצוני </w:t>
      </w:r>
      <w:r>
        <w:rPr>
          <w:rFonts w:ascii="Arial" w:hAnsi="Arial" w:cs="Arial" w:eastAsia="Arial"/>
          <w:color w:val="1F2430"/>
          <w:sz w:val="19"/>
          <w:szCs w:val="19"/>
          <w:highlight w:val="yellow"/>
          <w:rtl/>
        </w:rPr>
        <w:t>שנרשם על שם שניהם</w:t>
      </w:r>
      <w:r>
        <w:rPr>
          <w:rFonts w:ascii="Arial" w:hAnsi="Arial" w:cs="Arial" w:eastAsia="Arial"/>
          <w:color w:val="1F2430"/>
          <w:sz w:val="19"/>
          <w:szCs w:val="19"/>
          <w:rtl/>
        </w:rPr>
        <w:t>, או כסף שהופקד בחשבון המשותף - הפך למשותף.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אצל ידועים בציבור יש </w:t>
      </w:r>
      <w:r>
        <w:rPr>
          <w:rFonts w:ascii="Arial" w:hAnsi="Arial" w:cs="Arial" w:eastAsia="Arial"/>
          <w:color w:val="1F2430"/>
          <w:sz w:val="19"/>
          <w:szCs w:val="19"/>
          <w:highlight w:val="yellow"/>
          <w:rtl/>
        </w:rPr>
        <w:t>שתי דרגות</w:t>
      </w:r>
      <w:r>
        <w:rPr>
          <w:rFonts w:ascii="Arial" w:hAnsi="Arial" w:cs="Arial" w:eastAsia="Arial"/>
          <w:color w:val="1F2430"/>
          <w:sz w:val="19"/>
          <w:szCs w:val="19"/>
          <w:rtl/>
        </w:rPr>
        <w:t>: קודם שיתוף בנכסים הפנימיים, ואז בנכס החיצוני.</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בגידה ושיתוף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בג"ץ 3395/00</w:t>
      </w:r>
      <w:r>
        <w:rPr>
          <w:rFonts w:ascii="Arial" w:hAnsi="Arial" w:cs="Arial" w:eastAsia="Arial"/>
          <w:color w:val="1F2430"/>
          <w:sz w:val="19"/>
          <w:szCs w:val="19"/>
          <w:rtl/>
        </w:rPr>
        <w:t xml:space="preserve"> (במקראה 3995/00) → 17 שנות נישואין, 12 מהן בגידה. </w:t>
      </w:r>
      <w:r>
        <w:rPr>
          <w:rFonts w:ascii="Arial" w:hAnsi="Arial" w:cs="Arial" w:eastAsia="Arial"/>
          <w:color w:val="1F2430"/>
          <w:sz w:val="19"/>
          <w:szCs w:val="19"/>
          <w:highlight w:val="yellow"/>
          <w:rtl/>
        </w:rPr>
        <w:t>אין שיתוף בדירה החיצונית</w:t>
      </w:r>
      <w:r>
        <w:rPr>
          <w:rFonts w:ascii="Arial" w:hAnsi="Arial" w:cs="Arial" w:eastAsia="Arial"/>
          <w:color w:val="1F2430"/>
          <w:sz w:val="19"/>
          <w:szCs w:val="19"/>
          <w:rtl/>
        </w:rPr>
        <w:t xml:space="preserve"> בגלל "כוונת שיתוף מדומה", אבל </w:t>
      </w:r>
      <w:r>
        <w:rPr>
          <w:rFonts w:ascii="Arial" w:hAnsi="Arial" w:cs="Arial" w:eastAsia="Arial"/>
          <w:color w:val="1F2430"/>
          <w:sz w:val="19"/>
          <w:szCs w:val="19"/>
          <w:highlight w:val="yellow"/>
          <w:rtl/>
        </w:rPr>
        <w:t>הנכסים הפנימיים משותפים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דרור (264/77)</w:t>
      </w:r>
      <w:r>
        <w:rPr>
          <w:rFonts w:ascii="Arial" w:hAnsi="Arial" w:cs="Arial" w:eastAsia="Arial"/>
          <w:color w:val="1F2430"/>
          <w:sz w:val="19"/>
          <w:szCs w:val="19"/>
          <w:rtl/>
        </w:rPr>
        <w:t xml:space="preserve"> → בגידה או נטישה יוצרות קרע, אבל </w:t>
      </w:r>
      <w:r>
        <w:rPr>
          <w:rFonts w:ascii="Arial" w:hAnsi="Arial" w:cs="Arial" w:eastAsia="Arial"/>
          <w:color w:val="1F2430"/>
          <w:sz w:val="19"/>
          <w:szCs w:val="19"/>
          <w:highlight w:val="yellow"/>
          <w:rtl/>
        </w:rPr>
        <w:t>אין נענשים עליהן למפרע</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בג"ץ 8928/06</w:t>
      </w:r>
      <w:r>
        <w:rPr>
          <w:rFonts w:ascii="Arial" w:hAnsi="Arial" w:cs="Arial" w:eastAsia="Arial"/>
          <w:color w:val="1F2430"/>
          <w:sz w:val="19"/>
          <w:szCs w:val="19"/>
          <w:rtl/>
        </w:rPr>
        <w:t xml:space="preserve"> → הרבני הגדול שלל מחצית פנסיה בגלל בגידה, ובג"ץ (נאור) קבע שבגידה כשלעצמה אינה נסיבה לשלילת זכויות.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בג"ץ 4602/13 + דיון נוסף</w:t>
      </w:r>
      <w:r>
        <w:rPr>
          <w:rFonts w:ascii="Arial" w:hAnsi="Arial" w:cs="Arial" w:eastAsia="Arial"/>
          <w:color w:val="1F2430"/>
          <w:sz w:val="19"/>
          <w:szCs w:val="19"/>
          <w:rtl/>
        </w:rPr>
        <w:t xml:space="preserve"> → בית מגורים על מגרש שהבעל ירש, יותר מ-20 שנה בבית. הגדול שלל בגלל בגידה, ובג"ץ ברוב לא התערב. בדיון הנוסף (6:3, חיות) נקבע שבגידה </w:t>
      </w:r>
      <w:r>
        <w:rPr>
          <w:rFonts w:ascii="Arial" w:hAnsi="Arial" w:cs="Arial" w:eastAsia="Arial"/>
          <w:color w:val="1F2430"/>
          <w:sz w:val="19"/>
          <w:szCs w:val="19"/>
          <w:highlight w:val="yellow"/>
          <w:rtl/>
        </w:rPr>
        <w:t>לא שוללת בדיעבד</w:t>
      </w:r>
      <w:r>
        <w:rPr>
          <w:rFonts w:ascii="Arial" w:hAnsi="Arial" w:cs="Arial" w:eastAsia="Arial"/>
          <w:color w:val="1F2430"/>
          <w:sz w:val="19"/>
          <w:szCs w:val="19"/>
          <w:rtl/>
        </w:rPr>
        <w:t xml:space="preserve"> שיתוף ספציפי שהתגבש, ושאין "למשטר" בן זוג (פרק 12).</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הרבני הגדול: מועד הקרע </w:t>
      </w:r>
      <w:r>
        <w:rPr>
          <w:rFonts w:ascii="Arial" w:hAnsi="Arial" w:cs="Arial" w:eastAsia="Arial"/>
          <w:color w:val="1F2430"/>
          <w:sz w:val="19"/>
          <w:szCs w:val="19"/>
          <w:highlight w:val="yellow"/>
          <w:rtl/>
        </w:rPr>
        <w:t>אינו אוטומטית</w:t>
      </w:r>
      <w:r>
        <w:rPr>
          <w:rFonts w:ascii="Arial" w:hAnsi="Arial" w:cs="Arial" w:eastAsia="Arial"/>
          <w:color w:val="1F2430"/>
          <w:sz w:val="19"/>
          <w:szCs w:val="19"/>
          <w:rtl/>
        </w:rPr>
        <w:t xml:space="preserve"> יום הבגידה.</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מתנות וחשבונות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זיסרמן (384/88)</w:t>
      </w:r>
      <w:r>
        <w:rPr>
          <w:rFonts w:ascii="Arial" w:hAnsi="Arial" w:cs="Arial" w:eastAsia="Arial"/>
          <w:color w:val="1F2430"/>
          <w:sz w:val="19"/>
          <w:szCs w:val="19"/>
          <w:rtl/>
        </w:rPr>
        <w:t xml:space="preserve"> → מתנת חצי דירה לבעל אינה מתבטלת בגירושין. תנאי מפסיק צריך להיות </w:t>
      </w:r>
      <w:r>
        <w:rPr>
          <w:rFonts w:ascii="Arial" w:hAnsi="Arial" w:cs="Arial" w:eastAsia="Arial"/>
          <w:color w:val="1F2430"/>
          <w:sz w:val="19"/>
          <w:szCs w:val="19"/>
          <w:highlight w:val="yellow"/>
          <w:rtl/>
        </w:rPr>
        <w:t>מפורש</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בג"ץ 6037/18</w:t>
      </w:r>
      <w:r>
        <w:rPr>
          <w:rFonts w:ascii="Arial" w:hAnsi="Arial" w:cs="Arial" w:eastAsia="Arial"/>
          <w:color w:val="1F2430"/>
          <w:sz w:val="19"/>
          <w:szCs w:val="19"/>
          <w:rtl/>
        </w:rPr>
        <w:t xml:space="preserve"> → בין קרובים בדרגה גבוהה קיימת </w:t>
      </w:r>
      <w:r>
        <w:rPr>
          <w:rFonts w:ascii="Arial" w:hAnsi="Arial" w:cs="Arial" w:eastAsia="Arial"/>
          <w:color w:val="1F2430"/>
          <w:sz w:val="19"/>
          <w:szCs w:val="19"/>
          <w:highlight w:val="yellow"/>
          <w:rtl/>
        </w:rPr>
        <w:t>חזקה הפוכה</w:t>
      </w:r>
      <w:r>
        <w:rPr>
          <w:rFonts w:ascii="Arial" w:hAnsi="Arial" w:cs="Arial" w:eastAsia="Arial"/>
          <w:color w:val="1F2430"/>
          <w:sz w:val="19"/>
          <w:szCs w:val="19"/>
          <w:rtl/>
        </w:rPr>
        <w:t>: העברה ללא תמורה היא מתנה (הנטל על מי שטוען אחרת).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חשבון משותף</w:t>
      </w:r>
      <w:r>
        <w:rPr>
          <w:rFonts w:ascii="Arial" w:hAnsi="Arial" w:cs="Arial" w:eastAsia="Arial"/>
          <w:color w:val="1F2430"/>
          <w:sz w:val="19"/>
          <w:szCs w:val="19"/>
          <w:rtl/>
        </w:rPr>
        <w:t xml:space="preserve"> → חזקת חלקים שווים (גיברשטיין 1967/90, ברנהיים 575/98). הטוען אחרת - עליו הראיה.</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עסק, סיום השיתוף, פרישה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בסיליאן (122/83)</w:t>
      </w:r>
      <w:r>
        <w:rPr>
          <w:rFonts w:ascii="Arial" w:hAnsi="Arial" w:cs="Arial" w:eastAsia="Arial"/>
          <w:color w:val="1F2430"/>
          <w:sz w:val="19"/>
          <w:szCs w:val="19"/>
          <w:rtl/>
        </w:rPr>
        <w:t xml:space="preserve"> → </w:t>
      </w:r>
      <w:r>
        <w:rPr>
          <w:rFonts w:ascii="Arial" w:hAnsi="Arial" w:cs="Arial" w:eastAsia="Arial"/>
          <w:color w:val="1F2430"/>
          <w:sz w:val="19"/>
          <w:szCs w:val="19"/>
          <w:highlight w:val="yellow"/>
          <w:rtl/>
        </w:rPr>
        <w:t>נכס עסקי פנימי = נכס משותף</w:t>
      </w:r>
      <w:r>
        <w:rPr>
          <w:rFonts w:ascii="Arial" w:hAnsi="Arial" w:cs="Arial" w:eastAsia="Arial"/>
          <w:color w:val="1F2430"/>
          <w:sz w:val="19"/>
          <w:szCs w:val="19"/>
          <w:rtl/>
        </w:rPr>
        <w:t>. הסתרה או אי-ידיעה לא שוללות. בעבר נדרשה ראיה מוגברת.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לידאי (809/90)</w:t>
      </w:r>
      <w:r>
        <w:rPr>
          <w:rFonts w:ascii="Arial" w:hAnsi="Arial" w:cs="Arial" w:eastAsia="Arial"/>
          <w:color w:val="1F2430"/>
          <w:sz w:val="19"/>
          <w:szCs w:val="19"/>
          <w:rtl/>
        </w:rPr>
        <w:t xml:space="preserve"> → השיתוף מסתיים במועד ה</w:t>
      </w:r>
      <w:r>
        <w:rPr>
          <w:rFonts w:ascii="Arial" w:hAnsi="Arial" w:cs="Arial" w:eastAsia="Arial"/>
          <w:color w:val="1F2430"/>
          <w:sz w:val="19"/>
          <w:szCs w:val="19"/>
          <w:highlight w:val="yellow"/>
          <w:rtl/>
        </w:rPr>
        <w:t>מוקדם</w:t>
      </w:r>
      <w:r>
        <w:rPr>
          <w:rFonts w:ascii="Arial" w:hAnsi="Arial" w:cs="Arial" w:eastAsia="Arial"/>
          <w:color w:val="1F2430"/>
          <w:sz w:val="19"/>
          <w:szCs w:val="19"/>
          <w:rtl/>
        </w:rPr>
        <w:t xml:space="preserve"> מבין הגשת התביעה לעזיבת הבית. "רכוש לאחור, מזונות לעתיד".</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פנסיה</w:t>
      </w:r>
      <w:r>
        <w:rPr>
          <w:rFonts w:ascii="Arial" w:hAnsi="Arial" w:cs="Arial" w:eastAsia="Arial"/>
          <w:color w:val="1F2430"/>
          <w:sz w:val="19"/>
          <w:szCs w:val="19"/>
          <w:rtl/>
        </w:rPr>
        <w:t xml:space="preserve"> → כל מה שצומח משכר משותף. החלוקה במועד המימוש ולפי התקופה היחסית (משיכה מוקדמת - הפסד של כ-35%). החוק לחלוקת חיסכון פנסיוני (2014), סעיף 6: חשבון נפרד לבן הזוג לשעבר (פרק 12).</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אורון (964/92)</w:t>
      </w:r>
      <w:r>
        <w:rPr>
          <w:rFonts w:ascii="Arial" w:hAnsi="Arial" w:cs="Arial" w:eastAsia="Arial"/>
          <w:color w:val="1F2430"/>
          <w:sz w:val="19"/>
          <w:szCs w:val="19"/>
          <w:rtl/>
        </w:rPr>
        <w:t xml:space="preserve"> → נישואין אזרחיים. בוחנים כל מקור מימון בנפרד: כסף שהועבר לאישה להשקעה מעיד על כוונת שיתוף, ופיצויי פיטורים ופנסיה צבאית </w:t>
      </w:r>
      <w:r>
        <w:rPr>
          <w:rFonts w:ascii="Arial" w:hAnsi="Arial" w:cs="Arial" w:eastAsia="Arial"/>
          <w:color w:val="1F2430"/>
          <w:sz w:val="19"/>
          <w:szCs w:val="19"/>
          <w:highlight w:val="yellow"/>
          <w:rtl/>
        </w:rPr>
        <w:t>משותפים</w:t>
      </w:r>
      <w:r>
        <w:rPr>
          <w:rFonts w:ascii="Arial" w:hAnsi="Arial" w:cs="Arial" w:eastAsia="Arial"/>
          <w:color w:val="1F2430"/>
          <w:sz w:val="19"/>
          <w:szCs w:val="19"/>
          <w:rtl/>
        </w:rPr>
        <w:t>.</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נכסי קריירה ומוניטין</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חסל (5640/94)</w:t>
      </w:r>
      <w:r>
        <w:rPr>
          <w:rFonts w:ascii="Arial" w:hAnsi="Arial" w:cs="Arial" w:eastAsia="Arial"/>
          <w:color w:val="1F2430"/>
          <w:sz w:val="19"/>
          <w:szCs w:val="19"/>
          <w:rtl/>
        </w:rPr>
        <w:t xml:space="preserve"> → הבעל קנה עסק בכספי הפרישה מהצבא, עזב ב-1986, והתביעות הוגשו ב-1989. השיתוף הסתיים ב-1986. שווי החברה כולל צפי רווחים, ולכן היא קיבלה גם "חלק מהעץ". "הסדר הקושר את בני הזוג אחרי פרידתם אינו רצוי".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ויצמן</w:t>
      </w:r>
      <w:r>
        <w:rPr>
          <w:rFonts w:ascii="Arial" w:hAnsi="Arial" w:cs="Arial" w:eastAsia="Arial"/>
          <w:color w:val="1F2430"/>
          <w:sz w:val="19"/>
          <w:szCs w:val="19"/>
          <w:rtl/>
        </w:rPr>
        <w:t xml:space="preserve"> → אחרי גירושין רמת החיים של גברים עולה ב-30%-40%, ושל נשים יורדת בכ-70%. ההסבר: כושר ההשתכרות אינו מחולק.</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פלוני (בע"מ 4623/04)</w:t>
      </w:r>
      <w:r>
        <w:rPr>
          <w:rFonts w:ascii="Arial" w:hAnsi="Arial" w:cs="Arial" w:eastAsia="Arial"/>
          <w:color w:val="1F2430"/>
          <w:sz w:val="19"/>
          <w:szCs w:val="19"/>
          <w:rtl/>
        </w:rPr>
        <w:t xml:space="preserve"> → רואה חשבון, נישאו ב-1971. הערכאות הדיוניות פסקו 3,000 ש"ח לחודש. העליון: "נכסי קריירה... פרי השילוב בין מקורות שונים", ויש לאזן את </w:t>
      </w:r>
      <w:r>
        <w:rPr>
          <w:rFonts w:ascii="Arial" w:hAnsi="Arial" w:cs="Arial" w:eastAsia="Arial"/>
          <w:color w:val="1F2430"/>
          <w:sz w:val="19"/>
          <w:szCs w:val="19"/>
          <w:highlight w:val="yellow"/>
          <w:rtl/>
        </w:rPr>
        <w:t>הפער שנוצר בעקבות הנישואין</w:t>
      </w:r>
      <w:r>
        <w:rPr>
          <w:rFonts w:ascii="Arial" w:hAnsi="Arial" w:cs="Arial" w:eastAsia="Arial"/>
          <w:color w:val="1F2430"/>
          <w:sz w:val="19"/>
          <w:szCs w:val="19"/>
          <w:rtl/>
        </w:rPr>
        <w:t xml:space="preserve">. עדיף </w:t>
      </w:r>
      <w:r>
        <w:rPr>
          <w:rFonts w:ascii="Arial" w:hAnsi="Arial" w:cs="Arial" w:eastAsia="Arial"/>
          <w:color w:val="1F2430"/>
          <w:sz w:val="19"/>
          <w:szCs w:val="19"/>
          <w:highlight w:val="yellow"/>
          <w:rtl/>
        </w:rPr>
        <w:t>תשלום חד-פעמי</w:t>
      </w:r>
      <w:r>
        <w:rPr>
          <w:rFonts w:ascii="Arial" w:hAnsi="Arial" w:cs="Arial" w:eastAsia="Arial"/>
          <w:color w:val="1F2430"/>
          <w:sz w:val="19"/>
          <w:szCs w:val="19"/>
          <w:rtl/>
        </w:rPr>
        <w:t xml:space="preserve"> - 250 אלף ש"ח (מתוך הערכה של 700 אלף), בשלבים.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כושר השתכרות הוא </w:t>
      </w:r>
      <w:r>
        <w:rPr>
          <w:rFonts w:ascii="Arial" w:hAnsi="Arial" w:cs="Arial" w:eastAsia="Arial"/>
          <w:color w:val="1F2430"/>
          <w:sz w:val="19"/>
          <w:szCs w:val="19"/>
          <w:highlight w:val="yellow"/>
          <w:rtl/>
        </w:rPr>
        <w:t>נכס פנימי</w:t>
      </w:r>
      <w:r>
        <w:rPr>
          <w:rFonts w:ascii="Arial" w:hAnsi="Arial" w:cs="Arial" w:eastAsia="Arial"/>
          <w:color w:val="1F2430"/>
          <w:sz w:val="19"/>
          <w:szCs w:val="19"/>
          <w:rtl/>
        </w:rPr>
        <w:t>. יוצאים ממנו רק בהסכם ממון. הרבני מצמצם ("שעבוד הגוף"). בחוק יחסי ממון - סעיף 8(2), פרק 12.</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צד ג' - בן צבי נ' סיטין (ע"א 3002/93)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המקרקעין - סעיף 9 (עסקאות נוגדות)</w:t>
            </w:r>
          </w:p>
          <w:p>
            <w:pPr>
              <w:bidi/>
              <w:spacing w:before="0" w:after="60" w:line="300" w:lineRule="auto"/>
              <w:jc w:val="both"/>
            </w:pPr>
            <w:r>
              <w:rPr>
                <w:rFonts w:ascii="Arial" w:hAnsi="Arial" w:cs="Arial" w:eastAsia="Arial"/>
                <w:color w:val="1F2430"/>
                <w:sz w:val="18"/>
                <w:szCs w:val="18"/>
                <w:rtl/>
              </w:rPr>
              <w:t xml:space="preserve">הראשון בזמן עדיף; השני גובר רק אם פעל </w:t>
            </w:r>
            <w:r>
              <w:rPr>
                <w:rFonts w:ascii="Arial" w:hAnsi="Arial" w:cs="Arial" w:eastAsia="Arial"/>
                <w:color w:val="1F2430"/>
                <w:sz w:val="18"/>
                <w:szCs w:val="18"/>
                <w:highlight w:val="yellow"/>
                <w:rtl/>
              </w:rPr>
              <w:t>בתום לב + בתמורה + נרשם בעודו בתום לב</w:t>
            </w:r>
            <w:r>
              <w:rPr>
                <w:rFonts w:ascii="Arial" w:hAnsi="Arial" w:cs="Arial" w:eastAsia="Arial"/>
                <w:color w:val="1F2430"/>
                <w:sz w:val="18"/>
                <w:szCs w:val="18"/>
                <w:rtl/>
              </w:rPr>
              <w:t>.</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עובדות: נישאו ב-1969, הדירה על שם הבעל. ב-1986 התחייב למשכנתא לנושה פרטי, וב-1987 התחייב בהסכם הגירושין לתת לאישה את כל הדירה.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highlight w:val="yellow"/>
          <w:rtl/>
        </w:rPr>
        <w:t>הנטל להוכיח תום לב על הנושה</w:t>
      </w:r>
      <w:r>
        <w:rPr>
          <w:rFonts w:ascii="Arial" w:hAnsi="Arial" w:cs="Arial" w:eastAsia="Arial"/>
          <w:color w:val="1F2430"/>
          <w:sz w:val="19"/>
          <w:szCs w:val="19"/>
          <w:rtl/>
        </w:rPr>
        <w:t>. אסור לעצום עיניים. שמגר: בדירת מגורים שגר בה בן זוג "מתהפכת ההנחה" וצריך לבדוק מעבר לטאבו. החובה חלה גם על נושה פרטי.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שרשרת העדיפויות:</w:t>
      </w:r>
      <w:r>
        <w:rPr>
          <w:rFonts w:ascii="Arial" w:hAnsi="Arial" w:cs="Arial" w:eastAsia="Arial"/>
          <w:color w:val="1F2430"/>
          <w:sz w:val="19"/>
          <w:szCs w:val="19"/>
          <w:rtl/>
        </w:rPr>
        <w:t xml:space="preserve"> זכות מהלכת השיתוף (מחצית ראשונה) &gt; המשכנתא של הנושה &gt; זכות מהסכם הגירושין (מחצית שנייה).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חוב: מי שנהנה מהפירות נושא בחובות, אבל לא הוכח שההלוואה שימשה את המשפחה, ולכן </w:t>
      </w:r>
      <w:r>
        <w:rPr>
          <w:rFonts w:ascii="Arial" w:hAnsi="Arial" w:cs="Arial" w:eastAsia="Arial"/>
          <w:color w:val="1F2430"/>
          <w:sz w:val="19"/>
          <w:szCs w:val="19"/>
          <w:highlight w:val="yellow"/>
          <w:rtl/>
        </w:rPr>
        <w:t>לא כל חוב משותף אוטומטית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תוצאה מעשית: מחתימים את בן הזוג על כל עסקה. טופס הבנק (4306/12) הוא ויתור "</w:t>
      </w:r>
      <w:r>
        <w:rPr>
          <w:rFonts w:ascii="Arial" w:hAnsi="Arial" w:cs="Arial" w:eastAsia="Arial"/>
          <w:color w:val="1F2430"/>
          <w:sz w:val="19"/>
          <w:szCs w:val="19"/>
          <w:highlight w:val="yellow"/>
          <w:rtl/>
        </w:rPr>
        <w:t>כלפיכם</w:t>
      </w:r>
      <w:r>
        <w:rPr>
          <w:rFonts w:ascii="Arial" w:hAnsi="Arial" w:cs="Arial" w:eastAsia="Arial"/>
          <w:color w:val="1F2430"/>
          <w:sz w:val="19"/>
          <w:szCs w:val="19"/>
          <w:rtl/>
        </w:rPr>
        <w:t>" בלבד ולא כלפי בן הזוג.</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חובות - שלם (רע"א 8791/00, 2006)</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עובדות: נישאו ב-1970, הדירה נקנתה ב-1990 על שם הבעל. הצ'קים של עסק הצעצועים חזרו, והדירה עוקלה.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ערכאות קודמות: האישה זכאית למחצית, אבל שותפה גם בחובות (חוץ מחוב בגין נכס חיצוני והוצאות על מאהבת).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ברק:</w:t>
      </w:r>
    </w:p>
    <w:tbl>
      <w:tblPr>
        <w:tblW w:type="dxa" w:w="10206"/>
        <w:jc w:val="center"/>
        <w:tblLook w:firstColumn="1" w:firstRow="1" w:lastColumn="0" w:lastRow="0" w:noHBand="0" w:noVBand="1" w:val="04A0"/>
        <w:bidiVisual/>
        <w:tblLayout w:type="fixed"/>
      </w:tblPr>
      <w:tblGrid>
        <w:gridCol w:w="4733"/>
        <w:gridCol w:w="3106"/>
        <w:gridCol w:w="2366"/>
      </w:tblGrid>
      <w:tr>
        <w:trPr>
          <w:tblHeader/>
        </w:trPr>
        <w:tc>
          <w:tcPr>
            <w:tcW w:type="dxa" w:w="4733"/>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w:t>
            </w:r>
          </w:p>
        </w:tc>
        <w:tc>
          <w:tcPr>
            <w:tcW w:type="dxa" w:w="3106"/>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השיתוף</w:t>
            </w:r>
          </w:p>
        </w:tc>
        <w:tc>
          <w:tcPr>
            <w:tcW w:type="dxa" w:w="2366"/>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חובות</w:t>
            </w:r>
          </w:p>
        </w:tc>
      </w:tr>
      <w:tr>
        <w:trPr>
          <w:cantSplit/>
        </w:trPr>
        <w:tc>
          <w:tcPr>
            <w:tcW w:type="dxa" w:w="473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משפחתי מובהק (דירה, רכב, רהיטים)</w:t>
            </w:r>
          </w:p>
        </w:tc>
        <w:tc>
          <w:tcPr>
            <w:tcW w:type="dxa" w:w="310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מיידי וקנייני</w:t>
            </w:r>
          </w:p>
        </w:tc>
        <w:tc>
          <w:tcPr>
            <w:tcW w:type="dxa" w:w="236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משותפים מיד</w:t>
            </w:r>
          </w:p>
        </w:tc>
      </w:tr>
      <w:tr>
        <w:trPr>
          <w:cantSplit/>
        </w:trPr>
        <w:tc>
          <w:tcPr>
            <w:tcW w:type="dxa" w:w="473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עסקי</w:t>
            </w:r>
          </w:p>
        </w:tc>
        <w:tc>
          <w:tcPr>
            <w:tcW w:type="dxa" w:w="310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highlight w:val="yellow"/>
                <w:rtl/>
              </w:rPr>
              <w:t>דחוי למועד הקריטי</w:t>
            </w:r>
          </w:p>
        </w:tc>
        <w:tc>
          <w:tcPr>
            <w:tcW w:type="dxa" w:w="236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לא משותפים עד אז</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המועד הקריטי:</w:t>
      </w:r>
      <w:r>
        <w:rPr>
          <w:rFonts w:ascii="Arial" w:hAnsi="Arial" w:cs="Arial" w:eastAsia="Arial"/>
          <w:color w:val="1F2430"/>
          <w:sz w:val="19"/>
          <w:szCs w:val="19"/>
          <w:rtl/>
        </w:rPr>
        <w:t xml:space="preserve"> מוות, משבר או פירוד חמור, (לפי המקראה) פשיטת רגל.</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שתי מטרות:</w:t>
      </w:r>
      <w:r>
        <w:rPr>
          <w:rFonts w:ascii="Arial" w:hAnsi="Arial" w:cs="Arial" w:eastAsia="Arial"/>
          <w:color w:val="1F2430"/>
          <w:sz w:val="19"/>
          <w:szCs w:val="19"/>
          <w:rtl/>
        </w:rPr>
        <w:t xml:space="preserve"> הגנה על בן הזוג החלש + הגנה על השוק (אין צורך להחתים את בן הזוג על עסקאות העסק).</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זכות האישה בדירה היא "</w:t>
      </w:r>
      <w:r>
        <w:rPr>
          <w:rFonts w:ascii="Arial" w:hAnsi="Arial" w:cs="Arial" w:eastAsia="Arial"/>
          <w:color w:val="1F2430"/>
          <w:sz w:val="19"/>
          <w:szCs w:val="19"/>
          <w:highlight w:val="yellow"/>
          <w:rtl/>
        </w:rPr>
        <w:t>קניין שביושר</w:t>
      </w:r>
      <w:r>
        <w:rPr>
          <w:rFonts w:ascii="Arial" w:hAnsi="Arial" w:cs="Arial" w:eastAsia="Arial"/>
          <w:color w:val="1F2430"/>
          <w:sz w:val="19"/>
          <w:szCs w:val="19"/>
          <w:rtl/>
        </w:rPr>
        <w:t>".</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עץ החלטה - שאלת רכוש בהלכת השיתוף</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color w:val="1F2430"/>
          <w:sz w:val="19"/>
          <w:szCs w:val="19"/>
          <w:rtl/>
        </w:rPr>
        <w:t>מתי נישאו? לפני 1.1.1974 → הלכת השיתוף. ידועים בציבור → הלכת השיתוף, בכפוף להוכחה. מ-1974 → חוק יחסי ממון (פרק 12).</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color w:val="1F2430"/>
          <w:sz w:val="19"/>
          <w:szCs w:val="19"/>
          <w:rtl/>
        </w:rPr>
        <w:t>באיזו ערכאה? גם ברבני חל הדין האזרחי (בבלי). דין דתי רק בהסכמה מפורשת (13(ב)).</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3. </w:t>
      </w:r>
      <w:r>
        <w:tab/>
      </w:r>
      <w:r>
        <w:rPr>
          <w:rFonts w:ascii="Arial" w:hAnsi="Arial" w:cs="Arial" w:eastAsia="Arial"/>
          <w:color w:val="1F2430"/>
          <w:sz w:val="19"/>
          <w:szCs w:val="19"/>
          <w:rtl/>
        </w:rPr>
        <w:t>האם הנכס פנימי או חיצוני (לפי מקור המימון)?</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4. </w:t>
      </w:r>
      <w:r>
        <w:tab/>
      </w:r>
      <w:r>
        <w:rPr>
          <w:rFonts w:ascii="Arial" w:hAnsi="Arial" w:cs="Arial" w:eastAsia="Arial"/>
          <w:color w:val="1F2430"/>
          <w:sz w:val="19"/>
          <w:szCs w:val="19"/>
          <w:rtl/>
        </w:rPr>
        <w:t>פנימי → משותף. הנטל על השולל, ורק הסכם ממון יכול לשלול. טיב היחסים ובגידה לא רלוונטיים.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5. </w:t>
      </w:r>
      <w:r>
        <w:tab/>
      </w:r>
      <w:r>
        <w:rPr>
          <w:rFonts w:ascii="Arial" w:hAnsi="Arial" w:cs="Arial" w:eastAsia="Arial"/>
          <w:color w:val="1F2430"/>
          <w:sz w:val="19"/>
          <w:szCs w:val="19"/>
          <w:rtl/>
        </w:rPr>
        <w:t>חיצוני → הנטל על המבקש: ארבעת הפרמטרים; האם נרשם על שם שניהם; האם יש שבח ממאמץ.</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6. </w:t>
      </w:r>
      <w:r>
        <w:tab/>
      </w:r>
      <w:r>
        <w:rPr>
          <w:rFonts w:ascii="Arial" w:hAnsi="Arial" w:cs="Arial" w:eastAsia="Arial"/>
          <w:color w:val="1F2430"/>
          <w:sz w:val="19"/>
          <w:szCs w:val="19"/>
          <w:rtl/>
        </w:rPr>
        <w:t>משפחתי או עסקי? עסקי → השיתוף דחוי למועד הקריטי (שלם).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7. </w:t>
      </w:r>
      <w:r>
        <w:tab/>
      </w:r>
      <w:r>
        <w:rPr>
          <w:rFonts w:ascii="Arial" w:hAnsi="Arial" w:cs="Arial" w:eastAsia="Arial"/>
          <w:color w:val="1F2430"/>
          <w:sz w:val="19"/>
          <w:szCs w:val="19"/>
          <w:rtl/>
        </w:rPr>
        <w:t>עד מתי? המוקדם מבין התביעה לעזיבה (לידאי, חסל).</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8. </w:t>
      </w:r>
      <w:r>
        <w:tab/>
      </w:r>
      <w:r>
        <w:rPr>
          <w:rFonts w:ascii="Arial" w:hAnsi="Arial" w:cs="Arial" w:eastAsia="Arial"/>
          <w:color w:val="1F2430"/>
          <w:sz w:val="19"/>
          <w:szCs w:val="19"/>
          <w:rtl/>
        </w:rPr>
        <w:t>יש צד ג'? → סעיף 9 ותום לב (סיטין). חובות → שלם.</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מלכודות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"הדירה רשומה על שם הבעל ולכן היא שלו" - לא נכון. בהלכת השיתוף הרישום אינו מכריע.</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"מריבות, חשבונות נפרדים או בגידה מבטלים את השיתוף" - לא בנכס פנימי.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"השיתוף נוצר רק בגירושין" - לא נכון. בנכס משפחתי הוא קיים מרגע הרכישה, ורק בעסקי הוא נדחה.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לא לבלבל: סיטין עוסק בצד ג' ובתום לב, ושלם עוסק בחובות ובמועד הקריטי.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דירה שנייה להשקעה אינה נכס משפחתי מובהק. בזוג שחי בטוב הבנק יכול לממש אותה בגלל חוב של הבעל.</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ידועים בציבור אינם נהנים מחזקה אוטומטית - הם צריכים להוכיח.</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הלכת השיתוף היא </w:t>
      </w:r>
      <w:r>
        <w:rPr>
          <w:rFonts w:ascii="Arial" w:hAnsi="Arial" w:cs="Arial" w:eastAsia="Arial"/>
          <w:color w:val="1F2430"/>
          <w:sz w:val="19"/>
          <w:szCs w:val="19"/>
          <w:highlight w:val="yellow"/>
          <w:rtl/>
        </w:rPr>
        <w:t>פסיקה</w:t>
      </w:r>
      <w:r>
        <w:rPr>
          <w:rFonts w:ascii="Arial" w:hAnsi="Arial" w:cs="Arial" w:eastAsia="Arial"/>
          <w:color w:val="1F2430"/>
          <w:sz w:val="19"/>
          <w:szCs w:val="19"/>
          <w:rtl/>
        </w:rPr>
        <w:t>; חוק יחסי ממון חל רק מ-1.1.1974.</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קורת גג אחת מספיקה. מדג'ר: גם "תרומה שלילית" לא שוללת 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בבלי: "הלכת השיתוף היא דין בישראל", שוויון מהותי, סעיף 1 לחוק שיווי זכויות האישה.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פנימי: הנטל על השולל. חיצוני: הנטל על המבקש. </w:t>
      </w:r>
      <w:r>
        <w:rPr>
          <w:rFonts w:ascii="Arial" w:hAnsi="Arial" w:cs="Arial" w:eastAsia="Arial"/>
          <w:color w:val="1F2430"/>
          <w:sz w:val="19"/>
          <w:szCs w:val="19"/>
          <w:highlight w:val="yellow"/>
          <w:rtl/>
        </w:rPr>
        <w:t>הרמוניה רק בחיצוני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הדרי: דירת המגורים היא "גולת הכותרת". בריל: משבר לא שולל שיתוף בפנימי.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3395/00: בגידה מונעת שיתוף בנכס חיצוני בלבד.</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זיסרמן: מתנה בין בני זוג לא מתבטלת. 6037/18: חזקת מתנה בין קרובים. חשבון משותף - חלקים שווים.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בסיליאן: עסק פנימי משותף. לידאי: המוקדם מבין התביעה לעזיבה.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אורון: פיצויים ופנסיה משותפים. חסל: שווי עסק כולל עתיד. 4623/04: נכסי קריירה בתשלום חד-פעמי.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סיטין: סעיף 9, תום לב על הנושה, שרשרת העדיפויות.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שלם: משפחתי - מיידי; עסקי - מועד קריטי; זכות קניין שביושר.</w:t>
      </w:r>
    </w:p>
    <w:tbl>
      <w:tblPr>
        <w:tblW w:type="dxa" w:w="10206"/>
        <w:tblLook w:firstColumn="1" w:firstRow="1" w:lastColumn="0" w:lastRow="0" w:noHBand="0" w:noVBand="1" w:val="04A0"/>
        <w:bidiVisual/>
        <w:tblLayout w:type="fixed"/>
      </w:tblPr>
      <w:tblGrid>
        <w:gridCol w:w="10206"/>
      </w:tblGrid>
      <w:tr>
        <w:tc>
          <w:tcPr>
            <w:tcW w:type="dxa" w:w="10205"/>
            <w:shd w:val="clear" w:color="auto" w:fill="55741A"/>
            <w:tcBorders>
              <w:top w:val="single" w:sz="4" w:space="0" w:color="55741A"/>
              <w:left w:val="single" w:sz="4" w:space="0" w:color="55741A"/>
              <w:bottom w:val="single" w:sz="4" w:space="0" w:color="55741A"/>
              <w:right w:val="single" w:sz="4" w:space="0" w:color="55741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12</w:t>
            </w:r>
          </w:p>
          <w:p>
            <w:pPr>
              <w:bidi/>
              <w:spacing w:before="0" w:after="0" w:line="264" w:lineRule="auto"/>
              <w:outlineLvl w:val="0"/>
            </w:pPr>
            <w:r>
              <w:rPr>
                <w:rFonts w:ascii="Arial" w:hAnsi="Arial" w:cs="Arial" w:eastAsia="Arial"/>
                <w:b/>
                <w:bCs/>
                <w:color w:val="FFFFFF"/>
                <w:sz w:val="42"/>
                <w:szCs w:val="42"/>
                <w:rtl/>
              </w:rPr>
              <w:t>חוק יחסי ממון ואיזון משאבים</w:t>
            </w:r>
          </w:p>
        </w:tc>
      </w:tr>
    </w:tbl>
    <w:p>
      <w:pPr>
        <w:bidi/>
        <w:spacing w:after="0" w:before="0" w:line="20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תחולה ורקע</w:t>
      </w:r>
    </w:p>
    <w:tbl>
      <w:tblPr>
        <w:tblW w:type="dxa" w:w="10206"/>
        <w:jc w:val="center"/>
        <w:tblLook w:firstColumn="1" w:firstRow="1" w:lastColumn="0" w:lastRow="0" w:noHBand="0" w:noVBand="1" w:val="04A0"/>
        <w:bidiVisual/>
        <w:tblLayout w:type="fixed"/>
      </w:tblPr>
      <w:tblGrid>
        <w:gridCol w:w="1288"/>
        <w:gridCol w:w="5116"/>
        <w:gridCol w:w="3800"/>
      </w:tblGrid>
      <w:tr>
        <w:trPr>
          <w:tblHeader/>
        </w:trPr>
        <w:tc>
          <w:tcPr>
            <w:tcW w:type="dxa" w:w="128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p>
        </w:tc>
        <w:tc>
          <w:tcPr>
            <w:tcW w:type="dxa" w:w="5116"/>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3800"/>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איזון משאבים</w:t>
            </w:r>
          </w:p>
        </w:tc>
      </w:tr>
      <w:tr>
        <w:trPr>
          <w:cantSplit/>
        </w:trPr>
        <w:tc>
          <w:tcPr>
            <w:tcW w:type="dxa" w:w="128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511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w:t>
            </w:r>
          </w:p>
        </w:tc>
        <w:tc>
          <w:tcPr>
            <w:tcW w:type="dxa" w:w="380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יחסי ממון, התשל"ג-1973</w:t>
            </w:r>
          </w:p>
        </w:tc>
      </w:tr>
      <w:tr>
        <w:trPr>
          <w:cantSplit/>
        </w:trPr>
        <w:tc>
          <w:tcPr>
            <w:tcW w:type="dxa" w:w="128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חל על</w:t>
            </w:r>
          </w:p>
        </w:tc>
        <w:tc>
          <w:tcPr>
            <w:tcW w:type="dxa" w:w="511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נישאו לפני 1.1.1974, וידועים בציבור</w:t>
            </w:r>
          </w:p>
        </w:tc>
        <w:tc>
          <w:tcPr>
            <w:tcW w:type="dxa" w:w="380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נישאו מ-1.1.1974 ואילך</w:t>
            </w:r>
          </w:p>
        </w:tc>
      </w:tr>
      <w:tr>
        <w:trPr>
          <w:cantSplit/>
        </w:trPr>
        <w:tc>
          <w:tcPr>
            <w:tcW w:type="dxa" w:w="128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המבחן</w:t>
            </w:r>
          </w:p>
        </w:tc>
        <w:tc>
          <w:tcPr>
            <w:tcW w:type="dxa" w:w="511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מועד הנישואין, לא הגירושין</w:t>
            </w:r>
          </w:p>
        </w:tc>
        <w:tc>
          <w:tcPr>
            <w:tcW w:type="dxa" w:w="380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מועד הנישואין, לא הגירושין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הרקע:</w:t>
      </w:r>
      <w:r>
        <w:rPr>
          <w:rFonts w:ascii="Arial" w:hAnsi="Arial" w:cs="Arial" w:eastAsia="Arial"/>
          <w:color w:val="1F2430"/>
          <w:sz w:val="19"/>
          <w:szCs w:val="19"/>
          <w:rtl/>
        </w:rPr>
        <w:t xml:space="preserve"> הלכת השיתוף יצרה </w:t>
      </w:r>
      <w:r>
        <w:rPr>
          <w:rFonts w:ascii="Arial" w:hAnsi="Arial" w:cs="Arial" w:eastAsia="Arial"/>
          <w:color w:val="1F2430"/>
          <w:sz w:val="19"/>
          <w:szCs w:val="19"/>
          <w:highlight w:val="yellow"/>
          <w:rtl/>
        </w:rPr>
        <w:t>זכויות סמויות בנכס</w:t>
      </w:r>
      <w:r>
        <w:rPr>
          <w:rFonts w:ascii="Arial" w:hAnsi="Arial" w:cs="Arial" w:eastAsia="Arial"/>
          <w:color w:val="1F2430"/>
          <w:sz w:val="19"/>
          <w:szCs w:val="19"/>
          <w:rtl/>
        </w:rPr>
        <w:t xml:space="preserve"> שפגעו בשוק ובצד שלישי (בן צבי נ' סיטין, פרק 11). ועדת זוסמן (1965) המליצה על חוק, והוא נכנס לתוקף ב-1974.</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שני פרקים:</w:t>
      </w:r>
      <w:r>
        <w:rPr>
          <w:rFonts w:ascii="Arial" w:hAnsi="Arial" w:cs="Arial" w:eastAsia="Arial"/>
          <w:color w:val="1F2430"/>
          <w:sz w:val="19"/>
          <w:szCs w:val="19"/>
          <w:rtl/>
        </w:rPr>
        <w:t xml:space="preserve"> פרק א' (הסכמי ממון, ס' 1–2) חל על כולם (פרק 13). פרק ב' (איזון) חל רק על מי שנישאו אחרי תחילת החוק (</w:t>
      </w:r>
      <w:r>
        <w:rPr>
          <w:rFonts w:ascii="Arial" w:hAnsi="Arial" w:cs="Arial" w:eastAsia="Arial"/>
          <w:b/>
          <w:bCs/>
          <w:color w:val="1F2430"/>
          <w:sz w:val="19"/>
          <w:szCs w:val="19"/>
          <w:rtl/>
        </w:rPr>
        <w:t>ס' 14</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15:</w:t>
      </w:r>
      <w:r>
        <w:rPr>
          <w:rFonts w:ascii="Arial" w:hAnsi="Arial" w:cs="Arial" w:eastAsia="Arial"/>
          <w:color w:val="1F2430"/>
          <w:sz w:val="19"/>
          <w:szCs w:val="19"/>
          <w:rtl/>
        </w:rPr>
        <w:t xml:space="preserve"> נישאו בחו"ל, חל דין מקום מושבם בעת הנישואין. אבל אם נישאו לפני 1974, חלה הלכת השיתוף.</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חל גם על נישואין אזרחיים. </w:t>
      </w:r>
      <w:r>
        <w:rPr>
          <w:rFonts w:ascii="Arial" w:hAnsi="Arial" w:cs="Arial" w:eastAsia="Arial"/>
          <w:b/>
          <w:bCs/>
          <w:color w:val="1F2430"/>
          <w:sz w:val="19"/>
          <w:szCs w:val="19"/>
          <w:rtl/>
        </w:rPr>
        <w:t>לא</w:t>
      </w:r>
      <w:r>
        <w:rPr>
          <w:rFonts w:ascii="Arial" w:hAnsi="Arial" w:cs="Arial" w:eastAsia="Arial"/>
          <w:color w:val="1F2430"/>
          <w:sz w:val="19"/>
          <w:szCs w:val="19"/>
          <w:rtl/>
        </w:rPr>
        <w:t xml:space="preserve"> חל על ידועים בציבור.</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עקרונות היסוד: סעיפים 3–5</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3(א):</w:t>
      </w:r>
      <w:r>
        <w:rPr>
          <w:rFonts w:ascii="Arial" w:hAnsi="Arial" w:cs="Arial" w:eastAsia="Arial"/>
          <w:color w:val="1F2430"/>
          <w:sz w:val="19"/>
          <w:szCs w:val="19"/>
          <w:rtl/>
        </w:rPr>
        <w:t xml:space="preserve"> אין הסכם ממון (או שההסכם שותק), ולכן רואים את בני הזוג כמי שהסכימו להסדר איזון המשאבים, כאילו נקבע בהסכם ממון תקף.</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4 (הפרדה):</w:t>
      </w:r>
      <w:r>
        <w:rPr>
          <w:rFonts w:ascii="Arial" w:hAnsi="Arial" w:cs="Arial" w:eastAsia="Arial"/>
          <w:color w:val="1F2430"/>
          <w:sz w:val="19"/>
          <w:szCs w:val="19"/>
          <w:rtl/>
        </w:rPr>
        <w:t xml:space="preserve"> "אין בכריתת הנישואין או בקיומם כשלעצמם כדי לפגוע בקנינים... להקנות... זכויות בנכסי השני או להטיל עליו אחריות לחובות השני". שתי יחידות כלכליות נפרדות, </w:t>
      </w:r>
      <w:r>
        <w:rPr>
          <w:rFonts w:ascii="Arial" w:hAnsi="Arial" w:cs="Arial" w:eastAsia="Arial"/>
          <w:color w:val="1F2430"/>
          <w:sz w:val="19"/>
          <w:szCs w:val="19"/>
          <w:highlight w:val="yellow"/>
          <w:rtl/>
        </w:rPr>
        <w:t>גם בנכסים פנימיים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5(א):</w:t>
      </w:r>
      <w:r>
        <w:rPr>
          <w:rFonts w:ascii="Arial" w:hAnsi="Arial" w:cs="Arial" w:eastAsia="Arial"/>
          <w:color w:val="1F2430"/>
          <w:sz w:val="19"/>
          <w:szCs w:val="19"/>
          <w:rtl/>
        </w:rPr>
        <w:t xml:space="preserve"> בפקיעת הנישואין (גירושין או מוות) כל אחד זכאי ל</w:t>
      </w:r>
      <w:r>
        <w:rPr>
          <w:rFonts w:ascii="Arial" w:hAnsi="Arial" w:cs="Arial" w:eastAsia="Arial"/>
          <w:color w:val="1F2430"/>
          <w:sz w:val="19"/>
          <w:szCs w:val="19"/>
          <w:highlight w:val="yellow"/>
          <w:rtl/>
        </w:rPr>
        <w:t>מחצית שווי</w:t>
      </w:r>
      <w:r>
        <w:rPr>
          <w:rFonts w:ascii="Arial" w:hAnsi="Arial" w:cs="Arial" w:eastAsia="Arial"/>
          <w:color w:val="1F2430"/>
          <w:sz w:val="19"/>
          <w:szCs w:val="19"/>
          <w:rtl/>
        </w:rPr>
        <w:t xml:space="preserve"> כלל הנכסים. השיתוף </w:t>
      </w:r>
      <w:r>
        <w:rPr>
          <w:rFonts w:ascii="Arial" w:hAnsi="Arial" w:cs="Arial" w:eastAsia="Arial"/>
          <w:b/>
          <w:bCs/>
          <w:color w:val="1F2430"/>
          <w:sz w:val="19"/>
          <w:szCs w:val="19"/>
          <w:rtl/>
        </w:rPr>
        <w:t>דחוי</w:t>
      </w:r>
      <w:r>
        <w:rPr>
          <w:rFonts w:ascii="Arial" w:hAnsi="Arial" w:cs="Arial" w:eastAsia="Arial"/>
          <w:color w:val="1F2430"/>
          <w:sz w:val="19"/>
          <w:szCs w:val="19"/>
          <w:rtl/>
        </w:rPr>
        <w:t xml:space="preserve"> (רק בסוף) ו</w:t>
      </w:r>
      <w:r>
        <w:rPr>
          <w:rFonts w:ascii="Arial" w:hAnsi="Arial" w:cs="Arial" w:eastAsia="Arial"/>
          <w:b/>
          <w:bCs/>
          <w:color w:val="1F2430"/>
          <w:sz w:val="19"/>
          <w:szCs w:val="19"/>
          <w:rtl/>
        </w:rPr>
        <w:t>אובליגטורי</w:t>
      </w:r>
      <w:r>
        <w:rPr>
          <w:rFonts w:ascii="Arial" w:hAnsi="Arial" w:cs="Arial" w:eastAsia="Arial"/>
          <w:color w:val="1F2430"/>
          <w:sz w:val="19"/>
          <w:szCs w:val="19"/>
          <w:rtl/>
        </w:rPr>
        <w:t xml:space="preserve"> (שווי בכסף, לא "חצי דירה").</w:t>
      </w:r>
    </w:p>
    <w:tbl>
      <w:tblPr>
        <w:tblW w:type="dxa" w:w="10206"/>
        <w:jc w:val="center"/>
        <w:tblLook w:firstColumn="1" w:firstRow="1" w:lastColumn="0" w:lastRow="0" w:noHBand="0" w:noVBand="1" w:val="04A0"/>
        <w:bidiVisual/>
        <w:tblLayout w:type="fixed"/>
      </w:tblPr>
      <w:tblGrid>
        <w:gridCol w:w="2454"/>
        <w:gridCol w:w="7751"/>
      </w:tblGrid>
      <w:tr>
        <w:trPr>
          <w:tblHeader/>
        </w:trPr>
        <w:tc>
          <w:tcPr>
            <w:tcW w:type="dxa" w:w="2454"/>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חריג בס' 5(א)</w:t>
            </w:r>
          </w:p>
        </w:tc>
        <w:tc>
          <w:tcPr>
            <w:tcW w:type="dxa" w:w="7750"/>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r>
      <w:tr>
        <w:trPr>
          <w:cantSplit/>
        </w:trPr>
        <w:tc>
          <w:tcPr>
            <w:tcW w:type="dxa" w:w="245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 נכס חיצוני</w:t>
            </w:r>
          </w:p>
        </w:tc>
        <w:tc>
          <w:tcPr>
            <w:tcW w:type="dxa" w:w="775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היה ערב הנישואין, או מתנה או ירושה בתקופת הנישואין</w:t>
            </w:r>
          </w:p>
        </w:tc>
      </w:tr>
      <w:tr>
        <w:trPr>
          <w:cantSplit/>
        </w:trPr>
        <w:tc>
          <w:tcPr>
            <w:tcW w:type="dxa" w:w="245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(2) גמלאות ופיצויים</w:t>
            </w:r>
          </w:p>
        </w:tc>
        <w:tc>
          <w:tcPr>
            <w:tcW w:type="dxa" w:w="775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ביטוח לאומי; גמלה או פיצוי בשל נזק גוף או מוות (אובדן כושר השתכרות משותף; כאב וסבל אינו משותף)</w:t>
            </w:r>
          </w:p>
        </w:tc>
      </w:tr>
      <w:tr>
        <w:trPr>
          <w:cantSplit/>
        </w:trPr>
        <w:tc>
          <w:tcPr>
            <w:tcW w:type="dxa" w:w="245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 הסכמה בכתב</w:t>
            </w:r>
          </w:p>
        </w:tc>
        <w:tc>
          <w:tcPr>
            <w:tcW w:type="dxa" w:w="775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נכסים שהוסכם בכתב שלא יאוזנו (בלי אישור שופט)</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5(ג) (2008):</w:t>
      </w:r>
      <w:r>
        <w:rPr>
          <w:rFonts w:ascii="Arial" w:hAnsi="Arial" w:cs="Arial" w:eastAsia="Arial"/>
          <w:color w:val="1F2430"/>
          <w:sz w:val="19"/>
          <w:szCs w:val="19"/>
          <w:rtl/>
        </w:rPr>
        <w:t xml:space="preserve"> "כלל נכסי בני זוג" כולל </w:t>
      </w:r>
      <w:r>
        <w:rPr>
          <w:rFonts w:ascii="Arial" w:hAnsi="Arial" w:cs="Arial" w:eastAsia="Arial"/>
          <w:color w:val="1F2430"/>
          <w:sz w:val="19"/>
          <w:szCs w:val="19"/>
          <w:highlight w:val="yellow"/>
          <w:rtl/>
        </w:rPr>
        <w:t>זכויות עתידיות לפנסיה, פיצויי פרישה, קרנות השתלמות, קופות תגמולים וחסכונות</w:t>
      </w:r>
      <w:r>
        <w:rPr>
          <w:rFonts w:ascii="Arial" w:hAnsi="Arial" w:cs="Arial" w:eastAsia="Arial"/>
          <w:color w:val="1F2430"/>
          <w:sz w:val="19"/>
          <w:szCs w:val="19"/>
          <w:rtl/>
        </w:rPr>
        <w:t>. כך עוגנו הלכות לידאי, בסיליאן ואורון.</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מוניטין וכושר השתכרות</w:t>
      </w:r>
      <w:r>
        <w:rPr>
          <w:rFonts w:ascii="Arial" w:hAnsi="Arial" w:cs="Arial" w:eastAsia="Arial"/>
          <w:color w:val="1F2430"/>
          <w:sz w:val="19"/>
          <w:szCs w:val="19"/>
          <w:rtl/>
        </w:rPr>
        <w:t xml:space="preserve"> אינם מוזכרים. שתי גישות: </w:t>
      </w:r>
      <w:r>
        <w:rPr>
          <w:rFonts w:ascii="Arial" w:hAnsi="Arial" w:cs="Arial" w:eastAsia="Arial"/>
          <w:b/>
          <w:bCs/>
          <w:color w:val="1F2430"/>
          <w:sz w:val="19"/>
          <w:szCs w:val="19"/>
          <w:rtl/>
        </w:rPr>
        <w:t>הסדר שלילי</w:t>
      </w:r>
      <w:r>
        <w:rPr>
          <w:rFonts w:ascii="Arial" w:hAnsi="Arial" w:cs="Arial" w:eastAsia="Arial"/>
          <w:color w:val="1F2430"/>
          <w:sz w:val="19"/>
          <w:szCs w:val="19"/>
          <w:rtl/>
        </w:rPr>
        <w:t xml:space="preserve"> (המחוקק לא רצה; מתחזק מכך שהזכיר כושר השתכרות בס' 8(2)) מול </w:t>
      </w:r>
      <w:r>
        <w:rPr>
          <w:rFonts w:ascii="Arial" w:hAnsi="Arial" w:cs="Arial" w:eastAsia="Arial"/>
          <w:b/>
          <w:bCs/>
          <w:color w:val="1F2430"/>
          <w:sz w:val="19"/>
          <w:szCs w:val="19"/>
          <w:rtl/>
        </w:rPr>
        <w:t>השמטה מקרית</w:t>
      </w:r>
      <w:r>
        <w:rPr>
          <w:rFonts w:ascii="Arial" w:hAnsi="Arial" w:cs="Arial" w:eastAsia="Arial"/>
          <w:color w:val="1F2430"/>
          <w:sz w:val="19"/>
          <w:szCs w:val="19"/>
          <w:rtl/>
        </w:rPr>
        <w:t xml:space="preserve"> (מחלקים). המחלוקת עדיין פתוחה.</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חישוב האיזון: סעיף 6 ותוספות</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color w:val="1F2430"/>
          <w:sz w:val="19"/>
          <w:szCs w:val="19"/>
          <w:rtl/>
        </w:rPr>
        <w:t>שמים את נכסי כל צד, בלי הנכסים שאין לאזן.</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color w:val="1F2430"/>
          <w:sz w:val="19"/>
          <w:szCs w:val="19"/>
          <w:rtl/>
        </w:rPr>
        <w:t>מנכים את חובותיו, למעט חובות הקשורים לנכסים שאין לאזן (</w:t>
      </w:r>
      <w:r>
        <w:rPr>
          <w:rFonts w:ascii="Arial" w:hAnsi="Arial" w:cs="Arial" w:eastAsia="Arial"/>
          <w:b/>
          <w:bCs/>
          <w:color w:val="1F2430"/>
          <w:sz w:val="19"/>
          <w:szCs w:val="19"/>
          <w:rtl/>
        </w:rPr>
        <w:t>ס' 6(א)</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3. </w:t>
      </w:r>
      <w:r>
        <w:tab/>
      </w:r>
      <w:r>
        <w:rPr>
          <w:rFonts w:ascii="Arial" w:hAnsi="Arial" w:cs="Arial" w:eastAsia="Arial"/>
          <w:color w:val="1F2430"/>
          <w:sz w:val="19"/>
          <w:szCs w:val="19"/>
          <w:rtl/>
        </w:rPr>
        <w:t xml:space="preserve">בעל העודף נותן </w:t>
      </w:r>
      <w:r>
        <w:rPr>
          <w:rFonts w:ascii="Arial" w:hAnsi="Arial" w:cs="Arial" w:eastAsia="Arial"/>
          <w:color w:val="1F2430"/>
          <w:sz w:val="19"/>
          <w:szCs w:val="19"/>
          <w:highlight w:val="yellow"/>
          <w:rtl/>
        </w:rPr>
        <w:t>מחצית ההפרש</w:t>
      </w:r>
      <w:r>
        <w:rPr>
          <w:rFonts w:ascii="Arial" w:hAnsi="Arial" w:cs="Arial" w:eastAsia="Arial"/>
          <w:color w:val="1F2430"/>
          <w:sz w:val="19"/>
          <w:szCs w:val="19"/>
          <w:rtl/>
        </w:rPr>
        <w:t>, בעין, בכסף או בשווה כסף (</w:t>
      </w:r>
      <w:r>
        <w:rPr>
          <w:rFonts w:ascii="Arial" w:hAnsi="Arial" w:cs="Arial" w:eastAsia="Arial"/>
          <w:b/>
          <w:bCs/>
          <w:color w:val="1F2430"/>
          <w:sz w:val="19"/>
          <w:szCs w:val="19"/>
          <w:rtl/>
        </w:rPr>
        <w:t>ס' 6(ב)</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p>
          <w:p>
            <w:pPr>
              <w:bidi/>
              <w:spacing w:before="0" w:after="60" w:line="300" w:lineRule="auto"/>
              <w:jc w:val="both"/>
            </w:pPr>
            <w:r>
              <w:rPr>
                <w:rFonts w:ascii="Arial" w:hAnsi="Arial" w:cs="Arial" w:eastAsia="Arial"/>
                <w:color w:val="1F2430"/>
                <w:sz w:val="18"/>
                <w:szCs w:val="18"/>
                <w:rtl/>
              </w:rPr>
              <w:t>בעל 800,000 ש"ח נטו, אישה 400,000 ש"ח. ההפרש 400,000, ולכן הבעל מעביר 200,000 ש"ח וכל אחד נשאר עם 600,000. (דירה של 1,000,000 ש"ח עם משכנתא של 300,000 שווה 700,000 נטו.)</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9:</w:t>
      </w:r>
      <w:r>
        <w:rPr>
          <w:rFonts w:ascii="Arial" w:hAnsi="Arial" w:cs="Arial" w:eastAsia="Arial"/>
          <w:color w:val="1F2430"/>
          <w:sz w:val="19"/>
          <w:szCs w:val="19"/>
          <w:rtl/>
        </w:rPr>
        <w:t xml:space="preserve"> "אין ברישום לבדו" כדי לצאת ידי נטל ההוכחה.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6א (2008):</w:t>
      </w:r>
      <w:r>
        <w:rPr>
          <w:rFonts w:ascii="Arial" w:hAnsi="Arial" w:cs="Arial" w:eastAsia="Arial"/>
          <w:color w:val="1F2430"/>
          <w:sz w:val="19"/>
          <w:szCs w:val="19"/>
          <w:rtl/>
        </w:rPr>
        <w:t xml:space="preserve"> בעת איזון או פירוק שיתוף נדרשים ל</w:t>
      </w:r>
      <w:r>
        <w:rPr>
          <w:rFonts w:ascii="Arial" w:hAnsi="Arial" w:cs="Arial" w:eastAsia="Arial"/>
          <w:color w:val="1F2430"/>
          <w:sz w:val="19"/>
          <w:szCs w:val="19"/>
          <w:highlight w:val="yellow"/>
          <w:rtl/>
        </w:rPr>
        <w:t>מדור חלופי</w:t>
      </w:r>
      <w:r>
        <w:rPr>
          <w:rFonts w:ascii="Arial" w:hAnsi="Arial" w:cs="Arial" w:eastAsia="Arial"/>
          <w:color w:val="1F2430"/>
          <w:sz w:val="19"/>
          <w:szCs w:val="19"/>
          <w:rtl/>
        </w:rPr>
        <w:t xml:space="preserve"> להורה המחזיק ולילדים (וכן ס' 40א לחוק המקרקעין, 1995).</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קנייני מול אובליגטורי</w:t>
      </w:r>
    </w:p>
    <w:tbl>
      <w:tblPr>
        <w:tblW w:type="dxa" w:w="10206"/>
        <w:jc w:val="center"/>
        <w:tblLook w:firstColumn="1" w:firstRow="1" w:lastColumn="0" w:lastRow="0" w:noHBand="0" w:noVBand="1" w:val="04A0"/>
        <w:bidiVisual/>
        <w:tblLayout w:type="fixed"/>
      </w:tblPr>
      <w:tblGrid>
        <w:gridCol w:w="3429"/>
        <w:gridCol w:w="3848"/>
        <w:gridCol w:w="2927"/>
      </w:tblGrid>
      <w:tr>
        <w:trPr>
          <w:tblHeader/>
        </w:trPr>
        <w:tc>
          <w:tcPr>
            <w:tcW w:type="dxa" w:w="342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384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292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חוק יחסי ממון</w:t>
            </w:r>
          </w:p>
        </w:tc>
      </w:tr>
      <w:tr>
        <w:trPr>
          <w:cantSplit/>
        </w:trPr>
        <w:tc>
          <w:tcPr>
            <w:tcW w:type="dxa" w:w="342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דירה משפחתית נמכרה במהלך הנישואין</w:t>
            </w:r>
          </w:p>
        </w:tc>
        <w:tc>
          <w:tcPr>
            <w:tcW w:type="dxa" w:w="384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זכות קניינית, אפשר לתקוף (בכפוף לתום לב הקונה)</w:t>
            </w:r>
          </w:p>
        </w:tc>
        <w:tc>
          <w:tcPr>
            <w:tcW w:type="dxa" w:w="292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ביטול. תמורה קיימת נכללת באיזון</w:t>
            </w:r>
          </w:p>
        </w:tc>
      </w:tr>
      <w:tr>
        <w:trPr>
          <w:cantSplit/>
        </w:trPr>
        <w:tc>
          <w:tcPr>
            <w:tcW w:type="dxa" w:w="342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עסק נמכר לפני המועד הקריטי</w:t>
            </w:r>
          </w:p>
        </w:tc>
        <w:tc>
          <w:tcPr>
            <w:tcW w:type="dxa" w:w="384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השיתוף טרם התגבש (שלם)</w:t>
            </w:r>
          </w:p>
        </w:tc>
        <w:tc>
          <w:tcPr>
            <w:tcW w:type="dxa" w:w="292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תמורה קיימת נכללת באיזון</w:t>
            </w:r>
          </w:p>
        </w:tc>
      </w:tr>
      <w:tr>
        <w:trPr>
          <w:cantSplit/>
        </w:trPr>
        <w:tc>
          <w:tcPr>
            <w:tcW w:type="dxa" w:w="342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עסק קיים בגירושין</w:t>
            </w:r>
          </w:p>
        </w:tc>
        <w:tc>
          <w:tcPr>
            <w:tcW w:type="dxa" w:w="384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זכות קניינית עם ההתגבשות</w:t>
            </w:r>
          </w:p>
        </w:tc>
        <w:tc>
          <w:tcPr>
            <w:tcW w:type="dxa" w:w="292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מחצית השווי, לא בעלות</w:t>
            </w:r>
          </w:p>
        </w:tc>
      </w:tr>
      <w:tr>
        <w:trPr>
          <w:cantSplit/>
        </w:trPr>
        <w:tc>
          <w:tcPr>
            <w:tcW w:type="dxa" w:w="342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בנק מממש משכנתא על דירה שנייה (זוג מאושר)</w:t>
            </w:r>
          </w:p>
        </w:tc>
        <w:tc>
          <w:tcPr>
            <w:tcW w:type="dxa" w:w="384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מממש: אינו נכס משפחתי מובהק, ואין קרע</w:t>
            </w:r>
          </w:p>
        </w:tc>
        <w:tc>
          <w:tcPr>
            <w:tcW w:type="dxa" w:w="292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מממש: הזכות דחויה לפקיעת הנישואין</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סעיף 7: הברחת נכסים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נכס שהוצא (או שהתחייבו להוציאו) </w:t>
      </w:r>
      <w:r>
        <w:rPr>
          <w:rFonts w:ascii="Arial" w:hAnsi="Arial" w:cs="Arial" w:eastAsia="Arial"/>
          <w:color w:val="1F2430"/>
          <w:sz w:val="19"/>
          <w:szCs w:val="19"/>
          <w:highlight w:val="yellow"/>
          <w:rtl/>
        </w:rPr>
        <w:t>בכוונה לסכל</w:t>
      </w:r>
      <w:r>
        <w:rPr>
          <w:rFonts w:ascii="Arial" w:hAnsi="Arial" w:cs="Arial" w:eastAsia="Arial"/>
          <w:color w:val="1F2430"/>
          <w:sz w:val="19"/>
          <w:szCs w:val="19"/>
          <w:rtl/>
        </w:rPr>
        <w:t xml:space="preserve"> את זכות בן הזוג, או ניתן במתנה (למעט מתנות ותרומות מקובלות), נחשב לצורך האיזון </w:t>
      </w:r>
      <w:r>
        <w:rPr>
          <w:rFonts w:ascii="Arial" w:hAnsi="Arial" w:cs="Arial" w:eastAsia="Arial"/>
          <w:color w:val="1F2430"/>
          <w:sz w:val="19"/>
          <w:szCs w:val="19"/>
          <w:highlight w:val="yellow"/>
          <w:rtl/>
        </w:rPr>
        <w:t>כאילו הוא עדיין</w:t>
      </w:r>
      <w:r>
        <w:rPr>
          <w:rFonts w:ascii="Arial" w:hAnsi="Arial" w:cs="Arial" w:eastAsia="Arial"/>
          <w:color w:val="1F2430"/>
          <w:sz w:val="19"/>
          <w:szCs w:val="19"/>
          <w:rtl/>
        </w:rPr>
        <w:t xml:space="preserve"> של המבריח.</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דוגמה: העברת דירה לאח לקראת גירושין, או מכירה לבן משפחה במחיר מוזל. העסקה עצמה אינה מבוטלת.</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סעיף 8: נסיבות מיוחדות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"ראה בית המשפט או בית הדין נסיבות מיוחדות... רשאי... לבקשת אחד מבני הזוג – אם לא נפסק בדבר יחסי הממון בפסק דין להתרת נישואין".</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8(2):</w:t>
      </w:r>
      <w:r>
        <w:rPr>
          <w:rFonts w:ascii="Arial" w:hAnsi="Arial" w:cs="Arial" w:eastAsia="Arial"/>
          <w:color w:val="1F2430"/>
          <w:sz w:val="19"/>
          <w:szCs w:val="19"/>
          <w:rtl/>
        </w:rPr>
        <w:t xml:space="preserve"> איזון "לא יהיה מחצה על מחצה, אלא לפי יחס אחר... בהתחשב... בנכסים עתידיים, לרבות בכושר ההשתכרות".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הכלל חצי-חצי; הנטל על המבקש לסטות; "רשאי" ורק בנסיבות מיוחדות.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סמכויות נוספות בס' 8, לפי מה שנלמד: גם לגבי </w:t>
      </w:r>
      <w:r>
        <w:rPr>
          <w:rFonts w:ascii="Arial" w:hAnsi="Arial" w:cs="Arial" w:eastAsia="Arial"/>
          <w:color w:val="1F2430"/>
          <w:sz w:val="19"/>
          <w:szCs w:val="19"/>
          <w:highlight w:val="yellow"/>
          <w:rtl/>
        </w:rPr>
        <w:t>המועד</w:t>
      </w:r>
      <w:r>
        <w:rPr>
          <w:rFonts w:ascii="Arial" w:hAnsi="Arial" w:cs="Arial" w:eastAsia="Arial"/>
          <w:color w:val="1F2430"/>
          <w:sz w:val="19"/>
          <w:szCs w:val="19"/>
          <w:rtl/>
        </w:rPr>
        <w:t xml:space="preserve"> לשומת הנכסים, ולפי תשובת המרצה ס' 8(4) הוא "סוג של" שיתוף ספציפי.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לא חל על ידועים בציבור</w:t>
      </w:r>
      <w:r>
        <w:rPr>
          <w:rFonts w:ascii="Arial" w:hAnsi="Arial" w:cs="Arial" w:eastAsia="Arial"/>
          <w:color w:val="1F2430"/>
          <w:sz w:val="19"/>
          <w:szCs w:val="19"/>
          <w:rtl/>
        </w:rPr>
        <w:t>: העליון סירב ליצור בפסיקה חלוקה לא שווה עבורם ("הכול או כלום").</w:t>
      </w:r>
    </w:p>
    <w:p>
      <w:pPr>
        <w:bidi/>
        <w:spacing w:before="0" w:after="100" w:line="300" w:lineRule="auto"/>
        <w:jc w:val="both"/>
      </w:pPr>
      <w:r>
        <w:rPr>
          <w:rFonts w:ascii="Arial" w:hAnsi="Arial" w:cs="Arial" w:eastAsia="Arial"/>
          <w:b/>
          <w:bCs/>
          <w:color w:val="1F2430"/>
          <w:sz w:val="19"/>
          <w:szCs w:val="19"/>
          <w:rtl/>
        </w:rPr>
        <w:t>שרשרת פסקי הדין:</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בג"ץ 8928/06 (בגידה ופנסיה)</w:t>
      </w:r>
      <w:r>
        <w:rPr>
          <w:rFonts w:ascii="Arial" w:hAnsi="Arial" w:cs="Arial" w:eastAsia="Arial"/>
          <w:color w:val="1F2430"/>
          <w:sz w:val="19"/>
          <w:szCs w:val="19"/>
          <w:rtl/>
        </w:rPr>
        <w:t xml:space="preserve"> ← האזורי: אין שלילה למפרע. הגדול: נסיבה מיוחדת, ושלל ממנה מחצית מהפנסיה. בג"ץ (נאור, לפי ע"א 264/77 דרור): בגידה עשויה ליצור קרע, אבל </w:t>
      </w:r>
      <w:r>
        <w:rPr>
          <w:rFonts w:ascii="Arial" w:hAnsi="Arial" w:cs="Arial" w:eastAsia="Arial"/>
          <w:color w:val="1F2430"/>
          <w:sz w:val="19"/>
          <w:szCs w:val="19"/>
          <w:highlight w:val="yellow"/>
          <w:rtl/>
        </w:rPr>
        <w:t>אין נענשים עליה למפרע</w:t>
      </w:r>
      <w:r>
        <w:rPr>
          <w:rFonts w:ascii="Arial" w:hAnsi="Arial" w:cs="Arial" w:eastAsia="Arial"/>
          <w:color w:val="1F2430"/>
          <w:sz w:val="19"/>
          <w:szCs w:val="19"/>
          <w:rtl/>
        </w:rPr>
        <w:t>. בגידה אינה נסיבה מיוחדת.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בע"מ 7272/10 (ניסיון רצח)</w:t>
      </w:r>
      <w:r>
        <w:rPr>
          <w:rFonts w:ascii="Arial" w:hAnsi="Arial" w:cs="Arial" w:eastAsia="Arial"/>
          <w:color w:val="1F2430"/>
          <w:sz w:val="19"/>
          <w:szCs w:val="19"/>
          <w:rtl/>
        </w:rPr>
        <w:t xml:space="preserve"> ← ברק-ארז: יכול להצדיק סטייה גם בלי נזק כלכלי. הנדל: יש לבחון את ההשפעה הכלכלית.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אלימות פיזית מתמשכת ואלימות כלכלית</w:t>
      </w:r>
      <w:r>
        <w:rPr>
          <w:rFonts w:ascii="Arial" w:hAnsi="Arial" w:cs="Arial" w:eastAsia="Arial"/>
          <w:color w:val="1F2430"/>
          <w:sz w:val="19"/>
          <w:szCs w:val="19"/>
          <w:rtl/>
        </w:rPr>
        <w:t xml:space="preserve">: נסיבה מיוחדת. </w:t>
      </w:r>
      <w:r>
        <w:rPr>
          <w:rFonts w:ascii="Arial" w:hAnsi="Arial" w:cs="Arial" w:eastAsia="Arial"/>
          <w:b/>
          <w:bCs/>
          <w:color w:val="1F2430"/>
          <w:sz w:val="19"/>
          <w:szCs w:val="19"/>
          <w:rtl/>
        </w:rPr>
        <w:t>פער בכושר השתכרות</w:t>
      </w:r>
      <w:r>
        <w:rPr>
          <w:rFonts w:ascii="Arial" w:hAnsi="Arial" w:cs="Arial" w:eastAsia="Arial"/>
          <w:color w:val="1F2430"/>
          <w:sz w:val="19"/>
          <w:szCs w:val="19"/>
          <w:rtl/>
        </w:rPr>
        <w:t>: אפשרי לפי 8(2).</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רבני חיפה 589451/1 (22.11.17)</w:t>
      </w:r>
      <w:r>
        <w:rPr>
          <w:rFonts w:ascii="Arial" w:hAnsi="Arial" w:cs="Arial" w:eastAsia="Arial"/>
          <w:color w:val="1F2430"/>
          <w:sz w:val="19"/>
          <w:szCs w:val="19"/>
          <w:rtl/>
        </w:rPr>
        <w:t xml:space="preserve"> ← לא מחלקים כושר השתכרות: אין "נכסים וירטואליים"; אין הוראה בחוק; 8(2) רק בנסיבות מיוחדות; כישורים טבעיים הם נכס חיצוני (5(א)(1)); </w:t>
      </w:r>
      <w:r>
        <w:rPr>
          <w:rFonts w:ascii="Arial" w:hAnsi="Arial" w:cs="Arial" w:eastAsia="Arial"/>
          <w:color w:val="1F2430"/>
          <w:sz w:val="19"/>
          <w:szCs w:val="19"/>
          <w:highlight w:val="yellow"/>
          <w:rtl/>
        </w:rPr>
        <w:t>שעבוד הגוף</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p>
          <w:p>
            <w:pPr>
              <w:bidi/>
              <w:spacing w:before="0" w:after="60" w:line="300" w:lineRule="auto"/>
              <w:jc w:val="both"/>
            </w:pPr>
            <w:r>
              <w:rPr>
                <w:rFonts w:ascii="Arial" w:hAnsi="Arial" w:cs="Arial" w:eastAsia="Arial"/>
                <w:color w:val="1F2430"/>
                <w:sz w:val="18"/>
                <w:szCs w:val="18"/>
                <w:rtl/>
              </w:rPr>
              <w:t>מייצגים את בעל הקריירה? עדיף בית הדין הרבני. מייצגים את מי שוויתר על קריירה? עדיף בית המשפט.</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החוק התקוע והדין הכללי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הבעיה: איזון רק בפקיעת הנישואין, כלומר </w:t>
      </w:r>
      <w:r>
        <w:rPr>
          <w:rFonts w:ascii="Arial" w:hAnsi="Arial" w:cs="Arial" w:eastAsia="Arial"/>
          <w:color w:val="1F2430"/>
          <w:sz w:val="19"/>
          <w:szCs w:val="19"/>
          <w:highlight w:val="yellow"/>
          <w:rtl/>
        </w:rPr>
        <w:t>תלוי בגט</w:t>
      </w:r>
      <w:r>
        <w:rPr>
          <w:rFonts w:ascii="Arial" w:hAnsi="Arial" w:cs="Arial" w:eastAsia="Arial"/>
          <w:color w:val="1F2430"/>
          <w:sz w:val="19"/>
          <w:szCs w:val="19"/>
          <w:rtl/>
        </w:rPr>
        <w:t>. סרבן מעכב גם את הרכוש. חברי הכנסת הדתיים חששו מגירושין כלכליים לפני דתיים.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ע"א 1915/91 יעקובי (וקנובלר)</w:t>
      </w:r>
      <w:r>
        <w:rPr>
          <w:rFonts w:ascii="Arial" w:hAnsi="Arial" w:cs="Arial" w:eastAsia="Arial"/>
          <w:color w:val="1F2430"/>
          <w:sz w:val="19"/>
          <w:szCs w:val="19"/>
          <w:rtl/>
        </w:rPr>
        <w:t xml:space="preserve"> ← יעקובי (נישאו 1975): ביקשה לחלק נכסים פנימיים, המחוזי דחה כי אין גט. קנובלר: נכס חיצוני (מגרש ובנייה במימון ההורים), הבעל הציג פוליסת ביטוח מבנה כ"שלה", היא פרנסה. </w:t>
      </w:r>
      <w:r>
        <w:rPr>
          <w:rFonts w:ascii="Arial" w:hAnsi="Arial" w:cs="Arial" w:eastAsia="Arial"/>
          <w:b/>
          <w:bCs/>
          <w:color w:val="1F2430"/>
          <w:sz w:val="19"/>
          <w:szCs w:val="19"/>
          <w:rtl/>
        </w:rPr>
        <w:t>רוב:</w:t>
      </w:r>
      <w:r>
        <w:rPr>
          <w:rFonts w:ascii="Arial" w:hAnsi="Arial" w:cs="Arial" w:eastAsia="Arial"/>
          <w:color w:val="1F2430"/>
          <w:sz w:val="19"/>
          <w:szCs w:val="19"/>
          <w:rtl/>
        </w:rPr>
        <w:t xml:space="preserve"> חזקת השיתוף לא חלה אחרי 1974, </w:t>
      </w:r>
      <w:r>
        <w:rPr>
          <w:rFonts w:ascii="Arial" w:hAnsi="Arial" w:cs="Arial" w:eastAsia="Arial"/>
          <w:color w:val="1F2430"/>
          <w:sz w:val="19"/>
          <w:szCs w:val="19"/>
          <w:highlight w:val="yellow"/>
          <w:rtl/>
        </w:rPr>
        <w:t>אבל חל הדין הכללי</w:t>
      </w:r>
      <w:r>
        <w:rPr>
          <w:rFonts w:ascii="Arial" w:hAnsi="Arial" w:cs="Arial" w:eastAsia="Arial"/>
          <w:color w:val="1F2430"/>
          <w:sz w:val="19"/>
          <w:szCs w:val="19"/>
          <w:rtl/>
        </w:rPr>
        <w:t xml:space="preserve"> (חוזים, מתנה, קניין, תום לב, נאמנות, עשיית עושר). דורנר: ריכוך דרישת הכתב במשפחה. שטרסברג-כהן: רק התחייבות למתנה דורשת כתב.</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ע"א 8672/00 אבו רומי</w:t>
      </w:r>
      <w:r>
        <w:rPr>
          <w:rFonts w:ascii="Arial" w:hAnsi="Arial" w:cs="Arial" w:eastAsia="Arial"/>
          <w:color w:val="1F2430"/>
          <w:sz w:val="19"/>
          <w:szCs w:val="19"/>
          <w:rtl/>
        </w:rPr>
        <w:t xml:space="preserve"> ← נכס חיצוני בירושה, האישה טענה הלכת שיתוף והפסידה. צריך לטעון ולהוכיח </w:t>
      </w:r>
      <w:r>
        <w:rPr>
          <w:rFonts w:ascii="Arial" w:hAnsi="Arial" w:cs="Arial" w:eastAsia="Arial"/>
          <w:color w:val="1F2430"/>
          <w:sz w:val="19"/>
          <w:szCs w:val="19"/>
          <w:highlight w:val="yellow"/>
          <w:rtl/>
        </w:rPr>
        <w:t>דין כללי</w:t>
      </w:r>
      <w:r>
        <w:rPr>
          <w:rFonts w:ascii="Arial" w:hAnsi="Arial" w:cs="Arial" w:eastAsia="Arial"/>
          <w:color w:val="1F2430"/>
          <w:sz w:val="19"/>
          <w:szCs w:val="19"/>
          <w:rtl/>
        </w:rPr>
        <w:t xml:space="preserve"> עם ראיה חזקה לכוונה לשתף בנכס הספציפי. חיים משותפים אינם מספיקים.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בע"מ 10734/06</w:t>
      </w:r>
      <w:r>
        <w:rPr>
          <w:rFonts w:ascii="Arial" w:hAnsi="Arial" w:cs="Arial" w:eastAsia="Arial"/>
          <w:color w:val="1F2430"/>
          <w:sz w:val="19"/>
          <w:szCs w:val="19"/>
          <w:rtl/>
        </w:rPr>
        <w:t xml:space="preserve"> ← ס' 5 אינו מונע שיתוף בנכס ספציפי לפי הדין הכללי, </w:t>
      </w:r>
      <w:r>
        <w:rPr>
          <w:rFonts w:ascii="Arial" w:hAnsi="Arial" w:cs="Arial" w:eastAsia="Arial"/>
          <w:color w:val="1F2430"/>
          <w:sz w:val="19"/>
          <w:szCs w:val="19"/>
          <w:highlight w:val="yellow"/>
          <w:rtl/>
        </w:rPr>
        <w:t>גם בנכס מלפני הנישואין</w:t>
      </w:r>
      <w:r>
        <w:rPr>
          <w:rFonts w:ascii="Arial" w:hAnsi="Arial" w:cs="Arial" w:eastAsia="Arial"/>
          <w:color w:val="1F2430"/>
          <w:sz w:val="19"/>
          <w:szCs w:val="19"/>
          <w:rtl/>
        </w:rPr>
        <w:t>. הנטל על הטוען, נכס-נכס. לכן בנקים עדיין מחתימים את בן הזוג.</w:t>
      </w:r>
    </w:p>
    <w:p>
      <w:pPr>
        <w:bidi/>
        <w:spacing w:before="0" w:after="100" w:line="300" w:lineRule="auto"/>
        <w:jc w:val="both"/>
      </w:pPr>
      <w:r>
        <w:rPr>
          <w:rFonts w:ascii="Arial" w:hAnsi="Arial" w:cs="Arial" w:eastAsia="Arial"/>
          <w:b/>
          <w:bCs/>
          <w:color w:val="1F2430"/>
          <w:sz w:val="19"/>
          <w:szCs w:val="19"/>
          <w:rtl/>
        </w:rPr>
        <w:t>טיעון לבן הזוג החלש:</w:t>
      </w:r>
      <w:r>
        <w:rPr>
          <w:rFonts w:ascii="Arial" w:hAnsi="Arial" w:cs="Arial" w:eastAsia="Arial"/>
          <w:color w:val="1F2430"/>
          <w:sz w:val="19"/>
          <w:szCs w:val="19"/>
          <w:rtl/>
        </w:rPr>
        <w:t xml:space="preserve"> (1) חוק יחסי ממון; (2) תמיד גם דין כללי, כי רק כך נכנס נכס חיצוני; (3) לחלופין הלכת שיתוף מוחלשת (נדיר היום); (4) תמיד גם 8(2).</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סעיף 5א: הקדמת מועד האיזון (תיקון 4, 2008)</w:t>
      </w:r>
    </w:p>
    <w:p>
      <w:pPr>
        <w:bidi/>
        <w:spacing w:before="0" w:after="100" w:line="300" w:lineRule="auto"/>
        <w:jc w:val="both"/>
      </w:pPr>
      <w:r>
        <w:rPr>
          <w:rFonts w:ascii="Arial" w:hAnsi="Arial" w:cs="Arial" w:eastAsia="Arial"/>
          <w:b/>
          <w:bCs/>
          <w:color w:val="1F2430"/>
          <w:sz w:val="19"/>
          <w:szCs w:val="19"/>
          <w:rtl/>
        </w:rPr>
        <w:t>מטרה: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גירושין כלכליים לפני גירושין דתיים</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עץ החלטה:</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color w:val="1F2430"/>
          <w:sz w:val="19"/>
          <w:szCs w:val="19"/>
          <w:rtl/>
        </w:rPr>
        <w:t xml:space="preserve">הוגשה </w:t>
      </w:r>
      <w:r>
        <w:rPr>
          <w:rFonts w:ascii="Arial" w:hAnsi="Arial" w:cs="Arial" w:eastAsia="Arial"/>
          <w:b/>
          <w:bCs/>
          <w:color w:val="1F2430"/>
          <w:sz w:val="19"/>
          <w:szCs w:val="19"/>
          <w:rtl/>
        </w:rPr>
        <w:t>בקשה</w:t>
      </w:r>
      <w:r>
        <w:rPr>
          <w:rFonts w:ascii="Arial" w:hAnsi="Arial" w:cs="Arial" w:eastAsia="Arial"/>
          <w:color w:val="1F2430"/>
          <w:sz w:val="19"/>
          <w:szCs w:val="19"/>
          <w:rtl/>
        </w:rPr>
        <w:t xml:space="preserve"> לביצוע הסדר האיזון? אם לא, אין הקדמה.</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color w:val="1F2430"/>
          <w:sz w:val="19"/>
          <w:szCs w:val="19"/>
          <w:rtl/>
        </w:rPr>
        <w:t xml:space="preserve">חלפה </w:t>
      </w:r>
      <w:r>
        <w:rPr>
          <w:rFonts w:ascii="Arial" w:hAnsi="Arial" w:cs="Arial" w:eastAsia="Arial"/>
          <w:b/>
          <w:bCs/>
          <w:color w:val="1F2430"/>
          <w:sz w:val="19"/>
          <w:szCs w:val="19"/>
          <w:rtl/>
        </w:rPr>
        <w:t>שנה</w:t>
      </w:r>
      <w:r>
        <w:rPr>
          <w:rFonts w:ascii="Arial" w:hAnsi="Arial" w:cs="Arial" w:eastAsia="Arial"/>
          <w:color w:val="1F2430"/>
          <w:sz w:val="19"/>
          <w:szCs w:val="19"/>
          <w:rtl/>
        </w:rPr>
        <w:t xml:space="preserve"> מפתיחת הליך להתרת נישואין (ולא מפסק הדין, כי בית הדין איטי)? אם כן, אפשר להקדים.</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3. </w:t>
      </w:r>
      <w:r>
        <w:tab/>
      </w:r>
      <w:r>
        <w:rPr>
          <w:rFonts w:ascii="Arial" w:hAnsi="Arial" w:cs="Arial" w:eastAsia="Arial"/>
          <w:color w:val="1F2430"/>
          <w:sz w:val="19"/>
          <w:szCs w:val="19"/>
          <w:rtl/>
        </w:rPr>
        <w:t xml:space="preserve">או חלפה שנה מפתיחת </w:t>
      </w:r>
      <w:r>
        <w:rPr>
          <w:rFonts w:ascii="Arial" w:hAnsi="Arial" w:cs="Arial" w:eastAsia="Arial"/>
          <w:b/>
          <w:bCs/>
          <w:color w:val="1F2430"/>
          <w:sz w:val="19"/>
          <w:szCs w:val="19"/>
          <w:rtl/>
        </w:rPr>
        <w:t>הליך רכושי</w:t>
      </w:r>
      <w:r>
        <w:rPr>
          <w:rFonts w:ascii="Arial" w:hAnsi="Arial" w:cs="Arial" w:eastAsia="Arial"/>
          <w:color w:val="1F2430"/>
          <w:sz w:val="19"/>
          <w:szCs w:val="19"/>
          <w:rtl/>
        </w:rPr>
        <w:t>: חלוקת רכוש, פירוק שיתוף, פס"ד הצהרתי, בקשת איזון, בקשה לפי ס' 11? (חלופה כי פתיחת הליך גירושין עלולה לפגוע באישה: כתובה ומזונות.) אם כן, אפשר.</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4. </w:t>
      </w:r>
      <w:r>
        <w:tab/>
      </w:r>
      <w:r>
        <w:rPr>
          <w:rFonts w:ascii="Arial" w:hAnsi="Arial" w:cs="Arial" w:eastAsia="Arial"/>
          <w:color w:val="1F2430"/>
          <w:sz w:val="19"/>
          <w:szCs w:val="19"/>
          <w:rtl/>
        </w:rPr>
        <w:t xml:space="preserve">או קיים </w:t>
      </w:r>
      <w:r>
        <w:rPr>
          <w:rFonts w:ascii="Arial" w:hAnsi="Arial" w:cs="Arial" w:eastAsia="Arial"/>
          <w:b/>
          <w:bCs/>
          <w:color w:val="1F2430"/>
          <w:sz w:val="19"/>
          <w:szCs w:val="19"/>
          <w:rtl/>
        </w:rPr>
        <w:t>קרע</w:t>
      </w:r>
      <w:r>
        <w:rPr>
          <w:rFonts w:ascii="Arial" w:hAnsi="Arial" w:cs="Arial" w:eastAsia="Arial"/>
          <w:color w:val="1F2430"/>
          <w:sz w:val="19"/>
          <w:szCs w:val="19"/>
          <w:rtl/>
        </w:rPr>
        <w:t xml:space="preserve">, או חיים בנפרד (גם תחת קורת גג אחת) </w:t>
      </w:r>
      <w:r>
        <w:rPr>
          <w:rFonts w:ascii="Arial" w:hAnsi="Arial" w:cs="Arial" w:eastAsia="Arial"/>
          <w:color w:val="1F2430"/>
          <w:sz w:val="19"/>
          <w:szCs w:val="19"/>
          <w:highlight w:val="yellow"/>
          <w:rtl/>
        </w:rPr>
        <w:t>9 חודשים מצטברים מתוך שנה רצופה</w:t>
      </w:r>
      <w:r>
        <w:rPr>
          <w:rFonts w:ascii="Arial" w:hAnsi="Arial" w:cs="Arial" w:eastAsia="Arial"/>
          <w:color w:val="1F2430"/>
          <w:sz w:val="19"/>
          <w:szCs w:val="19"/>
          <w:rtl/>
        </w:rPr>
        <w:t>? ניתן לקצר אם יש החלטה שיפוטית המעידה על קרע. אם כן, אפשר.</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אין חלוקה </w:t>
      </w:r>
      <w:r>
        <w:rPr>
          <w:rFonts w:ascii="Arial" w:hAnsi="Arial" w:cs="Arial" w:eastAsia="Arial"/>
          <w:color w:val="1F2430"/>
          <w:sz w:val="19"/>
          <w:szCs w:val="19"/>
          <w:highlight w:val="yellow"/>
          <w:rtl/>
        </w:rPr>
        <w:t>אוטומטית</w:t>
      </w:r>
      <w:r>
        <w:rPr>
          <w:rFonts w:ascii="Arial" w:hAnsi="Arial" w:cs="Arial" w:eastAsia="Arial"/>
          <w:color w:val="1F2430"/>
          <w:sz w:val="19"/>
          <w:szCs w:val="19"/>
          <w:rtl/>
        </w:rPr>
        <w:t xml:space="preserve"> אחרי שנה. זה תנאי שמאפשר.</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שני תפקידי הקרע:</w:t>
      </w:r>
      <w:r>
        <w:rPr>
          <w:rFonts w:ascii="Arial" w:hAnsi="Arial" w:cs="Arial" w:eastAsia="Arial"/>
          <w:color w:val="1F2430"/>
          <w:sz w:val="19"/>
          <w:szCs w:val="19"/>
          <w:rtl/>
        </w:rPr>
        <w:t xml:space="preserve"> מתי אפשר להתחיל, ועד מתי הצבירה משותפת. דוגמאות לקרע: אלימות, עזיבת הבית, משיכת כספים גבוהה.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בית הדין הרבני הגדול (בגידה ומועד הקרע):</w:t>
      </w:r>
      <w:r>
        <w:rPr>
          <w:rFonts w:ascii="Arial" w:hAnsi="Arial" w:cs="Arial" w:eastAsia="Arial"/>
          <w:color w:val="1F2430"/>
          <w:sz w:val="19"/>
          <w:szCs w:val="19"/>
          <w:rtl/>
        </w:rPr>
        <w:t xml:space="preserve"> מועד הבגידה אינו אוטומטית מועד הקרע. בודקים מתי נוצר קרע בפועל.</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נכס חיצוני ו"דבר מה נוסף"</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בע"מ 1398/11 אלמונית נ' פלוני (26.12.12)</w:t>
      </w:r>
      <w:r>
        <w:rPr>
          <w:rFonts w:ascii="Arial" w:hAnsi="Arial" w:cs="Arial" w:eastAsia="Arial"/>
          <w:color w:val="1F2430"/>
          <w:sz w:val="19"/>
          <w:szCs w:val="19"/>
          <w:rtl/>
        </w:rPr>
        <w:t xml:space="preserve"> ← דירת הבעל מלפני הנישואין, פנייה משותפת למתווך לתכנון מכירה וקניית דירה משותפת. משפחה: מחצית. מחוזי: הפך. </w:t>
      </w:r>
      <w:r>
        <w:rPr>
          <w:rFonts w:ascii="Arial" w:hAnsi="Arial" w:cs="Arial" w:eastAsia="Arial"/>
          <w:b/>
          <w:bCs/>
          <w:color w:val="1F2430"/>
          <w:sz w:val="19"/>
          <w:szCs w:val="19"/>
          <w:rtl/>
        </w:rPr>
        <w:t>עליון (דנציגר, עמית מסכים):</w:t>
      </w:r>
      <w:r>
        <w:rPr>
          <w:rFonts w:ascii="Arial" w:hAnsi="Arial" w:cs="Arial" w:eastAsia="Arial"/>
          <w:color w:val="1F2430"/>
          <w:sz w:val="19"/>
          <w:szCs w:val="19"/>
          <w:rtl/>
        </w:rPr>
        <w:t xml:space="preserve"> דין כללי, לא חזקת שיתוף. נדרש, מעבר לחיי נישואין, "</w:t>
      </w:r>
      <w:r>
        <w:rPr>
          <w:rFonts w:ascii="Arial" w:hAnsi="Arial" w:cs="Arial" w:eastAsia="Arial"/>
          <w:color w:val="1F2430"/>
          <w:sz w:val="19"/>
          <w:szCs w:val="19"/>
          <w:highlight w:val="yellow"/>
          <w:rtl/>
        </w:rPr>
        <w:t>דבר מה נוסף</w:t>
      </w:r>
      <w:r>
        <w:rPr>
          <w:rFonts w:ascii="Arial" w:hAnsi="Arial" w:cs="Arial" w:eastAsia="Arial"/>
          <w:color w:val="1F2430"/>
          <w:sz w:val="19"/>
          <w:szCs w:val="19"/>
          <w:rtl/>
        </w:rPr>
        <w:t xml:space="preserve">". בדרך כלל השקעה כספית (שיפוצים), אבל </w:t>
      </w:r>
      <w:r>
        <w:rPr>
          <w:rFonts w:ascii="Arial" w:hAnsi="Arial" w:cs="Arial" w:eastAsia="Arial"/>
          <w:color w:val="1F2430"/>
          <w:sz w:val="19"/>
          <w:szCs w:val="19"/>
          <w:highlight w:val="yellow"/>
          <w:rtl/>
        </w:rPr>
        <w:t>די גם במצגים</w:t>
      </w:r>
      <w:r>
        <w:rPr>
          <w:rFonts w:ascii="Arial" w:hAnsi="Arial" w:cs="Arial" w:eastAsia="Arial"/>
          <w:color w:val="1F2430"/>
          <w:sz w:val="19"/>
          <w:szCs w:val="19"/>
          <w:rtl/>
        </w:rPr>
        <w:t xml:space="preserve">. </w:t>
      </w:r>
      <w:r>
        <w:rPr>
          <w:rFonts w:ascii="Arial" w:hAnsi="Arial" w:cs="Arial" w:eastAsia="Arial"/>
          <w:b/>
          <w:bCs/>
          <w:color w:val="1F2430"/>
          <w:sz w:val="19"/>
          <w:szCs w:val="19"/>
          <w:rtl/>
        </w:rPr>
        <w:t>זילברטל (מיעוט):</w:t>
      </w:r>
      <w:r>
        <w:rPr>
          <w:rFonts w:ascii="Arial" w:hAnsi="Arial" w:cs="Arial" w:eastAsia="Arial"/>
          <w:color w:val="1F2430"/>
          <w:sz w:val="19"/>
          <w:szCs w:val="19"/>
          <w:rtl/>
        </w:rPr>
        <w:t xml:space="preserve"> כשאין "אווירת שיתוף", נדרשת ראיה ממשית ובעלת משקל. </w:t>
      </w:r>
      <w:r>
        <w:rPr>
          <w:rFonts w:ascii="Arial" w:hAnsi="Arial" w:cs="Arial" w:eastAsia="Arial"/>
          <w:b/>
          <w:bCs/>
          <w:color w:val="1F2430"/>
          <w:sz w:val="19"/>
          <w:szCs w:val="19"/>
          <w:rtl/>
        </w:rPr>
        <w:t>עמית:</w:t>
      </w:r>
      <w:r>
        <w:rPr>
          <w:rFonts w:ascii="Arial" w:hAnsi="Arial" w:cs="Arial" w:eastAsia="Arial"/>
          <w:color w:val="1F2430"/>
          <w:sz w:val="19"/>
          <w:szCs w:val="19"/>
          <w:rtl/>
        </w:rPr>
        <w:t xml:space="preserve"> הסכם ממון שלא אושר אינו חוסם שיתוף ספציפי מהתנהגות; הסכם מאושר חזק יותר.</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ביקורת: התוצאה היא "0 או 50/50".</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בג"ץ 4602/13 ודיון נוסף ("דנג"ץ הבוגדת")</w:t>
      </w:r>
      <w:r>
        <w:rPr>
          <w:rFonts w:ascii="Arial" w:hAnsi="Arial" w:cs="Arial" w:eastAsia="Arial"/>
          <w:color w:val="1F2430"/>
          <w:sz w:val="19"/>
          <w:szCs w:val="19"/>
          <w:rtl/>
        </w:rPr>
        <w:t xml:space="preserve"> ← מגרש בירושה, קומבינציה (3/4 לקבלן), מגורים מעל 20 שנה, שיפוץ רחב, ונישואין של יותר מ-30 שנה. האזורי: שיתוף ספציפי. הגדול (1073676/1, הרב עמוס): אין דבר מה נוסף, והבגידה מלמדת על היעדר כוונה. בג"ץ: עמית (להתערב) מול מינץ ושטיין (לא), והעתירה נדחתה. </w:t>
      </w:r>
      <w:r>
        <w:rPr>
          <w:rFonts w:ascii="Arial" w:hAnsi="Arial" w:cs="Arial" w:eastAsia="Arial"/>
          <w:b/>
          <w:bCs/>
          <w:color w:val="1F2430"/>
          <w:sz w:val="19"/>
          <w:szCs w:val="19"/>
          <w:rtl/>
        </w:rPr>
        <w:t>דיון נוסף, 9 שופטים, 6 מול 3 (חיות):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אי-נאמנות מינית אינה שוללת בדיעבד זכויות שהתגבשו</w:t>
      </w:r>
      <w:r>
        <w:rPr>
          <w:rFonts w:ascii="Arial" w:hAnsi="Arial" w:cs="Arial" w:eastAsia="Arial"/>
          <w:color w:val="1F2430"/>
          <w:sz w:val="19"/>
          <w:szCs w:val="19"/>
          <w:rtl/>
        </w:rPr>
        <w:t>; אין "למשטר" את בן הזוג.</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עמדת המרצה (מאמר "הקדמת מועד איזון המשאבים"):</w:t>
      </w:r>
      <w:r>
        <w:rPr>
          <w:rFonts w:ascii="Arial" w:hAnsi="Arial" w:cs="Arial" w:eastAsia="Arial"/>
          <w:color w:val="1F2430"/>
          <w:sz w:val="19"/>
          <w:szCs w:val="19"/>
          <w:rtl/>
        </w:rPr>
        <w:t xml:space="preserve"> אחרי 2008 יש לחזור לכוונת החוק: דיני קניין רגילים, נכס חיצוני בחוץ, ורק פיצוי כספי על השקעה בנכס.</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בתי הדין וכתובה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13(ב):</w:t>
      </w:r>
      <w:r>
        <w:rPr>
          <w:rFonts w:ascii="Arial" w:hAnsi="Arial" w:cs="Arial" w:eastAsia="Arial"/>
          <w:color w:val="1F2430"/>
          <w:sz w:val="19"/>
          <w:szCs w:val="19"/>
          <w:rtl/>
        </w:rPr>
        <w:t xml:space="preserve"> גם בית דין דתי נוהג לפי החוק, </w:t>
      </w:r>
      <w:r>
        <w:rPr>
          <w:rFonts w:ascii="Arial" w:hAnsi="Arial" w:cs="Arial" w:eastAsia="Arial"/>
          <w:color w:val="1F2430"/>
          <w:sz w:val="19"/>
          <w:szCs w:val="19"/>
          <w:highlight w:val="yellow"/>
          <w:rtl/>
        </w:rPr>
        <w:t>זולת הסכמה מפורשת</w:t>
      </w:r>
      <w:r>
        <w:rPr>
          <w:rFonts w:ascii="Arial" w:hAnsi="Arial" w:cs="Arial" w:eastAsia="Arial"/>
          <w:color w:val="1F2430"/>
          <w:sz w:val="19"/>
          <w:szCs w:val="19"/>
          <w:rtl/>
        </w:rPr>
        <w:t xml:space="preserve"> של בעלי הדין להתדיין לפי הדין הדתי (לא מהתנהגות). ההסכמה נוגעת לשאלת הדין ולא לסמכות.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17:</w:t>
      </w:r>
      <w:r>
        <w:rPr>
          <w:rFonts w:ascii="Arial" w:hAnsi="Arial" w:cs="Arial" w:eastAsia="Arial"/>
          <w:color w:val="1F2430"/>
          <w:sz w:val="19"/>
          <w:szCs w:val="19"/>
          <w:rtl/>
        </w:rPr>
        <w:t xml:space="preserve"> החוק אינו גורע מזכויות הכתובה. אבל לפי עקרון בבלי אין "כפל מבצעים": אישה שקיבלה איזון לא תקבל גם את מלוא הכתובה (בפועל, את הגבוה מביניהם).</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חיסכון פנסיוני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בהלכת השיתוף:</w:t>
      </w:r>
      <w:r>
        <w:rPr>
          <w:rFonts w:ascii="Arial" w:hAnsi="Arial" w:cs="Arial" w:eastAsia="Arial"/>
          <w:color w:val="1F2430"/>
          <w:sz w:val="19"/>
          <w:szCs w:val="19"/>
          <w:rtl/>
        </w:rPr>
        <w:t xml:space="preserve"> פנסיה ופיצויים הם חלק מהשכר, ולכן משותפים (אורון). חלוקה מיידית פוגעת (ניכוי של עד </w:t>
      </w:r>
      <w:r>
        <w:rPr>
          <w:rFonts w:ascii="Arial" w:hAnsi="Arial" w:cs="Arial" w:eastAsia="Arial"/>
          <w:color w:val="1F2430"/>
          <w:sz w:val="19"/>
          <w:szCs w:val="19"/>
          <w:highlight w:val="yellow"/>
          <w:rtl/>
        </w:rPr>
        <w:t>35%</w:t>
      </w:r>
      <w:r>
        <w:rPr>
          <w:rFonts w:ascii="Arial" w:hAnsi="Arial" w:cs="Arial" w:eastAsia="Arial"/>
          <w:color w:val="1F2430"/>
          <w:sz w:val="19"/>
          <w:szCs w:val="19"/>
          <w:rtl/>
        </w:rPr>
        <w:t xml:space="preserve">), ולכן העליון קבע חלוקה </w:t>
      </w:r>
      <w:r>
        <w:rPr>
          <w:rFonts w:ascii="Arial" w:hAnsi="Arial" w:cs="Arial" w:eastAsia="Arial"/>
          <w:color w:val="1F2430"/>
          <w:sz w:val="19"/>
          <w:szCs w:val="19"/>
          <w:highlight w:val="yellow"/>
          <w:rtl/>
        </w:rPr>
        <w:t>במועד המימוש</w:t>
      </w:r>
      <w:r>
        <w:rPr>
          <w:rFonts w:ascii="Arial" w:hAnsi="Arial" w:cs="Arial" w:eastAsia="Arial"/>
          <w:color w:val="1F2430"/>
          <w:sz w:val="19"/>
          <w:szCs w:val="19"/>
          <w:rtl/>
        </w:rPr>
        <w:t>, ורק החלק היחסי.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חוק לחלוקת חיסכון פנסיוני בין בני זוג שנפרדו, התשע"ד-2014:</w:t>
      </w:r>
    </w:p>
    <w:p>
      <w:pPr>
        <w:bidi/>
        <w:tabs>
          <w:tab w:val="left" w:pos="623"/>
        </w:tabs>
        <w:spacing w:before="0" w:after="40" w:line="288" w:lineRule="auto"/>
        <w:ind w:right="623"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6(א):</w:t>
      </w:r>
      <w:r>
        <w:rPr>
          <w:rFonts w:ascii="Arial" w:hAnsi="Arial" w:cs="Arial" w:eastAsia="Arial"/>
          <w:color w:val="1F2430"/>
          <w:sz w:val="19"/>
          <w:szCs w:val="19"/>
          <w:rtl/>
        </w:rPr>
        <w:t xml:space="preserve"> אם ניתן פסק דין לחלוקה ונרשמה הערה לפי ס' 4, הגוף המשלם פותח </w:t>
      </w:r>
      <w:r>
        <w:rPr>
          <w:rFonts w:ascii="Arial" w:hAnsi="Arial" w:cs="Arial" w:eastAsia="Arial"/>
          <w:color w:val="1F2430"/>
          <w:sz w:val="19"/>
          <w:szCs w:val="19"/>
          <w:highlight w:val="yellow"/>
          <w:rtl/>
        </w:rPr>
        <w:t>חשבון חדש על שם בן הזוג לשעבר</w:t>
      </w:r>
      <w:r>
        <w:rPr>
          <w:rFonts w:ascii="Arial" w:hAnsi="Arial" w:cs="Arial" w:eastAsia="Arial"/>
          <w:color w:val="1F2430"/>
          <w:sz w:val="19"/>
          <w:szCs w:val="19"/>
          <w:rtl/>
        </w:rPr>
        <w:t xml:space="preserve"> ומעביר אליו את חלקו.</w:t>
      </w:r>
    </w:p>
    <w:p>
      <w:pPr>
        <w:bidi/>
        <w:tabs>
          <w:tab w:val="left" w:pos="623"/>
        </w:tabs>
        <w:spacing w:before="0" w:after="40" w:line="288" w:lineRule="auto"/>
        <w:ind w:right="623"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6(ב):</w:t>
      </w:r>
      <w:r>
        <w:rPr>
          <w:rFonts w:ascii="Arial" w:hAnsi="Arial" w:cs="Arial" w:eastAsia="Arial"/>
          <w:color w:val="1F2430"/>
          <w:sz w:val="19"/>
          <w:szCs w:val="19"/>
          <w:rtl/>
        </w:rPr>
        <w:t xml:space="preserve"> הסכום הוא שיעור ההעברה כפול היתרה </w:t>
      </w:r>
      <w:r>
        <w:rPr>
          <w:rFonts w:ascii="Arial" w:hAnsi="Arial" w:cs="Arial" w:eastAsia="Arial"/>
          <w:color w:val="1F2430"/>
          <w:sz w:val="19"/>
          <w:szCs w:val="19"/>
          <w:highlight w:val="yellow"/>
          <w:rtl/>
        </w:rPr>
        <w:t>במועד הפירוד</w:t>
      </w:r>
      <w:r>
        <w:rPr>
          <w:rFonts w:ascii="Arial" w:hAnsi="Arial" w:cs="Arial" w:eastAsia="Arial"/>
          <w:color w:val="1F2430"/>
          <w:sz w:val="19"/>
          <w:szCs w:val="19"/>
          <w:rtl/>
        </w:rPr>
        <w:t>, בתוספת או בניכוי התשואה (אחרי דמי ניהול) עד ההעברה.</w:t>
      </w:r>
    </w:p>
    <w:p>
      <w:pPr>
        <w:bidi/>
        <w:tabs>
          <w:tab w:val="left" w:pos="623"/>
        </w:tabs>
        <w:spacing w:before="0" w:after="40" w:line="288" w:lineRule="auto"/>
        <w:ind w:right="623"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מתחלקת רק התקופה המשותפת. "לא שוברים את הקופה".</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השוואה מסכמת</w:t>
      </w:r>
    </w:p>
    <w:tbl>
      <w:tblPr>
        <w:tblW w:type="dxa" w:w="10206"/>
        <w:jc w:val="center"/>
        <w:tblLook w:firstColumn="1" w:firstRow="1" w:lastColumn="0" w:lastRow="0" w:noHBand="0" w:noVBand="1" w:val="04A0"/>
        <w:bidiVisual/>
        <w:tblLayout w:type="fixed"/>
      </w:tblPr>
      <w:tblGrid>
        <w:gridCol w:w="1490"/>
        <w:gridCol w:w="4930"/>
        <w:gridCol w:w="3784"/>
      </w:tblGrid>
      <w:tr>
        <w:trPr>
          <w:tblHeader/>
        </w:trPr>
        <w:tc>
          <w:tcPr>
            <w:tcW w:type="dxa" w:w="1491"/>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930"/>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3784"/>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איזון משאבים</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משטר</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שיתוף לאורך הדרך</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הפרדה ושיתוף דחוי</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זכות</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קניינית</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אובליגטורית</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נכס משפחתי</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משותף מיד</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במועד האיזון</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נכס עסקי</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במועד הקריטי</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במועד האיזון</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נכס חיצוני</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אפשר (טיב הנכס, טיב הקשר, הרמוניה, שיפוצים)</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מוחרג, למעט דין כללי ודבר מה נוסף</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חלוקה לא שווה</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לפי טיב הזכויות</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ס' 8</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סיום</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המוקדם מבין עזיבה ותביעה (לידאי)</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פקיעת נישואין, ס' 5א, ס' 8</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חובות</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לפי סוג החוב ומועדו</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אין אחריות מכוח הנישואין</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תביעות נזיקין נגד מסרבי גט</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תמ"ש (י-ם) 19270/03</w:t>
      </w:r>
      <w:r>
        <w:rPr>
          <w:rFonts w:ascii="Arial" w:hAnsi="Arial" w:cs="Arial" w:eastAsia="Arial"/>
          <w:color w:val="1F2430"/>
          <w:sz w:val="19"/>
          <w:szCs w:val="19"/>
          <w:rtl/>
        </w:rPr>
        <w:t xml:space="preserve"> ← 12 שנות עגינות. עילת רשלנות (ס' 35 לפקודת הנזיקין). אין בעיית סמכות. פיצוי </w:t>
      </w:r>
      <w:r>
        <w:rPr>
          <w:rFonts w:ascii="Arial" w:hAnsi="Arial" w:cs="Arial" w:eastAsia="Arial"/>
          <w:color w:val="1F2430"/>
          <w:sz w:val="19"/>
          <w:szCs w:val="19"/>
          <w:highlight w:val="yellow"/>
          <w:rtl/>
        </w:rPr>
        <w:t>מיום חיוב הגט עד הגשת התביעה</w:t>
      </w:r>
      <w:r>
        <w:rPr>
          <w:rFonts w:ascii="Arial" w:hAnsi="Arial" w:cs="Arial" w:eastAsia="Arial"/>
          <w:color w:val="1F2430"/>
          <w:sz w:val="19"/>
          <w:szCs w:val="19"/>
          <w:rtl/>
        </w:rPr>
        <w:t xml:space="preserve"> בלבד: 325,000 ש"ח ועוד 100,000 פיצויים מוגברים. בית הדין התנה את הגט בביטול התביעה.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ערעור 7041-21-1 (הגדול, 3/08)</w:t>
      </w:r>
      <w:r>
        <w:rPr>
          <w:rFonts w:ascii="Arial" w:hAnsi="Arial" w:cs="Arial" w:eastAsia="Arial"/>
          <w:color w:val="1F2430"/>
          <w:sz w:val="19"/>
          <w:szCs w:val="19"/>
          <w:rtl/>
        </w:rPr>
        <w:t xml:space="preserve"> ← 400,000 ש"ח ועוד 4,000 ש"ח לחודש "עד שיינתן הגט". חשש ל</w:t>
      </w:r>
      <w:r>
        <w:rPr>
          <w:rFonts w:ascii="Arial" w:hAnsi="Arial" w:cs="Arial" w:eastAsia="Arial"/>
          <w:color w:val="1F2430"/>
          <w:sz w:val="19"/>
          <w:szCs w:val="19"/>
          <w:highlight w:val="yellow"/>
          <w:rtl/>
        </w:rPr>
        <w:t>גט מעושה</w:t>
      </w:r>
      <w:r>
        <w:rPr>
          <w:rFonts w:ascii="Arial" w:hAnsi="Arial" w:cs="Arial" w:eastAsia="Arial"/>
          <w:color w:val="1F2430"/>
          <w:sz w:val="19"/>
          <w:szCs w:val="19"/>
          <w:rtl/>
        </w:rPr>
        <w:t xml:space="preserve"> ("אונס ממון"). המלצה על תביעה כזו עלולה להיות רשלנות מקצועית.</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1.1.1974, לפי מועד ה</w:t>
      </w:r>
      <w:r>
        <w:rPr>
          <w:rFonts w:ascii="Arial" w:hAnsi="Arial" w:cs="Arial" w:eastAsia="Arial"/>
          <w:color w:val="1F2430"/>
          <w:sz w:val="19"/>
          <w:szCs w:val="19"/>
          <w:highlight w:val="yellow"/>
          <w:rtl/>
        </w:rPr>
        <w:t>נישואין</w:t>
      </w:r>
      <w:r>
        <w:rPr>
          <w:rFonts w:ascii="Arial" w:hAnsi="Arial" w:cs="Arial" w:eastAsia="Arial"/>
          <w:color w:val="1F2430"/>
          <w:sz w:val="19"/>
          <w:szCs w:val="19"/>
          <w:rtl/>
        </w:rPr>
        <w:t>. ידועים בציבור: לא חל.</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4 הפרדה; ס' 5 מחצית השווי, בסוף, אובליגטורי; שלושה חריגים; 5(ג) פנסיה וחסכונות.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6: נטו, מחצית ההפרש. ס' 7: הברחה "כאילו עדיין שלו". ס' 9: הרישום אינו מכריע.</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8(2): נסיבות מיוחדות. בגידה לא (8928/06), ניסיון רצח יכול (7272/10).</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יעקובי, אבו רומי, 10734/06: דין כללי. 1398/11: דבר מה נוסף. 4602/13 בדיון נוסף: בגידה לא מוחקת שיתוף שהתגבש.</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5א: בקשה, ושנה מהליך או קרע (9 מתוך 12). בגידה אינה אוטומטית מועד הקרע.</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13(ב): בית הדין כפוף, אלא בהסכמה מפורשת. ס' 17: כתובה, בלי כפל.</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חוק 2014: חשבון נפרד, יתרה במועד הפירוד ותשואה.</w:t>
      </w:r>
    </w:p>
    <w:tbl>
      <w:tblPr>
        <w:tblW w:type="dxa" w:w="10206"/>
        <w:tblLook w:firstColumn="1" w:firstRow="1" w:lastColumn="0" w:lastRow="0" w:noHBand="0" w:noVBand="1" w:val="04A0"/>
        <w:bidiVisual/>
        <w:tblLayout w:type="fixed"/>
      </w:tblPr>
      <w:tblGrid>
        <w:gridCol w:w="10206"/>
      </w:tblGrid>
      <w:tr>
        <w:tc>
          <w:tcPr>
            <w:tcW w:type="dxa" w:w="10205"/>
            <w:shd w:val="clear" w:color="auto" w:fill="2C3E70"/>
            <w:tcBorders>
              <w:top w:val="single" w:sz="4" w:space="0" w:color="2C3E70"/>
              <w:left w:val="single" w:sz="4" w:space="0" w:color="2C3E70"/>
              <w:bottom w:val="single" w:sz="4" w:space="0" w:color="2C3E70"/>
              <w:right w:val="single" w:sz="4" w:space="0" w:color="2C3E7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13</w:t>
            </w:r>
          </w:p>
          <w:p>
            <w:pPr>
              <w:bidi/>
              <w:spacing w:before="0" w:after="0" w:line="264" w:lineRule="auto"/>
              <w:outlineLvl w:val="0"/>
            </w:pPr>
            <w:r>
              <w:rPr>
                <w:rFonts w:ascii="Arial" w:hAnsi="Arial" w:cs="Arial" w:eastAsia="Arial"/>
                <w:b/>
                <w:bCs/>
                <w:color w:val="FFFFFF"/>
                <w:sz w:val="42"/>
                <w:szCs w:val="42"/>
                <w:rtl/>
              </w:rPr>
              <w:t>הסכמי ממון ונספח ירושה על פי דין</w:t>
            </w:r>
          </w:p>
        </w:tc>
      </w:tr>
    </w:tbl>
    <w:p>
      <w:pPr>
        <w:bidi/>
        <w:spacing w:after="0" w:before="0" w:line="20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עיקרון היסוד</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דיני החוזים: הסכם תקף בלי אישור, גם בעל פה. </w:t>
      </w:r>
      <w:r>
        <w:rPr>
          <w:rFonts w:ascii="Arial" w:hAnsi="Arial" w:cs="Arial" w:eastAsia="Arial"/>
          <w:b/>
          <w:bCs/>
          <w:color w:val="1F2430"/>
          <w:sz w:val="19"/>
          <w:szCs w:val="19"/>
          <w:rtl/>
        </w:rPr>
        <w:t>הסכם ממון בין נשואים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כתב + אישור</w:t>
      </w:r>
      <w:r>
        <w:rPr>
          <w:rFonts w:ascii="Arial" w:hAnsi="Arial" w:cs="Arial" w:eastAsia="Arial"/>
          <w:color w:val="1F2430"/>
          <w:sz w:val="19"/>
          <w:szCs w:val="19"/>
          <w:rtl/>
        </w:rPr>
        <w:t>, ובלי אישור הוא בטל.</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הרציונל: יחסים עדינים, פער כוחות, ובדיקה של גמירות דעת.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גרניט (תמ"ש 37181/97)</w:t>
      </w:r>
      <w:r>
        <w:rPr>
          <w:rFonts w:ascii="Arial" w:hAnsi="Arial" w:cs="Arial" w:eastAsia="Arial"/>
          <w:color w:val="1F2430"/>
          <w:sz w:val="19"/>
          <w:szCs w:val="19"/>
          <w:rtl/>
        </w:rPr>
        <w:t xml:space="preserve">: רוב הסכמי הממון הם </w:t>
      </w:r>
      <w:r>
        <w:rPr>
          <w:rFonts w:ascii="Arial" w:hAnsi="Arial" w:cs="Arial" w:eastAsia="Arial"/>
          <w:color w:val="1F2430"/>
          <w:sz w:val="19"/>
          <w:szCs w:val="19"/>
          <w:highlight w:val="yellow"/>
          <w:rtl/>
        </w:rPr>
        <w:t>חלק מהסכם גירושין</w:t>
      </w:r>
      <w:r>
        <w:rPr>
          <w:rFonts w:ascii="Arial" w:hAnsi="Arial" w:cs="Arial" w:eastAsia="Arial"/>
          <w:color w:val="1F2430"/>
          <w:sz w:val="19"/>
          <w:szCs w:val="19"/>
          <w:rtl/>
        </w:rPr>
        <w:t>. מניעים זרים: הברחת נכסים מנושים, בגידה ושלום בית, נישואין שניים.</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שמגר (קנובלר)</w:t>
      </w:r>
      <w:r>
        <w:rPr>
          <w:rFonts w:ascii="Arial" w:hAnsi="Arial" w:cs="Arial" w:eastAsia="Arial"/>
          <w:color w:val="1F2430"/>
          <w:sz w:val="19"/>
          <w:szCs w:val="19"/>
          <w:rtl/>
        </w:rPr>
        <w:t xml:space="preserve">: החוק דיספוזיטיבי ("חזון"), אבל במציאות מעטים עורכים הסכם בגלל </w:t>
      </w:r>
      <w:r>
        <w:rPr>
          <w:rFonts w:ascii="Arial" w:hAnsi="Arial" w:cs="Arial" w:eastAsia="Arial"/>
          <w:color w:val="1F2430"/>
          <w:sz w:val="19"/>
          <w:szCs w:val="19"/>
          <w:highlight w:val="yellow"/>
          <w:rtl/>
        </w:rPr>
        <w:t>הקושי הרגשי</w:t>
      </w:r>
      <w:r>
        <w:rPr>
          <w:rFonts w:ascii="Arial" w:hAnsi="Arial" w:cs="Arial" w:eastAsia="Arial"/>
          <w:color w:val="1F2430"/>
          <w:sz w:val="19"/>
          <w:szCs w:val="19"/>
          <w:rtl/>
        </w:rPr>
        <w:t>. אין לראות בכך מחדל.</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תחולה: סעיף 14 + מועד ההסכם</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14</w:t>
      </w:r>
      <w:r>
        <w:rPr>
          <w:rFonts w:ascii="Arial" w:hAnsi="Arial" w:cs="Arial" w:eastAsia="Arial"/>
          <w:color w:val="1F2430"/>
          <w:sz w:val="19"/>
          <w:szCs w:val="19"/>
          <w:rtl/>
        </w:rPr>
        <w:t>: הפרק השני (איזון, סעיף 3 ואילך) לא חל על מי שנישא לפני 1.1.1974. מכאן ש</w:t>
      </w:r>
      <w:r>
        <w:rPr>
          <w:rFonts w:ascii="Arial" w:hAnsi="Arial" w:cs="Arial" w:eastAsia="Arial"/>
          <w:color w:val="1F2430"/>
          <w:sz w:val="19"/>
          <w:szCs w:val="19"/>
          <w:highlight w:val="yellow"/>
          <w:rtl/>
        </w:rPr>
        <w:t>סעיפים 1–2 חלים על כולם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הכלל: </w:t>
      </w:r>
      <w:r>
        <w:rPr>
          <w:rFonts w:ascii="Arial" w:hAnsi="Arial" w:cs="Arial" w:eastAsia="Arial"/>
          <w:color w:val="1F2430"/>
          <w:sz w:val="19"/>
          <w:szCs w:val="19"/>
          <w:highlight w:val="yellow"/>
          <w:rtl/>
        </w:rPr>
        <w:t>מועד עריכת ההסכם קובע, לא מועד הנישואין</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2376"/>
        <w:gridCol w:w="4334"/>
        <w:gridCol w:w="3495"/>
      </w:tblGrid>
      <w:tr>
        <w:trPr>
          <w:tblHeader/>
        </w:trPr>
        <w:tc>
          <w:tcPr>
            <w:tcW w:type="dxa" w:w="2376"/>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נישואין / הסכם</w:t>
            </w:r>
          </w:p>
        </w:tc>
        <w:tc>
          <w:tcPr>
            <w:tcW w:type="dxa" w:w="433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תוקף ההסכם</w:t>
            </w:r>
          </w:p>
        </w:tc>
        <w:tc>
          <w:tcPr>
            <w:tcW w:type="dxa" w:w="3495"/>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אם אינו תקף</w:t>
            </w:r>
          </w:p>
        </w:tc>
      </w:tr>
      <w:tr>
        <w:trPr>
          <w:cantSplit/>
        </w:trPr>
        <w:tc>
          <w:tcPr>
            <w:tcW w:type="dxa" w:w="237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לפני 74 / לפני 74</w:t>
            </w:r>
          </w:p>
        </w:tc>
        <w:tc>
          <w:tcPr>
            <w:tcW w:type="dxa" w:w="43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דיני חוזים, גם בעל פה</w:t>
            </w:r>
          </w:p>
        </w:tc>
        <w:tc>
          <w:tcPr>
            <w:tcW w:type="dxa" w:w="3495"/>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הלכת השיתוף</w:t>
            </w:r>
          </w:p>
        </w:tc>
      </w:tr>
      <w:tr>
        <w:trPr>
          <w:cantSplit/>
        </w:trPr>
        <w:tc>
          <w:tcPr>
            <w:tcW w:type="dxa" w:w="237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לפני 74 / אחרי 74</w:t>
            </w:r>
          </w:p>
        </w:tc>
        <w:tc>
          <w:tcPr>
            <w:tcW w:type="dxa" w:w="43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כתב + אישור</w:t>
            </w:r>
          </w:p>
        </w:tc>
        <w:tc>
          <w:tcPr>
            <w:tcW w:type="dxa" w:w="3495"/>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הלכת השיתוף</w:t>
            </w:r>
          </w:p>
        </w:tc>
      </w:tr>
      <w:tr>
        <w:trPr>
          <w:cantSplit/>
        </w:trPr>
        <w:tc>
          <w:tcPr>
            <w:tcW w:type="dxa" w:w="237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אחרי 74 / אחרי 74</w:t>
            </w:r>
          </w:p>
        </w:tc>
        <w:tc>
          <w:tcPr>
            <w:tcW w:type="dxa" w:w="43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כתב + אישור</w:t>
            </w:r>
          </w:p>
        </w:tc>
        <w:tc>
          <w:tcPr>
            <w:tcW w:type="dxa" w:w="3495"/>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איזון משאבים (+ דין כללי)</w:t>
            </w:r>
          </w:p>
        </w:tc>
      </w:tr>
      <w:tr>
        <w:trPr>
          <w:cantSplit/>
        </w:trPr>
        <w:tc>
          <w:tcPr>
            <w:tcW w:type="dxa" w:w="237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ידועים בציבור</w:t>
            </w:r>
          </w:p>
        </w:tc>
        <w:tc>
          <w:tcPr>
            <w:tcW w:type="dxa" w:w="43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דיני חוזים; אישור רשות לפי 3(ג)</w:t>
            </w:r>
          </w:p>
        </w:tc>
        <w:tc>
          <w:tcPr>
            <w:tcW w:type="dxa" w:w="3495"/>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הלכת השיתוף</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סעיף 1: כתב, והגדרת "הסכם ממון"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"הסכם בין בני זוג המסדיר יחסי ממון... ושינוי של הסכם כזה, יהיו בכתב".</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"בני זוג" = נשואים בלבד</w:t>
      </w:r>
      <w:r>
        <w:rPr>
          <w:rFonts w:ascii="Arial" w:hAnsi="Arial" w:cs="Arial" w:eastAsia="Arial"/>
          <w:color w:val="1F2430"/>
          <w:sz w:val="19"/>
          <w:szCs w:val="19"/>
          <w:rtl/>
        </w:rPr>
        <w:t>, כי סעיף 5 מדבר על גירושין.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דרישת כתב חריגה, כמו במקרקעין.</w:t>
      </w:r>
    </w:p>
    <w:tbl>
      <w:tblPr>
        <w:tblW w:type="dxa" w:w="10206"/>
        <w:jc w:val="center"/>
        <w:tblLook w:firstColumn="1" w:firstRow="1" w:lastColumn="0" w:lastRow="0" w:noHBand="0" w:noVBand="1" w:val="04A0"/>
        <w:bidiVisual/>
        <w:tblLayout w:type="fixed"/>
      </w:tblPr>
      <w:tblGrid>
        <w:gridCol w:w="1556"/>
        <w:gridCol w:w="2421"/>
        <w:gridCol w:w="4843"/>
        <w:gridCol w:w="1383"/>
      </w:tblGrid>
      <w:tr>
        <w:trPr>
          <w:tblHeader/>
        </w:trPr>
        <w:tc>
          <w:tcPr>
            <w:tcW w:type="dxa" w:w="155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מבחן</w:t>
            </w:r>
          </w:p>
        </w:tc>
        <w:tc>
          <w:tcPr>
            <w:tcW w:type="dxa" w:w="2421"/>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4843"/>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c>
          <w:tcPr>
            <w:tcW w:type="dxa" w:w="138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w:t>
            </w:r>
          </w:p>
        </w:tc>
      </w:tr>
      <w:tr>
        <w:trPr>
          <w:cantSplit/>
        </w:trPr>
        <w:tc>
          <w:tcPr>
            <w:tcW w:type="dxa" w:w="155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היקף</w:t>
            </w:r>
          </w:p>
        </w:tc>
        <w:tc>
          <w:tcPr>
            <w:tcW w:type="dxa" w:w="242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רוזן-צבי</w:t>
            </w:r>
          </w:p>
        </w:tc>
        <w:tc>
          <w:tcPr>
            <w:tcW w:type="dxa" w:w="484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הסדר כולל של כל הרכוש</w:t>
            </w:r>
          </w:p>
        </w:tc>
        <w:tc>
          <w:tcPr>
            <w:tcW w:type="dxa" w:w="138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נדחה</w:t>
            </w:r>
          </w:p>
        </w:tc>
      </w:tr>
      <w:tr>
        <w:trPr>
          <w:cantSplit/>
        </w:trPr>
        <w:tc>
          <w:tcPr>
            <w:tcW w:type="dxa" w:w="155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highlight w:val="yellow"/>
                <w:rtl/>
              </w:rPr>
              <w:t>תכלית</w:t>
            </w:r>
          </w:p>
        </w:tc>
        <w:tc>
          <w:tcPr>
            <w:tcW w:type="dxa" w:w="242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בן-פורת, שרעבי</w:t>
            </w:r>
          </w:p>
        </w:tc>
        <w:tc>
          <w:tcPr>
            <w:tcW w:type="dxa" w:w="484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highlight w:val="yellow"/>
                <w:rtl/>
              </w:rPr>
              <w:t>צופה פני גירושין או מוות</w:t>
            </w:r>
          </w:p>
        </w:tc>
        <w:tc>
          <w:tcPr>
            <w:tcW w:type="dxa" w:w="138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שרשראות פסיקה: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ע"א 169/83 שי (שרעבי)</w:t>
      </w:r>
      <w:r>
        <w:rPr>
          <w:rFonts w:ascii="Arial" w:hAnsi="Arial" w:cs="Arial" w:eastAsia="Arial"/>
          <w:color w:val="1F2430"/>
          <w:sz w:val="19"/>
          <w:szCs w:val="19"/>
          <w:rtl/>
        </w:rPr>
        <w:t xml:space="preserve"> → נישאו ב-1976. הבעל התחייב להעביר לאישה חצי דירה, ונקבע: "אם נסתכסך — נמכור ונתחלק; במוות — לנותר בחיים". לא אושר, והבעל התחרט → צופה פני גירושין ומוות, ולכן הסכם ממון → </w:t>
      </w:r>
      <w:r>
        <w:rPr>
          <w:rFonts w:ascii="Arial" w:hAnsi="Arial" w:cs="Arial" w:eastAsia="Arial"/>
          <w:color w:val="1F2430"/>
          <w:sz w:val="19"/>
          <w:szCs w:val="19"/>
          <w:highlight w:val="yellow"/>
          <w:rtl/>
        </w:rPr>
        <w:t>בטל</w:t>
      </w:r>
      <w:r>
        <w:rPr>
          <w:rFonts w:ascii="Arial" w:hAnsi="Arial" w:cs="Arial" w:eastAsia="Arial"/>
          <w:color w:val="1F2430"/>
          <w:sz w:val="19"/>
          <w:szCs w:val="19"/>
          <w:rtl/>
        </w:rPr>
        <w:t>. האישה טענה למתנה, והטענה נדחתה.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תמ"ש (ת"א) 12453/05 (BMW)</w:t>
      </w:r>
      <w:r>
        <w:rPr>
          <w:rFonts w:ascii="Arial" w:hAnsi="Arial" w:cs="Arial" w:eastAsia="Arial"/>
          <w:color w:val="1F2430"/>
          <w:sz w:val="19"/>
          <w:szCs w:val="19"/>
          <w:rtl/>
        </w:rPr>
        <w:t xml:space="preserve"> → מתנה + פתק "אינו נכלל במניין הרכוש המשותף" → צופה גירושין, ולכן הסכם ממון. לא אושר, ולכן לכאורה בטל → אבל </w:t>
      </w:r>
      <w:r>
        <w:rPr>
          <w:rFonts w:ascii="Arial" w:hAnsi="Arial" w:cs="Arial" w:eastAsia="Arial"/>
          <w:color w:val="1F2430"/>
          <w:sz w:val="19"/>
          <w:szCs w:val="19"/>
          <w:highlight w:val="yellow"/>
          <w:rtl/>
        </w:rPr>
        <w:t>תום לב ומניעות</w:t>
      </w:r>
      <w:r>
        <w:rPr>
          <w:rFonts w:ascii="Arial" w:hAnsi="Arial" w:cs="Arial" w:eastAsia="Arial"/>
          <w:color w:val="1F2430"/>
          <w:sz w:val="19"/>
          <w:szCs w:val="19"/>
          <w:rtl/>
        </w:rPr>
        <w:t xml:space="preserve"> (ע"א 486/87 אבידור): הבעל מושתק, והרכב נשאר של האישה.</w:t>
      </w:r>
    </w:p>
    <w:p>
      <w:pPr>
        <w:bidi/>
        <w:spacing w:before="0" w:after="100" w:line="300" w:lineRule="auto"/>
        <w:jc w:val="both"/>
      </w:pPr>
      <w:r>
        <w:rPr>
          <w:rFonts w:ascii="Arial" w:hAnsi="Arial" w:cs="Arial" w:eastAsia="Arial"/>
          <w:b/>
          <w:bCs/>
          <w:color w:val="1F2430"/>
          <w:sz w:val="19"/>
          <w:szCs w:val="19"/>
          <w:rtl/>
        </w:rPr>
        <w:t>דוגמאות:</w:t>
      </w:r>
      <w:r>
        <w:rPr>
          <w:rFonts w:ascii="Arial" w:hAnsi="Arial" w:cs="Arial" w:eastAsia="Arial"/>
          <w:color w:val="1F2430"/>
          <w:sz w:val="19"/>
          <w:szCs w:val="19"/>
          <w:rtl/>
        </w:rPr>
        <w:t xml:space="preserve"> הפקדה חודשית לקופה משותפת — לא הסכם ממון (אין צפי לעתיד). העברה חד פעמית של 100,000 ש"ח — לא. "נכס X לא ייכלל בחלוקה" — אם אושר, הסכם ממון; אם לא, אולי סעיף 5(א)(3).</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סעיף 2: האישור</w:t>
      </w:r>
    </w:p>
    <w:tbl>
      <w:tblPr>
        <w:tblW w:type="dxa" w:w="10206"/>
        <w:jc w:val="center"/>
        <w:tblLook w:firstColumn="1" w:firstRow="1" w:lastColumn="0" w:lastRow="0" w:noHBand="0" w:noVBand="1" w:val="04A0"/>
        <w:bidiVisual/>
        <w:tblLayout w:type="fixed"/>
      </w:tblPr>
      <w:tblGrid>
        <w:gridCol w:w="2738"/>
        <w:gridCol w:w="7467"/>
      </w:tblGrid>
      <w:tr>
        <w:trPr>
          <w:tblHeader/>
        </w:trPr>
        <w:tc>
          <w:tcPr>
            <w:tcW w:type="dxa" w:w="2738"/>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מועד</w:t>
            </w:r>
          </w:p>
        </w:tc>
        <w:tc>
          <w:tcPr>
            <w:tcW w:type="dxa" w:w="746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מאשרים</w:t>
            </w:r>
          </w:p>
        </w:tc>
      </w:tr>
      <w:tr>
        <w:trPr>
          <w:cantSplit/>
        </w:trPr>
        <w:tc>
          <w:tcPr>
            <w:tcW w:type="dxa" w:w="273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לפני הנישואין או בשעתם</w:t>
            </w:r>
          </w:p>
        </w:tc>
        <w:tc>
          <w:tcPr>
            <w:tcW w:type="dxa" w:w="746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4</w:t>
            </w:r>
            <w:r>
              <w:rPr>
                <w:rFonts w:ascii="Arial" w:hAnsi="Arial" w:cs="Arial" w:eastAsia="Arial"/>
                <w:color w:val="1F2430"/>
                <w:sz w:val="17"/>
                <w:szCs w:val="17"/>
                <w:rtl/>
              </w:rPr>
              <w:t>: בית משפט לענייני משפחה, בית דין דתי, רושם נישואין (2(ג)), נוטריון (2(ג1))</w:t>
            </w:r>
          </w:p>
        </w:tc>
      </w:tr>
      <w:tr>
        <w:trPr>
          <w:cantSplit/>
        </w:trPr>
        <w:tc>
          <w:tcPr>
            <w:tcW w:type="dxa" w:w="273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במהלך הנישואין</w:t>
            </w:r>
          </w:p>
        </w:tc>
        <w:tc>
          <w:tcPr>
            <w:tcW w:type="dxa" w:w="746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highlight w:val="yellow"/>
                <w:rtl/>
              </w:rPr>
              <w:t>2</w:t>
            </w:r>
            <w:r>
              <w:rPr>
                <w:rFonts w:ascii="Arial" w:hAnsi="Arial" w:cs="Arial" w:eastAsia="Arial"/>
                <w:color w:val="1F2430"/>
                <w:sz w:val="17"/>
                <w:szCs w:val="17"/>
                <w:rtl/>
              </w:rPr>
              <w:t>: בית משפט, בית דין</w:t>
            </w:r>
          </w:p>
        </w:tc>
      </w:tr>
      <w:tr>
        <w:trPr>
          <w:cantSplit/>
        </w:trPr>
        <w:tc>
          <w:tcPr>
            <w:tcW w:type="dxa" w:w="273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בהסכם גירושין</w:t>
            </w:r>
          </w:p>
        </w:tc>
        <w:tc>
          <w:tcPr>
            <w:tcW w:type="dxa" w:w="746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2</w:t>
            </w:r>
            <w:r>
              <w:rPr>
                <w:rFonts w:ascii="Arial" w:hAnsi="Arial" w:cs="Arial" w:eastAsia="Arial"/>
                <w:color w:val="1F2430"/>
                <w:sz w:val="17"/>
                <w:szCs w:val="17"/>
                <w:rtl/>
              </w:rPr>
              <w:t>: בית משפט, בית דין (2(ד) — הסכם שאושר בפסק דין להתרת נישואין)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2(ב)</w:t>
      </w:r>
      <w:r>
        <w:rPr>
          <w:rFonts w:ascii="Arial" w:hAnsi="Arial" w:cs="Arial" w:eastAsia="Arial"/>
          <w:color w:val="1F2430"/>
          <w:sz w:val="19"/>
          <w:szCs w:val="19"/>
          <w:rtl/>
        </w:rPr>
        <w:t>: אישור רק לאחר שהערכאה השתכנעה ב</w:t>
      </w:r>
      <w:r>
        <w:rPr>
          <w:rFonts w:ascii="Arial" w:hAnsi="Arial" w:cs="Arial" w:eastAsia="Arial"/>
          <w:color w:val="1F2430"/>
          <w:sz w:val="19"/>
          <w:szCs w:val="19"/>
          <w:highlight w:val="yellow"/>
          <w:rtl/>
        </w:rPr>
        <w:t>"הסכמה חפשית ובהבינם את משמעותו ואת תוצאותיו"</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2(א)</w:t>
      </w:r>
      <w:r>
        <w:rPr>
          <w:rFonts w:ascii="Arial" w:hAnsi="Arial" w:cs="Arial" w:eastAsia="Arial"/>
          <w:color w:val="1F2430"/>
          <w:sz w:val="19"/>
          <w:szCs w:val="19"/>
          <w:rtl/>
        </w:rPr>
        <w:t xml:space="preserve">: גם </w:t>
      </w:r>
      <w:r>
        <w:rPr>
          <w:rFonts w:ascii="Arial" w:hAnsi="Arial" w:cs="Arial" w:eastAsia="Arial"/>
          <w:color w:val="1F2430"/>
          <w:sz w:val="19"/>
          <w:szCs w:val="19"/>
          <w:highlight w:val="yellow"/>
          <w:rtl/>
        </w:rPr>
        <w:t>שינוי</w:t>
      </w:r>
      <w:r>
        <w:rPr>
          <w:rFonts w:ascii="Arial" w:hAnsi="Arial" w:cs="Arial" w:eastAsia="Arial"/>
          <w:color w:val="1F2430"/>
          <w:sz w:val="19"/>
          <w:szCs w:val="19"/>
          <w:rtl/>
        </w:rPr>
        <w:t xml:space="preserve"> ההסכם טעון אישור.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"התרת נישואין"</w:t>
      </w:r>
      <w:r>
        <w:rPr>
          <w:rFonts w:ascii="Arial" w:hAnsi="Arial" w:cs="Arial" w:eastAsia="Arial"/>
          <w:color w:val="1F2430"/>
          <w:sz w:val="19"/>
          <w:szCs w:val="19"/>
          <w:rtl/>
        </w:rPr>
        <w:t xml:space="preserve"> = גירושין, ביטול, הכרזת בטלות, פירוד לפי דין דתי.</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רושם הנישואין</w:t>
      </w:r>
      <w:r>
        <w:rPr>
          <w:rFonts w:ascii="Arial" w:hAnsi="Arial" w:cs="Arial" w:eastAsia="Arial"/>
          <w:color w:val="1F2430"/>
          <w:sz w:val="19"/>
          <w:szCs w:val="19"/>
          <w:rtl/>
        </w:rPr>
        <w:t xml:space="preserve"> = הרבנות. הסעיף כמעט לא שמיש, ולכן נוסף </w:t>
      </w:r>
      <w:r>
        <w:rPr>
          <w:rFonts w:ascii="Arial" w:hAnsi="Arial" w:cs="Arial" w:eastAsia="Arial"/>
          <w:b/>
          <w:bCs/>
          <w:color w:val="1F2430"/>
          <w:sz w:val="19"/>
          <w:szCs w:val="19"/>
          <w:rtl/>
        </w:rPr>
        <w:t>2(ג1)</w:t>
      </w:r>
      <w:r>
        <w:rPr>
          <w:rFonts w:ascii="Arial" w:hAnsi="Arial" w:cs="Arial" w:eastAsia="Arial"/>
          <w:color w:val="1F2430"/>
          <w:sz w:val="19"/>
          <w:szCs w:val="19"/>
          <w:rtl/>
        </w:rPr>
        <w:t xml:space="preserve"> — הנוטריון, שגם הוא חייב לבדוק הבנה והסכמה.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אחרי הנישואין אין סומכים על נוטריון או רושם, בגלל חשש לאלימות או סחיטה.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בפועל</w:t>
      </w:r>
      <w:r>
        <w:rPr>
          <w:rFonts w:ascii="Arial" w:hAnsi="Arial" w:cs="Arial" w:eastAsia="Arial"/>
          <w:color w:val="1F2430"/>
          <w:sz w:val="19"/>
          <w:szCs w:val="19"/>
          <w:rtl/>
        </w:rPr>
        <w:t xml:space="preserve"> השופט בוחן "מלמעלה", יכול להעיר ולשלוח לייעוץ, אבל </w:t>
      </w:r>
      <w:r>
        <w:rPr>
          <w:rFonts w:ascii="Arial" w:hAnsi="Arial" w:cs="Arial" w:eastAsia="Arial"/>
          <w:color w:val="1F2430"/>
          <w:sz w:val="19"/>
          <w:szCs w:val="19"/>
          <w:highlight w:val="yellow"/>
          <w:rtl/>
        </w:rPr>
        <w:t>אינו יכול לסרב</w:t>
      </w:r>
      <w:r>
        <w:rPr>
          <w:rFonts w:ascii="Arial" w:hAnsi="Arial" w:cs="Arial" w:eastAsia="Arial"/>
          <w:color w:val="1F2430"/>
          <w:sz w:val="19"/>
          <w:szCs w:val="19"/>
          <w:rtl/>
        </w:rPr>
        <w:t xml:space="preserve"> לזוג שמבין ומתעקש.</w:t>
      </w:r>
    </w:p>
    <w:p>
      <w:pPr>
        <w:bidi/>
        <w:spacing w:before="0" w:after="100" w:line="300" w:lineRule="auto"/>
        <w:jc w:val="both"/>
      </w:pPr>
      <w:r>
        <w:rPr>
          <w:rFonts w:ascii="Arial" w:hAnsi="Arial" w:cs="Arial" w:eastAsia="Arial"/>
          <w:b/>
          <w:bCs/>
          <w:color w:val="1F2430"/>
          <w:sz w:val="19"/>
          <w:szCs w:val="19"/>
          <w:rtl/>
        </w:rPr>
        <w:t>שרשראות: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ע"א 4/80 מונק</w:t>
      </w:r>
      <w:r>
        <w:rPr>
          <w:rFonts w:ascii="Arial" w:hAnsi="Arial" w:cs="Arial" w:eastAsia="Arial"/>
          <w:color w:val="1F2430"/>
          <w:sz w:val="19"/>
          <w:szCs w:val="19"/>
          <w:rtl/>
        </w:rPr>
        <w:t xml:space="preserve"> → חוק מיוחד, "תוספת על דיני החוזים"; אין תוקף אלא אם הוכח רצון חופשי בלי לחץ והבנת התוצאות → </w:t>
      </w:r>
      <w:r>
        <w:rPr>
          <w:rFonts w:ascii="Arial" w:hAnsi="Arial" w:cs="Arial" w:eastAsia="Arial"/>
          <w:color w:val="1F2430"/>
          <w:sz w:val="19"/>
          <w:szCs w:val="19"/>
          <w:highlight w:val="yellow"/>
          <w:rtl/>
        </w:rPr>
        <w:t>נטל גבוה במיוחד</w:t>
      </w:r>
      <w:r>
        <w:rPr>
          <w:rFonts w:ascii="Arial" w:hAnsi="Arial" w:cs="Arial" w:eastAsia="Arial"/>
          <w:color w:val="1F2430"/>
          <w:sz w:val="19"/>
          <w:szCs w:val="19"/>
          <w:rtl/>
        </w:rPr>
        <w:t xml:space="preserve"> לביטול. ההסכם המאושר "ברזלי".</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ע"א 640/82 כהן</w:t>
      </w:r>
      <w:r>
        <w:rPr>
          <w:rFonts w:ascii="Arial" w:hAnsi="Arial" w:cs="Arial" w:eastAsia="Arial"/>
          <w:color w:val="1F2430"/>
          <w:sz w:val="19"/>
          <w:szCs w:val="19"/>
          <w:rtl/>
        </w:rPr>
        <w:t xml:space="preserve"> → כהן וגרושה בטקס פרטי ביקשו אישור. בית המשפט דרש הוכחת נישואין → בבית הדין הגדול נקבעו "נשואים מספק" → חזרו לבקש אישור. מסקנה: אישור לפי חוק יחסי ממון ניתן </w:t>
      </w:r>
      <w:r>
        <w:rPr>
          <w:rFonts w:ascii="Arial" w:hAnsi="Arial" w:cs="Arial" w:eastAsia="Arial"/>
          <w:color w:val="1F2430"/>
          <w:sz w:val="19"/>
          <w:szCs w:val="19"/>
          <w:highlight w:val="yellow"/>
          <w:rtl/>
        </w:rPr>
        <w:t>לנשואים בלבד</w:t>
      </w:r>
      <w:r>
        <w:rPr>
          <w:rFonts w:ascii="Arial" w:hAnsi="Arial" w:cs="Arial" w:eastAsia="Arial"/>
          <w:color w:val="1F2430"/>
          <w:sz w:val="19"/>
          <w:szCs w:val="19"/>
          <w:rtl/>
        </w:rPr>
        <w:t xml:space="preserve"> (פרק 8).</w:t>
      </w:r>
    </w:p>
    <w:p>
      <w:pPr>
        <w:bidi/>
        <w:spacing w:before="0" w:after="100" w:line="300" w:lineRule="auto"/>
        <w:jc w:val="both"/>
      </w:pPr>
      <w:r>
        <w:rPr>
          <w:rFonts w:ascii="Arial" w:hAnsi="Arial" w:cs="Arial" w:eastAsia="Arial"/>
          <w:b/>
          <w:bCs/>
          <w:color w:val="1F2430"/>
          <w:sz w:val="19"/>
          <w:szCs w:val="19"/>
          <w:rtl/>
        </w:rPr>
        <w:t>סעיף 3(ג) לחוק בית המשפט לענייני משפחה: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אישור הסכם </w:t>
      </w:r>
      <w:r>
        <w:rPr>
          <w:rFonts w:ascii="Arial" w:hAnsi="Arial" w:cs="Arial" w:eastAsia="Arial"/>
          <w:color w:val="1F2430"/>
          <w:sz w:val="19"/>
          <w:szCs w:val="19"/>
          <w:highlight w:val="yellow"/>
          <w:rtl/>
        </w:rPr>
        <w:t>בלי תביעה תלויה ועומדת</w:t>
      </w:r>
      <w:r>
        <w:rPr>
          <w:rFonts w:ascii="Arial" w:hAnsi="Arial" w:cs="Arial" w:eastAsia="Arial"/>
          <w:color w:val="1F2430"/>
          <w:sz w:val="19"/>
          <w:szCs w:val="19"/>
          <w:rtl/>
        </w:rPr>
        <w:t>. בחוק להסדר התדיינויות, "בקשה לאישור הסכם" אינה "תובענה".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אישור ≠ תוקף של פסק דין</w:t>
      </w:r>
      <w:r>
        <w:rPr>
          <w:rFonts w:ascii="Arial" w:hAnsi="Arial" w:cs="Arial" w:eastAsia="Arial"/>
          <w:color w:val="1F2430"/>
          <w:sz w:val="19"/>
          <w:szCs w:val="19"/>
          <w:rtl/>
        </w:rPr>
        <w:t>. רק תוקף של פסק דין מאפשר הוצאה לפועל.</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החריג: סעיף 5(א)(3) — גמליאל</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5(א)(3): לא יאוזנו "נכסים שבני הזוג הסכימו </w:t>
      </w:r>
      <w:r>
        <w:rPr>
          <w:rFonts w:ascii="Arial" w:hAnsi="Arial" w:cs="Arial" w:eastAsia="Arial"/>
          <w:color w:val="1F2430"/>
          <w:sz w:val="19"/>
          <w:szCs w:val="19"/>
          <w:highlight w:val="yellow"/>
          <w:rtl/>
        </w:rPr>
        <w:t>בכתב</w:t>
      </w:r>
      <w:r>
        <w:rPr>
          <w:rFonts w:ascii="Arial" w:hAnsi="Arial" w:cs="Arial" w:eastAsia="Arial"/>
          <w:color w:val="1F2430"/>
          <w:sz w:val="19"/>
          <w:szCs w:val="19"/>
          <w:rtl/>
        </w:rPr>
        <w:t xml:space="preserve"> ששוויים לא יאוזן" — בלי דרישת אישור.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בג"ץ 10605/02 יפה גמליאל</w:t>
      </w:r>
      <w:r>
        <w:rPr>
          <w:rFonts w:ascii="Arial" w:hAnsi="Arial" w:cs="Arial" w:eastAsia="Arial"/>
          <w:color w:val="1F2430"/>
          <w:sz w:val="19"/>
          <w:szCs w:val="19"/>
          <w:rtl/>
        </w:rPr>
        <w:t xml:space="preserve"> → נישאו ב-1987. ב-1990 נרכשה דירה, רשומה על שניהם בגלל המשכנתא. נחתם בלי אישור: "אם נסתכסך — הכול לבעל". בית הדין הרבני: לא הסכם ממון, אבל </w:t>
      </w:r>
      <w:r>
        <w:rPr>
          <w:rFonts w:ascii="Arial" w:hAnsi="Arial" w:cs="Arial" w:eastAsia="Arial"/>
          <w:color w:val="1F2430"/>
          <w:sz w:val="19"/>
          <w:szCs w:val="19"/>
          <w:highlight w:val="yellow"/>
          <w:rtl/>
        </w:rPr>
        <w:t>מתנה דתית</w:t>
      </w:r>
      <w:r>
        <w:rPr>
          <w:rFonts w:ascii="Arial" w:hAnsi="Arial" w:cs="Arial" w:eastAsia="Arial"/>
          <w:color w:val="1F2430"/>
          <w:sz w:val="19"/>
          <w:szCs w:val="19"/>
          <w:rtl/>
        </w:rPr>
        <w:t xml:space="preserve"> → לבעל. בג"ץ (חיות): אין תוקף כהסכם ממון, ואסור להחיל דין דתי ברכוש. אבל לפי 3(א) + 5(א)(3) </w:t>
      </w:r>
      <w:r>
        <w:rPr>
          <w:rFonts w:ascii="Arial" w:hAnsi="Arial" w:cs="Arial" w:eastAsia="Arial"/>
          <w:color w:val="1F2430"/>
          <w:sz w:val="19"/>
          <w:szCs w:val="19"/>
          <w:highlight w:val="yellow"/>
          <w:rtl/>
        </w:rPr>
        <w:t>כתב מספיק</w:t>
      </w:r>
      <w:r>
        <w:rPr>
          <w:rFonts w:ascii="Arial" w:hAnsi="Arial" w:cs="Arial" w:eastAsia="Arial"/>
          <w:color w:val="1F2430"/>
          <w:sz w:val="19"/>
          <w:szCs w:val="19"/>
          <w:rtl/>
        </w:rPr>
        <w:t xml:space="preserve"> → הדירה כולה לבעל.</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המסקנה: ההסכם </w:t>
      </w:r>
      <w:r>
        <w:rPr>
          <w:rFonts w:ascii="Arial" w:hAnsi="Arial" w:cs="Arial" w:eastAsia="Arial"/>
          <w:color w:val="1F2430"/>
          <w:sz w:val="19"/>
          <w:szCs w:val="19"/>
          <w:highlight w:val="yellow"/>
          <w:rtl/>
        </w:rPr>
        <w:t>גובר על הטאבו</w:t>
      </w:r>
      <w:r>
        <w:rPr>
          <w:rFonts w:ascii="Arial" w:hAnsi="Arial" w:cs="Arial" w:eastAsia="Arial"/>
          <w:color w:val="1F2430"/>
          <w:sz w:val="19"/>
          <w:szCs w:val="19"/>
          <w:rtl/>
        </w:rPr>
        <w:t xml:space="preserve"> ועל רישום פיקטיבי. צד שלישי אינו מוגן; צריך להחתים את שני בני הזוג.</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המרצה</w:t>
      </w:r>
      <w:r>
        <w:rPr>
          <w:rFonts w:ascii="Arial" w:hAnsi="Arial" w:cs="Arial" w:eastAsia="Arial"/>
          <w:color w:val="1F2430"/>
          <w:sz w:val="19"/>
          <w:szCs w:val="19"/>
          <w:rtl/>
        </w:rPr>
        <w:t xml:space="preserve"> לשאלה איך זה מתיישב עם סעיפים 1–2: </w:t>
      </w:r>
      <w:r>
        <w:rPr>
          <w:rFonts w:ascii="Arial" w:hAnsi="Arial" w:cs="Arial" w:eastAsia="Arial"/>
          <w:color w:val="1F2430"/>
          <w:sz w:val="19"/>
          <w:szCs w:val="19"/>
          <w:highlight w:val="yellow"/>
          <w:rtl/>
        </w:rPr>
        <w:t>"צודק, אכן בעיה, ראה יפה גמליאל"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השופט עמית (אלמונית נ' פלוני)</w:t>
      </w:r>
      <w:r>
        <w:rPr>
          <w:rFonts w:ascii="Arial" w:hAnsi="Arial" w:cs="Arial" w:eastAsia="Arial"/>
          <w:color w:val="1F2430"/>
          <w:sz w:val="19"/>
          <w:szCs w:val="19"/>
          <w:rtl/>
        </w:rPr>
        <w:t xml:space="preserve">: אם הסכם לא אושר, התנהגות כמו השקעה ושיפוץ משותפים עשויה ליצור שיתוף ספציפי. הסכם מאושר — משקל חזק, אבל צריך גם </w:t>
      </w:r>
      <w:r>
        <w:rPr>
          <w:rFonts w:ascii="Arial" w:hAnsi="Arial" w:cs="Arial" w:eastAsia="Arial"/>
          <w:color w:val="1F2430"/>
          <w:sz w:val="19"/>
          <w:szCs w:val="19"/>
          <w:highlight w:val="yellow"/>
          <w:rtl/>
        </w:rPr>
        <w:t>להתנהל לפיו</w:t>
      </w:r>
      <w:r>
        <w:rPr>
          <w:rFonts w:ascii="Arial" w:hAnsi="Arial" w:cs="Arial" w:eastAsia="Arial"/>
          <w:color w:val="1F2430"/>
          <w:sz w:val="19"/>
          <w:szCs w:val="19"/>
          <w:rtl/>
        </w:rPr>
        <w:t>.</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תוכן ותכלית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3(א)</w:t>
      </w:r>
      <w:r>
        <w:rPr>
          <w:rFonts w:ascii="Arial" w:hAnsi="Arial" w:cs="Arial" w:eastAsia="Arial"/>
          <w:color w:val="1F2430"/>
          <w:sz w:val="19"/>
          <w:szCs w:val="19"/>
          <w:rtl/>
        </w:rPr>
        <w:t>: אין הסכם (או ההסכם אינו קובע אחרת) — רואים את בני הזוג כמסכימים לאיזון המשאבים "כמוסכם בהסכם ממון בעל תוקף". זהו "הסכם סטטוטורי".</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הסכם יכול: (1) להשאיר </w:t>
      </w:r>
      <w:r>
        <w:rPr>
          <w:rFonts w:ascii="Arial" w:hAnsi="Arial" w:cs="Arial" w:eastAsia="Arial"/>
          <w:color w:val="1F2430"/>
          <w:sz w:val="19"/>
          <w:szCs w:val="19"/>
          <w:highlight w:val="yellow"/>
          <w:rtl/>
        </w:rPr>
        <w:t>נכס חיצוני</w:t>
      </w:r>
      <w:r>
        <w:rPr>
          <w:rFonts w:ascii="Arial" w:hAnsi="Arial" w:cs="Arial" w:eastAsia="Arial"/>
          <w:color w:val="1F2430"/>
          <w:sz w:val="19"/>
          <w:szCs w:val="19"/>
          <w:rtl/>
        </w:rPr>
        <w:t xml:space="preserve"> בחוץ; (2) להשאיר </w:t>
      </w:r>
      <w:r>
        <w:rPr>
          <w:rFonts w:ascii="Arial" w:hAnsi="Arial" w:cs="Arial" w:eastAsia="Arial"/>
          <w:color w:val="1F2430"/>
          <w:sz w:val="19"/>
          <w:szCs w:val="19"/>
          <w:highlight w:val="yellow"/>
          <w:rtl/>
        </w:rPr>
        <w:t>נכסים פנימיים</w:t>
      </w:r>
      <w:r>
        <w:rPr>
          <w:rFonts w:ascii="Arial" w:hAnsi="Arial" w:cs="Arial" w:eastAsia="Arial"/>
          <w:color w:val="1F2430"/>
          <w:sz w:val="19"/>
          <w:szCs w:val="19"/>
          <w:rtl/>
        </w:rPr>
        <w:t xml:space="preserve"> בחוץ (משכורות; נפוץ אצל ידועים בציבור).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בהלכת השיתוף: יציאה </w:t>
      </w:r>
      <w:r>
        <w:rPr>
          <w:rFonts w:ascii="Arial" w:hAnsi="Arial" w:cs="Arial" w:eastAsia="Arial"/>
          <w:color w:val="1F2430"/>
          <w:sz w:val="19"/>
          <w:szCs w:val="19"/>
          <w:highlight w:val="yellow"/>
          <w:rtl/>
        </w:rPr>
        <w:t>רק בהסכם מפורש, לא משתמע</w:t>
      </w:r>
      <w:r>
        <w:rPr>
          <w:rFonts w:ascii="Arial" w:hAnsi="Arial" w:cs="Arial" w:eastAsia="Arial"/>
          <w:color w:val="1F2430"/>
          <w:sz w:val="19"/>
          <w:szCs w:val="19"/>
          <w:rtl/>
        </w:rPr>
        <w:t>. חשבון נפרד או רישום אינם מועילים.</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הפרדה בהתנהגות מועילה רק בנכס חיצוני</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נכס פנימי (משכורת, כושר השתכרות) — רק בהסכם ממון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מכירת דירה חיצונית וקניית דירה משותפת: השווי עלול להפוך משותף, אלא אם נכתב במפורש שהתמורה נשארת חיצונית.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לכאורה 5(א)(1) מוציא ממילא נכסים חיצוניים, אבל בגלל "דבר מה נוסף" (שיתוף ספציפי) ההסכם שוב חשוב.</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מזונות (פלונית/ברק)</w:t>
      </w:r>
      <w:r>
        <w:rPr>
          <w:rFonts w:ascii="Arial" w:hAnsi="Arial" w:cs="Arial" w:eastAsia="Arial"/>
          <w:color w:val="1F2430"/>
          <w:sz w:val="19"/>
          <w:szCs w:val="19"/>
          <w:rtl/>
        </w:rPr>
        <w:t xml:space="preserve">: היציאה מהחוזה המשתמע — </w:t>
      </w:r>
      <w:r>
        <w:rPr>
          <w:rFonts w:ascii="Arial" w:hAnsi="Arial" w:cs="Arial" w:eastAsia="Arial"/>
          <w:color w:val="1F2430"/>
          <w:sz w:val="19"/>
          <w:szCs w:val="19"/>
          <w:highlight w:val="yellow"/>
          <w:rtl/>
        </w:rPr>
        <w:t>הסכם מאושר שמזכיר מזונות במפורש</w:t>
      </w:r>
      <w:r>
        <w:rPr>
          <w:rFonts w:ascii="Arial" w:hAnsi="Arial" w:cs="Arial" w:eastAsia="Arial"/>
          <w:color w:val="1F2430"/>
          <w:sz w:val="19"/>
          <w:szCs w:val="19"/>
          <w:rtl/>
        </w:rPr>
        <w:t>. הפרדה רכושית לבדה לא מספיקה.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סמכות</w:t>
      </w:r>
      <w:r>
        <w:rPr>
          <w:rFonts w:ascii="Arial" w:hAnsi="Arial" w:cs="Arial" w:eastAsia="Arial"/>
          <w:color w:val="1F2430"/>
          <w:sz w:val="19"/>
          <w:szCs w:val="19"/>
          <w:rtl/>
        </w:rPr>
        <w:t xml:space="preserve">: הסכמה מראש לבית הדין הרבני אפשרית, אבל </w:t>
      </w:r>
      <w:r>
        <w:rPr>
          <w:rFonts w:ascii="Arial" w:hAnsi="Arial" w:cs="Arial" w:eastAsia="Arial"/>
          <w:color w:val="1F2430"/>
          <w:sz w:val="19"/>
          <w:szCs w:val="19"/>
          <w:highlight w:val="yellow"/>
          <w:rtl/>
        </w:rPr>
        <w:t>אי אפשר לחסום פנייה לבית המשפט</w:t>
      </w:r>
      <w:r>
        <w:rPr>
          <w:rFonts w:ascii="Arial" w:hAnsi="Arial" w:cs="Arial" w:eastAsia="Arial"/>
          <w:color w:val="1F2430"/>
          <w:sz w:val="19"/>
          <w:szCs w:val="19"/>
          <w:rtl/>
        </w:rPr>
        <w:t xml:space="preserve"> (המרצה; סעיף 9, איתן — פרק 4).</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ביטול הסכם מאושר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ע"א 5409/92 פגס</w:t>
      </w:r>
      <w:r>
        <w:rPr>
          <w:rFonts w:ascii="Arial" w:hAnsi="Arial" w:cs="Arial" w:eastAsia="Arial"/>
          <w:color w:val="1F2430"/>
          <w:sz w:val="19"/>
          <w:szCs w:val="19"/>
          <w:rtl/>
        </w:rPr>
        <w:t xml:space="preserve"> → אישה ויתרה על כל רכושה בהסכם גירושין מאושר, וטענה לאלימות → </w:t>
      </w:r>
      <w:r>
        <w:rPr>
          <w:rFonts w:ascii="Arial" w:hAnsi="Arial" w:cs="Arial" w:eastAsia="Arial"/>
          <w:b/>
          <w:bCs/>
          <w:color w:val="1F2430"/>
          <w:sz w:val="19"/>
          <w:szCs w:val="19"/>
          <w:rtl/>
        </w:rPr>
        <w:t>כפייה</w:t>
      </w:r>
      <w:r>
        <w:rPr>
          <w:rFonts w:ascii="Arial" w:hAnsi="Arial" w:cs="Arial" w:eastAsia="Arial"/>
          <w:color w:val="1F2430"/>
          <w:sz w:val="19"/>
          <w:szCs w:val="19"/>
          <w:rtl/>
        </w:rPr>
        <w:t xml:space="preserve"> (סעיף 17 לחוק החוזים) ו</w:t>
      </w:r>
      <w:r>
        <w:rPr>
          <w:rFonts w:ascii="Arial" w:hAnsi="Arial" w:cs="Arial" w:eastAsia="Arial"/>
          <w:b/>
          <w:bCs/>
          <w:color w:val="1F2430"/>
          <w:sz w:val="19"/>
          <w:szCs w:val="19"/>
          <w:rtl/>
        </w:rPr>
        <w:t>עושק</w:t>
      </w:r>
      <w:r>
        <w:rPr>
          <w:rFonts w:ascii="Arial" w:hAnsi="Arial" w:cs="Arial" w:eastAsia="Arial"/>
          <w:color w:val="1F2430"/>
          <w:sz w:val="19"/>
          <w:szCs w:val="19"/>
          <w:rtl/>
        </w:rPr>
        <w:t xml:space="preserve"> (סעיף 18). לעושק דרוש תנאי </w:t>
      </w:r>
      <w:r>
        <w:rPr>
          <w:rFonts w:ascii="Arial" w:hAnsi="Arial" w:cs="Arial" w:eastAsia="Arial"/>
          <w:color w:val="1F2430"/>
          <w:sz w:val="19"/>
          <w:szCs w:val="19"/>
          <w:highlight w:val="yellow"/>
          <w:rtl/>
        </w:rPr>
        <w:t>אובייקטיבי</w:t>
      </w:r>
      <w:r>
        <w:rPr>
          <w:rFonts w:ascii="Arial" w:hAnsi="Arial" w:cs="Arial" w:eastAsia="Arial"/>
          <w:color w:val="1F2430"/>
          <w:sz w:val="19"/>
          <w:szCs w:val="19"/>
          <w:rtl/>
        </w:rPr>
        <w:t xml:space="preserve"> (חוזה גרוע) </w:t>
      </w:r>
      <w:r>
        <w:rPr>
          <w:rFonts w:ascii="Arial" w:hAnsi="Arial" w:cs="Arial" w:eastAsia="Arial"/>
          <w:color w:val="1F2430"/>
          <w:sz w:val="19"/>
          <w:szCs w:val="19"/>
          <w:highlight w:val="yellow"/>
          <w:rtl/>
        </w:rPr>
        <w:t>וגם סובייקטיבי</w:t>
      </w:r>
      <w:r>
        <w:rPr>
          <w:rFonts w:ascii="Arial" w:hAnsi="Arial" w:cs="Arial" w:eastAsia="Arial"/>
          <w:color w:val="1F2430"/>
          <w:sz w:val="19"/>
          <w:szCs w:val="19"/>
          <w:rtl/>
        </w:rPr>
        <w:t xml:space="preserve"> (מצוקה). היא מורה למתמטיקה, ולא הייתה במצוקה → נדחה. </w:t>
      </w:r>
      <w:r>
        <w:rPr>
          <w:rFonts w:ascii="Arial" w:hAnsi="Arial" w:cs="Arial" w:eastAsia="Arial"/>
          <w:color w:val="1F2430"/>
          <w:sz w:val="19"/>
          <w:szCs w:val="19"/>
          <w:highlight w:val="yellow"/>
          <w:rtl/>
        </w:rPr>
        <w:t>אינטרס ציבורי ביציבות חוזים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האישור נותן להסכם עוצמה, ולכן מי שההסכם לטובתו ירצה לאשר.</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ידועים בציבור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חוק יחסי ממון </w:t>
      </w:r>
      <w:r>
        <w:rPr>
          <w:rFonts w:ascii="Arial" w:hAnsi="Arial" w:cs="Arial" w:eastAsia="Arial"/>
          <w:color w:val="1F2430"/>
          <w:sz w:val="19"/>
          <w:szCs w:val="19"/>
          <w:highlight w:val="yellow"/>
          <w:rtl/>
        </w:rPr>
        <w:t>אינו חל עליהם</w:t>
      </w:r>
      <w:r>
        <w:rPr>
          <w:rFonts w:ascii="Arial" w:hAnsi="Arial" w:cs="Arial" w:eastAsia="Arial"/>
          <w:color w:val="1F2430"/>
          <w:sz w:val="19"/>
          <w:szCs w:val="19"/>
          <w:rtl/>
        </w:rPr>
        <w:t>. חלים דיני החוזים, ואין חובת אישור.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המרצה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"מספיק לחתום בבית"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רשאים לאשר לפי 3(ג), כי "בן משפחה" כולל ידועה בציבור.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שינוי של הסכם שאושר — </w:t>
      </w:r>
      <w:r>
        <w:rPr>
          <w:rFonts w:ascii="Arial" w:hAnsi="Arial" w:cs="Arial" w:eastAsia="Arial"/>
          <w:color w:val="1F2430"/>
          <w:sz w:val="19"/>
          <w:szCs w:val="19"/>
          <w:highlight w:val="yellow"/>
          <w:rtl/>
        </w:rPr>
        <w:t>אינו טעון אישור חדש</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בר נאור (ע"א 7021/93)</w:t>
      </w:r>
      <w:r>
        <w:rPr>
          <w:rFonts w:ascii="Arial" w:hAnsi="Arial" w:cs="Arial" w:eastAsia="Arial"/>
          <w:color w:val="1F2430"/>
          <w:sz w:val="19"/>
          <w:szCs w:val="19"/>
          <w:rtl/>
        </w:rPr>
        <w:t xml:space="preserve"> → תניה "אין בכוונתנו להיות ידועים בציבור" → אין לה משמעות; אי אפשר לשלול מראש מסקנה משפטית מעובדות. האישה תבעה מזונות מן העיזבון (57(ג)).</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תמ"ש 51940/98 (שוחט)</w:t>
      </w:r>
      <w:r>
        <w:rPr>
          <w:rFonts w:ascii="Arial" w:hAnsi="Arial" w:cs="Arial" w:eastAsia="Arial"/>
          <w:color w:val="1F2430"/>
          <w:sz w:val="19"/>
          <w:szCs w:val="19"/>
          <w:rtl/>
        </w:rPr>
        <w:t xml:space="preserve"> → אחרי 20 שנה, הסכם "חברה בלבד" → סטייה בגלל ניצול או חיים שאינם תואמים את ההסכם → מזונות ומחצית הרכוש.</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ויתור על מזונות אינו מועיל </w:t>
      </w:r>
      <w:r>
        <w:rPr>
          <w:rFonts w:ascii="Arial" w:hAnsi="Arial" w:cs="Arial" w:eastAsia="Arial"/>
          <w:color w:val="1F2430"/>
          <w:sz w:val="19"/>
          <w:szCs w:val="19"/>
          <w:highlight w:val="yellow"/>
          <w:rtl/>
        </w:rPr>
        <w:t>למזונות מן העיזבון</w:t>
      </w:r>
      <w:r>
        <w:rPr>
          <w:rFonts w:ascii="Arial" w:hAnsi="Arial" w:cs="Arial" w:eastAsia="Arial"/>
          <w:color w:val="1F2430"/>
          <w:sz w:val="19"/>
          <w:szCs w:val="19"/>
          <w:rtl/>
        </w:rPr>
        <w:t xml:space="preserve"> בלי צוואה תואמת.</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הסכם ממון וחוק הירושה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8 לחוק הירושה</w:t>
      </w:r>
      <w:r>
        <w:rPr>
          <w:rFonts w:ascii="Arial" w:hAnsi="Arial" w:cs="Arial" w:eastAsia="Arial"/>
          <w:color w:val="1F2430"/>
          <w:sz w:val="19"/>
          <w:szCs w:val="19"/>
          <w:rtl/>
        </w:rPr>
        <w:t xml:space="preserve">: הסכם או מתנה שתחולתם </w:t>
      </w:r>
      <w:r>
        <w:rPr>
          <w:rFonts w:ascii="Arial" w:hAnsi="Arial" w:cs="Arial" w:eastAsia="Arial"/>
          <w:color w:val="1F2430"/>
          <w:sz w:val="19"/>
          <w:szCs w:val="19"/>
          <w:highlight w:val="yellow"/>
          <w:rtl/>
        </w:rPr>
        <w:t>לאחר המוות — בטלים</w:t>
      </w:r>
      <w:r>
        <w:rPr>
          <w:rFonts w:ascii="Arial" w:hAnsi="Arial" w:cs="Arial" w:eastAsia="Arial"/>
          <w:color w:val="1F2430"/>
          <w:sz w:val="19"/>
          <w:szCs w:val="19"/>
          <w:rtl/>
        </w:rPr>
        <w:t>, אלא אם נעשו בצוואה. הרציונל: הגנה על הנותן מפני עצמו, כדי שיוכל לחזור בו עד יום מותו.</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יש שופטים שמסרבים לאשר בהסכם ממון שורה שתחולתה לאחר המוות.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עז' 289/97 אחירם</w:t>
      </w:r>
      <w:r>
        <w:rPr>
          <w:rFonts w:ascii="Arial" w:hAnsi="Arial" w:cs="Arial" w:eastAsia="Arial"/>
          <w:color w:val="1F2430"/>
          <w:sz w:val="19"/>
          <w:szCs w:val="19"/>
          <w:rtl/>
        </w:rPr>
        <w:t xml:space="preserve"> → בהסכם גירושין מאושר: מזונות כל החיים, </w:t>
      </w:r>
      <w:r>
        <w:rPr>
          <w:rFonts w:ascii="Arial" w:hAnsi="Arial" w:cs="Arial" w:eastAsia="Arial"/>
          <w:color w:val="1F2430"/>
          <w:sz w:val="19"/>
          <w:szCs w:val="19"/>
          <w:highlight w:val="yellow"/>
          <w:rtl/>
        </w:rPr>
        <w:t>גם מהעיזבון</w:t>
      </w:r>
      <w:r>
        <w:rPr>
          <w:rFonts w:ascii="Arial" w:hAnsi="Arial" w:cs="Arial" w:eastAsia="Arial"/>
          <w:color w:val="1F2430"/>
          <w:sz w:val="19"/>
          <w:szCs w:val="19"/>
          <w:rtl/>
        </w:rPr>
        <w:t xml:space="preserve">. צוואה מאוחרת התנתה אותם → </w:t>
      </w:r>
      <w:r>
        <w:rPr>
          <w:rFonts w:ascii="Arial" w:hAnsi="Arial" w:cs="Arial" w:eastAsia="Arial"/>
          <w:color w:val="1F2430"/>
          <w:sz w:val="19"/>
          <w:szCs w:val="19"/>
          <w:highlight w:val="yellow"/>
          <w:rtl/>
        </w:rPr>
        <w:t>ההסכם גובר</w:t>
      </w:r>
      <w:r>
        <w:rPr>
          <w:rFonts w:ascii="Arial" w:hAnsi="Arial" w:cs="Arial" w:eastAsia="Arial"/>
          <w:color w:val="1F2430"/>
          <w:sz w:val="19"/>
          <w:szCs w:val="19"/>
          <w:rtl/>
        </w:rPr>
        <w:t>. נימוקים: (1) חוק יחסי ממון (73) מאוחר לחוק הירושה (65); (2) עידוד הסכמים יציבים; (3) סעיף 104 + סיפא 11(ג).</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שתי אסכולות</w:t>
      </w:r>
      <w:r>
        <w:rPr>
          <w:rFonts w:ascii="Arial" w:hAnsi="Arial" w:cs="Arial" w:eastAsia="Arial"/>
          <w:color w:val="1F2430"/>
          <w:sz w:val="19"/>
          <w:szCs w:val="19"/>
          <w:rtl/>
        </w:rPr>
        <w:t>: אחירם — הוראות הורשתיות בהסכם ממון תקפות. השנייה — סעיף 8 מבטל אותן כמו כל הסכם מתנה.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בע"מ 7468/11 פלוני</w:t>
      </w:r>
      <w:r>
        <w:rPr>
          <w:rFonts w:ascii="Arial" w:hAnsi="Arial" w:cs="Arial" w:eastAsia="Arial"/>
          <w:color w:val="1F2430"/>
          <w:sz w:val="19"/>
          <w:szCs w:val="19"/>
          <w:rtl/>
        </w:rPr>
        <w:t xml:space="preserve"> → ילדים ויתרו על ירושת האם לטובת האב. האב נישא שוב, וחתם על הסכם </w:t>
      </w:r>
      <w:r>
        <w:rPr>
          <w:rFonts w:ascii="Arial" w:hAnsi="Arial" w:cs="Arial" w:eastAsia="Arial"/>
          <w:color w:val="1F2430"/>
          <w:sz w:val="19"/>
          <w:szCs w:val="19"/>
          <w:highlight w:val="yellow"/>
          <w:rtl/>
        </w:rPr>
        <w:t>לא מאושר</w:t>
      </w:r>
      <w:r>
        <w:rPr>
          <w:rFonts w:ascii="Arial" w:hAnsi="Arial" w:cs="Arial" w:eastAsia="Arial"/>
          <w:color w:val="1F2430"/>
          <w:sz w:val="19"/>
          <w:szCs w:val="19"/>
          <w:rtl/>
        </w:rPr>
        <w:t>: "לאישה אין זכות בדירה". נפטר בלי צוואה →</w:t>
      </w:r>
    </w:p>
    <w:p>
      <w:pPr>
        <w:bidi/>
        <w:tabs>
          <w:tab w:val="left" w:pos="623"/>
        </w:tabs>
        <w:spacing w:before="0" w:after="40" w:line="288" w:lineRule="auto"/>
        <w:ind w:right="623"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דיני משפחה</w:t>
      </w:r>
      <w:r>
        <w:rPr>
          <w:rFonts w:ascii="Arial" w:hAnsi="Arial" w:cs="Arial" w:eastAsia="Arial"/>
          <w:color w:val="1F2430"/>
          <w:sz w:val="19"/>
          <w:szCs w:val="19"/>
          <w:rtl/>
        </w:rPr>
        <w:t>: סעיף 5(א)(3) מכבד את ההסכמה בכתב → אין לה זכות מכוח החיים המשותפים.</w:t>
      </w:r>
    </w:p>
    <w:p>
      <w:pPr>
        <w:bidi/>
        <w:tabs>
          <w:tab w:val="left" w:pos="623"/>
        </w:tabs>
        <w:spacing w:before="0" w:after="40" w:line="288" w:lineRule="auto"/>
        <w:ind w:right="623"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ירושה</w:t>
      </w:r>
      <w:r>
        <w:rPr>
          <w:rFonts w:ascii="Arial" w:hAnsi="Arial" w:cs="Arial" w:eastAsia="Arial"/>
          <w:color w:val="1F2430"/>
          <w:sz w:val="19"/>
          <w:szCs w:val="19"/>
          <w:rtl/>
        </w:rPr>
        <w:t xml:space="preserve">: הסכם אינו צוואה, ורק הסכם </w:t>
      </w:r>
      <w:r>
        <w:rPr>
          <w:rFonts w:ascii="Arial" w:hAnsi="Arial" w:cs="Arial" w:eastAsia="Arial"/>
          <w:color w:val="1F2430"/>
          <w:sz w:val="19"/>
          <w:szCs w:val="19"/>
          <w:highlight w:val="yellow"/>
          <w:rtl/>
        </w:rPr>
        <w:t>מאושר</w:t>
      </w:r>
      <w:r>
        <w:rPr>
          <w:rFonts w:ascii="Arial" w:hAnsi="Arial" w:cs="Arial" w:eastAsia="Arial"/>
          <w:color w:val="1F2430"/>
          <w:sz w:val="19"/>
          <w:szCs w:val="19"/>
          <w:rtl/>
        </w:rPr>
        <w:t xml:space="preserve"> יכול אולי לגבור → היא יורשת </w:t>
      </w:r>
      <w:r>
        <w:rPr>
          <w:rFonts w:ascii="Arial" w:hAnsi="Arial" w:cs="Arial" w:eastAsia="Arial"/>
          <w:color w:val="1F2430"/>
          <w:sz w:val="19"/>
          <w:szCs w:val="19"/>
          <w:highlight w:val="yellow"/>
          <w:rtl/>
        </w:rPr>
        <w:t>חצי מהעיזבון, כולל חצי דירה</w:t>
      </w:r>
      <w:r>
        <w:rPr>
          <w:rFonts w:ascii="Arial" w:hAnsi="Arial" w:cs="Arial" w:eastAsia="Arial"/>
          <w:color w:val="1F2430"/>
          <w:sz w:val="19"/>
          <w:szCs w:val="19"/>
          <w:rtl/>
        </w:rPr>
        <w:t>.</w:t>
      </w:r>
    </w:p>
    <w:p>
      <w:pPr>
        <w:bidi/>
        <w:tabs>
          <w:tab w:val="left" w:pos="623"/>
        </w:tabs>
        <w:spacing w:before="0" w:after="40" w:line="288" w:lineRule="auto"/>
        <w:ind w:right="623"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המחוזי</w:t>
      </w:r>
      <w:r>
        <w:rPr>
          <w:rFonts w:ascii="Arial" w:hAnsi="Arial" w:cs="Arial" w:eastAsia="Arial"/>
          <w:color w:val="1F2430"/>
          <w:sz w:val="19"/>
          <w:szCs w:val="19"/>
          <w:rtl/>
        </w:rPr>
        <w:t xml:space="preserve"> (ערעור נדחה): הסכם ממון </w:t>
      </w:r>
      <w:r>
        <w:rPr>
          <w:rFonts w:ascii="Arial" w:hAnsi="Arial" w:cs="Arial" w:eastAsia="Arial"/>
          <w:color w:val="1F2430"/>
          <w:sz w:val="19"/>
          <w:szCs w:val="19"/>
          <w:highlight w:val="yellow"/>
          <w:rtl/>
        </w:rPr>
        <w:t>אינו יכול להדיר יורש</w:t>
      </w:r>
      <w:r>
        <w:rPr>
          <w:rFonts w:ascii="Arial" w:hAnsi="Arial" w:cs="Arial" w:eastAsia="Arial"/>
          <w:color w:val="1F2430"/>
          <w:sz w:val="19"/>
          <w:szCs w:val="19"/>
          <w:rtl/>
        </w:rPr>
        <w:t>, והוראה כזו אסורה לפי סעיף 8 → האסכולה השנייה.</w:t>
      </w:r>
    </w:p>
    <w:p>
      <w:pPr>
        <w:bidi/>
        <w:tabs>
          <w:tab w:val="left" w:pos="623"/>
        </w:tabs>
        <w:spacing w:before="0" w:after="40" w:line="288" w:lineRule="auto"/>
        <w:ind w:right="623"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לקח</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הסכם ממון + צוואה</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432"/>
        <w:gridCol w:w="4834"/>
        <w:gridCol w:w="3939"/>
      </w:tblGrid>
      <w:tr>
        <w:trPr>
          <w:tblHeader/>
        </w:trPr>
        <w:tc>
          <w:tcPr>
            <w:tcW w:type="dxa" w:w="1432"/>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ההסכם</w:t>
            </w:r>
          </w:p>
        </w:tc>
        <w:tc>
          <w:tcPr>
            <w:tcW w:type="dxa" w:w="483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אחירם</w:t>
            </w:r>
          </w:p>
        </w:tc>
        <w:tc>
          <w:tcPr>
            <w:tcW w:type="dxa" w:w="3939"/>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אסכולה שנייה</w:t>
            </w:r>
          </w:p>
        </w:tc>
      </w:tr>
      <w:tr>
        <w:trPr>
          <w:cantSplit/>
        </w:trPr>
        <w:tc>
          <w:tcPr>
            <w:tcW w:type="dxa" w:w="1432"/>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לא אושר</w:t>
            </w:r>
          </w:p>
        </w:tc>
        <w:tc>
          <w:tcPr>
            <w:tcW w:type="dxa" w:w="48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לאחר המוות</w:t>
            </w:r>
          </w:p>
        </w:tc>
        <w:tc>
          <w:tcPr>
            <w:tcW w:type="dxa" w:w="39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לאחר המוות</w:t>
            </w:r>
          </w:p>
        </w:tc>
      </w:tr>
      <w:tr>
        <w:trPr>
          <w:cantSplit/>
        </w:trPr>
        <w:tc>
          <w:tcPr>
            <w:tcW w:type="dxa" w:w="1432"/>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אושר</w:t>
            </w:r>
          </w:p>
        </w:tc>
        <w:tc>
          <w:tcPr>
            <w:tcW w:type="dxa" w:w="48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הוראה תקפה (האישה לא מקבלת)</w:t>
            </w:r>
          </w:p>
        </w:tc>
        <w:tc>
          <w:tcPr>
            <w:tcW w:type="dxa" w:w="39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בטלה (האישה מקבלת 50%)</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עץ החלטה — שאלת הסכם ממון</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color w:val="1F2430"/>
          <w:sz w:val="19"/>
          <w:szCs w:val="19"/>
          <w:rtl/>
        </w:rPr>
        <w:t>נשואים? אם לא (ידועים בציבור), חלים דיני החוזים, ואין צורך באישור.</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color w:val="1F2430"/>
          <w:sz w:val="19"/>
          <w:szCs w:val="19"/>
          <w:rtl/>
        </w:rPr>
        <w:t>ההסכם נערך לפני 1974? דיני חוזים. אחרי? סעיפים 1–2.</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3. </w:t>
      </w:r>
      <w:r>
        <w:tab/>
      </w:r>
      <w:r>
        <w:rPr>
          <w:rFonts w:ascii="Arial" w:hAnsi="Arial" w:cs="Arial" w:eastAsia="Arial"/>
          <w:color w:val="1F2430"/>
          <w:sz w:val="19"/>
          <w:szCs w:val="19"/>
          <w:rtl/>
        </w:rPr>
        <w:t>צופה פני גירושין או מוות? אם לא, זה חוזה רגיל ואין צורך באישור.</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4. </w:t>
      </w:r>
      <w:r>
        <w:tab/>
      </w:r>
      <w:r>
        <w:rPr>
          <w:rFonts w:ascii="Arial" w:hAnsi="Arial" w:cs="Arial" w:eastAsia="Arial"/>
          <w:color w:val="1F2430"/>
          <w:sz w:val="19"/>
          <w:szCs w:val="19"/>
          <w:rtl/>
        </w:rPr>
        <w:t>בכתב? אושר? לפני הנישואין — 4 גורמים; אחריהם — 2.</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5. </w:t>
      </w:r>
      <w:r>
        <w:tab/>
      </w:r>
      <w:r>
        <w:rPr>
          <w:rFonts w:ascii="Arial" w:hAnsi="Arial" w:cs="Arial" w:eastAsia="Arial"/>
          <w:color w:val="1F2430"/>
          <w:sz w:val="19"/>
          <w:szCs w:val="19"/>
          <w:rtl/>
        </w:rPr>
        <w:t>לא אושר: האם יש "כתב שלא יאוזן" (5(א)(3), גמליאל)? מניעות (BMW)? אחרת — בטל.</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6. </w:t>
      </w:r>
      <w:r>
        <w:tab/>
      </w:r>
      <w:r>
        <w:rPr>
          <w:rFonts w:ascii="Arial" w:hAnsi="Arial" w:cs="Arial" w:eastAsia="Arial"/>
          <w:color w:val="1F2430"/>
          <w:sz w:val="19"/>
          <w:szCs w:val="19"/>
          <w:rtl/>
        </w:rPr>
        <w:t>אושר ומבקשים לבטל: מונק (נטל גבוה), פגס (17, 18).</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7. </w:t>
      </w:r>
      <w:r>
        <w:tab/>
      </w:r>
      <w:r>
        <w:rPr>
          <w:rFonts w:ascii="Arial" w:hAnsi="Arial" w:cs="Arial" w:eastAsia="Arial"/>
          <w:color w:val="1F2430"/>
          <w:sz w:val="19"/>
          <w:szCs w:val="19"/>
          <w:rtl/>
        </w:rPr>
        <w:t>הוראה לאחר המוות: סעיף 8, אחירם מול 7468/11.</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נספח: ירושה על פי דין (המרצה: "לא נספיק")</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חוק הירושה (1965) הוציא את הירושה מענייני המעמד האישי. חל עליה </w:t>
      </w:r>
      <w:r>
        <w:rPr>
          <w:rFonts w:ascii="Arial" w:hAnsi="Arial" w:cs="Arial" w:eastAsia="Arial"/>
          <w:color w:val="1F2430"/>
          <w:sz w:val="19"/>
          <w:szCs w:val="19"/>
          <w:highlight w:val="yellow"/>
          <w:rtl/>
        </w:rPr>
        <w:t>דין טריטוריאלי אזרחי</w:t>
      </w:r>
      <w:r>
        <w:rPr>
          <w:rFonts w:ascii="Arial" w:hAnsi="Arial" w:cs="Arial" w:eastAsia="Arial"/>
          <w:color w:val="1F2430"/>
          <w:sz w:val="19"/>
          <w:szCs w:val="19"/>
          <w:rtl/>
        </w:rPr>
        <w:t>, ובו שוויון בין בנים לבנות.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155</w:t>
      </w:r>
      <w:r>
        <w:rPr>
          <w:rFonts w:ascii="Arial" w:hAnsi="Arial" w:cs="Arial" w:eastAsia="Arial"/>
          <w:color w:val="1F2430"/>
          <w:sz w:val="19"/>
          <w:szCs w:val="19"/>
          <w:rtl/>
        </w:rPr>
        <w:t>: בית דין דתי דן בירושה רק ב</w:t>
      </w:r>
      <w:r>
        <w:rPr>
          <w:rFonts w:ascii="Arial" w:hAnsi="Arial" w:cs="Arial" w:eastAsia="Arial"/>
          <w:color w:val="1F2430"/>
          <w:sz w:val="19"/>
          <w:szCs w:val="19"/>
          <w:highlight w:val="yellow"/>
          <w:rtl/>
        </w:rPr>
        <w:t>הסכמה מפורשת של כל הצדדים</w:t>
      </w:r>
      <w:r>
        <w:rPr>
          <w:rFonts w:ascii="Arial" w:hAnsi="Arial" w:cs="Arial" w:eastAsia="Arial"/>
          <w:color w:val="1F2430"/>
          <w:sz w:val="19"/>
          <w:szCs w:val="19"/>
          <w:rtl/>
        </w:rPr>
        <w:t>; די בהתנגדות של יורש אחד. ראו גם סעיף 9 לחוק השיפוט.</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בחוק להסדר התדיינויות, "יחסי ממון" אינם כוללים ירושה. סעיף 68(ה): דלתיים סגורות, למעט תובענות ירושה שעילתן אינה סכסוך בתוך המשפחה.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שני שלבים במוות</w:t>
      </w:r>
      <w:r>
        <w:rPr>
          <w:rFonts w:ascii="Arial" w:hAnsi="Arial" w:cs="Arial" w:eastAsia="Arial"/>
          <w:color w:val="1F2430"/>
          <w:sz w:val="19"/>
          <w:szCs w:val="19"/>
          <w:rtl/>
        </w:rPr>
        <w:t xml:space="preserve">: דיני משפחה (שותף) ואחר כך ירושה (יורש). בן הזוג "מופיע פעמיים", ולכן </w:t>
      </w:r>
      <w:r>
        <w:rPr>
          <w:rFonts w:ascii="Arial" w:hAnsi="Arial" w:cs="Arial" w:eastAsia="Arial"/>
          <w:color w:val="1F2430"/>
          <w:sz w:val="19"/>
          <w:szCs w:val="19"/>
          <w:highlight w:val="yellow"/>
          <w:rtl/>
        </w:rPr>
        <w:t>75%</w:t>
      </w:r>
      <w:r>
        <w:rPr>
          <w:rFonts w:ascii="Arial" w:hAnsi="Arial" w:cs="Arial" w:eastAsia="Arial"/>
          <w:color w:val="1F2430"/>
          <w:sz w:val="19"/>
          <w:szCs w:val="19"/>
          <w:rtl/>
        </w:rPr>
        <w:t xml:space="preserve"> בלי הסכם ובלי צוואה.</w:t>
      </w:r>
    </w:p>
    <w:tbl>
      <w:tblPr>
        <w:tblW w:type="dxa" w:w="10206"/>
        <w:jc w:val="center"/>
        <w:tblLook w:firstColumn="1" w:firstRow="1" w:lastColumn="0" w:lastRow="0" w:noHBand="0" w:noVBand="1" w:val="04A0"/>
        <w:bidiVisual/>
        <w:tblLayout w:type="fixed"/>
      </w:tblPr>
      <w:tblGrid>
        <w:gridCol w:w="1817"/>
        <w:gridCol w:w="8388"/>
      </w:tblGrid>
      <w:tr>
        <w:trPr>
          <w:tblHeader/>
        </w:trPr>
        <w:tc>
          <w:tcPr>
            <w:tcW w:type="dxa" w:w="181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838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10</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יורשים: בן זוג + קרובים (ילדים, הורים, הורי הורים וצאצאיהם)</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12</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עדיפות: ילדים, אחר כך הורים, אחר כך הורי הורים. לא עוברים מעגל לפני שסוגרים אותו</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13</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בתוך המעגל חולקים בשווה</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14</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חליפים: ילדיו של יורש שמת קודם יורשים במקומו</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11(א)</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בן הזוג: מיטלטלין + מכונית; עם ילדים או הורים — </w:t>
            </w:r>
            <w:r>
              <w:rPr>
                <w:rFonts w:ascii="Arial" w:hAnsi="Arial" w:cs="Arial" w:eastAsia="Arial"/>
                <w:color w:val="1F2430"/>
                <w:sz w:val="17"/>
                <w:szCs w:val="17"/>
                <w:highlight w:val="yellow"/>
                <w:rtl/>
              </w:rPr>
              <w:t>חצי</w:t>
            </w:r>
            <w:r>
              <w:rPr>
                <w:rFonts w:ascii="Arial" w:hAnsi="Arial" w:cs="Arial" w:eastAsia="Arial"/>
                <w:color w:val="1F2430"/>
                <w:sz w:val="17"/>
                <w:szCs w:val="17"/>
                <w:rtl/>
              </w:rPr>
              <w:t xml:space="preserve">; עם אחים או הורי הורים — </w:t>
            </w:r>
            <w:r>
              <w:rPr>
                <w:rFonts w:ascii="Arial" w:hAnsi="Arial" w:cs="Arial" w:eastAsia="Arial"/>
                <w:color w:val="1F2430"/>
                <w:sz w:val="17"/>
                <w:szCs w:val="17"/>
                <w:highlight w:val="yellow"/>
                <w:rtl/>
              </w:rPr>
              <w:t>שני שלישים</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11(א)(2) סיפא</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 xml:space="preserve">נשואים 3 שנים ומעלה וגרו בדירה: </w:t>
            </w:r>
            <w:r>
              <w:rPr>
                <w:rFonts w:ascii="Arial" w:hAnsi="Arial" w:cs="Arial" w:eastAsia="Arial"/>
                <w:color w:val="1F2430"/>
                <w:sz w:val="17"/>
                <w:szCs w:val="17"/>
                <w:highlight w:val="yellow"/>
                <w:rtl/>
              </w:rPr>
              <w:t>כל חלק המוריש בדירה</w:t>
            </w:r>
            <w:r>
              <w:rPr>
                <w:rFonts w:ascii="Arial" w:hAnsi="Arial" w:cs="Arial" w:eastAsia="Arial"/>
                <w:color w:val="1F2430"/>
                <w:sz w:val="17"/>
                <w:szCs w:val="17"/>
                <w:rtl/>
              </w:rPr>
              <w:t xml:space="preserve"> + שני שלישים מהיתר</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11(ב)</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אין קרובים מהמנויים: </w:t>
            </w:r>
            <w:r>
              <w:rPr>
                <w:rFonts w:ascii="Arial" w:hAnsi="Arial" w:cs="Arial" w:eastAsia="Arial"/>
                <w:color w:val="1F2430"/>
                <w:sz w:val="17"/>
                <w:szCs w:val="17"/>
                <w:highlight w:val="yellow"/>
                <w:rtl/>
              </w:rPr>
              <w:t>הכול לבן הזוג</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55</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ידועים בציבור ("מעין צוואה"): חיי משפחה + משק בית משותף + אף אחד מהם לא נשוי לאחר → כאילו נשואים, אלא אם יש צוואה אחרת</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57(ג)</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ידוע בציבור זכאי למזונות מן העיזבון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בן זוג יורש גם אחרי יום נישואין אחד</w:t>
      </w:r>
      <w:r>
        <w:rPr>
          <w:rFonts w:ascii="Arial" w:hAnsi="Arial" w:cs="Arial" w:eastAsia="Arial"/>
          <w:color w:val="1F2430"/>
          <w:sz w:val="19"/>
          <w:szCs w:val="19"/>
          <w:rtl/>
        </w:rPr>
        <w:t>, בלי קשר למאמץ משותף. גם בהליכי גירושין או בפירוד, וגם כשחויב בגט.</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"בן זוג" בסעיף 11 = נשוי (כולל מעורבים וחד-מיניים). ידוע בציבור — לפי סעיף 55.</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ארבע צורות צוואה</w:t>
      </w:r>
      <w:r>
        <w:rPr>
          <w:rFonts w:ascii="Arial" w:hAnsi="Arial" w:cs="Arial" w:eastAsia="Arial"/>
          <w:color w:val="1F2430"/>
          <w:sz w:val="19"/>
          <w:szCs w:val="19"/>
          <w:rtl/>
        </w:rPr>
        <w:t>: בכתב יד; בעדים; בפני רשות (רשם או שופט); בעל פה (שכיב מרע).</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כתב (סעיף 1) + אישור (סעיף 2). שינוי — גם כתב וגם אישור.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4 מאשרים לפני הנישואין, 2 אחריהם. נוטריון — 2(ג1).</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סעיף 14: מועד ההסכם קובע.</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שרעבי: תכלית. BMW: מתנה שהיא הסכם, חריג תום הלב.</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גמליאל: 5(א)(3) — כתב בלי אישור, גובר על הטאבו.</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מונק: הסכמה חופשית והבנה; נטל גבוה. פגס: כפייה ועושק.</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3(ג): אישור בלי תביעה; אישור ≠ פסק דין.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נכס פנימי — רק בהסכם ממון. מזונות — במפורש.</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ידועים בציבור: מספיק לחתום בבית.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סעיף 8: אחירם מול 7468/11 → הסכם + צוואה.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ירושה: 155, 10–14, 11, 55, 57(ג).</w:t>
      </w:r>
    </w:p>
    <w:sectPr w:rsidR="00FC693F" w:rsidRPr="0006063C" w:rsidSect="00034616">
      <w:footerReference w:type="first" r:id="rId9"/>
      <w:headerReference w:type="first" r:id="rId10"/>
      <w:footerReference w:type="default" r:id="rId11"/>
      <w:headerReference w:type="default" r:id="rId12"/>
      <w:pgSz w:w="11906" w:h="16838"/>
      <w:pgMar w:top="907" w:right="850" w:bottom="907" w:left="850" w:header="397" w:footer="397"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eastAsia="Arial"/>
        <w:b/>
        <w:bCs/>
        <w:color w:val="B91C4B"/>
        <w:sz w:val="17"/>
        <w:szCs w:val="17"/>
        <w:rtl/>
      </w:rPr>
      <w:t>הוכן ע״י אילן פרץ</w:t>
    </w:r>
    <w:r>
      <w:rPr>
        <w:rFonts w:ascii="Arial" w:hAnsi="Arial" w:cs="Arial" w:eastAsia="Arial"/>
        <w:color w:val="6B7280"/>
        <w:sz w:val="17"/>
        <w:szCs w:val="17"/>
        <w:rtl/>
      </w:rPr>
      <w:t xml:space="preserve">   ·   דיני משפחה · מרתון למבחן   ·   עמוד </w:t>
    </w:r>
    <w:r>
      <w:rPr>
        <w:rFonts w:ascii="Arial" w:hAnsi="Arial" w:cs="Arial" w:eastAsia="Arial"/>
        <w:color w:val="6B7280"/>
        <w:sz w:val="17"/>
        <w:szCs w:val="17"/>
        <w:rtl/>
      </w:rPr>
      <w:fldChar w:fldCharType="begin"/>
    </w:r>
    <w:r>
      <w:rPr>
        <w:rFonts w:ascii="Arial" w:hAnsi="Arial" w:cs="Arial" w:eastAsia="Arial"/>
        <w:color w:val="6B7280"/>
        <w:sz w:val="17"/>
        <w:szCs w:val="17"/>
        <w:rtl/>
      </w:rPr>
      <w:instrText xml:space="preserve">PAGE</w:instrText>
    </w:r>
    <w:r>
      <w:rPr>
        <w:rFonts w:ascii="Arial" w:hAnsi="Arial" w:cs="Arial" w:eastAsia="Arial"/>
        <w:color w:val="6B7280"/>
        <w:sz w:val="17"/>
        <w:szCs w:val="17"/>
        <w:rtl/>
      </w:rPr>
      <w:fldChar w:fldCharType="separate"/>
    </w:r>
    <w:r>
      <w:rPr>
        <w:rFonts w:ascii="Arial" w:hAnsi="Arial" w:cs="Arial" w:eastAsia="Arial"/>
        <w:color w:val="6B7280"/>
        <w:sz w:val="17"/>
        <w:szCs w:val="17"/>
        <w:rtl/>
      </w:rPr>
      <w:t>1</w:t>
    </w:r>
    <w:r>
      <w:rPr>
        <w:rFonts w:ascii="Arial" w:hAnsi="Arial" w:cs="Arial" w:eastAsia="Arial"/>
        <w:color w:val="6B7280"/>
        <w:sz w:val="17"/>
        <w:szCs w:val="17"/>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Bdr>
        <w:bottom w:val="single" w:sz="18" w:space="1" w:color="B91C4B"/>
      </w:pBdr>
    </w:pPr>
    <w:r>
      <w:rPr>
        <w:rFonts w:ascii="Arial" w:hAnsi="Arial" w:cs="Arial" w:eastAsia="Arial"/>
        <w:color w:val="9CA3AF"/>
        <w:sz w:val="16"/>
        <w:szCs w:val="16"/>
        <w:rtl/>
      </w:rPr>
      <w:t>דיני משפחה · מרתון למבחן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1"/>
      <w:rtl/>
      <w:lang w:val="he-IL"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דיני משפחה — מרתון למבחן</dc:title>
  <dc:subject/>
  <dc:creator>אילן פרץ</dc:creator>
  <cp:keywords/>
  <dc:description>generated by python-docx</dc:description>
  <cp:lastModifiedBy/>
  <cp:revision>1</cp:revision>
  <dcterms:created xsi:type="dcterms:W3CDTF">2013-12-23T23:15:00Z</dcterms:created>
  <dcterms:modified xsi:type="dcterms:W3CDTF">2013-12-23T23:15:00Z</dcterms:modified>
  <cp:category/>
</cp:coreProperties>
</file>