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line="280" w:lineRule="exact"/>
      </w:pPr>
      <w:r>
        <w:rPr>
          <w:sz w:val="2"/>
        </w:rPr>
      </w:r>
    </w:p>
    <w:p>
      <w:pPr>
        <w:bidi/>
        <w:spacing w:after="0" w:before="0" w:line="280" w:lineRule="exact"/>
      </w:pPr>
      <w:r>
        <w:rPr>
          <w:sz w:val="2"/>
        </w:rPr>
      </w:r>
    </w:p>
    <w:p>
      <w:pPr>
        <w:bidi/>
        <w:spacing w:after="0" w:before="0" w:line="28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0F766E"/>
            <w:tcBorders>
              <w:top w:val="single" w:sz="4" w:space="0" w:color="1D4ED8"/>
              <w:left w:val="single" w:sz="4" w:space="0" w:color="1D4ED8"/>
              <w:bottom w:val="single" w:sz="4" w:space="0" w:color="1D4ED8"/>
              <w:right w:val="single" w:sz="4" w:space="0" w:color="1D4ED8"/>
            </w:tcBorders>
            <w:tcMar>
              <w:top w:w="500" w:type="dxa"/>
              <w:bottom w:w="500" w:type="dxa"/>
              <w:left w:w="450" w:type="dxa"/>
              <w:right w:w="450" w:type="dxa"/>
            </w:tcMar>
          </w:tcPr>
          <w:p>
            <w:pPr>
              <w:bidi/>
              <w:spacing w:before="0" w:after="200" w:line="300" w:lineRule="auto"/>
            </w:pPr>
            <w:r>
              <w:rPr>
                <w:rFonts w:ascii="Arial" w:hAnsi="Arial" w:cs="Arial" w:eastAsia="Arial"/>
                <w:b/>
                <w:bCs/>
                <w:color w:val="FFE9A8"/>
                <w:sz w:val="24"/>
                <w:szCs w:val="24"/>
                <w:rtl/>
              </w:rPr>
              <w:t>חוברת 3 · תרגול</w:t>
            </w:r>
          </w:p>
          <w:p>
            <w:pPr>
              <w:bidi/>
              <w:spacing w:before="0" w:after="40" w:line="240" w:lineRule="auto"/>
            </w:pPr>
            <w:r>
              <w:rPr>
                <w:rFonts w:ascii="Arial" w:hAnsi="Arial" w:cs="Arial" w:eastAsia="Arial"/>
                <w:b/>
                <w:bCs/>
                <w:color w:val="FFFFFF"/>
                <w:sz w:val="88"/>
                <w:szCs w:val="88"/>
                <w:rtl/>
              </w:rPr>
              <w:t>דיני משפחה</w:t>
            </w:r>
          </w:p>
          <w:p>
            <w:pPr>
              <w:bidi/>
              <w:spacing w:before="0" w:after="280" w:line="264" w:lineRule="auto"/>
            </w:pPr>
            <w:r>
              <w:rPr>
                <w:rFonts w:ascii="Arial" w:hAnsi="Arial" w:cs="Arial" w:eastAsia="Arial"/>
                <w:b/>
                <w:bCs/>
                <w:color w:val="FFE9A8"/>
                <w:sz w:val="48"/>
                <w:szCs w:val="48"/>
                <w:rtl/>
              </w:rPr>
              <w:t>שאלות אמריקאיות פתורות</w:t>
            </w:r>
          </w:p>
          <w:p>
            <w:pPr>
              <w:bidi/>
              <w:spacing w:before="0" w:after="320" w:line="312" w:lineRule="auto"/>
            </w:pPr>
            <w:r>
              <w:rPr>
                <w:rFonts w:ascii="Arial" w:hAnsi="Arial" w:cs="Arial" w:eastAsia="Arial"/>
                <w:color w:val="FFFFFF"/>
                <w:sz w:val="26"/>
                <w:szCs w:val="26"/>
                <w:rtl/>
              </w:rPr>
              <w:t>שאלות בסגנון מבחן מתחילת החומר ועד סופו, עם פתרון והסבר מלא לכל שאלה</w:t>
            </w:r>
          </w:p>
          <w:p>
            <w:pPr>
              <w:bidi/>
              <w:spacing w:before="0" w:after="40" w:line="300" w:lineRule="auto"/>
            </w:pPr>
            <w:r>
              <w:rPr>
                <w:rFonts w:ascii="Arial" w:hAnsi="Arial" w:cs="Arial" w:eastAsia="Arial"/>
                <w:color w:val="E5E7EB"/>
                <w:sz w:val="22"/>
                <w:szCs w:val="22"/>
                <w:rtl/>
              </w:rPr>
              <w:t>סה״כ 364 שאלות פתורות</w:t>
            </w:r>
          </w:p>
        </w:tc>
      </w:tr>
    </w:tbl>
    <w:p>
      <w:pPr>
        <w:bidi/>
        <w:spacing w:after="0" w:before="0" w:line="600" w:lineRule="exact"/>
      </w:pPr>
      <w:r>
        <w:rPr>
          <w:sz w:val="2"/>
        </w:rPr>
      </w:r>
    </w:p>
    <w:tbl>
      <w:tblPr>
        <w:tblW w:type="dxa" w:w="10206"/>
        <w:tblLook w:firstColumn="1" w:firstRow="1" w:lastColumn="0" w:lastRow="0" w:noHBand="0" w:noVBand="1" w:val="04A0"/>
        <w:bidiVisual/>
        <w:tblLayout w:type="fixed"/>
      </w:tblPr>
      <w:tblGrid>
        <w:gridCol w:w="10206"/>
      </w:tblGrid>
      <w:tr>
        <w:tc>
          <w:tcPr>
            <w:tcW w:type="dxa" w:w="10205"/>
            <w:shd w:val="clear" w:color="auto" w:fill="F3F4F6"/>
            <w:tcBorders>
              <w:top w:val="single" w:sz="6" w:space="0" w:color="0F766E"/>
              <w:left w:val="single" w:sz="6" w:space="0" w:color="0F766E"/>
              <w:bottom w:val="single" w:sz="6" w:space="0" w:color="0F766E"/>
              <w:right w:val="single" w:sz="6" w:space="0" w:color="0F766E"/>
            </w:tcBorders>
            <w:tcMar>
              <w:top w:w="220" w:type="dxa"/>
              <w:bottom w:w="220" w:type="dxa"/>
              <w:left w:w="300" w:type="dxa"/>
              <w:right w:w="300" w:type="dxa"/>
            </w:tcMar>
          </w:tcPr>
          <w:p>
            <w:pPr>
              <w:bidi/>
              <w:spacing w:before="0" w:after="0" w:line="300" w:lineRule="auto"/>
            </w:pPr>
            <w:r>
              <w:rPr>
                <w:rFonts w:ascii="Arial" w:hAnsi="Arial" w:cs="Arial" w:eastAsia="Arial"/>
                <w:color w:val="6B7280"/>
                <w:sz w:val="22"/>
                <w:szCs w:val="22"/>
                <w:rtl/>
              </w:rPr>
              <w:t>הוכן ונערך ע״י</w:t>
            </w:r>
          </w:p>
          <w:p>
            <w:pPr>
              <w:bidi/>
              <w:spacing w:before="0" w:after="0" w:line="300" w:lineRule="auto"/>
            </w:pPr>
            <w:r>
              <w:rPr>
                <w:rFonts w:ascii="Arial" w:hAnsi="Arial" w:cs="Arial" w:eastAsia="Arial"/>
                <w:b/>
                <w:bCs/>
                <w:color w:val="0F766E"/>
                <w:sz w:val="52"/>
                <w:szCs w:val="52"/>
                <w:rtl/>
              </w:rPr>
              <w:t>אילן פרץ</w:t>
            </w:r>
          </w:p>
        </w:tc>
      </w:tr>
    </w:tbl>
    <w:p>
      <w:pPr>
        <w:bidi/>
      </w:pPr>
      <w:r>
        <w:br w:type="page"/>
      </w:r>
    </w:p>
    <w:p>
      <w:pPr>
        <w:bidi/>
        <w:spacing w:before="0" w:after="40" w:line="300" w:lineRule="auto"/>
      </w:pPr>
      <w:r>
        <w:rPr>
          <w:rFonts w:ascii="Arial" w:hAnsi="Arial" w:cs="Arial" w:eastAsia="Arial"/>
          <w:b/>
          <w:bCs/>
          <w:color w:val="1E2A4A"/>
          <w:sz w:val="48"/>
          <w:szCs w:val="48"/>
          <w:rtl/>
        </w:rPr>
        <w:t>תוכן העניינים</w:t>
      </w:r>
    </w:p>
    <w:p>
      <w:pPr>
        <w:bidi/>
        <w:spacing w:before="0" w:after="240" w:line="300" w:lineRule="auto"/>
      </w:pPr>
      <w:r>
        <w:rPr>
          <w:rFonts w:ascii="Arial" w:hAnsi="Arial" w:cs="Arial" w:eastAsia="Arial"/>
          <w:color w:val="6B7280"/>
          <w:sz w:val="22"/>
          <w:szCs w:val="22"/>
          <w:rtl/>
        </w:rPr>
        <w:t>שאלות אמריקאיות לפי פרקים — פתרונות והסברים בסוף כל פרק · סה״כ 364 שאלות</w:t>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1E4FA3"/>
            <w:tcBorders>
              <w:top w:val="single" w:sz="4" w:space="0" w:color="1E4FA3"/>
              <w:left w:val="single" w:sz="4" w:space="0" w:color="1E4FA3"/>
              <w:bottom w:val="single" w:sz="4" w:space="0" w:color="1E4FA3"/>
              <w:right w:val="single" w:sz="4" w:space="0" w:color="1E4FA3"/>
            </w:tcBorders>
          </w:tcPr>
          <w:p>
            <w:pPr>
              <w:bidi/>
              <w:spacing w:before="0" w:after="0" w:line="300" w:lineRule="auto"/>
              <w:jc w:val="center"/>
            </w:pPr>
            <w:r>
              <w:rPr>
                <w:rFonts w:ascii="Arial" w:hAnsi="Arial" w:cs="Arial" w:eastAsia="Arial"/>
                <w:b/>
                <w:bCs/>
                <w:color w:val="FFFFFF"/>
                <w:sz w:val="24"/>
                <w:szCs w:val="24"/>
                <w:rtl/>
              </w:rPr>
              <w:t>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מבוא – מערכת השיפוט הכפולה בדיני המשפחה</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F7C7A"/>
            <w:tcBorders>
              <w:top w:val="single" w:sz="4" w:space="0" w:color="0F7C7A"/>
              <w:left w:val="single" w:sz="4" w:space="0" w:color="0F7C7A"/>
              <w:bottom w:val="single" w:sz="4" w:space="0" w:color="0F7C7A"/>
              <w:right w:val="single" w:sz="4" w:space="0" w:color="0F7C7A"/>
            </w:tcBorders>
          </w:tcPr>
          <w:p>
            <w:pPr>
              <w:bidi/>
              <w:spacing w:before="0" w:after="0" w:line="300" w:lineRule="auto"/>
              <w:jc w:val="center"/>
            </w:pPr>
            <w:r>
              <w:rPr>
                <w:rFonts w:ascii="Arial" w:hAnsi="Arial" w:cs="Arial" w:eastAsia="Arial"/>
                <w:b/>
                <w:bCs/>
                <w:color w:val="FFFFFF"/>
                <w:sz w:val="24"/>
                <w:szCs w:val="24"/>
                <w:rtl/>
              </w:rPr>
              <w:t>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הסמכות הייחודית של בית הדין הרבני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6B3FA0"/>
            <w:tcBorders>
              <w:top w:val="single" w:sz="4" w:space="0" w:color="6B3FA0"/>
              <w:left w:val="single" w:sz="4" w:space="0" w:color="6B3FA0"/>
              <w:bottom w:val="single" w:sz="4" w:space="0" w:color="6B3FA0"/>
              <w:right w:val="single" w:sz="4" w:space="0" w:color="6B3FA0"/>
            </w:tcBorders>
          </w:tcPr>
          <w:p>
            <w:pPr>
              <w:bidi/>
              <w:spacing w:before="0" w:after="0" w:line="300" w:lineRule="auto"/>
              <w:jc w:val="center"/>
            </w:pPr>
            <w:r>
              <w:rPr>
                <w:rFonts w:ascii="Arial" w:hAnsi="Arial" w:cs="Arial" w:eastAsia="Arial"/>
                <w:b/>
                <w:bCs/>
                <w:color w:val="FFFFFF"/>
                <w:sz w:val="24"/>
                <w:szCs w:val="24"/>
                <w:rtl/>
              </w:rPr>
              <w:t>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כריכה ומירוץ סמכויות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5304A"/>
            <w:tcBorders>
              <w:top w:val="single" w:sz="4" w:space="0" w:color="B5304A"/>
              <w:left w:val="single" w:sz="4" w:space="0" w:color="B5304A"/>
              <w:bottom w:val="single" w:sz="4" w:space="0" w:color="B5304A"/>
              <w:right w:val="single" w:sz="4" w:space="0" w:color="B5304A"/>
            </w:tcBorders>
          </w:tcPr>
          <w:p>
            <w:pPr>
              <w:bidi/>
              <w:spacing w:before="0" w:after="0" w:line="300" w:lineRule="auto"/>
              <w:jc w:val="center"/>
            </w:pPr>
            <w:r>
              <w:rPr>
                <w:rFonts w:ascii="Arial" w:hAnsi="Arial" w:cs="Arial" w:eastAsia="Arial"/>
                <w:b/>
                <w:bCs/>
                <w:color w:val="FFFFFF"/>
                <w:sz w:val="24"/>
                <w:szCs w:val="24"/>
                <w:rtl/>
              </w:rPr>
              <w:t>4</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סמכות נמשכת, סמכות בהסכמה (סעיף 9), בוררות בבתי הדין ומעמדו העצמאי של הקטין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C25A12"/>
            <w:tcBorders>
              <w:top w:val="single" w:sz="4" w:space="0" w:color="C25A12"/>
              <w:left w:val="single" w:sz="4" w:space="0" w:color="C25A12"/>
              <w:bottom w:val="single" w:sz="4" w:space="0" w:color="C25A12"/>
              <w:right w:val="single" w:sz="4" w:space="0" w:color="C25A12"/>
            </w:tcBorders>
          </w:tcPr>
          <w:p>
            <w:pPr>
              <w:bidi/>
              <w:spacing w:before="0" w:after="0" w:line="300" w:lineRule="auto"/>
              <w:jc w:val="center"/>
            </w:pPr>
            <w:r>
              <w:rPr>
                <w:rFonts w:ascii="Arial" w:hAnsi="Arial" w:cs="Arial" w:eastAsia="Arial"/>
                <w:b/>
                <w:bCs/>
                <w:color w:val="FFFFFF"/>
                <w:sz w:val="24"/>
                <w:szCs w:val="24"/>
                <w:rtl/>
              </w:rPr>
              <w:t>5</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בית המשפט לענייני משפחה והליך יישוב הסכסוך</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E7D4F"/>
            <w:tcBorders>
              <w:top w:val="single" w:sz="4" w:space="0" w:color="2E7D4F"/>
              <w:left w:val="single" w:sz="4" w:space="0" w:color="2E7D4F"/>
              <w:bottom w:val="single" w:sz="4" w:space="0" w:color="2E7D4F"/>
              <w:right w:val="single" w:sz="4" w:space="0" w:color="2E7D4F"/>
            </w:tcBorders>
          </w:tcPr>
          <w:p>
            <w:pPr>
              <w:bidi/>
              <w:spacing w:before="0" w:after="0" w:line="300" w:lineRule="auto"/>
              <w:jc w:val="center"/>
            </w:pPr>
            <w:r>
              <w:rPr>
                <w:rFonts w:ascii="Arial" w:hAnsi="Arial" w:cs="Arial" w:eastAsia="Arial"/>
                <w:b/>
                <w:bCs/>
                <w:color w:val="FFFFFF"/>
                <w:sz w:val="24"/>
                <w:szCs w:val="24"/>
                <w:rtl/>
              </w:rPr>
              <w:t>6</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אישה – הדין המהותי</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3949AB"/>
            <w:tcBorders>
              <w:top w:val="single" w:sz="4" w:space="0" w:color="3949AB"/>
              <w:left w:val="single" w:sz="4" w:space="0" w:color="3949AB"/>
              <w:bottom w:val="single" w:sz="4" w:space="0" w:color="3949AB"/>
              <w:right w:val="single" w:sz="4" w:space="0" w:color="3949AB"/>
            </w:tcBorders>
          </w:tcPr>
          <w:p>
            <w:pPr>
              <w:bidi/>
              <w:spacing w:before="0" w:after="0" w:line="300" w:lineRule="auto"/>
              <w:jc w:val="center"/>
            </w:pPr>
            <w:r>
              <w:rPr>
                <w:rFonts w:ascii="Arial" w:hAnsi="Arial" w:cs="Arial" w:eastAsia="Arial"/>
                <w:b/>
                <w:bCs/>
                <w:color w:val="FFFFFF"/>
                <w:sz w:val="24"/>
                <w:szCs w:val="24"/>
                <w:rtl/>
              </w:rPr>
              <w:t>7</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בדין הדתי ובעיות הכשרות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C2F7E"/>
            <w:tcBorders>
              <w:top w:val="single" w:sz="4" w:space="0" w:color="9C2F7E"/>
              <w:left w:val="single" w:sz="4" w:space="0" w:color="9C2F7E"/>
              <w:bottom w:val="single" w:sz="4" w:space="0" w:color="9C2F7E"/>
              <w:right w:val="single" w:sz="4" w:space="0" w:color="9C2F7E"/>
            </w:tcBorders>
          </w:tcPr>
          <w:p>
            <w:pPr>
              <w:bidi/>
              <w:spacing w:before="0" w:after="0" w:line="300" w:lineRule="auto"/>
              <w:jc w:val="center"/>
            </w:pPr>
            <w:r>
              <w:rPr>
                <w:rFonts w:ascii="Arial" w:hAnsi="Arial" w:cs="Arial" w:eastAsia="Arial"/>
                <w:b/>
                <w:bCs/>
                <w:color w:val="FFFFFF"/>
                <w:sz w:val="24"/>
                <w:szCs w:val="24"/>
                <w:rtl/>
              </w:rPr>
              <w:t>8</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נישואין פרטיים ונישואין אזרחיים – תוקפם והתרתם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9A6B00"/>
            <w:tcBorders>
              <w:top w:val="single" w:sz="4" w:space="0" w:color="9A6B00"/>
              <w:left w:val="single" w:sz="4" w:space="0" w:color="9A6B00"/>
              <w:bottom w:val="single" w:sz="4" w:space="0" w:color="9A6B00"/>
              <w:right w:val="single" w:sz="4" w:space="0" w:color="9A6B00"/>
            </w:tcBorders>
          </w:tcPr>
          <w:p>
            <w:pPr>
              <w:bidi/>
              <w:spacing w:before="0" w:after="0" w:line="300" w:lineRule="auto"/>
              <w:jc w:val="center"/>
            </w:pPr>
            <w:r>
              <w:rPr>
                <w:rFonts w:ascii="Arial" w:hAnsi="Arial" w:cs="Arial" w:eastAsia="Arial"/>
                <w:b/>
                <w:bCs/>
                <w:color w:val="FFFFFF"/>
                <w:sz w:val="24"/>
                <w:szCs w:val="24"/>
                <w:rtl/>
              </w:rPr>
              <w:t>9</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רישום נישואין ועריכת נישואין וגירושין</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0B7FA0"/>
            <w:tcBorders>
              <w:top w:val="single" w:sz="4" w:space="0" w:color="0B7FA0"/>
              <w:left w:val="single" w:sz="4" w:space="0" w:color="0B7FA0"/>
              <w:bottom w:val="single" w:sz="4" w:space="0" w:color="0B7FA0"/>
              <w:right w:val="single" w:sz="4" w:space="0" w:color="0B7FA0"/>
            </w:tcBorders>
          </w:tcPr>
          <w:p>
            <w:pPr>
              <w:bidi/>
              <w:spacing w:before="0" w:after="0" w:line="300" w:lineRule="auto"/>
              <w:jc w:val="center"/>
            </w:pPr>
            <w:r>
              <w:rPr>
                <w:rFonts w:ascii="Arial" w:hAnsi="Arial" w:cs="Arial" w:eastAsia="Arial"/>
                <w:b/>
                <w:bCs/>
                <w:color w:val="FFFFFF"/>
                <w:sz w:val="24"/>
                <w:szCs w:val="24"/>
                <w:rtl/>
              </w:rPr>
              <w:t>10</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מזונות ילדים ומשמורת</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B83227"/>
            <w:tcBorders>
              <w:top w:val="single" w:sz="4" w:space="0" w:color="B83227"/>
              <w:left w:val="single" w:sz="4" w:space="0" w:color="B83227"/>
              <w:bottom w:val="single" w:sz="4" w:space="0" w:color="B83227"/>
              <w:right w:val="single" w:sz="4" w:space="0" w:color="B83227"/>
            </w:tcBorders>
          </w:tcPr>
          <w:p>
            <w:pPr>
              <w:bidi/>
              <w:spacing w:before="0" w:after="0" w:line="300" w:lineRule="auto"/>
              <w:jc w:val="center"/>
            </w:pPr>
            <w:r>
              <w:rPr>
                <w:rFonts w:ascii="Arial" w:hAnsi="Arial" w:cs="Arial" w:eastAsia="Arial"/>
                <w:b/>
                <w:bCs/>
                <w:color w:val="FFFFFF"/>
                <w:sz w:val="24"/>
                <w:szCs w:val="24"/>
                <w:rtl/>
              </w:rPr>
              <w:t>11</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הלכת השיתוף</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55741A"/>
            <w:tcBorders>
              <w:top w:val="single" w:sz="4" w:space="0" w:color="55741A"/>
              <w:left w:val="single" w:sz="4" w:space="0" w:color="55741A"/>
              <w:bottom w:val="single" w:sz="4" w:space="0" w:color="55741A"/>
              <w:right w:val="single" w:sz="4" w:space="0" w:color="55741A"/>
            </w:tcBorders>
          </w:tcPr>
          <w:p>
            <w:pPr>
              <w:bidi/>
              <w:spacing w:before="0" w:after="0" w:line="300" w:lineRule="auto"/>
              <w:jc w:val="center"/>
            </w:pPr>
            <w:r>
              <w:rPr>
                <w:rFonts w:ascii="Arial" w:hAnsi="Arial" w:cs="Arial" w:eastAsia="Arial"/>
                <w:b/>
                <w:bCs/>
                <w:color w:val="FFFFFF"/>
                <w:sz w:val="24"/>
                <w:szCs w:val="24"/>
                <w:rtl/>
              </w:rPr>
              <w:t>12</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חוק יחסי ממון ואיזון משאבים</w:t>
            </w:r>
          </w:p>
        </w:tc>
      </w:tr>
    </w:tbl>
    <w:p>
      <w:pPr>
        <w:bidi/>
        <w:spacing w:after="0" w:before="0" w:line="80" w:lineRule="exact"/>
      </w:pPr>
      <w:r>
        <w:rPr>
          <w:sz w:val="2"/>
        </w:rPr>
      </w:r>
    </w:p>
    <w:tbl>
      <w:tblPr>
        <w:tblW w:type="dxa" w:w="10206"/>
        <w:tblLook w:firstColumn="1" w:firstRow="1" w:lastColumn="0" w:lastRow="0" w:noHBand="0" w:noVBand="1" w:val="04A0"/>
        <w:bidiVisual/>
        <w:tblLayout w:type="fixed"/>
      </w:tblPr>
      <w:tblGrid>
        <w:gridCol w:w="737"/>
        <w:gridCol w:w="9468"/>
      </w:tblGrid>
      <w:tr>
        <w:tc>
          <w:tcPr>
            <w:tcW w:type="dxa" w:w="737"/>
            <w:tcMar>
              <w:top w:w="90" w:type="dxa"/>
              <w:bottom w:w="90" w:type="dxa"/>
              <w:left w:w="120" w:type="dxa"/>
              <w:right w:w="120" w:type="dxa"/>
            </w:tcMar>
            <w:shd w:val="clear" w:color="auto" w:fill="2C3E70"/>
            <w:tcBorders>
              <w:top w:val="single" w:sz="4" w:space="0" w:color="2C3E70"/>
              <w:left w:val="single" w:sz="4" w:space="0" w:color="2C3E70"/>
              <w:bottom w:val="single" w:sz="4" w:space="0" w:color="2C3E70"/>
              <w:right w:val="single" w:sz="4" w:space="0" w:color="2C3E70"/>
            </w:tcBorders>
          </w:tcPr>
          <w:p>
            <w:pPr>
              <w:bidi/>
              <w:spacing w:before="0" w:after="0" w:line="300" w:lineRule="auto"/>
              <w:jc w:val="center"/>
            </w:pPr>
            <w:r>
              <w:rPr>
                <w:rFonts w:ascii="Arial" w:hAnsi="Arial" w:cs="Arial" w:eastAsia="Arial"/>
                <w:b/>
                <w:bCs/>
                <w:color w:val="FFFFFF"/>
                <w:sz w:val="24"/>
                <w:szCs w:val="24"/>
                <w:rtl/>
              </w:rPr>
              <w:t>13</w:t>
            </w:r>
          </w:p>
        </w:tc>
        <w:tc>
          <w:tcPr>
            <w:tcW w:type="dxa" w:w="9468"/>
            <w:tcMar>
              <w:top w:w="90" w:type="dxa"/>
              <w:bottom w:w="90" w:type="dxa"/>
              <w:left w:w="120" w:type="dxa"/>
              <w:right w:w="120" w:type="dxa"/>
            </w:tcMar>
            <w:shd w:val="clear" w:color="auto" w:fill="F6F7FB"/>
            <w:tcBorders>
              <w:top w:val="single" w:sz="4" w:space="0" w:color="F6F7FB"/>
              <w:left w:val="single" w:sz="4" w:space="0" w:color="F6F7FB"/>
              <w:bottom w:val="single" w:sz="4" w:space="0" w:color="F6F7FB"/>
              <w:right w:val="single" w:sz="4" w:space="0" w:color="F6F7FB"/>
            </w:tcBorders>
          </w:tcPr>
          <w:p>
            <w:pPr>
              <w:bidi/>
              <w:spacing w:before="0" w:after="0" w:line="300" w:lineRule="auto"/>
            </w:pPr>
            <w:r>
              <w:rPr>
                <w:rFonts w:ascii="Arial" w:hAnsi="Arial" w:cs="Arial" w:eastAsia="Arial"/>
                <w:b/>
                <w:bCs/>
                <w:color w:val="1F2430"/>
                <w:sz w:val="23"/>
                <w:szCs w:val="23"/>
                <w:rtl/>
              </w:rPr>
              <w:t>הסכמי ממון ונספח ירושה על פי דין</w:t>
            </w:r>
          </w:p>
        </w:tc>
      </w:tr>
    </w:tbl>
    <w:p>
      <w:pPr>
        <w:bidi/>
        <w:spacing w:after="0" w:before="0" w:line="8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1E4FA3"/>
            <w:tcBorders>
              <w:top w:val="single" w:sz="4" w:space="0" w:color="1E4FA3"/>
              <w:left w:val="single" w:sz="4" w:space="0" w:color="1E4FA3"/>
              <w:bottom w:val="single" w:sz="4" w:space="0" w:color="1E4FA3"/>
              <w:right w:val="single" w:sz="4" w:space="0" w:color="1E4FA3"/>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w:t>
            </w:r>
          </w:p>
          <w:p>
            <w:pPr>
              <w:bidi/>
              <w:spacing w:before="0" w:after="0" w:line="264" w:lineRule="auto"/>
              <w:outlineLvl w:val="0"/>
            </w:pPr>
            <w:r>
              <w:rPr>
                <w:rFonts w:ascii="Arial" w:hAnsi="Arial" w:cs="Arial" w:eastAsia="Arial"/>
                <w:b/>
                <w:bCs/>
                <w:color w:val="FFFFFF"/>
                <w:sz w:val="42"/>
                <w:szCs w:val="42"/>
                <w:rtl/>
              </w:rPr>
              <w:t>מבוא – מערכת השיפוט הכפולה בדיני המשפחה</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מתארת נכון את היחס בין סמכות שיפוט לבין ברירת דין בדיני המשפחה בישראל?</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הערכאה שנבחרה קובעת תמיד גם את הדין: בית משפט אזרחי דן תמיד לפי דין אזרחי ובית דין דתי לפי דין דתי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אלה שתי שאלות נפרדות: ייתכן שערכאה אזרחית תדון בתיק ותהיה חייבת להכריע לפי הדין הדתי, ולהפך</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שאלת ברירת הדין מתעוררת רק בבית הדין הרבני, שכן בית המשפט לענייני משפחה דן תמיד לפי החקיקה האזרחית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הצד שפתח ראשון את ההליך בוחר הן את הערכאה והן את הדין שיחול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 </w:t>
            </w:r>
            <w:r>
              <w:rPr>
                <w:rFonts w:ascii="Arial" w:hAnsi="Arial" w:cs="Arial" w:eastAsia="Arial"/>
                <w:sz w:val="20"/>
                <w:szCs w:val="20"/>
                <w:rtl/>
              </w:rPr>
              <w:t xml:space="preserve">  </w:t>
            </w:r>
            <w:r>
              <w:rPr>
                <w:rFonts w:ascii="Arial" w:hAnsi="Arial" w:cs="Arial" w:eastAsia="Arial"/>
                <w:b/>
                <w:bCs/>
                <w:color w:val="111827"/>
                <w:sz w:val="20"/>
                <w:szCs w:val="20"/>
                <w:rtl/>
              </w:rPr>
              <w:t>מה קובע סימן 47 לדבר המלך במועצתו?</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שענייני המעמד האישי מסורים לשיפוטם הייחודי של בתי הדין של העדות הדתיות</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שלבתי המשפט האזרחיים סמכות ייחודית בענייני מעמד אישי של אזרחי ישראל</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שבתי המשפט האזרחיים ידונו בענייני מעמד אישי תמיד לפי הדין האזרחי</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שלבתי המשפט האזרחיים יהיה גם שיפוט בענייני המעמד האישי, ובשיפוט זה ישתמשו בהתאם לחוק, ובכפוף לו – לפי הדין האישי החל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3 </w:t>
            </w:r>
            <w:r>
              <w:rPr>
                <w:rFonts w:ascii="Arial" w:hAnsi="Arial" w:cs="Arial" w:eastAsia="Arial"/>
                <w:sz w:val="20"/>
                <w:szCs w:val="20"/>
                <w:rtl/>
              </w:rPr>
              <w:t xml:space="preserve">  </w:t>
            </w:r>
            <w:r>
              <w:rPr>
                <w:rFonts w:ascii="Arial" w:hAnsi="Arial" w:cs="Arial" w:eastAsia="Arial"/>
                <w:b/>
                <w:bCs/>
                <w:color w:val="111827"/>
                <w:sz w:val="20"/>
                <w:szCs w:val="20"/>
                <w:rtl/>
              </w:rPr>
              <w:t>בראשי התיבות נמכ״א, מה פירושה של האות כ – כלכלה – לפי הפסיקה?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מזונות ילדים</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חלוקת הרכוש המשותף</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מזונות אישה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ענייני הכתובה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4 </w:t>
            </w:r>
            <w:r>
              <w:rPr>
                <w:rFonts w:ascii="Arial" w:hAnsi="Arial" w:cs="Arial" w:eastAsia="Arial"/>
                <w:sz w:val="20"/>
                <w:szCs w:val="20"/>
                <w:rtl/>
              </w:rPr>
              <w:t xml:space="preserve">  </w:t>
            </w:r>
            <w:r>
              <w:rPr>
                <w:rFonts w:ascii="Arial" w:hAnsi="Arial" w:cs="Arial" w:eastAsia="Arial"/>
                <w:b/>
                <w:bCs/>
                <w:color w:val="111827"/>
                <w:sz w:val="20"/>
                <w:szCs w:val="20"/>
                <w:rtl/>
              </w:rPr>
              <w:t>איזו מהרשימות הבאות מתארת נכון את ענייני המעמד האישי שבהם מתמקד הקורס, מתוך סימן 51 לדבר המלך?</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נישואין וגירושין, מזונות, רכוש ואפוטרופסות</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נישואין וגירושין, ירושה, אימוץ ומזונות</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נישואין וגירושין, מזונות, כלכלה ואפוטרופסות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שני בני הזוג יהודים, אזרחים או תושבים, הנמצאים בישראל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5 </w:t>
            </w:r>
            <w:r>
              <w:rPr>
                <w:rFonts w:ascii="Arial" w:hAnsi="Arial" w:cs="Arial" w:eastAsia="Arial"/>
                <w:sz w:val="20"/>
                <w:szCs w:val="20"/>
                <w:rtl/>
              </w:rPr>
              <w:t xml:space="preserve">  </w:t>
            </w:r>
            <w:r>
              <w:rPr>
                <w:rFonts w:ascii="Arial" w:hAnsi="Arial" w:cs="Arial" w:eastAsia="Arial"/>
                <w:b/>
                <w:bCs/>
                <w:color w:val="111827"/>
                <w:sz w:val="20"/>
                <w:szCs w:val="20"/>
                <w:rtl/>
              </w:rPr>
              <w:t>רינה ודוד, יהודים הנשואים כדת משה וישראל, נקלעו למשבר. רינה הגישה (לאחר הליך יישוב הסכסוך) תביעה למזונות אישה שלא אגב גירושין לבית המשפט לענייני משפחה. לפי איזה דין תוכרע התביעה?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לפי הדין האזרחי, משום שהדין הולך אחר הדיין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לפי הדין האישי – דין תורה – מכוח סעיף 2(א) לחוק לתיקון דיני המשפחה (מזונות)</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לפי בחירת רינה, שכן היא הגישה את התביעה ראשונה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לפי חוק שיווי זכויות האישה בלבד, שמחייב שוויון בין בני הזוג במזונות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6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הכלל הפסיקתי הדין הולך אחר הדיין?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זהו כלל ברירת מחדל: כשאין הוראת חוק הקובעת איזה דין יחול, ערכאה דתית תפעיל דין דתי וערכאה אזרחית דין אזרחי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זהו כלל מחייב שחל תמיד, גם כאשר יש הוראת חוק מפורשת הקובעת את הדין</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הכלל חל רק בענייני נישואין וגירושין</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לפי הכלל, הדין נקבע לפי בחירת בעל הדין שפתח ראשון את ההליך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7 </w:t>
            </w:r>
            <w:r>
              <w:rPr>
                <w:rFonts w:ascii="Arial" w:hAnsi="Arial" w:cs="Arial" w:eastAsia="Arial"/>
                <w:sz w:val="20"/>
                <w:szCs w:val="20"/>
                <w:rtl/>
              </w:rPr>
              <w:t xml:space="preserve">  </w:t>
            </w:r>
            <w:r>
              <w:rPr>
                <w:rFonts w:ascii="Arial" w:hAnsi="Arial" w:cs="Arial" w:eastAsia="Arial"/>
                <w:b/>
                <w:bCs/>
                <w:color w:val="111827"/>
                <w:sz w:val="20"/>
                <w:szCs w:val="20"/>
                <w:rtl/>
              </w:rPr>
              <w:t>יעקב נפטר והותיר ארבעה ילדים. שלושה מהם ביקשו לנהל את ענייני העיזבון בבית הדין הרבני, והרביעית, מיכל, מתנגדת. מה הדין?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בית הדין הרבני מוסמך, משום שירושה היא מענייני המעמד האישי שבסימן 51</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בית הדין הרבני מוסמך, משום שרוב היורשים הסכימו לכך</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בית הדין הרבני מוסמך רק אם מיכל לא תעלה את התנגדותה בהזדמנות הראשונה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בית הדין הרבני אינו מוסמך: לפי סעיף 155 לחוק הירושה נדרשת הסכמת כל הצדדים הנוגעים בדבר, בכתב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8 </w:t>
            </w:r>
            <w:r>
              <w:rPr>
                <w:rFonts w:ascii="Arial" w:hAnsi="Arial" w:cs="Arial" w:eastAsia="Arial"/>
                <w:sz w:val="20"/>
                <w:szCs w:val="20"/>
                <w:rtl/>
              </w:rPr>
              <w:t xml:space="preserve">  </w:t>
            </w:r>
            <w:r>
              <w:rPr>
                <w:rFonts w:ascii="Arial" w:hAnsi="Arial" w:cs="Arial" w:eastAsia="Arial"/>
                <w:b/>
                <w:bCs/>
                <w:color w:val="111827"/>
                <w:sz w:val="20"/>
                <w:szCs w:val="20"/>
                <w:rtl/>
              </w:rPr>
              <w:t>מה מעמדם של אימוץ וירושה בדיני המשפחה בישראל כיום?</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הם ענייני מעמד אישי, ולכן חל עליהם דין אישי בשתי הערכאות</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הם בסמכות ייחודית של בית הדין הרבני ונדונים לפי דין תורה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בעבר נכללו בענייני המעמד האישי, אך חקיקת החוקים הישראליים הוציאה אותם משם, וחל עליהם דין טריטוריאלי-אזרחי</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חל עליהם דין אישי, אך הם בסמכות ייחודית של בית המשפט לענייני 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9 </w:t>
            </w:r>
            <w:r>
              <w:rPr>
                <w:rFonts w:ascii="Arial" w:hAnsi="Arial" w:cs="Arial" w:eastAsia="Arial"/>
                <w:sz w:val="20"/>
                <w:szCs w:val="20"/>
                <w:rtl/>
              </w:rPr>
              <w:t xml:space="preserve">  </w:t>
            </w:r>
            <w:r>
              <w:rPr>
                <w:rFonts w:ascii="Arial" w:hAnsi="Arial" w:cs="Arial" w:eastAsia="Arial"/>
                <w:b/>
                <w:bCs/>
                <w:color w:val="111827"/>
                <w:sz w:val="20"/>
                <w:szCs w:val="20"/>
                <w:rtl/>
              </w:rPr>
              <w:t>אפוטרופסות מופיעה ברשימת ענייני המעמד האישי שבסימן 51. איזו מהטענות הבאות נכונה לגביה?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יש בה סמכות לבית הדין, אך הדין החל הוא חוק הכשרות המשפטית והאפוטרופסות – חוק טריטוריאלי – ובמקרה של לקונה ההשלמה היא מדין תורה</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חל עליה דין תורה בלבד בשתי הערכאות, כמו במזונות אישה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היא בסמכות ייחודית של בית המשפט לענייני משפחה, ולכן בית הדין הרבני לעולם אינו דן בה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לפי הבהרת המרצה, עניין חינוך הילדים אינו נכלל באפוטרופסות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10 </w:t>
            </w:r>
            <w:r>
              <w:rPr>
                <w:rFonts w:ascii="Arial" w:hAnsi="Arial" w:cs="Arial" w:eastAsia="Arial"/>
                <w:sz w:val="20"/>
                <w:szCs w:val="20"/>
                <w:rtl/>
              </w:rPr>
              <w:t xml:space="preserve">  </w:t>
            </w:r>
            <w:r>
              <w:rPr>
                <w:rFonts w:ascii="Arial" w:hAnsi="Arial" w:cs="Arial" w:eastAsia="Arial"/>
                <w:b/>
                <w:bCs/>
                <w:color w:val="111827"/>
                <w:sz w:val="20"/>
                <w:szCs w:val="20"/>
                <w:rtl/>
              </w:rPr>
              <w:t>כיצד שינה חוק שיפוט בתי דין רבניים (נישואין וגירושין), התשי״ג-1953, את המצב שקדם לו?</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החוק ביטל את הסמכות המקבילה בכל ענייני נמכ״א והעביר את כולם לסמכות ייחודית של בית הדין הרבני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ענייני נישואין וגירושין של יהודים הפכו לסמכות ייחודית של בית הדין הרבני, ואילו מזונות, כלכלה ואפוטרופסות נותרו בסמכות מקבילה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החוק העניק לבית המשפט האזרחי סמכות לגרש יהודים, שלא הייתה לו קודם</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החוק לא שינה דבר, שכן כבר בדבר המלך הייתה לבית הדין הרבני סמכות ייחודית בגירושין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11 </w:t>
            </w:r>
            <w:r>
              <w:rPr>
                <w:rFonts w:ascii="Arial" w:hAnsi="Arial" w:cs="Arial" w:eastAsia="Arial"/>
                <w:sz w:val="20"/>
                <w:szCs w:val="20"/>
                <w:rtl/>
              </w:rPr>
              <w:t xml:space="preserve">  </w:t>
            </w:r>
            <w:r>
              <w:rPr>
                <w:rFonts w:ascii="Arial" w:hAnsi="Arial" w:cs="Arial" w:eastAsia="Arial"/>
                <w:b/>
                <w:bCs/>
                <w:color w:val="111827"/>
                <w:sz w:val="20"/>
                <w:szCs w:val="20"/>
                <w:rtl/>
              </w:rPr>
              <w:t>סעיף 2 לחוק שיפוט בתי דין רבניים קובע כי נישואין וגירושין של יהודים ייערכו בישראל על פי דין תורה. מה טיבו של סעיף זה?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הוא מקנה לבית הדין הרבני סמכות ייחודית בענייני נישואין וגירושין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הוא מאפשר לבני זוג לבחור בין נישואין כדת משה וישראל לבין חוזה אישי</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הוא חל גם כאשר רק אחד מבני הזוג יהודי</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זהו סעיף של ברירת דין: לאחר שנקבע שלבית הדין סמכות, הוא קובע שהנישואין והגירושין ייערכו לפי הדין הדתי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12 </w:t>
            </w:r>
            <w:r>
              <w:rPr>
                <w:rFonts w:ascii="Arial" w:hAnsi="Arial" w:cs="Arial" w:eastAsia="Arial"/>
                <w:sz w:val="20"/>
                <w:szCs w:val="20"/>
                <w:rtl/>
              </w:rPr>
              <w:t xml:space="preserve">  </w:t>
            </w:r>
            <w:r>
              <w:rPr>
                <w:rFonts w:ascii="Arial" w:hAnsi="Arial" w:cs="Arial" w:eastAsia="Arial"/>
                <w:b/>
                <w:bCs/>
                <w:color w:val="111827"/>
                <w:sz w:val="20"/>
                <w:szCs w:val="20"/>
                <w:rtl/>
              </w:rPr>
              <w:t>בחר את התשובה הנכונה: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ענייני נישואין וגירושין של יהודים בישראל, אזרחי המדינה או תושביה, יהיו בשיפוטם וסמכותם המקבילה של בית הדין הרבני ובית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ענייני נישואין וגירושין של יהודים בישראל, אזרחי המדינה או תושביה, יהיו בשיפוטו הייחודי של 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ענייני נישואין וגירושין של יהודים בישראל, אזרחי המדינה או תושביה, יהיו בשיפוטם הייחודי של בתי דין רבניים</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ענייני נישואין וגירושין של יהודים בישראל, אזרחי המדינה או תושביה, לא יהיו בשיפוטם הייחודי של בתי דין רבניים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13 </w:t>
            </w:r>
            <w:r>
              <w:rPr>
                <w:rFonts w:ascii="Arial" w:hAnsi="Arial" w:cs="Arial" w:eastAsia="Arial"/>
                <w:sz w:val="20"/>
                <w:szCs w:val="20"/>
                <w:rtl/>
              </w:rPr>
              <w:t xml:space="preserve">  </w:t>
            </w:r>
            <w:r>
              <w:rPr>
                <w:rFonts w:ascii="Arial" w:hAnsi="Arial" w:cs="Arial" w:eastAsia="Arial"/>
                <w:b/>
                <w:bCs/>
                <w:color w:val="111827"/>
                <w:sz w:val="20"/>
                <w:szCs w:val="20"/>
                <w:rtl/>
              </w:rPr>
              <w:t>שרה מתלבטת אם למהר ולהגיש תביעת גירושין לפני שבעלה יקדים אותה. מה נכון?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עליה למהר, שכן מי שמגיש ראשון תביעת גירושין זוכה לסמכות ייחודית לבית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עליה למהר, שכן אם בעלה יגיש ראשון לא תוכל עוד להתגרש</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על תביעת הגירושין עצמה אין מירוץ – היא תתנהל בכל מקרה רק בבית הדין הרבני; המירוץ נוגע לנושאים שבסמכות מקבילה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יש מירוץ על תביעת הגירושין, אך רק אם שני בני הזוג אינם אזרחים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14 </w:t>
            </w:r>
            <w:r>
              <w:rPr>
                <w:rFonts w:ascii="Arial" w:hAnsi="Arial" w:cs="Arial" w:eastAsia="Arial"/>
                <w:sz w:val="20"/>
                <w:szCs w:val="20"/>
                <w:rtl/>
              </w:rPr>
              <w:t xml:space="preserve">  </w:t>
            </w:r>
            <w:r>
              <w:rPr>
                <w:rFonts w:ascii="Arial" w:hAnsi="Arial" w:cs="Arial" w:eastAsia="Arial"/>
                <w:b/>
                <w:bCs/>
                <w:color w:val="111827"/>
                <w:sz w:val="20"/>
                <w:szCs w:val="20"/>
                <w:rtl/>
              </w:rPr>
              <w:t>מה נקבע בפסק דין סידיס לגבי היחס בין ענייני נישואין לבין ענייני ממון?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ענייני הממון נשרו מענייני הנישואין, ואינם חלק מהסמכות הייחודית; נותרה רק הכתובה, שנשארה בסמכות ייחודית של בית הדין הרבני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כל ענייני הממון של בני זוג נשואים הם חלק מענייני הנישואין ולכן בסמכות ייחודית של בית הדין הרבני</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הכתובה נשרה מענייני הנישואין ועברה לסמכות ייחודית של 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חלוקת רכוש היא מענייני המעמד האישי שבסימן 51</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15 </w:t>
            </w:r>
            <w:r>
              <w:rPr>
                <w:rFonts w:ascii="Arial" w:hAnsi="Arial" w:cs="Arial" w:eastAsia="Arial"/>
                <w:sz w:val="20"/>
                <w:szCs w:val="20"/>
                <w:rtl/>
              </w:rPr>
              <w:t xml:space="preserve">  </w:t>
            </w:r>
            <w:r>
              <w:rPr>
                <w:rFonts w:ascii="Arial" w:hAnsi="Arial" w:cs="Arial" w:eastAsia="Arial"/>
                <w:b/>
                <w:bCs/>
                <w:color w:val="111827"/>
                <w:sz w:val="20"/>
                <w:szCs w:val="20"/>
                <w:rtl/>
              </w:rPr>
              <w:t>מה נקבע בבג״ץ 1000/92 בבלי?</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בית הדין הרבני אינו מוסמך לדון בחלוקת רכוש בשום מקרה</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בית הדין הרבני, כשהוא דן ברכוש, חייב להחיל את הלכת השיתוף: מכוח סעיף 1 לחוק שיווי זכויות האישה ומשום שהלכת השיתוף היא דין בישראל – בענייני רכוש הדיין הולך אחר הדין</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בית הדין הרבני רשאי לחלק רכוש לפי הרישום, משום שהדין הולך אחר הדיין ואין הוראת חוק אחרת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שוויון פורמלי לפי הרישום מספק את דרישות חוק שיווי זכויות האישה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16 </w:t>
            </w:r>
            <w:r>
              <w:rPr>
                <w:rFonts w:ascii="Arial" w:hAnsi="Arial" w:cs="Arial" w:eastAsia="Arial"/>
                <w:sz w:val="20"/>
                <w:szCs w:val="20"/>
                <w:rtl/>
              </w:rPr>
              <w:t xml:space="preserve">  </w:t>
            </w:r>
            <w:r>
              <w:rPr>
                <w:rFonts w:ascii="Arial" w:hAnsi="Arial" w:cs="Arial" w:eastAsia="Arial"/>
                <w:b/>
                <w:bCs/>
                <w:color w:val="111827"/>
                <w:sz w:val="20"/>
                <w:szCs w:val="20"/>
                <w:rtl/>
              </w:rPr>
              <w:t>מה קובע סעיף 7(ב) לחוק שיווי זכויות האישה, התשי״א-1951?</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שהחוק חל רק על בתי המשפט האזרחיים</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שבתי הדין הדתיים רשאים לסטות מהחוק אם הדין הדתי קובע אחרת</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שהחוק חל רק על בית הדין הרבני ולא על בתי הדין של העדות האחרות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שגם כל בית דין המוסמך לדון בענייני המעמד האישי ינהג לפי החוק</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17 </w:t>
            </w:r>
            <w:r>
              <w:rPr>
                <w:rFonts w:ascii="Arial" w:hAnsi="Arial" w:cs="Arial" w:eastAsia="Arial"/>
                <w:sz w:val="20"/>
                <w:szCs w:val="20"/>
                <w:rtl/>
              </w:rPr>
              <w:t xml:space="preserve">  </w:t>
            </w:r>
            <w:r>
              <w:rPr>
                <w:rFonts w:ascii="Arial" w:hAnsi="Arial" w:cs="Arial" w:eastAsia="Arial"/>
                <w:b/>
                <w:bCs/>
                <w:color w:val="111827"/>
                <w:sz w:val="20"/>
                <w:szCs w:val="20"/>
                <w:rtl/>
              </w:rPr>
              <w:t>נעמה ועידו, זוג יהודים, כרכו בתביעת הגירושין בבית הדין הרבני את חלוקת הרכוש כנה וכדין. שניהם ביקשו מבית הדין לחלק את הרכוש לפי הדין האישי, ובית הדין נענה. עורך דין עתר לבג״ץ בטענה שבית הדין חרג מסמכותו. מה הדין?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העתירה תתקבל: לפי הלכת בבלי בית הדין לעולם אינו רשאי לדון ברכוש לפי הדין האישי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העתירה תידחה: לפי סעיף 13(ב) לחוק יחסי ממון בית דין דתי ינהג לפי החוק, זולת אם הסכימו בעלי הדין לפניו להתדיין לפי הדין הדתי – וכאן הייתה הסכמה מפורשת</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העתירה תתקבל: רכוש אינו מענייני המעמד האישי ולכן לבית הדין אין סמכות לדון בו כלל</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העתירה תידחה: בענייני רכוש הדין הולך תמיד אחר הדיין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מתארת נכון את מסלולי הערעור והפיקוח?</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על בית המשפט לענייני משפחה – ערעור לבית המשפט המחוזי בזכות, ומשם לעליון ברשות; על בית הדין הרבני האזורי – ערעור לבית הדין הרבני הגדול, ועליו ניתן לעתור לבג״ץ</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על בית הדין הרבני הגדול ניתן לערער בזכות לבית המשפט העליון</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על בית המשפט לענייני משפחה ניתן לערער לבית הדין הרבני הגדול</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על בית הדין הרבני האזורי ניתן לערער ישירות לבית המשפט המחוזי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19 </w:t>
            </w:r>
            <w:r>
              <w:rPr>
                <w:rFonts w:ascii="Arial" w:hAnsi="Arial" w:cs="Arial" w:eastAsia="Arial"/>
                <w:sz w:val="20"/>
                <w:szCs w:val="20"/>
                <w:rtl/>
              </w:rPr>
              <w:t xml:space="preserve">  </w:t>
            </w:r>
            <w:r>
              <w:rPr>
                <w:rFonts w:ascii="Arial" w:hAnsi="Arial" w:cs="Arial" w:eastAsia="Arial"/>
                <w:b/>
                <w:bCs/>
                <w:color w:val="111827"/>
                <w:sz w:val="20"/>
                <w:szCs w:val="20"/>
                <w:rtl/>
              </w:rPr>
              <w:t>מה מעמדו של בג״ץ ביחס להחלטות בית הדין הרבני הגדול?</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בג״ץ הוא ערכאת ערעור רגילה, ובוחן כל טעות שנפלה בהחלטת בית הדין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בג״ץ מוסמך להתערב רק בשאלות של פרשנות דין תורה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בג״ץ יושב כערכאת פיקוח ולא כערכאת ערעור; הוא מתערב בעיקר מכוח סעיף 15(ד)(4) לחוק-יסוד: השפיטה, כגון בחריגה מסמכות, ולעיתים נדירות מכוח סעיף 15(ג)</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בג״ץ אינו מוסמך להתערב בהחלטות בתי הדין הדתיים בשום מקרה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20 </w:t>
            </w:r>
            <w:r>
              <w:rPr>
                <w:rFonts w:ascii="Arial" w:hAnsi="Arial" w:cs="Arial" w:eastAsia="Arial"/>
                <w:sz w:val="20"/>
                <w:szCs w:val="20"/>
                <w:rtl/>
              </w:rPr>
              <w:t xml:space="preserve">  </w:t>
            </w:r>
            <w:r>
              <w:rPr>
                <w:rFonts w:ascii="Arial" w:hAnsi="Arial" w:cs="Arial" w:eastAsia="Arial"/>
                <w:b/>
                <w:bCs/>
                <w:color w:val="111827"/>
                <w:sz w:val="20"/>
                <w:szCs w:val="20"/>
                <w:rtl/>
              </w:rPr>
              <w:t>בבג״ץ לב ביקש בעל מבית הדין הרבני צו עיכוב יציאה מהארץ נגד אשתו, כדי שלא תיסע להיפגש עם מאהבה, ובית הדין נתן את הצו. מה קבע בג״ץ?</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בג״ץ לא התערב, משום שהמדובר בפרשנות דין תורה בעניין מורדת</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בג״ץ התערב משום שבית הדין הרבני אינו מוסמך לתת צווי עיכוב יציאה בכלל</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בג״ץ התערב משום שהאישה לא הייתה יהודייה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בג״ץ ביטל את הצו: צו עיכוב יציאה נועד לאפשר את קיום ההליך המשפטי ולא למנוע מאדם לצאת מהארץ מסיבות אישיות – ההתערבות נבעה מהאופן שבו בית הדין הפעיל את סמכותו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21 </w:t>
            </w:r>
            <w:r>
              <w:rPr>
                <w:rFonts w:ascii="Arial" w:hAnsi="Arial" w:cs="Arial" w:eastAsia="Arial"/>
                <w:sz w:val="20"/>
                <w:szCs w:val="20"/>
                <w:rtl/>
              </w:rPr>
              <w:t xml:space="preserve">  </w:t>
            </w:r>
            <w:r>
              <w:rPr>
                <w:rFonts w:ascii="Arial" w:hAnsi="Arial" w:cs="Arial" w:eastAsia="Arial"/>
                <w:b/>
                <w:bCs/>
                <w:color w:val="111827"/>
                <w:sz w:val="20"/>
                <w:szCs w:val="20"/>
                <w:rtl/>
              </w:rPr>
              <w:t>בפס״ד כליפה קבע בית המשפט העליון כי לפי דין תורה זכות האישה למדור יכולה להתממש גם בדירה חלופית. שנה לאחר מכן, בפס״ד אקנין, קבע בית הדין הרבני הגדול כי לפי דין תורה האישה זכאית להישאר בדירה עצמה. הבעל עתר לבג״ץ. מה הוחלט?</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העתירה נדחתה: הפרשנות שנתנה ערכאה אזרחית לדין האישי אינה מחייבת את בית הדין הדתי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העתירה התקבלה: בית הדין חרג מסמכותו כשהתעלם מפסיקת בית המשפט העליון</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העתירה התקבלה: בענייני מדור חל דין אזרחי לפי הלכת בבלי</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העתירה נדחתה: לבית הדין הרבני סמכות ייחודית במזונות 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22 </w:t>
            </w:r>
            <w:r>
              <w:rPr>
                <w:rFonts w:ascii="Arial" w:hAnsi="Arial" w:cs="Arial" w:eastAsia="Arial"/>
                <w:sz w:val="20"/>
                <w:szCs w:val="20"/>
                <w:rtl/>
              </w:rPr>
              <w:t xml:space="preserve">  </w:t>
            </w:r>
            <w:r>
              <w:rPr>
                <w:rFonts w:ascii="Arial" w:hAnsi="Arial" w:cs="Arial" w:eastAsia="Arial"/>
                <w:b/>
                <w:bCs/>
                <w:color w:val="111827"/>
                <w:sz w:val="20"/>
                <w:szCs w:val="20"/>
                <w:rtl/>
              </w:rPr>
              <w:t>בחר את התשובה הנכונה לגבי טענת חוסר סמכות כלפי בית דין דתי:</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טענת חוסר סמכות ניתן לטעון בכל שלב של ההליך</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טענת חוסר סמכות יש לטעון בהזדמנות הראשונה – דיון ראשון או כתב טענות – כפי שעולה מסעיף 15(ד)(4) לחוק-יסוד: השפיטה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לא ניתן לטעון טענת חוסר סמכות כלפי בית הדין הרבני, משום שיש לו סמכות ייחודית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טענת חוסר סמכות ניתן לטעון רק בבית המשפט האזרחי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23 </w:t>
            </w:r>
            <w:r>
              <w:rPr>
                <w:rFonts w:ascii="Arial" w:hAnsi="Arial" w:cs="Arial" w:eastAsia="Arial"/>
                <w:sz w:val="20"/>
                <w:szCs w:val="20"/>
                <w:rtl/>
              </w:rPr>
              <w:t xml:space="preserve">  </w:t>
            </w:r>
            <w:r>
              <w:rPr>
                <w:rFonts w:ascii="Arial" w:hAnsi="Arial" w:cs="Arial" w:eastAsia="Arial"/>
                <w:b/>
                <w:bCs/>
                <w:color w:val="111827"/>
                <w:sz w:val="20"/>
                <w:szCs w:val="20"/>
                <w:rtl/>
              </w:rPr>
              <w:t>בתביעת מזונות אישה בבית המשפט לענייני משפחה טוען הבעל שבני הזוג הם רק ספק נשואים. האם בית המשפט רשאי להכריע בשאלה זו?</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לא, שאלת תוקף הנישואין היא בסמכות ייחודית של בית הדין הרבני, ועל בית המשפט להעביר את כל התיק לבית הדין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כן, ופסיקתו תחייב את מרשם האוכלוסין ואת בית הדין הרבני לכל דבר ועניין</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כן, מכוח סמכות אגבית לפי סעיף 76 לחוק בתי המשפט – לצורך התיק שלפניו בלבד; ולפי המרצה סמכות כזו קיימת גם לבית הדין</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לא, סמכות אגבית קיימת רק לבית הדין הרבני ולא לבית המשפט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24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אינה מסבירה מדוע מירוץ הסמכויות חשוב גם כאשר הדין החל זהה בשתי הערכאות?</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שופט ודיין עשויים לפרש את אותו דין באופן שונה, כפי שעולה מפרשות כליפה ואקנין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בנושאים מתמשכים כמו מזונות ומשמורת קיימת סמכות נמשכת, וחוזרים ככלל לאותה ערכאה בשינוי נסיבות</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אישה שתצהיר שהיא רוצה להתגרש בלי הצדקה רצינית עלולה להפסיד כתובה ולהיחשב מורדת</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מי שמגיש ראשון בוחר גם את הדין שיחול בתביעה, ולכן יכול להחיל דין אזרחי במזונות 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25 </w:t>
            </w:r>
            <w:r>
              <w:rPr>
                <w:rFonts w:ascii="Arial" w:hAnsi="Arial" w:cs="Arial" w:eastAsia="Arial"/>
                <w:sz w:val="20"/>
                <w:szCs w:val="20"/>
                <w:rtl/>
              </w:rPr>
              <w:t xml:space="preserve">  </w:t>
            </w:r>
            <w:r>
              <w:rPr>
                <w:rFonts w:ascii="Arial" w:hAnsi="Arial" w:cs="Arial" w:eastAsia="Arial"/>
                <w:b/>
                <w:bCs/>
                <w:color w:val="111827"/>
                <w:sz w:val="20"/>
                <w:szCs w:val="20"/>
                <w:rtl/>
              </w:rPr>
              <w:t>כיצד משפיע החוק להסדר התדיינויות בסכסוכי משפחה על מירוץ הסמכויות?</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המירוץ לא בוטל אלא הוקדם: מי שהגיש ראשון את הבקשה ליישוב סכסוך רשאי, אם ההליך נכשל, להגיש תוך 15 ימים תובענה לכל ערכאה מוסמכת</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החוק ביטל את מירוץ הסמכויות, שכן כל התביעות מועברות כעת לבית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החוק קובע שהערכאה תיקבע לפי מקום מגוריה של האישה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החוק מעניק זכות קדימה למי שמגיש ראשון כתב תביעה, בלי קשר לבקשה ליישוב סכסוך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26 </w:t>
            </w:r>
            <w:r>
              <w:rPr>
                <w:rFonts w:ascii="Arial" w:hAnsi="Arial" w:cs="Arial" w:eastAsia="Arial"/>
                <w:sz w:val="20"/>
                <w:szCs w:val="20"/>
                <w:rtl/>
              </w:rPr>
              <w:t xml:space="preserve">  </w:t>
            </w:r>
            <w:r>
              <w:rPr>
                <w:rFonts w:ascii="Arial" w:hAnsi="Arial" w:cs="Arial" w:eastAsia="Arial"/>
                <w:b/>
                <w:bCs/>
                <w:color w:val="111827"/>
                <w:sz w:val="20"/>
                <w:szCs w:val="20"/>
                <w:rtl/>
              </w:rPr>
              <w:t>גינת, נוצרייה, ומשה, יהודי, מבקשים לסיים את נישואיהם. איזו ערכאה מוסמכת לדון בעניין?</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בית הדין הרבני, משום שהבעל יהודי</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בית הדין של העדה הנוצרית, משום שהאישה נוצרייה</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בית המשפט לענייני משפחה, שיפנה לבתי הדין הדתיים הנוגעים בדבר כדי לברר אם נדרשים גירושין לפי הדין הדתי</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בית הדין הרבני, בתנאי ששני בני הזוג יסכימו לכך מכוח סעיף 9</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27 </w:t>
            </w:r>
            <w:r>
              <w:rPr>
                <w:rFonts w:ascii="Arial" w:hAnsi="Arial" w:cs="Arial" w:eastAsia="Arial"/>
                <w:sz w:val="20"/>
                <w:szCs w:val="20"/>
                <w:rtl/>
              </w:rPr>
              <w:t xml:space="preserve">  </w:t>
            </w:r>
            <w:r>
              <w:rPr>
                <w:rFonts w:ascii="Arial" w:hAnsi="Arial" w:cs="Arial" w:eastAsia="Arial"/>
                <w:b/>
                <w:bCs/>
                <w:color w:val="111827"/>
                <w:sz w:val="20"/>
                <w:szCs w:val="20"/>
                <w:rtl/>
              </w:rPr>
              <w:t>סטודנט שאל את המרצה: האם בני זוג יכולים לחתום מראש, במעמד החתונה, על הסכמה שכל סכסוך עתידי ביניהם בענייני מעמד אישי יתנהל בבית הדין הרבני, וכך לבטל את מירוץ הסמכויות? מה השיב המרצה?</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הדבר אסור, משום שאסור לערוך הסכמים לפני הנישואין</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הדבר אפשרי, אך אין רצון להכניס אנשים לבירור סכסוך עוד לפני שהתחתנו, ובעיקר – אי אפשר לחסום אדם מלפנות לבית המשפט: ההסכמה תאפשר לראשון לפנות לבית הדין, אך לא תמנע מבן הזוג האחר לפנות לבית המשפט אם יקדים</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הדבר אפשרי, וההסכמה תבטל לחלוטין את סמכות בית המשפט לענייני משפחה</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הדבר אפשרי רק אם ההסכמה אושרה בידי נוטריון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9AFD5"/>
              <w:left w:val="single" w:sz="8" w:space="0" w:color="99AFD5"/>
              <w:bottom w:val="single" w:sz="8" w:space="0" w:color="99AFD5"/>
              <w:right w:val="single" w:sz="8" w:space="0" w:color="99AFD5"/>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1E4FA3"/>
              </w:rPr>
              <w:t xml:space="preserve"> 28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בתי הדין של העדות הדתיות שאינן יהודיות?</w:t>
            </w:r>
          </w:p>
          <w:p>
            <w:pPr>
              <w:bidi/>
              <w:spacing w:before="0" w:after="20" w:line="276" w:lineRule="auto"/>
              <w:ind w:right="400" w:hanging="300"/>
            </w:pPr>
            <w:r>
              <w:rPr>
                <w:rFonts w:ascii="Arial" w:hAnsi="Arial" w:cs="Arial" w:eastAsia="Arial"/>
                <w:b/>
                <w:bCs/>
                <w:color w:val="1E4FA3"/>
                <w:sz w:val="20"/>
                <w:szCs w:val="20"/>
                <w:rtl/>
              </w:rPr>
              <w:t xml:space="preserve">(א)  </w:t>
            </w:r>
            <w:r>
              <w:rPr>
                <w:rFonts w:ascii="Arial" w:hAnsi="Arial" w:cs="Arial" w:eastAsia="Arial"/>
                <w:color w:val="1F2430"/>
                <w:sz w:val="20"/>
                <w:szCs w:val="20"/>
                <w:rtl/>
              </w:rPr>
              <w:t>רשימת ענייני המעמד האישי זהה בכל העדות ומוגדרת כולה בסימן 51</w:t>
            </w:r>
          </w:p>
          <w:p>
            <w:pPr>
              <w:bidi/>
              <w:spacing w:before="0" w:after="20" w:line="276" w:lineRule="auto"/>
              <w:ind w:right="400" w:hanging="300"/>
            </w:pPr>
            <w:r>
              <w:rPr>
                <w:rFonts w:ascii="Arial" w:hAnsi="Arial" w:cs="Arial" w:eastAsia="Arial"/>
                <w:b/>
                <w:bCs/>
                <w:color w:val="1E4FA3"/>
                <w:sz w:val="20"/>
                <w:szCs w:val="20"/>
                <w:rtl/>
              </w:rPr>
              <w:t xml:space="preserve">(ב)  </w:t>
            </w:r>
            <w:r>
              <w:rPr>
                <w:rFonts w:ascii="Arial" w:hAnsi="Arial" w:cs="Arial" w:eastAsia="Arial"/>
                <w:color w:val="1F2430"/>
                <w:sz w:val="20"/>
                <w:szCs w:val="20"/>
                <w:rtl/>
              </w:rPr>
              <w:t>על מוסלמים חל דין תורה, משום שהדין האישי בישראל אחיד</w:t>
            </w:r>
          </w:p>
          <w:p>
            <w:pPr>
              <w:bidi/>
              <w:spacing w:before="0" w:after="20" w:line="276" w:lineRule="auto"/>
              <w:ind w:right="400" w:hanging="300"/>
            </w:pPr>
            <w:r>
              <w:rPr>
                <w:rFonts w:ascii="Arial" w:hAnsi="Arial" w:cs="Arial" w:eastAsia="Arial"/>
                <w:b/>
                <w:bCs/>
                <w:color w:val="1E4FA3"/>
                <w:sz w:val="20"/>
                <w:szCs w:val="20"/>
                <w:rtl/>
              </w:rPr>
              <w:t xml:space="preserve">(ג)  </w:t>
            </w:r>
            <w:r>
              <w:rPr>
                <w:rFonts w:ascii="Arial" w:hAnsi="Arial" w:cs="Arial" w:eastAsia="Arial"/>
                <w:color w:val="1F2430"/>
                <w:sz w:val="20"/>
                <w:szCs w:val="20"/>
                <w:rtl/>
              </w:rPr>
              <w:t>חוק שיווי זכויות האישה אינו חל על בתי הדין השרעיים</w:t>
            </w:r>
          </w:p>
          <w:p>
            <w:pPr>
              <w:bidi/>
              <w:spacing w:before="0" w:after="20" w:line="276" w:lineRule="auto"/>
              <w:ind w:right="400" w:hanging="300"/>
            </w:pPr>
            <w:r>
              <w:rPr>
                <w:rFonts w:ascii="Arial" w:hAnsi="Arial" w:cs="Arial" w:eastAsia="Arial"/>
                <w:b/>
                <w:bCs/>
                <w:color w:val="1E4FA3"/>
                <w:sz w:val="20"/>
                <w:szCs w:val="20"/>
                <w:rtl/>
              </w:rPr>
              <w:t xml:space="preserve">(ד)  </w:t>
            </w:r>
            <w:r>
              <w:rPr>
                <w:rFonts w:ascii="Arial" w:hAnsi="Arial" w:cs="Arial" w:eastAsia="Arial"/>
                <w:color w:val="1F2430"/>
                <w:sz w:val="20"/>
                <w:szCs w:val="20"/>
                <w:rtl/>
              </w:rPr>
              <w:t>ענייני המעמד האישי של מוסלמים מעוגנים בסימן 52 (המפנה לחוק הפרוצדורה העות׳מאני, ברשימה ארוכה ביותר), ושל נוצרים בסימן 54 – נישואין, גירושין ומזונות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1</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1-ב</w:t>
      </w:r>
      <w:r>
        <w:rPr>
          <w:rFonts w:ascii="Arial" w:hAnsi="Arial" w:cs="Arial" w:eastAsia="Arial"/>
          <w:sz w:val="20"/>
          <w:szCs w:val="20"/>
          <w:rtl/>
        </w:rPr>
        <w:t xml:space="preserve">   </w:t>
      </w:r>
      <w:r>
        <w:rPr>
          <w:rFonts w:ascii="Arial" w:hAnsi="Arial" w:cs="Arial" w:eastAsia="Arial"/>
          <w:b/>
          <w:bCs/>
          <w:color w:val="1F2430"/>
          <w:sz w:val="20"/>
          <w:szCs w:val="20"/>
          <w:rtl/>
        </w:rPr>
        <w:t>2-ד</w:t>
      </w:r>
      <w:r>
        <w:rPr>
          <w:rFonts w:ascii="Arial" w:hAnsi="Arial" w:cs="Arial" w:eastAsia="Arial"/>
          <w:sz w:val="20"/>
          <w:szCs w:val="20"/>
          <w:rtl/>
        </w:rPr>
        <w:t xml:space="preserve">   </w:t>
      </w:r>
      <w:r>
        <w:rPr>
          <w:rFonts w:ascii="Arial" w:hAnsi="Arial" w:cs="Arial" w:eastAsia="Arial"/>
          <w:b/>
          <w:bCs/>
          <w:color w:val="1F2430"/>
          <w:sz w:val="20"/>
          <w:szCs w:val="20"/>
          <w:rtl/>
        </w:rPr>
        <w:t>3-א</w:t>
      </w:r>
      <w:r>
        <w:rPr>
          <w:rFonts w:ascii="Arial" w:hAnsi="Arial" w:cs="Arial" w:eastAsia="Arial"/>
          <w:sz w:val="20"/>
          <w:szCs w:val="20"/>
          <w:rtl/>
        </w:rPr>
        <w:t xml:space="preserve">   </w:t>
      </w:r>
      <w:r>
        <w:rPr>
          <w:rFonts w:ascii="Arial" w:hAnsi="Arial" w:cs="Arial" w:eastAsia="Arial"/>
          <w:b/>
          <w:bCs/>
          <w:color w:val="1F2430"/>
          <w:sz w:val="20"/>
          <w:szCs w:val="20"/>
          <w:rtl/>
        </w:rPr>
        <w:t>4-ג</w:t>
      </w:r>
      <w:r>
        <w:rPr>
          <w:rFonts w:ascii="Arial" w:hAnsi="Arial" w:cs="Arial" w:eastAsia="Arial"/>
          <w:sz w:val="20"/>
          <w:szCs w:val="20"/>
          <w:rtl/>
        </w:rPr>
        <w:t xml:space="preserve">   </w:t>
      </w:r>
      <w:r>
        <w:rPr>
          <w:rFonts w:ascii="Arial" w:hAnsi="Arial" w:cs="Arial" w:eastAsia="Arial"/>
          <w:b/>
          <w:bCs/>
          <w:color w:val="1F2430"/>
          <w:sz w:val="20"/>
          <w:szCs w:val="20"/>
          <w:rtl/>
        </w:rPr>
        <w:t>5-ב</w:t>
      </w:r>
      <w:r>
        <w:rPr>
          <w:rFonts w:ascii="Arial" w:hAnsi="Arial" w:cs="Arial" w:eastAsia="Arial"/>
          <w:sz w:val="20"/>
          <w:szCs w:val="20"/>
          <w:rtl/>
        </w:rPr>
        <w:t xml:space="preserve">   </w:t>
      </w:r>
      <w:r>
        <w:rPr>
          <w:rFonts w:ascii="Arial" w:hAnsi="Arial" w:cs="Arial" w:eastAsia="Arial"/>
          <w:b/>
          <w:bCs/>
          <w:color w:val="1F2430"/>
          <w:sz w:val="20"/>
          <w:szCs w:val="20"/>
          <w:rtl/>
        </w:rPr>
        <w:t>6-א</w:t>
      </w:r>
      <w:r>
        <w:rPr>
          <w:rFonts w:ascii="Arial" w:hAnsi="Arial" w:cs="Arial" w:eastAsia="Arial"/>
          <w:sz w:val="20"/>
          <w:szCs w:val="20"/>
          <w:rtl/>
        </w:rPr>
        <w:t xml:space="preserve">   </w:t>
      </w:r>
      <w:r>
        <w:rPr>
          <w:rFonts w:ascii="Arial" w:hAnsi="Arial" w:cs="Arial" w:eastAsia="Arial"/>
          <w:b/>
          <w:bCs/>
          <w:color w:val="1F2430"/>
          <w:sz w:val="20"/>
          <w:szCs w:val="20"/>
          <w:rtl/>
        </w:rPr>
        <w:t>7-ד</w:t>
      </w:r>
      <w:r>
        <w:rPr>
          <w:rFonts w:ascii="Arial" w:hAnsi="Arial" w:cs="Arial" w:eastAsia="Arial"/>
          <w:sz w:val="20"/>
          <w:szCs w:val="20"/>
          <w:rtl/>
        </w:rPr>
        <w:t xml:space="preserve">   </w:t>
      </w:r>
      <w:r>
        <w:rPr>
          <w:rFonts w:ascii="Arial" w:hAnsi="Arial" w:cs="Arial" w:eastAsia="Arial"/>
          <w:b/>
          <w:bCs/>
          <w:color w:val="1F2430"/>
          <w:sz w:val="20"/>
          <w:szCs w:val="20"/>
          <w:rtl/>
        </w:rPr>
        <w:t>8-ג</w:t>
      </w:r>
      <w:r>
        <w:rPr>
          <w:rFonts w:ascii="Arial" w:hAnsi="Arial" w:cs="Arial" w:eastAsia="Arial"/>
          <w:sz w:val="20"/>
          <w:szCs w:val="20"/>
          <w:rtl/>
        </w:rPr>
        <w:t xml:space="preserve">   </w:t>
      </w:r>
      <w:r>
        <w:rPr>
          <w:rFonts w:ascii="Arial" w:hAnsi="Arial" w:cs="Arial" w:eastAsia="Arial"/>
          <w:b/>
          <w:bCs/>
          <w:color w:val="1F2430"/>
          <w:sz w:val="20"/>
          <w:szCs w:val="20"/>
          <w:rtl/>
        </w:rPr>
        <w:t>9-א</w:t>
      </w:r>
      <w:r>
        <w:rPr>
          <w:rFonts w:ascii="Arial" w:hAnsi="Arial" w:cs="Arial" w:eastAsia="Arial"/>
          <w:sz w:val="20"/>
          <w:szCs w:val="20"/>
          <w:rtl/>
        </w:rPr>
        <w:t xml:space="preserve">   </w:t>
      </w:r>
      <w:r>
        <w:rPr>
          <w:rFonts w:ascii="Arial" w:hAnsi="Arial" w:cs="Arial" w:eastAsia="Arial"/>
          <w:b/>
          <w:bCs/>
          <w:color w:val="1F2430"/>
          <w:sz w:val="20"/>
          <w:szCs w:val="20"/>
          <w:rtl/>
        </w:rPr>
        <w:t>10-ב</w:t>
      </w:r>
      <w:r>
        <w:rPr>
          <w:rFonts w:ascii="Arial" w:hAnsi="Arial" w:cs="Arial" w:eastAsia="Arial"/>
          <w:sz w:val="20"/>
          <w:szCs w:val="20"/>
          <w:rtl/>
        </w:rPr>
        <w:t xml:space="preserve">   </w:t>
      </w:r>
      <w:r>
        <w:rPr>
          <w:rFonts w:ascii="Arial" w:hAnsi="Arial" w:cs="Arial" w:eastAsia="Arial"/>
          <w:b/>
          <w:bCs/>
          <w:color w:val="1F2430"/>
          <w:sz w:val="20"/>
          <w:szCs w:val="20"/>
          <w:rtl/>
        </w:rPr>
        <w:t>11-ד</w:t>
      </w:r>
      <w:r>
        <w:rPr>
          <w:rFonts w:ascii="Arial" w:hAnsi="Arial" w:cs="Arial" w:eastAsia="Arial"/>
          <w:sz w:val="20"/>
          <w:szCs w:val="20"/>
          <w:rtl/>
        </w:rPr>
        <w:t xml:space="preserve">   </w:t>
      </w:r>
      <w:r>
        <w:rPr>
          <w:rFonts w:ascii="Arial" w:hAnsi="Arial" w:cs="Arial" w:eastAsia="Arial"/>
          <w:b/>
          <w:bCs/>
          <w:color w:val="1F2430"/>
          <w:sz w:val="20"/>
          <w:szCs w:val="20"/>
          <w:rtl/>
        </w:rPr>
        <w:t>12-ג</w:t>
      </w:r>
      <w:r>
        <w:rPr>
          <w:rFonts w:ascii="Arial" w:hAnsi="Arial" w:cs="Arial" w:eastAsia="Arial"/>
          <w:sz w:val="20"/>
          <w:szCs w:val="20"/>
          <w:rtl/>
        </w:rPr>
        <w:t xml:space="preserve">   </w:t>
      </w:r>
      <w:r>
        <w:rPr>
          <w:rFonts w:ascii="Arial" w:hAnsi="Arial" w:cs="Arial" w:eastAsia="Arial"/>
          <w:b/>
          <w:bCs/>
          <w:color w:val="1F2430"/>
          <w:sz w:val="20"/>
          <w:szCs w:val="20"/>
          <w:rtl/>
        </w:rPr>
        <w:t>13-ג</w:t>
      </w:r>
      <w:r>
        <w:rPr>
          <w:rFonts w:ascii="Arial" w:hAnsi="Arial" w:cs="Arial" w:eastAsia="Arial"/>
          <w:sz w:val="20"/>
          <w:szCs w:val="20"/>
          <w:rtl/>
        </w:rPr>
        <w:t xml:space="preserve">   </w:t>
      </w:r>
      <w:r>
        <w:rPr>
          <w:rFonts w:ascii="Arial" w:hAnsi="Arial" w:cs="Arial" w:eastAsia="Arial"/>
          <w:b/>
          <w:bCs/>
          <w:color w:val="1F2430"/>
          <w:sz w:val="20"/>
          <w:szCs w:val="20"/>
          <w:rtl/>
        </w:rPr>
        <w:t>14-א</w:t>
      </w:r>
      <w:r>
        <w:rPr>
          <w:rFonts w:ascii="Arial" w:hAnsi="Arial" w:cs="Arial" w:eastAsia="Arial"/>
          <w:sz w:val="20"/>
          <w:szCs w:val="20"/>
          <w:rtl/>
        </w:rPr>
        <w:t xml:space="preserve">   </w:t>
      </w:r>
      <w:r>
        <w:rPr>
          <w:rFonts w:ascii="Arial" w:hAnsi="Arial" w:cs="Arial" w:eastAsia="Arial"/>
          <w:b/>
          <w:bCs/>
          <w:color w:val="1F2430"/>
          <w:sz w:val="20"/>
          <w:szCs w:val="20"/>
          <w:rtl/>
        </w:rPr>
        <w:t>15-ב</w:t>
      </w:r>
      <w:r>
        <w:rPr>
          <w:rFonts w:ascii="Arial" w:hAnsi="Arial" w:cs="Arial" w:eastAsia="Arial"/>
          <w:sz w:val="20"/>
          <w:szCs w:val="20"/>
          <w:rtl/>
        </w:rPr>
        <w:t xml:space="preserve">   </w:t>
      </w:r>
      <w:r>
        <w:rPr>
          <w:rFonts w:ascii="Arial" w:hAnsi="Arial" w:cs="Arial" w:eastAsia="Arial"/>
          <w:b/>
          <w:bCs/>
          <w:color w:val="1F2430"/>
          <w:sz w:val="20"/>
          <w:szCs w:val="20"/>
          <w:rtl/>
        </w:rPr>
        <w:t>16-ד</w:t>
      </w:r>
      <w:r>
        <w:rPr>
          <w:rFonts w:ascii="Arial" w:hAnsi="Arial" w:cs="Arial" w:eastAsia="Arial"/>
          <w:sz w:val="20"/>
          <w:szCs w:val="20"/>
          <w:rtl/>
        </w:rPr>
        <w:t xml:space="preserve">   </w:t>
      </w:r>
      <w:r>
        <w:rPr>
          <w:rFonts w:ascii="Arial" w:hAnsi="Arial" w:cs="Arial" w:eastAsia="Arial"/>
          <w:b/>
          <w:bCs/>
          <w:color w:val="1F2430"/>
          <w:sz w:val="20"/>
          <w:szCs w:val="20"/>
          <w:rtl/>
        </w:rPr>
        <w:t>17-ב</w:t>
      </w:r>
      <w:r>
        <w:rPr>
          <w:rFonts w:ascii="Arial" w:hAnsi="Arial" w:cs="Arial" w:eastAsia="Arial"/>
          <w:sz w:val="20"/>
          <w:szCs w:val="20"/>
          <w:rtl/>
        </w:rPr>
        <w:t xml:space="preserve">   </w:t>
      </w:r>
      <w:r>
        <w:rPr>
          <w:rFonts w:ascii="Arial" w:hAnsi="Arial" w:cs="Arial" w:eastAsia="Arial"/>
          <w:b/>
          <w:bCs/>
          <w:color w:val="1F2430"/>
          <w:sz w:val="20"/>
          <w:szCs w:val="20"/>
          <w:rtl/>
        </w:rPr>
        <w:t>18-א</w:t>
      </w:r>
      <w:r>
        <w:rPr>
          <w:rFonts w:ascii="Arial" w:hAnsi="Arial" w:cs="Arial" w:eastAsia="Arial"/>
          <w:sz w:val="20"/>
          <w:szCs w:val="20"/>
          <w:rtl/>
        </w:rPr>
        <w:t xml:space="preserve">   </w:t>
      </w:r>
      <w:r>
        <w:rPr>
          <w:rFonts w:ascii="Arial" w:hAnsi="Arial" w:cs="Arial" w:eastAsia="Arial"/>
          <w:b/>
          <w:bCs/>
          <w:color w:val="1F2430"/>
          <w:sz w:val="20"/>
          <w:szCs w:val="20"/>
          <w:rtl/>
        </w:rPr>
        <w:t>19-ג</w:t>
      </w:r>
      <w:r>
        <w:rPr>
          <w:rFonts w:ascii="Arial" w:hAnsi="Arial" w:cs="Arial" w:eastAsia="Arial"/>
          <w:sz w:val="20"/>
          <w:szCs w:val="20"/>
          <w:rtl/>
        </w:rPr>
        <w:t xml:space="preserve">   </w:t>
      </w:r>
      <w:r>
        <w:rPr>
          <w:rFonts w:ascii="Arial" w:hAnsi="Arial" w:cs="Arial" w:eastAsia="Arial"/>
          <w:b/>
          <w:bCs/>
          <w:color w:val="1F2430"/>
          <w:sz w:val="20"/>
          <w:szCs w:val="20"/>
          <w:rtl/>
        </w:rPr>
        <w:t>20-ד</w:t>
      </w:r>
      <w:r>
        <w:rPr>
          <w:rFonts w:ascii="Arial" w:hAnsi="Arial" w:cs="Arial" w:eastAsia="Arial"/>
          <w:sz w:val="20"/>
          <w:szCs w:val="20"/>
          <w:rtl/>
        </w:rPr>
        <w:t xml:space="preserve">   </w:t>
      </w:r>
      <w:r>
        <w:rPr>
          <w:rFonts w:ascii="Arial" w:hAnsi="Arial" w:cs="Arial" w:eastAsia="Arial"/>
          <w:b/>
          <w:bCs/>
          <w:color w:val="1F2430"/>
          <w:sz w:val="20"/>
          <w:szCs w:val="20"/>
          <w:rtl/>
        </w:rPr>
        <w:t>21-א</w:t>
      </w:r>
      <w:r>
        <w:rPr>
          <w:rFonts w:ascii="Arial" w:hAnsi="Arial" w:cs="Arial" w:eastAsia="Arial"/>
          <w:sz w:val="20"/>
          <w:szCs w:val="20"/>
          <w:rtl/>
        </w:rPr>
        <w:t xml:space="preserve">   </w:t>
      </w:r>
      <w:r>
        <w:rPr>
          <w:rFonts w:ascii="Arial" w:hAnsi="Arial" w:cs="Arial" w:eastAsia="Arial"/>
          <w:b/>
          <w:bCs/>
          <w:color w:val="1F2430"/>
          <w:sz w:val="20"/>
          <w:szCs w:val="20"/>
          <w:rtl/>
        </w:rPr>
        <w:t>22-ב</w:t>
      </w:r>
      <w:r>
        <w:rPr>
          <w:rFonts w:ascii="Arial" w:hAnsi="Arial" w:cs="Arial" w:eastAsia="Arial"/>
          <w:sz w:val="20"/>
          <w:szCs w:val="20"/>
          <w:rtl/>
        </w:rPr>
        <w:t xml:space="preserve">   </w:t>
      </w:r>
      <w:r>
        <w:rPr>
          <w:rFonts w:ascii="Arial" w:hAnsi="Arial" w:cs="Arial" w:eastAsia="Arial"/>
          <w:b/>
          <w:bCs/>
          <w:color w:val="1F2430"/>
          <w:sz w:val="20"/>
          <w:szCs w:val="20"/>
          <w:rtl/>
        </w:rPr>
        <w:t>23-ג</w:t>
      </w:r>
      <w:r>
        <w:rPr>
          <w:rFonts w:ascii="Arial" w:hAnsi="Arial" w:cs="Arial" w:eastAsia="Arial"/>
          <w:sz w:val="20"/>
          <w:szCs w:val="20"/>
          <w:rtl/>
        </w:rPr>
        <w:t xml:space="preserve">   </w:t>
      </w:r>
      <w:r>
        <w:rPr>
          <w:rFonts w:ascii="Arial" w:hAnsi="Arial" w:cs="Arial" w:eastAsia="Arial"/>
          <w:b/>
          <w:bCs/>
          <w:color w:val="1F2430"/>
          <w:sz w:val="20"/>
          <w:szCs w:val="20"/>
          <w:rtl/>
        </w:rPr>
        <w:t>24-ד</w:t>
      </w:r>
      <w:r>
        <w:rPr>
          <w:rFonts w:ascii="Arial" w:hAnsi="Arial" w:cs="Arial" w:eastAsia="Arial"/>
          <w:sz w:val="20"/>
          <w:szCs w:val="20"/>
          <w:rtl/>
        </w:rPr>
        <w:t xml:space="preserve">   </w:t>
      </w:r>
      <w:r>
        <w:rPr>
          <w:rFonts w:ascii="Arial" w:hAnsi="Arial" w:cs="Arial" w:eastAsia="Arial"/>
          <w:b/>
          <w:bCs/>
          <w:color w:val="1F2430"/>
          <w:sz w:val="20"/>
          <w:szCs w:val="20"/>
          <w:rtl/>
        </w:rPr>
        <w:t>25-א</w:t>
      </w:r>
      <w:r>
        <w:rPr>
          <w:rFonts w:ascii="Arial" w:hAnsi="Arial" w:cs="Arial" w:eastAsia="Arial"/>
          <w:sz w:val="20"/>
          <w:szCs w:val="20"/>
          <w:rtl/>
        </w:rPr>
        <w:t xml:space="preserve">   </w:t>
      </w:r>
      <w:r>
        <w:rPr>
          <w:rFonts w:ascii="Arial" w:hAnsi="Arial" w:cs="Arial" w:eastAsia="Arial"/>
          <w:b/>
          <w:bCs/>
          <w:color w:val="1F2430"/>
          <w:sz w:val="20"/>
          <w:szCs w:val="20"/>
          <w:rtl/>
        </w:rPr>
        <w:t>26-ג</w:t>
      </w:r>
      <w:r>
        <w:rPr>
          <w:rFonts w:ascii="Arial" w:hAnsi="Arial" w:cs="Arial" w:eastAsia="Arial"/>
          <w:sz w:val="20"/>
          <w:szCs w:val="20"/>
          <w:rtl/>
        </w:rPr>
        <w:t xml:space="preserve">   </w:t>
      </w:r>
      <w:r>
        <w:rPr>
          <w:rFonts w:ascii="Arial" w:hAnsi="Arial" w:cs="Arial" w:eastAsia="Arial"/>
          <w:b/>
          <w:bCs/>
          <w:color w:val="1F2430"/>
          <w:sz w:val="20"/>
          <w:szCs w:val="20"/>
          <w:rtl/>
        </w:rPr>
        <w:t>27-ב</w:t>
      </w:r>
      <w:r>
        <w:rPr>
          <w:rFonts w:ascii="Arial" w:hAnsi="Arial" w:cs="Arial" w:eastAsia="Arial"/>
          <w:sz w:val="20"/>
          <w:szCs w:val="20"/>
          <w:rtl/>
        </w:rPr>
        <w:t xml:space="preserve">   </w:t>
      </w:r>
      <w:r>
        <w:rPr>
          <w:rFonts w:ascii="Arial" w:hAnsi="Arial" w:cs="Arial" w:eastAsia="Arial"/>
          <w:b/>
          <w:bCs/>
          <w:color w:val="1F2430"/>
          <w:sz w:val="20"/>
          <w:szCs w:val="20"/>
          <w:rtl/>
        </w:rPr>
        <w:t>28-ד</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 — התשובה הנכונה: ב</w:t>
            </w:r>
          </w:p>
          <w:p>
            <w:pPr>
              <w:bidi/>
              <w:spacing w:before="0" w:after="0" w:line="288" w:lineRule="auto"/>
              <w:jc w:val="both"/>
            </w:pPr>
            <w:r>
              <w:rPr>
                <w:rFonts w:ascii="Arial" w:hAnsi="Arial" w:cs="Arial" w:eastAsia="Arial"/>
                <w:color w:val="1F2430"/>
                <w:sz w:val="19"/>
                <w:szCs w:val="19"/>
                <w:rtl/>
              </w:rPr>
              <w:t>סמכות שיפוט עונה על השאלה מי מוסמך לדון, וברירת הדין – לפי איזה דין יוכרע התיק. בית המשפט לענייני משפחה דן במזונות אישה לפי הדין האישי (סעיף 2(א) לחוק המזונות), ובית הדין הרבני מחלק רכוש לפי הדין האזרחי (הלכת בבלי). התשובה הראשונה מתארת רק את ברירת המחדל הפסיקתית, והאחרונה שגויה – הראשון בוחר ערכאה ולא 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 — התשובה הנכונה: ד</w:t>
            </w:r>
          </w:p>
          <w:p>
            <w:pPr>
              <w:bidi/>
              <w:spacing w:before="0" w:after="0" w:line="288" w:lineRule="auto"/>
              <w:jc w:val="both"/>
            </w:pPr>
            <w:r>
              <w:rPr>
                <w:rFonts w:ascii="Arial" w:hAnsi="Arial" w:cs="Arial" w:eastAsia="Arial"/>
                <w:color w:val="1F2430"/>
                <w:sz w:val="19"/>
                <w:szCs w:val="19"/>
                <w:rtl/>
              </w:rPr>
              <w:t>סימן 47 ממלא שני תפקידים: המילה גם מקנה לבתי המשפט האזרחיים סמכות מקבילה לזו של בתי הדין הדתיים, והסיפא קובעת שהם ידונו לפי הדין האישי החל, בכפוף לחקיקה. התשובה הראשונה מתארת את סימן 51 (ואף בו הסמכות אינה מנוסחת כייחודית), והשלישית סותרת את לשון הסימן.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 — התשובה הנכונה: א</w:t>
            </w:r>
          </w:p>
          <w:p>
            <w:pPr>
              <w:bidi/>
              <w:spacing w:before="0" w:after="0" w:line="288" w:lineRule="auto"/>
              <w:jc w:val="both"/>
            </w:pPr>
            <w:r>
              <w:rPr>
                <w:rFonts w:ascii="Arial" w:hAnsi="Arial" w:cs="Arial" w:eastAsia="Arial"/>
                <w:color w:val="1F2430"/>
                <w:sz w:val="19"/>
                <w:szCs w:val="19"/>
                <w:rtl/>
              </w:rPr>
              <w:t>נמכ״א: נישואין וגירושין, מזונות (מזונות אישה), כלכלה (מזונות ילדים) ואפוטרופסות (ענייני הילדים). המלכודת הנפוצה היא לפרש כלכלה כרכוש – אך רכוש אינו מענייני המעמד האישי שבסימן 51.</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 — התשובה הנכונה: ג</w:t>
            </w:r>
          </w:p>
          <w:p>
            <w:pPr>
              <w:bidi/>
              <w:spacing w:before="0" w:after="0" w:line="288" w:lineRule="auto"/>
              <w:jc w:val="both"/>
            </w:pPr>
            <w:r>
              <w:rPr>
                <w:rFonts w:ascii="Arial" w:hAnsi="Arial" w:cs="Arial" w:eastAsia="Arial"/>
                <w:color w:val="1F2430"/>
                <w:sz w:val="19"/>
                <w:szCs w:val="19"/>
                <w:rtl/>
              </w:rPr>
              <w:t>סימן 51 מונה שבעה עניינים, והקורס מתמקד בארבעה – נמכ״א. רכוש אינו חלק מהם (התשובה הראשונה), ירושה ואימוץ יצאו מענייני המעמד האישי עם חקיקת החוקים האזרחיים (השנייה), והתשובה האחרונה מערבבת את תנאי סעיף 1 לחוק שיפוט בתי דין רבניים.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 — התשובה הנכונה: ב</w:t>
            </w:r>
          </w:p>
          <w:p>
            <w:pPr>
              <w:bidi/>
              <w:spacing w:before="0" w:after="0" w:line="288" w:lineRule="auto"/>
              <w:jc w:val="both"/>
            </w:pPr>
            <w:r>
              <w:rPr>
                <w:rFonts w:ascii="Arial" w:hAnsi="Arial" w:cs="Arial" w:eastAsia="Arial"/>
                <w:color w:val="1F2430"/>
                <w:sz w:val="19"/>
                <w:szCs w:val="19"/>
                <w:rtl/>
              </w:rPr>
              <w:t>סעיף 2(א) לחוק המזונות קובע שאדם חייב במזונות בן זוגו לפי הדין האישי החל עליו, וזה גם עולה מסימן 47. משום שיש הוראת חוק מפורשת, הכלל הפסיקתי הדין הולך אחר הדיין אינו חל – ולכן התשובה הראשונה שגויה. התובעת בוחרת ערכאה, לא 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 — התשובה הנכונה: א</w:t>
            </w:r>
          </w:p>
          <w:p>
            <w:pPr>
              <w:bidi/>
              <w:spacing w:before="0" w:after="0" w:line="288" w:lineRule="auto"/>
              <w:jc w:val="both"/>
            </w:pPr>
            <w:r>
              <w:rPr>
                <w:rFonts w:ascii="Arial" w:hAnsi="Arial" w:cs="Arial" w:eastAsia="Arial"/>
                <w:color w:val="1F2430"/>
                <w:sz w:val="19"/>
                <w:szCs w:val="19"/>
                <w:rtl/>
              </w:rPr>
              <w:t>הכלל הוא ברירת מחדל בלבד; כשיש הוראת חוק ספציפית – פועלים לפיה (למשל סעיף 2(א) לחוק המזונות). בענייני רכוש הלכת בבלי אף הפכה אותו: הדיין הולך אחר הדין. בנישואין וגירושין הדין נקבע בחוק (סעיף 2 לחוק השיפוט), ולכן התשובה השלישית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 — התשובה הנכונה: ד</w:t>
            </w:r>
          </w:p>
          <w:p>
            <w:pPr>
              <w:bidi/>
              <w:spacing w:before="0" w:after="0" w:line="288" w:lineRule="auto"/>
              <w:jc w:val="both"/>
            </w:pPr>
            <w:r>
              <w:rPr>
                <w:rFonts w:ascii="Arial" w:hAnsi="Arial" w:cs="Arial" w:eastAsia="Arial"/>
                <w:color w:val="1F2430"/>
                <w:sz w:val="19"/>
                <w:szCs w:val="19"/>
                <w:rtl/>
              </w:rPr>
              <w:t>חוק הירושה, התשכ״ה-1965, הוציא את הירושה מענייני המעמד האישי והחיל עליה דין אזרחי. לפי סעיף 155 בית דין דתי ידון בירושה רק אם כל הצדדים הסכימו לכך בכתב – די ביורש אחד שמתנגד. אין כאן הכרעת רוב, וירושה אינה עוד חלק מענייני המעמד האישי.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 — התשובה הנכונה: ג</w:t>
            </w:r>
          </w:p>
          <w:p>
            <w:pPr>
              <w:bidi/>
              <w:spacing w:before="0" w:after="0" w:line="288" w:lineRule="auto"/>
              <w:jc w:val="both"/>
            </w:pPr>
            <w:r>
              <w:rPr>
                <w:rFonts w:ascii="Arial" w:hAnsi="Arial" w:cs="Arial" w:eastAsia="Arial"/>
                <w:color w:val="1F2430"/>
                <w:sz w:val="19"/>
                <w:szCs w:val="19"/>
                <w:rtl/>
              </w:rPr>
              <w:t>כשהמדינה קמה, אימוץ וירושה היו ענייני מעמד אישי: הדין בהם היה דתי ואפשר היה לפנות לשתי הערכאות. חקיקת חוק הירושה וחוק האימוץ הוציאה אותם מהרשימה והחילה עליהם דין טריטוריאלי-אזרחי (למשל שוויון בין בנים לבנות בירושה). התשובות האחרות מתארות את המצב שקדם לחקיקה או משלבות שילוב שגוי.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 — התשובה הנכונה: א</w:t>
            </w:r>
          </w:p>
          <w:p>
            <w:pPr>
              <w:bidi/>
              <w:spacing w:before="0" w:after="0" w:line="288" w:lineRule="auto"/>
              <w:jc w:val="both"/>
            </w:pPr>
            <w:r>
              <w:rPr>
                <w:rFonts w:ascii="Arial" w:hAnsi="Arial" w:cs="Arial" w:eastAsia="Arial"/>
                <w:color w:val="1F2430"/>
                <w:sz w:val="19"/>
                <w:szCs w:val="19"/>
                <w:rtl/>
              </w:rPr>
              <w:t>הדין שחל בענייני משמורת ואפוטרופסות הוא חוק הכשרות המשפטית והאפוטרופסות (חוק מאוחר גובר), ובלקונה – השלמה מדין תורה, מכוח היות העניין ברשימת ענייני המעמד האישי. העניין בסמכות מקבילה, ולפי המרצה אפוטרופסות כוללת גם חינוך – ולכן התשובה האחרונה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 — התשובה הנכונה: ב</w:t>
            </w:r>
          </w:p>
          <w:p>
            <w:pPr>
              <w:bidi/>
              <w:spacing w:before="0" w:after="0" w:line="288" w:lineRule="auto"/>
              <w:jc w:val="both"/>
            </w:pPr>
            <w:r>
              <w:rPr>
                <w:rFonts w:ascii="Arial" w:hAnsi="Arial" w:cs="Arial" w:eastAsia="Arial"/>
                <w:color w:val="1F2430"/>
                <w:sz w:val="19"/>
                <w:szCs w:val="19"/>
                <w:rtl/>
              </w:rPr>
              <w:t>עד 1953 גם בית משפט אזרחי יכול היה לגרש. סעיף 1 לחוק הפך את הנישואין והגירושין של יהודים לסמכות ייחודית של בית הדין הרבני (בהתקיים ארבעה תנאים מצטברים), ואילו שאר נמכ״א נשארו בסמכות מקבילה. לכן מירוץ הסמכויות לא נעלם אלא הצטמצם.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 — התשובה הנכונה: ד</w:t>
            </w:r>
          </w:p>
          <w:p>
            <w:pPr>
              <w:bidi/>
              <w:spacing w:before="0" w:after="0" w:line="288" w:lineRule="auto"/>
              <w:jc w:val="both"/>
            </w:pPr>
            <w:r>
              <w:rPr>
                <w:rFonts w:ascii="Arial" w:hAnsi="Arial" w:cs="Arial" w:eastAsia="Arial"/>
                <w:color w:val="1F2430"/>
                <w:sz w:val="19"/>
                <w:szCs w:val="19"/>
                <w:rtl/>
              </w:rPr>
              <w:t>יש להבחין: סעיף 1 עוסק בסמכות, וסעיף 2 בברירת הדין. התשובה הראשונה מייחסת לסעיף 2 את תוכנו של סעיף 1. הסעיף אינו מותיר בחירה (השנייה), וענייני נישואין וגירושין של יהודים מחייבים ששני בני הזוג יהיו יהודים (בג״ץ אוה בסן) – ולכן השלישית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 — התשובה הנכונה: ג</w:t>
            </w:r>
          </w:p>
          <w:p>
            <w:pPr>
              <w:bidi/>
              <w:spacing w:before="0" w:after="0" w:line="288" w:lineRule="auto"/>
              <w:jc w:val="both"/>
            </w:pPr>
            <w:r>
              <w:rPr>
                <w:rFonts w:ascii="Arial" w:hAnsi="Arial" w:cs="Arial" w:eastAsia="Arial"/>
                <w:color w:val="1F2430"/>
                <w:sz w:val="19"/>
                <w:szCs w:val="19"/>
                <w:rtl/>
              </w:rPr>
              <w:t>זהו נוסח סעיף 1 לחוק שיפוט בתי דין רבניים: סמכות ייחודית לבית הדין הרבני. בנישואין וגירושין אין סמכות מקבילה, ובית המשפט לענייני משפחה אינו מוסמך לגרש יהודים כשתנאי הסעיף מתקיימים.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 — התשובה הנכונה: ג</w:t>
            </w:r>
          </w:p>
          <w:p>
            <w:pPr>
              <w:bidi/>
              <w:spacing w:before="0" w:after="0" w:line="288" w:lineRule="auto"/>
              <w:jc w:val="both"/>
            </w:pPr>
            <w:r>
              <w:rPr>
                <w:rFonts w:ascii="Arial" w:hAnsi="Arial" w:cs="Arial" w:eastAsia="Arial"/>
                <w:color w:val="1F2430"/>
                <w:sz w:val="19"/>
                <w:szCs w:val="19"/>
                <w:rtl/>
              </w:rPr>
              <w:t>תביעת הגירושין של יהודים היא בסמכות ייחודית של בית הדין הרבני, ולכן אין עליה מירוץ ואפשר להגישה גם בסוף. המירוץ מתנהל על הנושאים הנלווים שבסמכות מקבילה – מזונות, כלכלה ואפוטרופסות. ייתכן אף שעדיף לאישה לפתוח את התיקים הנלווים בבית המשפט בלי לפתוח בכלל תביעת גירושין.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 — התשובה הנכונה: א</w:t>
            </w:r>
          </w:p>
          <w:p>
            <w:pPr>
              <w:bidi/>
              <w:spacing w:before="0" w:after="0" w:line="288" w:lineRule="auto"/>
              <w:jc w:val="both"/>
            </w:pPr>
            <w:r>
              <w:rPr>
                <w:rFonts w:ascii="Arial" w:hAnsi="Arial" w:cs="Arial" w:eastAsia="Arial"/>
                <w:color w:val="1F2430"/>
                <w:sz w:val="19"/>
                <w:szCs w:val="19"/>
                <w:rtl/>
              </w:rPr>
              <w:t>לפי סידיס, ענייני נישואין הם עצם הקשר והמעמד האישי (תוקף, כשרות להינשא, שלום בית, מורד ומורדת), ולא ההשלכות הכספיות. החריג הוא הכתובה – זכות שמקורה בדין הדתי, שנותרה בסמכות ייחודית של בית הדין הרבני. רכוש אינו מענייני המעמד האישי.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 — התשובה הנכונה: ב</w:t>
            </w:r>
          </w:p>
          <w:p>
            <w:pPr>
              <w:bidi/>
              <w:spacing w:before="0" w:after="0" w:line="288" w:lineRule="auto"/>
              <w:jc w:val="both"/>
            </w:pPr>
            <w:r>
              <w:rPr>
                <w:rFonts w:ascii="Arial" w:hAnsi="Arial" w:cs="Arial" w:eastAsia="Arial"/>
                <w:color w:val="1F2430"/>
                <w:sz w:val="19"/>
                <w:szCs w:val="19"/>
                <w:rtl/>
              </w:rPr>
              <w:t>בבבלי בית הדין חילק לפי הרישום (100-0) וטען לשוויון. השופט ברק קבע שנדרש שוויון מהותי, שהלכת השיתוף היא דין בישראל, ושלפי סעיף 1 לחוק שיווי זכויות האישה גם בית הדין חייב להחילה. בית הדין מוסמך לדון ברכוש בכריכה – ולכן התשובה הראשונה שגויה; השלישית מתארת את עמדת בית הדין שנדחתה. בעקבות זאת האישה מוותרת בדרך כלל על כתובתה – או הלכת בבלי או תלמוד בבלי.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 — התשובה הנכונה: ד</w:t>
            </w:r>
          </w:p>
          <w:p>
            <w:pPr>
              <w:bidi/>
              <w:spacing w:before="0" w:after="0" w:line="288" w:lineRule="auto"/>
              <w:jc w:val="both"/>
            </w:pPr>
            <w:r>
              <w:rPr>
                <w:rFonts w:ascii="Arial" w:hAnsi="Arial" w:cs="Arial" w:eastAsia="Arial"/>
                <w:color w:val="1F2430"/>
                <w:sz w:val="19"/>
                <w:szCs w:val="19"/>
                <w:rtl/>
              </w:rPr>
              <w:t>סעיף 7(ב) מחיל את החוק על כל בית דין המוסמך לדון בענייני המעמד האישי – יהודים, מוסלמים, נוצרים ודרוזים. יחד עם סעיף 2 (כשרות מלאה של אישה נשואה לקניין) הוא איתת לפסיקה שהמחוקק אינו רוצה שרכוש ינוהל לפי דין דתי. החוק אינו מוגבל לבית הדין הרבני.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 — התשובה הנכונה: ב</w:t>
            </w:r>
          </w:p>
          <w:p>
            <w:pPr>
              <w:bidi/>
              <w:spacing w:before="0" w:after="0" w:line="288" w:lineRule="auto"/>
              <w:jc w:val="both"/>
            </w:pPr>
            <w:r>
              <w:rPr>
                <w:rFonts w:ascii="Arial" w:hAnsi="Arial" w:cs="Arial" w:eastAsia="Arial"/>
                <w:color w:val="1F2430"/>
                <w:sz w:val="19"/>
                <w:szCs w:val="19"/>
                <w:rtl/>
              </w:rPr>
              <w:t>סעיף 13(ב) לחוק יחסי ממון מחייב גם את בית הדין הדתי לנהוג לפי החוק, אלא אם הצדדים הסכימו לפניו לדון לפי הדין הדתי; בפסיקה נדרשה הסכמה מפורשת. הלכת בבלי היא ברירת המחדל ואינה שוללת הסכמה כזו. לבית הדין יש סמכות לדון ברכוש מכוח כריכה – ולכן התשובה השלישית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 — התשובה הנכונה: א</w:t>
            </w:r>
          </w:p>
          <w:p>
            <w:pPr>
              <w:bidi/>
              <w:spacing w:before="0" w:after="0" w:line="288" w:lineRule="auto"/>
              <w:jc w:val="both"/>
            </w:pPr>
            <w:r>
              <w:rPr>
                <w:rFonts w:ascii="Arial" w:hAnsi="Arial" w:cs="Arial" w:eastAsia="Arial"/>
                <w:color w:val="1F2430"/>
                <w:sz w:val="19"/>
                <w:szCs w:val="19"/>
                <w:rtl/>
              </w:rPr>
              <w:t>שני הערוצים אינם נפגשים. בערוץ האזרחי: משפחה ← מחוזי (בזכות) ← עליון (ברשות). בערוץ הדתי: אזורי ← בית הדין הגדול, ומעליו אין ערכאת ערעור דתית רגילה – ניתן רק לעתור לבג״ץ, שאינו ערכאת ערעור אלא ערכאת פיקוח.</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 — התשובה הנכונה: ג</w:t>
            </w:r>
          </w:p>
          <w:p>
            <w:pPr>
              <w:bidi/>
              <w:spacing w:before="0" w:after="0" w:line="288" w:lineRule="auto"/>
              <w:jc w:val="both"/>
            </w:pPr>
            <w:r>
              <w:rPr>
                <w:rFonts w:ascii="Arial" w:hAnsi="Arial" w:cs="Arial" w:eastAsia="Arial"/>
                <w:color w:val="1F2430"/>
                <w:sz w:val="19"/>
                <w:szCs w:val="19"/>
                <w:rtl/>
              </w:rPr>
              <w:t>אי אפשר לעתור לבג״ץ רק משום שאינך מסכים עם ההחלטה. סעיף 15(ד)(4) מסמיך את בג״ץ לצוות על בתי דין דתיים לדון, להימנע מלדון או לבטל החלטה שניתנה שלא כדין; סעיף 15(ג) משמש לעיתים נדירות. בג״ץ אינו מתערב בפרשנות דין תורה (אקנין) – ולכן התשובה השנייה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 — התשובה הנכונה: ד</w:t>
            </w:r>
          </w:p>
          <w:p>
            <w:pPr>
              <w:bidi/>
              <w:spacing w:before="0" w:after="0" w:line="288" w:lineRule="auto"/>
              <w:jc w:val="both"/>
            </w:pPr>
            <w:r>
              <w:rPr>
                <w:rFonts w:ascii="Arial" w:hAnsi="Arial" w:cs="Arial" w:eastAsia="Arial"/>
                <w:color w:val="1F2430"/>
                <w:sz w:val="19"/>
                <w:szCs w:val="19"/>
                <w:rtl/>
              </w:rPr>
              <w:t>בפס״ד לב ההתערבות לא נבעה מהדין הדתי עצמו ולא מהעדר סמכות כללית לתת צווים – לבית הדין יש אמצעי אכיפה כמו צו עיכוב יציאה – אלא מהפעלת הסמכות שלא לתכליתה. כך הורחבו עילות ההתערבות מעבר לחריגה מסמכות, בהתאם לכפיפות בית הדין, כגוף ממלכתי, לעקרונות המשפט הציבורי ולזכויות היסוד.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 — התשובה הנכונה: א</w:t>
            </w:r>
          </w:p>
          <w:p>
            <w:pPr>
              <w:bidi/>
              <w:spacing w:before="0" w:after="0" w:line="288" w:lineRule="auto"/>
              <w:jc w:val="both"/>
            </w:pPr>
            <w:r>
              <w:rPr>
                <w:rFonts w:ascii="Arial" w:hAnsi="Arial" w:cs="Arial" w:eastAsia="Arial"/>
                <w:color w:val="1F2430"/>
                <w:sz w:val="19"/>
                <w:szCs w:val="19"/>
                <w:rtl/>
              </w:rPr>
              <w:t>שתי הערכאות החילו אותו דין – דין תורה – והגיעו לתוצאות הפוכות, וזו הדוגמה המרכזית לכך שהדין הוא פונקציה של הדיין. בג״ץ אינו מתערב בפרשנות הדין הדתי, ופרשנות הערכאה האזרחית אינה מחייבת את בית הדין. מזונות אישה (כולל מדור) הם בסמכות מקבילה, לא ייחודית.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 — התשובה הנכונה: ב</w:t>
            </w:r>
          </w:p>
          <w:p>
            <w:pPr>
              <w:bidi/>
              <w:spacing w:before="0" w:after="0" w:line="288" w:lineRule="auto"/>
              <w:jc w:val="both"/>
            </w:pPr>
            <w:r>
              <w:rPr>
                <w:rFonts w:ascii="Arial" w:hAnsi="Arial" w:cs="Arial" w:eastAsia="Arial"/>
                <w:color w:val="1F2430"/>
                <w:sz w:val="19"/>
                <w:szCs w:val="19"/>
                <w:rtl/>
              </w:rPr>
              <w:t>סעיף 15(ד)(4) מתנה את התערבות בג״ץ בכך שהמבקש עורר את שאלת הסמכות בהזדמנות הראשונה שהייתה לו. מי שמשיב לגופו של עניין בלי להתנגד לסמכות עלול להיחשב כמי שהסכים לה בהתנהגות. ההזדמנות הראשונה נמדדת לפי בעל הדין ולא לפי עורך דין שנכנס לתיק מאוחר.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 — התשובה הנכונה: ג</w:t>
            </w:r>
          </w:p>
          <w:p>
            <w:pPr>
              <w:bidi/>
              <w:spacing w:before="0" w:after="0" w:line="288" w:lineRule="auto"/>
              <w:jc w:val="both"/>
            </w:pPr>
            <w:r>
              <w:rPr>
                <w:rFonts w:ascii="Arial" w:hAnsi="Arial" w:cs="Arial" w:eastAsia="Arial"/>
                <w:color w:val="1F2430"/>
                <w:sz w:val="19"/>
                <w:szCs w:val="19"/>
                <w:rtl/>
              </w:rPr>
              <w:t>סעיף 76 מאפשר לערכאה שדנה בעניין שבסמכותה להכריע אגב גררא בשאלה צדדית שבסמכות ייחודית של ערכאה אחרת, אך רק לצורך אותו תיק. לשאלת סטודנט השיב המרצה שלכל ערכאה יש סמכות כזו – גם לבית הדין. לכן ההכרעה אינה מחייבת לכל דבר ועניין (השנייה), והסמכות אינה חד-צדדית.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 — התשובה הנכונה: ד</w:t>
            </w:r>
          </w:p>
          <w:p>
            <w:pPr>
              <w:bidi/>
              <w:spacing w:before="0" w:after="0" w:line="288" w:lineRule="auto"/>
              <w:jc w:val="both"/>
            </w:pPr>
            <w:r>
              <w:rPr>
                <w:rFonts w:ascii="Arial" w:hAnsi="Arial" w:cs="Arial" w:eastAsia="Arial"/>
                <w:color w:val="1F2430"/>
                <w:sz w:val="19"/>
                <w:szCs w:val="19"/>
                <w:rtl/>
              </w:rPr>
              <w:t>הראשון בוחר ערכאה בלבד; הדין נקבע לפי חוק, ובמזונות אישה חל הדין האישי בשתי הערכאות. שלוש הטענות האחרות הן הסיבות שנלמדו: פרשנות שונה (הדין הוא פונקציה של הדיין), סמכות נמשכת, ושיקולים אסטרטגיים מול הדין האישי בבית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 — התשובה הנכונה: א</w:t>
            </w:r>
          </w:p>
          <w:p>
            <w:pPr>
              <w:bidi/>
              <w:spacing w:before="0" w:after="0" w:line="288" w:lineRule="auto"/>
              <w:jc w:val="both"/>
            </w:pPr>
            <w:r>
              <w:rPr>
                <w:rFonts w:ascii="Arial" w:hAnsi="Arial" w:cs="Arial" w:eastAsia="Arial"/>
                <w:color w:val="1F2430"/>
                <w:sz w:val="19"/>
                <w:szCs w:val="19"/>
                <w:rtl/>
              </w:rPr>
              <w:t>לפי סעיף 4 לחוק, אם חלפו תקופות עיכוב ההליכים ולא הושג הסדר, הצד שהגיש תחילה את הבקשה ליישוב סכסוך רשאי להגיש תוך 15 ימים תובענה לכל ערכאה מוסמכת. כך המירוץ עבר לשלב הגשת הבקשה. פירוט מלא – בפרק על יישוב הסכסוך.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 — התשובה הנכונה: ג</w:t>
            </w:r>
          </w:p>
          <w:p>
            <w:pPr>
              <w:bidi/>
              <w:spacing w:before="0" w:after="0" w:line="288" w:lineRule="auto"/>
              <w:jc w:val="both"/>
            </w:pPr>
            <w:r>
              <w:rPr>
                <w:rFonts w:ascii="Arial" w:hAnsi="Arial" w:cs="Arial" w:eastAsia="Arial"/>
                <w:color w:val="1F2430"/>
                <w:sz w:val="19"/>
                <w:szCs w:val="19"/>
                <w:rtl/>
              </w:rPr>
              <w:t>לפי בג״ץ אוה בסן אין להחיל דין דתי של אחד על השני – כפייה – ואין להחילו על אחד בלבד – פיצול סטטוס; סמכות בית הדין הרבני מחייבת ששני בני הזוג יהיו יהודים. לכן ההליך נפתח בבית המשפט האזרחי לפי חוק שיפוט בענייני התרת נישואין (מקרים מיוחדים וסמכות בין-לאומית), שפונה לראשי בתי הדין הדתיים. גם הסכמה לפי סעיף 9 אינה מועילה לזוג מעורב.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 — התשובה הנכונה: ב</w:t>
            </w:r>
          </w:p>
          <w:p>
            <w:pPr>
              <w:bidi/>
              <w:spacing w:before="0" w:after="0" w:line="288" w:lineRule="auto"/>
              <w:jc w:val="both"/>
            </w:pPr>
            <w:r>
              <w:rPr>
                <w:rFonts w:ascii="Arial" w:hAnsi="Arial" w:cs="Arial" w:eastAsia="Arial"/>
                <w:color w:val="1F2430"/>
                <w:sz w:val="19"/>
                <w:szCs w:val="19"/>
                <w:rtl/>
              </w:rPr>
              <w:t>המרצה השיב שהדבר אפשרי, אך יש שני קשיים: הרתיעה מלעסוק בסכסוך עוד לפני החתונה, והעובדה שאי אפשר לחסום אדם מבית המשפט. ההסכמה אינה מבטלת את הסמכות המקבילה – מי שיקדים ויפנה לבית המשפט יוכל לנהל שם את ענייניו.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 — התשובה הנכונה: ד</w:t>
            </w:r>
          </w:p>
          <w:p>
            <w:pPr>
              <w:bidi/>
              <w:spacing w:before="0" w:after="0" w:line="288" w:lineRule="auto"/>
              <w:jc w:val="both"/>
            </w:pPr>
            <w:r>
              <w:rPr>
                <w:rFonts w:ascii="Arial" w:hAnsi="Arial" w:cs="Arial" w:eastAsia="Arial"/>
                <w:color w:val="1F2430"/>
                <w:sz w:val="19"/>
                <w:szCs w:val="19"/>
                <w:rtl/>
              </w:rPr>
              <w:t>הדין האישי אינו אחיד – לכל עדה דין משלה (על מוסלמים חל הדין השרעי), וגם היקף ענייני המעמד האישי שונה: סימן 52 למוסלמים וסימן 54 לנוצרים. סעיף 7(ב) לחוק שיווי זכויות האישה מחיל את החוק על כל בית דין המוסמך לדון בענייני המעמד האישי – ובכלל זה בתי הדין השרעיים.</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0F7C7A"/>
            <w:tcBorders>
              <w:top w:val="single" w:sz="4" w:space="0" w:color="0F7C7A"/>
              <w:left w:val="single" w:sz="4" w:space="0" w:color="0F7C7A"/>
              <w:bottom w:val="single" w:sz="4" w:space="0" w:color="0F7C7A"/>
              <w:right w:val="single" w:sz="4" w:space="0" w:color="0F7C7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2</w:t>
            </w:r>
          </w:p>
          <w:p>
            <w:pPr>
              <w:bidi/>
              <w:spacing w:before="0" w:after="0" w:line="264" w:lineRule="auto"/>
              <w:outlineLvl w:val="0"/>
            </w:pPr>
            <w:r>
              <w:rPr>
                <w:rFonts w:ascii="Arial" w:hAnsi="Arial" w:cs="Arial" w:eastAsia="Arial"/>
                <w:b/>
                <w:bCs/>
                <w:color w:val="FFFFFF"/>
                <w:sz w:val="42"/>
                <w:szCs w:val="42"/>
                <w:rtl/>
              </w:rPr>
              <w:t>הסמכות הייחודית של בית הדין הרבני</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29 </w:t>
            </w:r>
            <w:r>
              <w:rPr>
                <w:rFonts w:ascii="Arial" w:hAnsi="Arial" w:cs="Arial" w:eastAsia="Arial"/>
                <w:sz w:val="20"/>
                <w:szCs w:val="20"/>
                <w:rtl/>
              </w:rPr>
              <w:t xml:space="preserve">  </w:t>
            </w:r>
            <w:r>
              <w:rPr>
                <w:rFonts w:ascii="Arial" w:hAnsi="Arial" w:cs="Arial" w:eastAsia="Arial"/>
                <w:b/>
                <w:bCs/>
                <w:color w:val="111827"/>
                <w:sz w:val="20"/>
                <w:szCs w:val="20"/>
                <w:rtl/>
              </w:rPr>
              <w:t>מהו הנוסח הנכון של סעיף 1 לחוק שיפוט בתי דין רבניים (נישואין וגירושין), התשי״ג-1953?</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ענייני נישואין וגירושין בישראל, אזרחי המדינה ותושביה, יהיו בשיפוטם ובסמכותם המקבילה של בית הדין הרבני ובית המשפט לענייני משפחה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ענייני נישואין וגירושין של יהודים בישראל, אזרחי המדינה או תושביה, יהיו בשיפוטם הייחודי של בתי דין רבניים</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ענייני נישואין וגירושין של יהודים, אף אם אחד מבני הזוג אינו יהודי, יהיו בשיפוטם הייחודי של בתי דין רבניים</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ענייני נישואין וגירושין של יהודים בישראל יהיו בשיפוטו הייחודי של בית המשפט לענייני משפחה, לפי דין תורה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30 </w:t>
            </w:r>
            <w:r>
              <w:rPr>
                <w:rFonts w:ascii="Arial" w:hAnsi="Arial" w:cs="Arial" w:eastAsia="Arial"/>
                <w:sz w:val="20"/>
                <w:szCs w:val="20"/>
                <w:rtl/>
              </w:rPr>
              <w:t xml:space="preserve">  </w:t>
            </w:r>
            <w:r>
              <w:rPr>
                <w:rFonts w:ascii="Arial" w:hAnsi="Arial" w:cs="Arial" w:eastAsia="Arial"/>
                <w:b/>
                <w:bCs/>
                <w:color w:val="111827"/>
                <w:sz w:val="20"/>
                <w:szCs w:val="20"/>
                <w:rtl/>
              </w:rPr>
              <w:t>עו״ד בודק אם לבית הדין הרבני סמכות לפי סעיף 1 לחוק השיפוט ומגלה ששלושה תנאים מתקיימים והרביעי אינו מתקיים. מה המסקנה הנכונה?</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לבית הדין סמכות, כי מספיק שרוב התנאים מתקיימים</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לבית הדין סמכות מקבילה במקום סמכות ייחודית</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אפשר להשלים את התנאי החסר באמצעות כריכה לפי סעיף 3</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סעיף 1 אינו חל, ויש לבדוק אם קיימת סמכות מכוח הוראה אחרת, כגון סעיפים 4, 4א, 4ב או 9</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31 </w:t>
            </w:r>
            <w:r>
              <w:rPr>
                <w:rFonts w:ascii="Arial" w:hAnsi="Arial" w:cs="Arial" w:eastAsia="Arial"/>
                <w:sz w:val="20"/>
                <w:szCs w:val="20"/>
                <w:rtl/>
              </w:rPr>
              <w:t xml:space="preserve">  </w:t>
            </w:r>
            <w:r>
              <w:rPr>
                <w:rFonts w:ascii="Arial" w:hAnsi="Arial" w:cs="Arial" w:eastAsia="Arial"/>
                <w:b/>
                <w:bCs/>
                <w:color w:val="111827"/>
                <w:sz w:val="20"/>
                <w:szCs w:val="20"/>
                <w:rtl/>
              </w:rPr>
              <w:t>לאחר הלכת סידיס, איזה מהעניינים הממוניים הבאים נשאר בסמכותו הייחודית של בית הדין הרבני?</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הכתובה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חלוקת דירת המגורים</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חלוקת חסכונות וקרנות פנסיה</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כל סכסוך ממוני בין בני זוג יהודים נשואים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32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אינו נחשב ״ענייני נישואין״ בסמכות הייחודית לפי סעיף 1?</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הצהרה על תוקף נישואין שנערכו בטקס בצחוק עם טבעת פלסטיק</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תביעת שלום בית</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חלוקת רכב וחשבונות בנק בין בני הזוג</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קביעה שאישה היא מורדת לפי הדין הדתי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33 </w:t>
            </w:r>
            <w:r>
              <w:rPr>
                <w:rFonts w:ascii="Arial" w:hAnsi="Arial" w:cs="Arial" w:eastAsia="Arial"/>
                <w:sz w:val="20"/>
                <w:szCs w:val="20"/>
                <w:rtl/>
              </w:rPr>
              <w:t xml:space="preserve">  </w:t>
            </w:r>
            <w:r>
              <w:rPr>
                <w:rFonts w:ascii="Arial" w:hAnsi="Arial" w:cs="Arial" w:eastAsia="Arial"/>
                <w:b/>
                <w:bCs/>
                <w:color w:val="111827"/>
                <w:sz w:val="20"/>
                <w:szCs w:val="20"/>
                <w:rtl/>
              </w:rPr>
              <w:t>מה קובע סעיף 2 לחוק שיפוט בתי דין רבניים?</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את ברירת הדין: נישואין וגירושין של יהודים ייערכו בישראל על פי דין תורה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את סמכותו הייחודית של בית הדין הרבני בענייני נישואין וגירושין</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שנישואין וגירושין של יהודים ייערכו לפי בחירת הצדדים, כדמו״י או בחוזה אישי</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שבית המשפט לענייני משפחה ידון בענייני גירושין לפי הדין הטריטוריאלי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34 </w:t>
            </w:r>
            <w:r>
              <w:rPr>
                <w:rFonts w:ascii="Arial" w:hAnsi="Arial" w:cs="Arial" w:eastAsia="Arial"/>
                <w:sz w:val="20"/>
                <w:szCs w:val="20"/>
                <w:rtl/>
              </w:rPr>
              <w:t xml:space="preserve">  </w:t>
            </w:r>
            <w:r>
              <w:rPr>
                <w:rFonts w:ascii="Arial" w:hAnsi="Arial" w:cs="Arial" w:eastAsia="Arial"/>
                <w:b/>
                <w:bCs/>
                <w:color w:val="111827"/>
                <w:sz w:val="20"/>
                <w:szCs w:val="20"/>
                <w:rtl/>
              </w:rPr>
              <w:t>בבג״ץ אוה בסן קבע בית הדין הרבני הגדול כי האישה ״ספק יהודייה״, ולכן היא חייבת בגט לחומרה ואינה זכאית לכתובה ולמזונות. מה קבע בג״ץ?</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בית הדין מוסמך, כי די בכך שהבעל יהודי</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כדי שלבית הדין תהיה סמכות ייחודית לפי סעיף 1 שני בני הזוג חייבים להיות יהודים, ומשנקבע ספק ביהדות האישה בית הדין איבד את סמכותו</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בית הדין רשאי להחיל את הדין היהודי רק על הבעל ולפסוק בעניינו בלבד</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בספק יהדות הסמכות עוברת לבית דין דתי של העדה האחרת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35 </w:t>
            </w:r>
            <w:r>
              <w:rPr>
                <w:rFonts w:ascii="Arial" w:hAnsi="Arial" w:cs="Arial" w:eastAsia="Arial"/>
                <w:sz w:val="20"/>
                <w:szCs w:val="20"/>
                <w:rtl/>
              </w:rPr>
              <w:t xml:space="preserve">  </w:t>
            </w:r>
            <w:r>
              <w:rPr>
                <w:rFonts w:ascii="Arial" w:hAnsi="Arial" w:cs="Arial" w:eastAsia="Arial"/>
                <w:b/>
                <w:bCs/>
                <w:color w:val="111827"/>
                <w:sz w:val="20"/>
                <w:szCs w:val="20"/>
                <w:rtl/>
              </w:rPr>
              <w:t>יאיר ויהודית נשואים כדמו״י, אזרחים ותושבים, ויהודית הגישה לבית הדין הרבני תביעת גירושין. במהלך הדיון התברר שאמו של יאיר אינה יהודייה. מה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בית הדין ממשיך לדון, כי סמכותו נקבעה ברגע הגשת התביעה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בית הדין ממשיך לדון אם שני הצדדים מסכימים לכך לפי סעיף 9</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בית הדין ממשיך לדון בגירושין, אבל הכריכות נופלות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יאיר אינו יהודי, ולכן אין לבית הדין סמכות. התרת הנישואין תידון בבית המשפט לענייני משפחה לפי חוק המקרים המיוחדים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36 </w:t>
            </w:r>
            <w:r>
              <w:rPr>
                <w:rFonts w:ascii="Arial" w:hAnsi="Arial" w:cs="Arial" w:eastAsia="Arial"/>
                <w:sz w:val="20"/>
                <w:szCs w:val="20"/>
                <w:rtl/>
              </w:rPr>
              <w:t xml:space="preserve">  </w:t>
            </w:r>
            <w:r>
              <w:rPr>
                <w:rFonts w:ascii="Arial" w:hAnsi="Arial" w:cs="Arial" w:eastAsia="Arial"/>
                <w:b/>
                <w:bCs/>
                <w:color w:val="111827"/>
                <w:sz w:val="20"/>
                <w:szCs w:val="20"/>
                <w:rtl/>
              </w:rPr>
              <w:t>לפי סעיף 3(א)(1) לחוק שיפוט בענייני התרת נישואין (מקרים מיוחדים), כאשר הוגשה בקשה להתרת נישואין של בני זוג בני דתות מוכרות שונות:</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הבקשה תוגש לבית הדין הדתי של הבעל, והוא יפנה לבית הדין של האישה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בית המשפט יחיל את הדין הטריטוריאלי ויתיר את הנישואין בלי לפנות לבתי הדין הדתיים</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סגן נשיא בית המשפט או שופט מוסמך יפנה בכתב לראש בית הדין הנוגע בדבר, כדי שיקבע אם יש צורך בגירושין לפי הדין הדתי, ולו מספק</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בני הזוג יבחרו בהסכמה באיזה בית דין דתי יתגרשו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37 </w:t>
            </w:r>
            <w:r>
              <w:rPr>
                <w:rFonts w:ascii="Arial" w:hAnsi="Arial" w:cs="Arial" w:eastAsia="Arial"/>
                <w:sz w:val="20"/>
                <w:szCs w:val="20"/>
                <w:rtl/>
              </w:rPr>
              <w:t xml:space="preserve">  </w:t>
            </w:r>
            <w:r>
              <w:rPr>
                <w:rFonts w:ascii="Arial" w:hAnsi="Arial" w:cs="Arial" w:eastAsia="Arial"/>
                <w:b/>
                <w:bCs/>
                <w:color w:val="111827"/>
                <w:sz w:val="20"/>
                <w:szCs w:val="20"/>
                <w:rtl/>
              </w:rPr>
              <w:t>דן ויואב, שני יהודים, אזרחים ותושבים, נישאו בנישואין אזרחיים בחו״ל ונרשמו כנשואים. כעת הם רוצים להתיר את נישואיהם. לפי מה שנלמד בקורס, איזו ערכאה מוסמכת?</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בית המשפט לענייני משפחה, כמו בנישואי תערובת</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בית הדין הרבני, כי שניהם יהודים ועומדים בכל תנאי סעיף 1</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בית הדין הרבני לפי סעיף 4א</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אין ערכאה מוסמכת בישראל, והם צריכים להתגרש במדינה שבה נישאו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38 </w:t>
            </w:r>
            <w:r>
              <w:rPr>
                <w:rFonts w:ascii="Arial" w:hAnsi="Arial" w:cs="Arial" w:eastAsia="Arial"/>
                <w:sz w:val="20"/>
                <w:szCs w:val="20"/>
                <w:rtl/>
              </w:rPr>
              <w:t xml:space="preserve">  </w:t>
            </w:r>
            <w:r>
              <w:rPr>
                <w:rFonts w:ascii="Arial" w:hAnsi="Arial" w:cs="Arial" w:eastAsia="Arial"/>
                <w:b/>
                <w:bCs/>
                <w:color w:val="111827"/>
                <w:sz w:val="20"/>
                <w:szCs w:val="20"/>
                <w:rtl/>
              </w:rPr>
              <w:t>על פי בג״ץ ורבר, למה מתייחסת המילה ״בישראל״ בסעיף 1 לחוק השיפוט?</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למקום שבו נערכו הנישואין</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למקום שבו התגוררו בני הזוג במשך רוב נישואיהם</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למקום שבו מצוי רכושם של בני הזוג</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לנוכחותם של היהודים בישראל בעת הגשת התביעה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39 </w:t>
            </w:r>
            <w:r>
              <w:rPr>
                <w:rFonts w:ascii="Arial" w:hAnsi="Arial" w:cs="Arial" w:eastAsia="Arial"/>
                <w:sz w:val="20"/>
                <w:szCs w:val="20"/>
                <w:rtl/>
              </w:rPr>
              <w:t xml:space="preserve">  </w:t>
            </w:r>
            <w:r>
              <w:rPr>
                <w:rFonts w:ascii="Arial" w:hAnsi="Arial" w:cs="Arial" w:eastAsia="Arial"/>
                <w:b/>
                <w:bCs/>
                <w:color w:val="111827"/>
                <w:sz w:val="20"/>
                <w:szCs w:val="20"/>
                <w:rtl/>
              </w:rPr>
              <w:t>רונית ואבי, יהודים, אזרחים ותושבים, נישאו בנישואין אזרחיים בקפריסין וחזרו לארץ. רונית רוצה להתגרש. מה נכון?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תביעת הגירושין בסמכות מקבילה, כי הנישואין לא נערכו כדין תורה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תביעת הגירושין בסמכות ייחודית של בית הדין הרבני, שיבדוק אם נדרש גט מספק</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הנישואין נערכו מחוץ לישראל, ולכן לא מתקיים התנאי ״בישראל״ ואין סמכות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רק בית משפט בקפריסין יכול להתיר את הנישואין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40 </w:t>
            </w:r>
            <w:r>
              <w:rPr>
                <w:rFonts w:ascii="Arial" w:hAnsi="Arial" w:cs="Arial" w:eastAsia="Arial"/>
                <w:sz w:val="20"/>
                <w:szCs w:val="20"/>
                <w:rtl/>
              </w:rPr>
              <w:t xml:space="preserve">  </w:t>
            </w:r>
            <w:r>
              <w:rPr>
                <w:rFonts w:ascii="Arial" w:hAnsi="Arial" w:cs="Arial" w:eastAsia="Arial"/>
                <w:b/>
                <w:bCs/>
                <w:color w:val="111827"/>
                <w:sz w:val="20"/>
                <w:szCs w:val="20"/>
                <w:rtl/>
              </w:rPr>
              <w:t>בבג״ץ 297/77 חן הוגשה תביעת גירושין בשם אישה שאינה בישראל באמצעות אביה. מה נכון לגבי פסק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כל השופטים קבעו שלבית הדין סמכות, כי די בכך שבני הזוג אזרחים</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נקבע שהתנאי ״בישראל״ מוסב על מקום הנישואין</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הרוב קיבל את טענת הבעל שאין סמכות, אך דעת המיעוט של השופט לנדוי, שלפיה תובע שמקבל את מרות בית הדין יכול להגיש מרחוק, הפכה להלכה בבג״ץ הראל</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נקבע שהנתבע רשאי להיות מחוץ לישראל אם הוא תושב קבע</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41 </w:t>
            </w:r>
            <w:r>
              <w:rPr>
                <w:rFonts w:ascii="Arial" w:hAnsi="Arial" w:cs="Arial" w:eastAsia="Arial"/>
                <w:sz w:val="20"/>
                <w:szCs w:val="20"/>
                <w:rtl/>
              </w:rPr>
              <w:t xml:space="preserve">  </w:t>
            </w:r>
            <w:r>
              <w:rPr>
                <w:rFonts w:ascii="Arial" w:hAnsi="Arial" w:cs="Arial" w:eastAsia="Arial"/>
                <w:b/>
                <w:bCs/>
                <w:color w:val="111827"/>
                <w:sz w:val="20"/>
                <w:szCs w:val="20"/>
                <w:rtl/>
              </w:rPr>
              <w:t>מיכל, אזרחית ותושבת ישראל הנשואה כדמו״י לבעלה הישראלי, נמצאת זמנית בחו״ל. עורך דינה הגיש בשמה תביעת גירושין לבית הדין הרבני בישראל, והבעל שבארץ טוען שאין סמכות כי מיכל לא בישראל. מה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לבית הדין יש סמכות: לפי בג״ץ הראל תובע אינו חייב להיות נוכח פיזית, ומספיקה הגשה באמצעות שלוח</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אין סמכות, כי לפי סעיף 1 שני הצדדים חייבים להיות פיזית בישראל בעת ההגשה</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רק אם מיכל תגיע לארץ לדיון הראשון</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יש סמכות רק לפי סעיף 4א, ולכן לגירושין בלבד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42 </w:t>
            </w:r>
            <w:r>
              <w:rPr>
                <w:rFonts w:ascii="Arial" w:hAnsi="Arial" w:cs="Arial" w:eastAsia="Arial"/>
                <w:sz w:val="20"/>
                <w:szCs w:val="20"/>
                <w:rtl/>
              </w:rPr>
              <w:t xml:space="preserve">  </w:t>
            </w:r>
            <w:r>
              <w:rPr>
                <w:rFonts w:ascii="Arial" w:hAnsi="Arial" w:cs="Arial" w:eastAsia="Arial"/>
                <w:b/>
                <w:bCs/>
                <w:color w:val="111827"/>
                <w:sz w:val="20"/>
                <w:szCs w:val="20"/>
                <w:rtl/>
              </w:rPr>
              <w:t>בעל שהוא תושב קבע בישראל, עם דירה, חשבונות ועבודה בארץ, הבין שאשתו עומדת להגיש נגדו תביעת גירושין. הוא ארז מזוודה וטס לחו״ל בלי לסגור את ענייניו. מה הדין לפי הפסיקה?</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אין סמכות, כי הנתבע לא היה בישראל בעת הגשת התביעה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יש סמכות רק אם הנתבע יחזור לישראל מרצונו</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רק לפי סעיף 4א(1)</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לפי בג״ץ קריב אפשר להכיר בנוכחות קונסטרוקטיבית של נתבע שהוא תושב קבע שלא ניתק את זיקתו לישראל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43 </w:t>
            </w:r>
            <w:r>
              <w:rPr>
                <w:rFonts w:ascii="Arial" w:hAnsi="Arial" w:cs="Arial" w:eastAsia="Arial"/>
                <w:sz w:val="20"/>
                <w:szCs w:val="20"/>
                <w:rtl/>
              </w:rPr>
              <w:t xml:space="preserve">  </w:t>
            </w:r>
            <w:r>
              <w:rPr>
                <w:rFonts w:ascii="Arial" w:hAnsi="Arial" w:cs="Arial" w:eastAsia="Arial"/>
                <w:b/>
                <w:bCs/>
                <w:color w:val="111827"/>
                <w:sz w:val="20"/>
                <w:szCs w:val="20"/>
                <w:rtl/>
              </w:rPr>
              <w:t>נתבע הוא אזרח ישראלי שחי שנים בחו״ל, לא מבקר בישראל, ואין לו בה חשבון פעיל, נכסים או קשרים. אשתו הגישה נגדו תביעת גירושין לבית הדין הרבני לפי סעיף 1. מה הדין לפי בג״ץ ביגר?</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יש סמכות, כי אזרחות ישראלית לבדה מקיימת את כל תנאי סעיף 1</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אין סמכות לפי סעיף 1: אזרחות בלבד אינה מספיקה, וצריך גם זיקה ממשית לישראל</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אם האישה תוכיח שהנתבע ביקר בישראל פעם אחת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אין סמכות, כי נוכחות קונסטרוקטיבית חלה רק על תובעים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44 </w:t>
            </w:r>
            <w:r>
              <w:rPr>
                <w:rFonts w:ascii="Arial" w:hAnsi="Arial" w:cs="Arial" w:eastAsia="Arial"/>
                <w:sz w:val="20"/>
                <w:szCs w:val="20"/>
                <w:rtl/>
              </w:rPr>
              <w:t xml:space="preserve">  </w:t>
            </w:r>
            <w:r>
              <w:rPr>
                <w:rFonts w:ascii="Arial" w:hAnsi="Arial" w:cs="Arial" w:eastAsia="Arial"/>
                <w:b/>
                <w:bCs/>
                <w:color w:val="111827"/>
                <w:sz w:val="20"/>
                <w:szCs w:val="20"/>
                <w:rtl/>
              </w:rPr>
              <w:t>לצורך התנאי ״אזרחי המדינה או תושביה״, מהו המבחן לתושבות כפי שנלמד בקורס?</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רישום כאזרח לפי סעיף 1 לחוק האזרחות</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שהייה בישראל של 183 ימים לפחות בשנת המס</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מקום מושב לפי סעיף 80 לחוק הכשרות המשפטית והאפוטרופסות: המקום שבו נמצא מרכז חייו של אדם</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עריכת הנישואין בישראל לפי דין תורה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45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בג״ץ 6751/04 סבג?</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בני זוג יהודים שאינם אזרחים ואינם תושבים ולא הייתה להם זיקה לישראל נישאו במונקו. דעת הרוב קבעה שאין לבית הדין הרבני סמכות לדון בתביעת הגירושין, והשופט רובינשטיין היה בדעת מיעוט</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נקבע פה אחד שלבית הדין הרבני סמכות, כי מדובר בבני זוג יהודים שנישאו כדת משה וישראל</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נקבע שבית הדין הרבני מוסמך לדון בגירושין מכיוון שהבעל נכח בישראל בעת מתן צו עיכוב היציאה</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בני הזוג היו אזרחים ישראלים, ונקבע שאזרחות בלבד מספיקה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46 </w:t>
            </w:r>
            <w:r>
              <w:rPr>
                <w:rFonts w:ascii="Arial" w:hAnsi="Arial" w:cs="Arial" w:eastAsia="Arial"/>
                <w:sz w:val="20"/>
                <w:szCs w:val="20"/>
                <w:rtl/>
              </w:rPr>
              <w:t xml:space="preserve">  </w:t>
            </w:r>
            <w:r>
              <w:rPr>
                <w:rFonts w:ascii="Arial" w:hAnsi="Arial" w:cs="Arial" w:eastAsia="Arial"/>
                <w:b/>
                <w:bCs/>
                <w:color w:val="111827"/>
                <w:sz w:val="20"/>
                <w:szCs w:val="20"/>
                <w:rtl/>
              </w:rPr>
              <w:t>בבג״ץ סבג הגיש עורך דינה של האישה תביעת גירושין ותביעת מזונות אישה. מה נכון לפי מה שנלמד?</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שתי התביעות נדחו מאותו טעם, כי בית הדין חסר סמכות בכל ענייני בני הזוג</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שתי התביעות התקבלו, כי תביעת המזונות נכרכה בתביעת הגירושין</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תביעת הגירושין התקבלה, ותביעת המזונות נדחתה כי מזונות אינם ענייני נישואין</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לבית הדין לא הייתה סמכות בגירושין, אך ייתכנה סמכות במזונות אישה לפי סעיף 4, שבו לא דרושים אזרחות או תושבות אלא זיקה מסוימת לפי הפסיקה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47 </w:t>
            </w:r>
            <w:r>
              <w:rPr>
                <w:rFonts w:ascii="Arial" w:hAnsi="Arial" w:cs="Arial" w:eastAsia="Arial"/>
                <w:sz w:val="20"/>
                <w:szCs w:val="20"/>
                <w:rtl/>
              </w:rPr>
              <w:t xml:space="preserve">  </w:t>
            </w:r>
            <w:r>
              <w:rPr>
                <w:rFonts w:ascii="Arial" w:hAnsi="Arial" w:cs="Arial" w:eastAsia="Arial"/>
                <w:b/>
                <w:bCs/>
                <w:color w:val="111827"/>
                <w:sz w:val="20"/>
                <w:szCs w:val="20"/>
                <w:rtl/>
              </w:rPr>
              <w:t>מהי אמרת האגב של השופטת פרוקצ׳יה בבג״ץ סבג?</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שסעיף 4א חל רק על נשים</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שכל התנאים של סעיף 1 חלים על כל סעיפי החוק, ובהם סעיף 4, והיא אינה מחייבת</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שאזרחות בלבד מספיקה לנוכחות קונסטרוקטיבית של נתבע, והיא מחייבת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שבית הדין הרבני מוסמך לכפות גט על כל יהודי בעולם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48 </w:t>
            </w:r>
            <w:r>
              <w:rPr>
                <w:rFonts w:ascii="Arial" w:hAnsi="Arial" w:cs="Arial" w:eastAsia="Arial"/>
                <w:sz w:val="20"/>
                <w:szCs w:val="20"/>
                <w:rtl/>
              </w:rPr>
              <w:t xml:space="preserve">  </w:t>
            </w:r>
            <w:r>
              <w:rPr>
                <w:rFonts w:ascii="Arial" w:hAnsi="Arial" w:cs="Arial" w:eastAsia="Arial"/>
                <w:b/>
                <w:bCs/>
                <w:color w:val="111827"/>
                <w:sz w:val="20"/>
                <w:szCs w:val="20"/>
                <w:rtl/>
              </w:rPr>
              <w:t>לבית הדין הרבני יהיה שיפוט ייחודי בתביעה לגירושין לפי סעיף 4א לחוק השיפוט, בין בני זוג יהודים שנישאו על פי דין תורה, בהתקיים אחת מהזיקות. איזו מהבאות היא אחת הזיקות?</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התובע הוא אזרח ישראלי והתגורר בישראל במשך שנה במהלך השנתיים שקדמו למועד הגשת התביעה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בני הזוג נישאו כדמו״י בישראל</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האישה יהודייה</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מקום מושבו של הנתבע אינו בישראל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49 </w:t>
            </w:r>
            <w:r>
              <w:rPr>
                <w:rFonts w:ascii="Arial" w:hAnsi="Arial" w:cs="Arial" w:eastAsia="Arial"/>
                <w:sz w:val="20"/>
                <w:szCs w:val="20"/>
                <w:rtl/>
              </w:rPr>
              <w:t xml:space="preserve">  </w:t>
            </w:r>
            <w:r>
              <w:rPr>
                <w:rFonts w:ascii="Arial" w:hAnsi="Arial" w:cs="Arial" w:eastAsia="Arial"/>
                <w:b/>
                <w:bCs/>
                <w:color w:val="111827"/>
                <w:sz w:val="20"/>
                <w:szCs w:val="20"/>
                <w:rtl/>
              </w:rPr>
              <w:t>קלרה, יהודייה צרפתייה שאינה אזרחית ישראל ומעולם לא גרה בה, נישאה כדת משה וישראל לבעלה היהודי. הבעל עבר להתגורר בישראל לפני חודשיים, ומקום מושבו בה. קלרה רוצה להגיש נגדו תביעת גירושין לבית הדין הרבני. מה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אין סמכות, כי קלרה אינה אזרחית ואינה תושבת</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יש סמכות רק אם הבעל התגורר בישראל שנה לפחות</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לפי סעיף 4א(1), כי מקום מושבו של הנתבע בישראל. לא דורשים דבר מהתובעת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יש סמכות לפי סעיף 4ב בלבד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50 </w:t>
            </w:r>
            <w:r>
              <w:rPr>
                <w:rFonts w:ascii="Arial" w:hAnsi="Arial" w:cs="Arial" w:eastAsia="Arial"/>
                <w:sz w:val="20"/>
                <w:szCs w:val="20"/>
                <w:rtl/>
              </w:rPr>
              <w:t xml:space="preserve">  </w:t>
            </w:r>
            <w:r>
              <w:rPr>
                <w:rFonts w:ascii="Arial" w:hAnsi="Arial" w:cs="Arial" w:eastAsia="Arial"/>
                <w:b/>
                <w:bCs/>
                <w:color w:val="111827"/>
                <w:sz w:val="20"/>
                <w:szCs w:val="20"/>
                <w:rtl/>
              </w:rPr>
              <w:t>שמואל, אזרח ישראלי הנשוי כדמו״י, התגורר בישראל 13 חודשים ועבר לחו״ל לפני חצי שנה. אשתו, שאינה אזרחית, גרה בחו״ל. שמואל מגיש תביעת גירושין לבית הדין הרבני בישראל. מה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אין סמכות, כי שמואל אינו גר בישראל ביום הגשת התביעה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יש סמכות לפי סעיף 4א(6): התובע אזרח ישראלי שהתגורר בישראל שנה במהלך השנתיים שקדמו להגשת התביעה</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לפי סעיף 4א(2), כי מספיק שאחד מבני הזוג אזרח</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יש סמכות לפי סעיף 1, כולל כריכת מזונות ורכוש</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51 </w:t>
            </w:r>
            <w:r>
              <w:rPr>
                <w:rFonts w:ascii="Arial" w:hAnsi="Arial" w:cs="Arial" w:eastAsia="Arial"/>
                <w:sz w:val="20"/>
                <w:szCs w:val="20"/>
                <w:rtl/>
              </w:rPr>
              <w:t xml:space="preserve">  </w:t>
            </w:r>
            <w:r>
              <w:rPr>
                <w:rFonts w:ascii="Arial" w:hAnsi="Arial" w:cs="Arial" w:eastAsia="Arial"/>
                <w:b/>
                <w:bCs/>
                <w:color w:val="111827"/>
                <w:sz w:val="20"/>
                <w:szCs w:val="20"/>
                <w:rtl/>
              </w:rPr>
              <w:t>אישה הגישה לבית הדין הרבני תביעת גירושין שהסמכות בה מבוססת על סעיף 4א בלבד, וביקשה לכרוך אליה מזונות אישה, משמורת וחלוקת רכוש. מה הדין?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בית הדין ידון בכל הנושאים, כי לסעיף 4א סמכות ייחודית</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בית הדין ידון בכל הנושאים אם הכריכה עומדת במבחן המשולש</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בית הדין ידון במזונות ובמשמורת אך לא ברכוש</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בית הדין ידון בגירושין בלבד. לפי סעיף 4א(ה) הסעיף אינו מקנה סמכות בעניינים הכרוכים בגירושין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52 </w:t>
            </w:r>
            <w:r>
              <w:rPr>
                <w:rFonts w:ascii="Arial" w:hAnsi="Arial" w:cs="Arial" w:eastAsia="Arial"/>
                <w:sz w:val="20"/>
                <w:szCs w:val="20"/>
                <w:rtl/>
              </w:rPr>
              <w:t xml:space="preserve">  </w:t>
            </w:r>
            <w:r>
              <w:rPr>
                <w:rFonts w:ascii="Arial" w:hAnsi="Arial" w:cs="Arial" w:eastAsia="Arial"/>
                <w:b/>
                <w:bCs/>
                <w:color w:val="111827"/>
                <w:sz w:val="20"/>
                <w:szCs w:val="20"/>
                <w:rtl/>
              </w:rPr>
              <w:t>אהרון ושרה, יהודים שאינם אזרחים ואינם תושבים, נישאו בנישואין אזרחיים בלבד בחו״ל. אהרון עבר לגור דרך קבע בישראל. שרה מבקשת להגיש נגדו תביעת גירושין לבית הדין הרבני לפי סעיף 4א(1). מה נכון?</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סעיף 4א אינו חל, כי הוא חל רק על בני זוג יהודים שנישאו על פי דין תורה</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יש סמכות לפי סעיף 4א(1), כי מקום מושבו של הנתבע בישראל</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יש סמכות לפי סעיף 4ב, כי מדובר באישה יהודייה</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יש סמכות לפי סעיף 1, כי לפי ורבר נישואין אזרחיים אינם מונעים סמכות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53 </w:t>
            </w:r>
            <w:r>
              <w:rPr>
                <w:rFonts w:ascii="Arial" w:hAnsi="Arial" w:cs="Arial" w:eastAsia="Arial"/>
                <w:sz w:val="20"/>
                <w:szCs w:val="20"/>
                <w:rtl/>
              </w:rPr>
              <w:t xml:space="preserve">  </w:t>
            </w:r>
            <w:r>
              <w:rPr>
                <w:rFonts w:ascii="Arial" w:hAnsi="Arial" w:cs="Arial" w:eastAsia="Arial"/>
                <w:b/>
                <w:bCs/>
                <w:color w:val="111827"/>
                <w:sz w:val="20"/>
                <w:szCs w:val="20"/>
                <w:rtl/>
              </w:rPr>
              <w:t>תובעת עומדת גם בתנאי סעיף 1 וגם באחת מזיקות סעיף 4א, והיא מבקשת לכרוך לתביעת הגירושין מזונות ורכוש. באיזה סעיף עדיף לה להשתמש ומדוע?</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בסעיף 4א, כי הוא חדש יותר וגובר על סעיף 1</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אין הבדל, כי שני הסעיפים מעניקים אותה סמכות</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בסעיף 1, כי דרכו אפשר להביא את הגירושין ואת כל הנושאים, ואילו סעיף 4א מקנה סמכות לגירושין בלבד</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בסעיף 4ב, כי הוא פתוח רק לנשים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54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סעיף 4ב לחוק השיפוט, שנחקק בשנת 2018?</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הוא פתוח לשני בני הזוג ומאפשר לכרוך מזונות לתביעת הגט</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הוא חל רק על אזרחי ישראל המתגוררים בחו״ל</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הוא נחקק כהוראת קבע מלכתחילה ואין לו תנאים מקדימים</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הוא מקנה שיפוט ייחודי בתביעת גט של אישה יהודייה נגד בעלה היהודי גם בלי זיקות סעיף 4א, אם נישאו על פי דין תורה, האישה לא קיבלה גט בבית דין בחו״ל, ומתקיימת אחת משלוש חלופות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55 </w:t>
            </w:r>
            <w:r>
              <w:rPr>
                <w:rFonts w:ascii="Arial" w:hAnsi="Arial" w:cs="Arial" w:eastAsia="Arial"/>
                <w:sz w:val="20"/>
                <w:szCs w:val="20"/>
                <w:rtl/>
              </w:rPr>
              <w:t xml:space="preserve">  </w:t>
            </w:r>
            <w:r>
              <w:rPr>
                <w:rFonts w:ascii="Arial" w:hAnsi="Arial" w:cs="Arial" w:eastAsia="Arial"/>
                <w:b/>
                <w:bCs/>
                <w:color w:val="111827"/>
                <w:sz w:val="20"/>
                <w:szCs w:val="20"/>
                <w:rtl/>
              </w:rPr>
              <w:t>רחל, יהודייה מארגנטינה שאין לה כל זיקה לישראל, נישאה כדין תורה. היא הגישה בקשה לגט לבית הדין הרבני בבואנוס איירס, אך בעלה לא התייצב לדיונים במשך חמישה חודשים מיום שזומן. האם לבית הדין הרבני בישראל סמכות לדון בתביעת הגט שלה?</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לא, כי אין לה אף אחת מזיקות סעיף 4א</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כן, לפי סעיף 4ב, כי הבעל לא התייצב לפני בית הדין בחו״ל במשך ארבעה חודשים לפחות מיום שזומן</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לא, כי היא פנתה כבר לבית דין בחו״ל ולכן אינה יכולה לטעון שאין בית דין</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כן, לפי סעיף 4א(3)</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3C4C3"/>
              <w:left w:val="single" w:sz="8" w:space="0" w:color="93C4C3"/>
              <w:bottom w:val="single" w:sz="8" w:space="0" w:color="93C4C3"/>
              <w:right w:val="single" w:sz="8" w:space="0" w:color="93C4C3"/>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F7C7A"/>
              </w:rPr>
              <w:t xml:space="preserve"> 56 </w:t>
            </w:r>
            <w:r>
              <w:rPr>
                <w:rFonts w:ascii="Arial" w:hAnsi="Arial" w:cs="Arial" w:eastAsia="Arial"/>
                <w:sz w:val="20"/>
                <w:szCs w:val="20"/>
                <w:rtl/>
              </w:rPr>
              <w:t xml:space="preserve">  </w:t>
            </w:r>
            <w:r>
              <w:rPr>
                <w:rFonts w:ascii="Arial" w:hAnsi="Arial" w:cs="Arial" w:eastAsia="Arial"/>
                <w:b/>
                <w:bCs/>
                <w:color w:val="111827"/>
                <w:sz w:val="20"/>
                <w:szCs w:val="20"/>
                <w:rtl/>
              </w:rPr>
              <w:t>מדוע סעיף 4ב לחוק השיפוט פתוח רק לאישה ולא לגבר?</w:t>
            </w:r>
          </w:p>
          <w:p>
            <w:pPr>
              <w:bidi/>
              <w:spacing w:before="0" w:after="20" w:line="276" w:lineRule="auto"/>
              <w:ind w:right="400" w:hanging="300"/>
            </w:pPr>
            <w:r>
              <w:rPr>
                <w:rFonts w:ascii="Arial" w:hAnsi="Arial" w:cs="Arial" w:eastAsia="Arial"/>
                <w:b/>
                <w:bCs/>
                <w:color w:val="0F7C7A"/>
                <w:sz w:val="20"/>
                <w:szCs w:val="20"/>
                <w:rtl/>
              </w:rPr>
              <w:t xml:space="preserve">(א)  </w:t>
            </w:r>
            <w:r>
              <w:rPr>
                <w:rFonts w:ascii="Arial" w:hAnsi="Arial" w:cs="Arial" w:eastAsia="Arial"/>
                <w:color w:val="1F2430"/>
                <w:sz w:val="20"/>
                <w:szCs w:val="20"/>
                <w:rtl/>
              </w:rPr>
              <w:t>כי לפי הדין העברי רק האישה רשאית לתבוע גירושין</w:t>
            </w:r>
          </w:p>
          <w:p>
            <w:pPr>
              <w:bidi/>
              <w:spacing w:before="0" w:after="20" w:line="276" w:lineRule="auto"/>
              <w:ind w:right="400" w:hanging="300"/>
            </w:pPr>
            <w:r>
              <w:rPr>
                <w:rFonts w:ascii="Arial" w:hAnsi="Arial" w:cs="Arial" w:eastAsia="Arial"/>
                <w:b/>
                <w:bCs/>
                <w:color w:val="0F7C7A"/>
                <w:sz w:val="20"/>
                <w:szCs w:val="20"/>
                <w:rtl/>
              </w:rPr>
              <w:t xml:space="preserve">(ב)  </w:t>
            </w:r>
            <w:r>
              <w:rPr>
                <w:rFonts w:ascii="Arial" w:hAnsi="Arial" w:cs="Arial" w:eastAsia="Arial"/>
                <w:color w:val="1F2430"/>
                <w:sz w:val="20"/>
                <w:szCs w:val="20"/>
                <w:rtl/>
              </w:rPr>
              <w:t>כי המחוקק ביקש לצמצם את הפגיעה בנימוס הבין-לאומי</w:t>
            </w:r>
          </w:p>
          <w:p>
            <w:pPr>
              <w:bidi/>
              <w:spacing w:before="0" w:after="20" w:line="276" w:lineRule="auto"/>
              <w:ind w:right="400" w:hanging="300"/>
            </w:pPr>
            <w:r>
              <w:rPr>
                <w:rFonts w:ascii="Arial" w:hAnsi="Arial" w:cs="Arial" w:eastAsia="Arial"/>
                <w:b/>
                <w:bCs/>
                <w:color w:val="0F7C7A"/>
                <w:sz w:val="20"/>
                <w:szCs w:val="20"/>
                <w:rtl/>
              </w:rPr>
              <w:t xml:space="preserve">(ג)  </w:t>
            </w:r>
            <w:r>
              <w:rPr>
                <w:rFonts w:ascii="Arial" w:hAnsi="Arial" w:cs="Arial" w:eastAsia="Arial"/>
                <w:color w:val="1F2430"/>
                <w:sz w:val="20"/>
                <w:szCs w:val="20"/>
                <w:rtl/>
              </w:rPr>
              <w:t>כי גבר שאשתו מסרבת לגט יכול לקבל היתר להינשא לאישה נוספת, גם בחו״ל, ואילו לאישה אין אפשרות כזאת והיא נשארת מעוגנת</w:t>
            </w:r>
          </w:p>
          <w:p>
            <w:pPr>
              <w:bidi/>
              <w:spacing w:before="0" w:after="20" w:line="276" w:lineRule="auto"/>
              <w:ind w:right="400" w:hanging="300"/>
            </w:pPr>
            <w:r>
              <w:rPr>
                <w:rFonts w:ascii="Arial" w:hAnsi="Arial" w:cs="Arial" w:eastAsia="Arial"/>
                <w:b/>
                <w:bCs/>
                <w:color w:val="0F7C7A"/>
                <w:sz w:val="20"/>
                <w:szCs w:val="20"/>
                <w:rtl/>
              </w:rPr>
              <w:t xml:space="preserve">(ד)  </w:t>
            </w:r>
            <w:r>
              <w:rPr>
                <w:rFonts w:ascii="Arial" w:hAnsi="Arial" w:cs="Arial" w:eastAsia="Arial"/>
                <w:color w:val="1F2430"/>
                <w:sz w:val="20"/>
                <w:szCs w:val="20"/>
                <w:rtl/>
              </w:rPr>
              <w:t>כי גברים יכולים להשתמש בסעיף 4 לחוק השיפוט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2</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29-ב</w:t>
      </w:r>
      <w:r>
        <w:rPr>
          <w:rFonts w:ascii="Arial" w:hAnsi="Arial" w:cs="Arial" w:eastAsia="Arial"/>
          <w:sz w:val="20"/>
          <w:szCs w:val="20"/>
          <w:rtl/>
        </w:rPr>
        <w:t xml:space="preserve">   </w:t>
      </w:r>
      <w:r>
        <w:rPr>
          <w:rFonts w:ascii="Arial" w:hAnsi="Arial" w:cs="Arial" w:eastAsia="Arial"/>
          <w:b/>
          <w:bCs/>
          <w:color w:val="1F2430"/>
          <w:sz w:val="20"/>
          <w:szCs w:val="20"/>
          <w:rtl/>
        </w:rPr>
        <w:t>30-ד</w:t>
      </w:r>
      <w:r>
        <w:rPr>
          <w:rFonts w:ascii="Arial" w:hAnsi="Arial" w:cs="Arial" w:eastAsia="Arial"/>
          <w:sz w:val="20"/>
          <w:szCs w:val="20"/>
          <w:rtl/>
        </w:rPr>
        <w:t xml:space="preserve">   </w:t>
      </w:r>
      <w:r>
        <w:rPr>
          <w:rFonts w:ascii="Arial" w:hAnsi="Arial" w:cs="Arial" w:eastAsia="Arial"/>
          <w:b/>
          <w:bCs/>
          <w:color w:val="1F2430"/>
          <w:sz w:val="20"/>
          <w:szCs w:val="20"/>
          <w:rtl/>
        </w:rPr>
        <w:t>31-א</w:t>
      </w:r>
      <w:r>
        <w:rPr>
          <w:rFonts w:ascii="Arial" w:hAnsi="Arial" w:cs="Arial" w:eastAsia="Arial"/>
          <w:sz w:val="20"/>
          <w:szCs w:val="20"/>
          <w:rtl/>
        </w:rPr>
        <w:t xml:space="preserve">   </w:t>
      </w:r>
      <w:r>
        <w:rPr>
          <w:rFonts w:ascii="Arial" w:hAnsi="Arial" w:cs="Arial" w:eastAsia="Arial"/>
          <w:b/>
          <w:bCs/>
          <w:color w:val="1F2430"/>
          <w:sz w:val="20"/>
          <w:szCs w:val="20"/>
          <w:rtl/>
        </w:rPr>
        <w:t>32-ג</w:t>
      </w:r>
      <w:r>
        <w:rPr>
          <w:rFonts w:ascii="Arial" w:hAnsi="Arial" w:cs="Arial" w:eastAsia="Arial"/>
          <w:sz w:val="20"/>
          <w:szCs w:val="20"/>
          <w:rtl/>
        </w:rPr>
        <w:t xml:space="preserve">   </w:t>
      </w:r>
      <w:r>
        <w:rPr>
          <w:rFonts w:ascii="Arial" w:hAnsi="Arial" w:cs="Arial" w:eastAsia="Arial"/>
          <w:b/>
          <w:bCs/>
          <w:color w:val="1F2430"/>
          <w:sz w:val="20"/>
          <w:szCs w:val="20"/>
          <w:rtl/>
        </w:rPr>
        <w:t>33-א</w:t>
      </w:r>
      <w:r>
        <w:rPr>
          <w:rFonts w:ascii="Arial" w:hAnsi="Arial" w:cs="Arial" w:eastAsia="Arial"/>
          <w:sz w:val="20"/>
          <w:szCs w:val="20"/>
          <w:rtl/>
        </w:rPr>
        <w:t xml:space="preserve">   </w:t>
      </w:r>
      <w:r>
        <w:rPr>
          <w:rFonts w:ascii="Arial" w:hAnsi="Arial" w:cs="Arial" w:eastAsia="Arial"/>
          <w:b/>
          <w:bCs/>
          <w:color w:val="1F2430"/>
          <w:sz w:val="20"/>
          <w:szCs w:val="20"/>
          <w:rtl/>
        </w:rPr>
        <w:t>34-ב</w:t>
      </w:r>
      <w:r>
        <w:rPr>
          <w:rFonts w:ascii="Arial" w:hAnsi="Arial" w:cs="Arial" w:eastAsia="Arial"/>
          <w:sz w:val="20"/>
          <w:szCs w:val="20"/>
          <w:rtl/>
        </w:rPr>
        <w:t xml:space="preserve">   </w:t>
      </w:r>
      <w:r>
        <w:rPr>
          <w:rFonts w:ascii="Arial" w:hAnsi="Arial" w:cs="Arial" w:eastAsia="Arial"/>
          <w:b/>
          <w:bCs/>
          <w:color w:val="1F2430"/>
          <w:sz w:val="20"/>
          <w:szCs w:val="20"/>
          <w:rtl/>
        </w:rPr>
        <w:t>35-ד</w:t>
      </w:r>
      <w:r>
        <w:rPr>
          <w:rFonts w:ascii="Arial" w:hAnsi="Arial" w:cs="Arial" w:eastAsia="Arial"/>
          <w:sz w:val="20"/>
          <w:szCs w:val="20"/>
          <w:rtl/>
        </w:rPr>
        <w:t xml:space="preserve">   </w:t>
      </w:r>
      <w:r>
        <w:rPr>
          <w:rFonts w:ascii="Arial" w:hAnsi="Arial" w:cs="Arial" w:eastAsia="Arial"/>
          <w:b/>
          <w:bCs/>
          <w:color w:val="1F2430"/>
          <w:sz w:val="20"/>
          <w:szCs w:val="20"/>
          <w:rtl/>
        </w:rPr>
        <w:t>36-ג</w:t>
      </w:r>
      <w:r>
        <w:rPr>
          <w:rFonts w:ascii="Arial" w:hAnsi="Arial" w:cs="Arial" w:eastAsia="Arial"/>
          <w:sz w:val="20"/>
          <w:szCs w:val="20"/>
          <w:rtl/>
        </w:rPr>
        <w:t xml:space="preserve">   </w:t>
      </w:r>
      <w:r>
        <w:rPr>
          <w:rFonts w:ascii="Arial" w:hAnsi="Arial" w:cs="Arial" w:eastAsia="Arial"/>
          <w:b/>
          <w:bCs/>
          <w:color w:val="1F2430"/>
          <w:sz w:val="20"/>
          <w:szCs w:val="20"/>
          <w:rtl/>
        </w:rPr>
        <w:t>37-א</w:t>
      </w:r>
      <w:r>
        <w:rPr>
          <w:rFonts w:ascii="Arial" w:hAnsi="Arial" w:cs="Arial" w:eastAsia="Arial"/>
          <w:sz w:val="20"/>
          <w:szCs w:val="20"/>
          <w:rtl/>
        </w:rPr>
        <w:t xml:space="preserve">   </w:t>
      </w:r>
      <w:r>
        <w:rPr>
          <w:rFonts w:ascii="Arial" w:hAnsi="Arial" w:cs="Arial" w:eastAsia="Arial"/>
          <w:b/>
          <w:bCs/>
          <w:color w:val="1F2430"/>
          <w:sz w:val="20"/>
          <w:szCs w:val="20"/>
          <w:rtl/>
        </w:rPr>
        <w:t>38-ד</w:t>
      </w:r>
      <w:r>
        <w:rPr>
          <w:rFonts w:ascii="Arial" w:hAnsi="Arial" w:cs="Arial" w:eastAsia="Arial"/>
          <w:sz w:val="20"/>
          <w:szCs w:val="20"/>
          <w:rtl/>
        </w:rPr>
        <w:t xml:space="preserve">   </w:t>
      </w:r>
      <w:r>
        <w:rPr>
          <w:rFonts w:ascii="Arial" w:hAnsi="Arial" w:cs="Arial" w:eastAsia="Arial"/>
          <w:b/>
          <w:bCs/>
          <w:color w:val="1F2430"/>
          <w:sz w:val="20"/>
          <w:szCs w:val="20"/>
          <w:rtl/>
        </w:rPr>
        <w:t>39-ב</w:t>
      </w:r>
      <w:r>
        <w:rPr>
          <w:rFonts w:ascii="Arial" w:hAnsi="Arial" w:cs="Arial" w:eastAsia="Arial"/>
          <w:sz w:val="20"/>
          <w:szCs w:val="20"/>
          <w:rtl/>
        </w:rPr>
        <w:t xml:space="preserve">   </w:t>
      </w:r>
      <w:r>
        <w:rPr>
          <w:rFonts w:ascii="Arial" w:hAnsi="Arial" w:cs="Arial" w:eastAsia="Arial"/>
          <w:b/>
          <w:bCs/>
          <w:color w:val="1F2430"/>
          <w:sz w:val="20"/>
          <w:szCs w:val="20"/>
          <w:rtl/>
        </w:rPr>
        <w:t>40-ג</w:t>
      </w:r>
      <w:r>
        <w:rPr>
          <w:rFonts w:ascii="Arial" w:hAnsi="Arial" w:cs="Arial" w:eastAsia="Arial"/>
          <w:sz w:val="20"/>
          <w:szCs w:val="20"/>
          <w:rtl/>
        </w:rPr>
        <w:t xml:space="preserve">   </w:t>
      </w:r>
      <w:r>
        <w:rPr>
          <w:rFonts w:ascii="Arial" w:hAnsi="Arial" w:cs="Arial" w:eastAsia="Arial"/>
          <w:b/>
          <w:bCs/>
          <w:color w:val="1F2430"/>
          <w:sz w:val="20"/>
          <w:szCs w:val="20"/>
          <w:rtl/>
        </w:rPr>
        <w:t>41-א</w:t>
      </w:r>
      <w:r>
        <w:rPr>
          <w:rFonts w:ascii="Arial" w:hAnsi="Arial" w:cs="Arial" w:eastAsia="Arial"/>
          <w:sz w:val="20"/>
          <w:szCs w:val="20"/>
          <w:rtl/>
        </w:rPr>
        <w:t xml:space="preserve">   </w:t>
      </w:r>
      <w:r>
        <w:rPr>
          <w:rFonts w:ascii="Arial" w:hAnsi="Arial" w:cs="Arial" w:eastAsia="Arial"/>
          <w:b/>
          <w:bCs/>
          <w:color w:val="1F2430"/>
          <w:sz w:val="20"/>
          <w:szCs w:val="20"/>
          <w:rtl/>
        </w:rPr>
        <w:t>42-ד</w:t>
      </w:r>
      <w:r>
        <w:rPr>
          <w:rFonts w:ascii="Arial" w:hAnsi="Arial" w:cs="Arial" w:eastAsia="Arial"/>
          <w:sz w:val="20"/>
          <w:szCs w:val="20"/>
          <w:rtl/>
        </w:rPr>
        <w:t xml:space="preserve">   </w:t>
      </w:r>
      <w:r>
        <w:rPr>
          <w:rFonts w:ascii="Arial" w:hAnsi="Arial" w:cs="Arial" w:eastAsia="Arial"/>
          <w:b/>
          <w:bCs/>
          <w:color w:val="1F2430"/>
          <w:sz w:val="20"/>
          <w:szCs w:val="20"/>
          <w:rtl/>
        </w:rPr>
        <w:t>43-ב</w:t>
      </w:r>
      <w:r>
        <w:rPr>
          <w:rFonts w:ascii="Arial" w:hAnsi="Arial" w:cs="Arial" w:eastAsia="Arial"/>
          <w:sz w:val="20"/>
          <w:szCs w:val="20"/>
          <w:rtl/>
        </w:rPr>
        <w:t xml:space="preserve">   </w:t>
      </w:r>
      <w:r>
        <w:rPr>
          <w:rFonts w:ascii="Arial" w:hAnsi="Arial" w:cs="Arial" w:eastAsia="Arial"/>
          <w:b/>
          <w:bCs/>
          <w:color w:val="1F2430"/>
          <w:sz w:val="20"/>
          <w:szCs w:val="20"/>
          <w:rtl/>
        </w:rPr>
        <w:t>44-ג</w:t>
      </w:r>
      <w:r>
        <w:rPr>
          <w:rFonts w:ascii="Arial" w:hAnsi="Arial" w:cs="Arial" w:eastAsia="Arial"/>
          <w:sz w:val="20"/>
          <w:szCs w:val="20"/>
          <w:rtl/>
        </w:rPr>
        <w:t xml:space="preserve">   </w:t>
      </w:r>
      <w:r>
        <w:rPr>
          <w:rFonts w:ascii="Arial" w:hAnsi="Arial" w:cs="Arial" w:eastAsia="Arial"/>
          <w:b/>
          <w:bCs/>
          <w:color w:val="1F2430"/>
          <w:sz w:val="20"/>
          <w:szCs w:val="20"/>
          <w:rtl/>
        </w:rPr>
        <w:t>45-א</w:t>
      </w:r>
      <w:r>
        <w:rPr>
          <w:rFonts w:ascii="Arial" w:hAnsi="Arial" w:cs="Arial" w:eastAsia="Arial"/>
          <w:sz w:val="20"/>
          <w:szCs w:val="20"/>
          <w:rtl/>
        </w:rPr>
        <w:t xml:space="preserve">   </w:t>
      </w:r>
      <w:r>
        <w:rPr>
          <w:rFonts w:ascii="Arial" w:hAnsi="Arial" w:cs="Arial" w:eastAsia="Arial"/>
          <w:b/>
          <w:bCs/>
          <w:color w:val="1F2430"/>
          <w:sz w:val="20"/>
          <w:szCs w:val="20"/>
          <w:rtl/>
        </w:rPr>
        <w:t>46-ד</w:t>
      </w:r>
      <w:r>
        <w:rPr>
          <w:rFonts w:ascii="Arial" w:hAnsi="Arial" w:cs="Arial" w:eastAsia="Arial"/>
          <w:sz w:val="20"/>
          <w:szCs w:val="20"/>
          <w:rtl/>
        </w:rPr>
        <w:t xml:space="preserve">   </w:t>
      </w:r>
      <w:r>
        <w:rPr>
          <w:rFonts w:ascii="Arial" w:hAnsi="Arial" w:cs="Arial" w:eastAsia="Arial"/>
          <w:b/>
          <w:bCs/>
          <w:color w:val="1F2430"/>
          <w:sz w:val="20"/>
          <w:szCs w:val="20"/>
          <w:rtl/>
        </w:rPr>
        <w:t>47-ב</w:t>
      </w:r>
      <w:r>
        <w:rPr>
          <w:rFonts w:ascii="Arial" w:hAnsi="Arial" w:cs="Arial" w:eastAsia="Arial"/>
          <w:sz w:val="20"/>
          <w:szCs w:val="20"/>
          <w:rtl/>
        </w:rPr>
        <w:t xml:space="preserve">   </w:t>
      </w:r>
      <w:r>
        <w:rPr>
          <w:rFonts w:ascii="Arial" w:hAnsi="Arial" w:cs="Arial" w:eastAsia="Arial"/>
          <w:b/>
          <w:bCs/>
          <w:color w:val="1F2430"/>
          <w:sz w:val="20"/>
          <w:szCs w:val="20"/>
          <w:rtl/>
        </w:rPr>
        <w:t>48-א</w:t>
      </w:r>
      <w:r>
        <w:rPr>
          <w:rFonts w:ascii="Arial" w:hAnsi="Arial" w:cs="Arial" w:eastAsia="Arial"/>
          <w:sz w:val="20"/>
          <w:szCs w:val="20"/>
          <w:rtl/>
        </w:rPr>
        <w:t xml:space="preserve">   </w:t>
      </w:r>
      <w:r>
        <w:rPr>
          <w:rFonts w:ascii="Arial" w:hAnsi="Arial" w:cs="Arial" w:eastAsia="Arial"/>
          <w:b/>
          <w:bCs/>
          <w:color w:val="1F2430"/>
          <w:sz w:val="20"/>
          <w:szCs w:val="20"/>
          <w:rtl/>
        </w:rPr>
        <w:t>49-ג</w:t>
      </w:r>
      <w:r>
        <w:rPr>
          <w:rFonts w:ascii="Arial" w:hAnsi="Arial" w:cs="Arial" w:eastAsia="Arial"/>
          <w:sz w:val="20"/>
          <w:szCs w:val="20"/>
          <w:rtl/>
        </w:rPr>
        <w:t xml:space="preserve">   </w:t>
      </w:r>
      <w:r>
        <w:rPr>
          <w:rFonts w:ascii="Arial" w:hAnsi="Arial" w:cs="Arial" w:eastAsia="Arial"/>
          <w:b/>
          <w:bCs/>
          <w:color w:val="1F2430"/>
          <w:sz w:val="20"/>
          <w:szCs w:val="20"/>
          <w:rtl/>
        </w:rPr>
        <w:t>50-ב</w:t>
      </w:r>
      <w:r>
        <w:rPr>
          <w:rFonts w:ascii="Arial" w:hAnsi="Arial" w:cs="Arial" w:eastAsia="Arial"/>
          <w:sz w:val="20"/>
          <w:szCs w:val="20"/>
          <w:rtl/>
        </w:rPr>
        <w:t xml:space="preserve">   </w:t>
      </w:r>
      <w:r>
        <w:rPr>
          <w:rFonts w:ascii="Arial" w:hAnsi="Arial" w:cs="Arial" w:eastAsia="Arial"/>
          <w:b/>
          <w:bCs/>
          <w:color w:val="1F2430"/>
          <w:sz w:val="20"/>
          <w:szCs w:val="20"/>
          <w:rtl/>
        </w:rPr>
        <w:t>51-ד</w:t>
      </w:r>
      <w:r>
        <w:rPr>
          <w:rFonts w:ascii="Arial" w:hAnsi="Arial" w:cs="Arial" w:eastAsia="Arial"/>
          <w:sz w:val="20"/>
          <w:szCs w:val="20"/>
          <w:rtl/>
        </w:rPr>
        <w:t xml:space="preserve">   </w:t>
      </w:r>
      <w:r>
        <w:rPr>
          <w:rFonts w:ascii="Arial" w:hAnsi="Arial" w:cs="Arial" w:eastAsia="Arial"/>
          <w:b/>
          <w:bCs/>
          <w:color w:val="1F2430"/>
          <w:sz w:val="20"/>
          <w:szCs w:val="20"/>
          <w:rtl/>
        </w:rPr>
        <w:t>52-א</w:t>
      </w:r>
      <w:r>
        <w:rPr>
          <w:rFonts w:ascii="Arial" w:hAnsi="Arial" w:cs="Arial" w:eastAsia="Arial"/>
          <w:sz w:val="20"/>
          <w:szCs w:val="20"/>
          <w:rtl/>
        </w:rPr>
        <w:t xml:space="preserve">   </w:t>
      </w:r>
      <w:r>
        <w:rPr>
          <w:rFonts w:ascii="Arial" w:hAnsi="Arial" w:cs="Arial" w:eastAsia="Arial"/>
          <w:b/>
          <w:bCs/>
          <w:color w:val="1F2430"/>
          <w:sz w:val="20"/>
          <w:szCs w:val="20"/>
          <w:rtl/>
        </w:rPr>
        <w:t>53-ג</w:t>
      </w:r>
      <w:r>
        <w:rPr>
          <w:rFonts w:ascii="Arial" w:hAnsi="Arial" w:cs="Arial" w:eastAsia="Arial"/>
          <w:sz w:val="20"/>
          <w:szCs w:val="20"/>
          <w:rtl/>
        </w:rPr>
        <w:t xml:space="preserve">   </w:t>
      </w:r>
      <w:r>
        <w:rPr>
          <w:rFonts w:ascii="Arial" w:hAnsi="Arial" w:cs="Arial" w:eastAsia="Arial"/>
          <w:b/>
          <w:bCs/>
          <w:color w:val="1F2430"/>
          <w:sz w:val="20"/>
          <w:szCs w:val="20"/>
          <w:rtl/>
        </w:rPr>
        <w:t>54-ד</w:t>
      </w:r>
      <w:r>
        <w:rPr>
          <w:rFonts w:ascii="Arial" w:hAnsi="Arial" w:cs="Arial" w:eastAsia="Arial"/>
          <w:sz w:val="20"/>
          <w:szCs w:val="20"/>
          <w:rtl/>
        </w:rPr>
        <w:t xml:space="preserve">   </w:t>
      </w:r>
      <w:r>
        <w:rPr>
          <w:rFonts w:ascii="Arial" w:hAnsi="Arial" w:cs="Arial" w:eastAsia="Arial"/>
          <w:b/>
          <w:bCs/>
          <w:color w:val="1F2430"/>
          <w:sz w:val="20"/>
          <w:szCs w:val="20"/>
          <w:rtl/>
        </w:rPr>
        <w:t>55-ב</w:t>
      </w:r>
      <w:r>
        <w:rPr>
          <w:rFonts w:ascii="Arial" w:hAnsi="Arial" w:cs="Arial" w:eastAsia="Arial"/>
          <w:sz w:val="20"/>
          <w:szCs w:val="20"/>
          <w:rtl/>
        </w:rPr>
        <w:t xml:space="preserve">   </w:t>
      </w:r>
      <w:r>
        <w:rPr>
          <w:rFonts w:ascii="Arial" w:hAnsi="Arial" w:cs="Arial" w:eastAsia="Arial"/>
          <w:b/>
          <w:bCs/>
          <w:color w:val="1F2430"/>
          <w:sz w:val="20"/>
          <w:szCs w:val="20"/>
          <w:rtl/>
        </w:rPr>
        <w:t>56-ג</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 — התשובה הנכונה: ב</w:t>
            </w:r>
          </w:p>
          <w:p>
            <w:pPr>
              <w:bidi/>
              <w:spacing w:before="0" w:after="0" w:line="288" w:lineRule="auto"/>
              <w:jc w:val="both"/>
            </w:pPr>
            <w:r>
              <w:rPr>
                <w:rFonts w:ascii="Arial" w:hAnsi="Arial" w:cs="Arial" w:eastAsia="Arial"/>
                <w:color w:val="1F2430"/>
                <w:sz w:val="19"/>
                <w:szCs w:val="19"/>
                <w:rtl/>
              </w:rPr>
              <w:t>סעיף 1 מעניק לבית הדין הרבני סמכות ייחודית, לא מקבילה, בענייני נישואין וגירושין של יהודים בישראל שהם אזרחי המדינה או תושביה. המסיח הראשון שגוי כי מאז 1953 נישואין וגירושין אינם עוד בסמכות מקבילה. רק מזונות, כלכלה ואפוטרופסות נשארו כאלה. המסיח השלישי סותר את הלכת אוה בסן, שלפיה שני בני הזוג חייבים להיות יהודים.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 — התשובה הנכונה: ד</w:t>
            </w:r>
          </w:p>
          <w:p>
            <w:pPr>
              <w:bidi/>
              <w:spacing w:before="0" w:after="0" w:line="288" w:lineRule="auto"/>
              <w:jc w:val="both"/>
            </w:pPr>
            <w:r>
              <w:rPr>
                <w:rFonts w:ascii="Arial" w:hAnsi="Arial" w:cs="Arial" w:eastAsia="Arial"/>
                <w:color w:val="1F2430"/>
                <w:sz w:val="19"/>
                <w:szCs w:val="19"/>
                <w:rtl/>
              </w:rPr>
              <w:t>ארבעת התנאים של סעיף 1 מצטברים. כשאחד חסר, הסעיף אינו חל ובודקים דלתות אחרות לבית הדין. כריכה לא יכולה להשלים תנאי חסר, כי סעיף 3 נשען על סעיף 1: בלי סמכות בסיסית לפי סעיף 1 אין כריכה.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 — התשובה הנכונה: א</w:t>
            </w:r>
          </w:p>
          <w:p>
            <w:pPr>
              <w:bidi/>
              <w:spacing w:before="0" w:after="0" w:line="288" w:lineRule="auto"/>
              <w:jc w:val="both"/>
            </w:pPr>
            <w:r>
              <w:rPr>
                <w:rFonts w:ascii="Arial" w:hAnsi="Arial" w:cs="Arial" w:eastAsia="Arial"/>
                <w:color w:val="1F2430"/>
                <w:sz w:val="19"/>
                <w:szCs w:val="19"/>
                <w:rtl/>
              </w:rPr>
              <w:t>לפי סידיס, ענייני הממון נשרו מענייני הנישואין, ו״ענייני נישואין״ הם עצם הקשר והמעמד האישי. החריג היחיד הוא הכתובה, זכות שמקורה בדין הדתי, ולכן היא נשארה בסמכות הייחודית של בית הדין. רכוש וחסכונות אינם עניין נישואין, וסמכות לגביהם בודקים לפי סעיף 3 (כריכה) או לפי סמכות בית המשפט לענייני משפחה.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 — התשובה הנכונה: ג</w:t>
            </w:r>
          </w:p>
          <w:p>
            <w:pPr>
              <w:bidi/>
              <w:spacing w:before="0" w:after="0" w:line="288" w:lineRule="auto"/>
              <w:jc w:val="both"/>
            </w:pPr>
            <w:r>
              <w:rPr>
                <w:rFonts w:ascii="Arial" w:hAnsi="Arial" w:cs="Arial" w:eastAsia="Arial"/>
                <w:color w:val="1F2430"/>
                <w:sz w:val="19"/>
                <w:szCs w:val="19"/>
                <w:rtl/>
              </w:rPr>
              <w:t>ענייני נישואין הם שאלות של עצם הקשר והמעמד האישי: תוקף הנישואין (כולל טקס בצחוק), כשרות להינשא, כשרות העדים, שלום בית ומורד או מורדת. חלוקת רכב וחשבונות היא עניין רכושי. אחרי סידיס הוא לא חלק מענייני הנישואין ולא נכנס אוטומטית לסמכות הייחודית.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 — התשובה הנכונה: א</w:t>
            </w:r>
          </w:p>
          <w:p>
            <w:pPr>
              <w:bidi/>
              <w:spacing w:before="0" w:after="0" w:line="288" w:lineRule="auto"/>
              <w:jc w:val="both"/>
            </w:pPr>
            <w:r>
              <w:rPr>
                <w:rFonts w:ascii="Arial" w:hAnsi="Arial" w:cs="Arial" w:eastAsia="Arial"/>
                <w:color w:val="1F2430"/>
                <w:sz w:val="19"/>
                <w:szCs w:val="19"/>
                <w:rtl/>
              </w:rPr>
              <w:t>סעיף 2 עוסק בברירת הדין ולא בסמכות. אחרי שנקבע לפי סעיף 1 שלבית הדין יש סמכות, סעיף 2 קובע שהנישואין והגירושין יתנהלו לפי דין תורה. המסיח השני מתאר את סעיף 1. אין בחוק אפשרות לבחור דין אחר.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 — התשובה הנכונה: ב</w:t>
            </w:r>
          </w:p>
          <w:p>
            <w:pPr>
              <w:bidi/>
              <w:spacing w:before="0" w:after="0" w:line="288" w:lineRule="auto"/>
              <w:jc w:val="both"/>
            </w:pPr>
            <w:r>
              <w:rPr>
                <w:rFonts w:ascii="Arial" w:hAnsi="Arial" w:cs="Arial" w:eastAsia="Arial"/>
                <w:color w:val="1F2430"/>
                <w:sz w:val="19"/>
                <w:szCs w:val="19"/>
                <w:rtl/>
              </w:rPr>
              <w:t>בג״ץ הסביר שהחלת הדין הדתי על שני בני הזוג כופה דת על מי שאולי אינו בן אותה דת, והחלתו על אחד מהם בלבד יוצרת פיצול סטטוס. לכן סמכות בית הדין פרסונלית ודורשת ששניהם יהיו יהודים. בני זוג כאלה מופנים לחוק שיפוט בענייני התרת נישואין (מקרים מיוחדים), לא לבית דין דתי אחר.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 — התשובה הנכונה: ד</w:t>
            </w:r>
          </w:p>
          <w:p>
            <w:pPr>
              <w:bidi/>
              <w:spacing w:before="0" w:after="0" w:line="288" w:lineRule="auto"/>
              <w:jc w:val="both"/>
            </w:pPr>
            <w:r>
              <w:rPr>
                <w:rFonts w:ascii="Arial" w:hAnsi="Arial" w:cs="Arial" w:eastAsia="Arial"/>
                <w:color w:val="1F2430"/>
                <w:sz w:val="19"/>
                <w:szCs w:val="19"/>
                <w:rtl/>
              </w:rPr>
              <w:t>יהודי הוא מי שנולד לאם יהודייה או שהתגייר כהלכה, ולכן יאיר אינו יהודי והתנאי ״של יהודים״ לא מתקיים (אוה בסן). את התנאי הזה אי אפשר לעקוף בהסכמה: לפי סרגובי סעיף 9 חל רק כששני בני הזוג יהודים. ההליך עובר לבית המשפט לענייני משפחה, שפונה לבתי הדין הדתיים לפי סעיף 3(א)(1) לחוק המקרים המיוחדים.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 — התשובה הנכונה: ג</w:t>
            </w:r>
          </w:p>
          <w:p>
            <w:pPr>
              <w:bidi/>
              <w:spacing w:before="0" w:after="0" w:line="288" w:lineRule="auto"/>
              <w:jc w:val="both"/>
            </w:pPr>
            <w:r>
              <w:rPr>
                <w:rFonts w:ascii="Arial" w:hAnsi="Arial" w:cs="Arial" w:eastAsia="Arial"/>
                <w:color w:val="1F2430"/>
                <w:sz w:val="19"/>
                <w:szCs w:val="19"/>
                <w:rtl/>
              </w:rPr>
              <w:t>ההליך נפתח בבית המשפט האזרחי, ובית המשפט פונה לבתי הדין הדתיים הרלוונטיים כדי לבדוק אם לפי דינם נדרש הליך דתי, ולו מספק, כדי שבן הזוג יוכל להינשא מחדש. אחר כך בית המשפט מתיר את הנישואין. כך נמנעים גם מכפיית דת וגם מפיצול סטטוס. בית דין דתי של אחד הצדדים לא מוסמך להתחיל את ההליך.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37 — התשובה הנכונה: א</w:t>
            </w:r>
          </w:p>
          <w:p>
            <w:pPr>
              <w:bidi/>
              <w:spacing w:before="0" w:after="0" w:line="288" w:lineRule="auto"/>
              <w:jc w:val="both"/>
            </w:pPr>
            <w:r>
              <w:rPr>
                <w:rFonts w:ascii="Arial" w:hAnsi="Arial" w:cs="Arial" w:eastAsia="Arial"/>
                <w:color w:val="1F2430"/>
                <w:sz w:val="19"/>
                <w:szCs w:val="19"/>
                <w:rtl/>
              </w:rPr>
              <w:t>לפי מה שנלמד, את נישואיהם האזרחיים של בני אותו מין מתיר בית המשפט לענייני משפחה, כמו בנישואי תערובת. בפרשת בן ארי זוג כזה פנה לבית הדין, ובית הדין לא חזר עם תשובה. סעיף 4א לא רלוונטי: הוא חל רק על מי שנישאו על פי דין תורה.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38 — התשובה הנכונה: ד</w:t>
            </w:r>
          </w:p>
          <w:p>
            <w:pPr>
              <w:bidi/>
              <w:spacing w:before="0" w:after="0" w:line="288" w:lineRule="auto"/>
              <w:jc w:val="both"/>
            </w:pPr>
            <w:r>
              <w:rPr>
                <w:rFonts w:ascii="Arial" w:hAnsi="Arial" w:cs="Arial" w:eastAsia="Arial"/>
                <w:color w:val="1F2430"/>
                <w:sz w:val="19"/>
                <w:szCs w:val="19"/>
                <w:rtl/>
              </w:rPr>
              <w:t>בג״ץ ורבר קבע ש״בישראל״ מוסב על היהודים ולא על הנישואין. השאלה היא אם בני הזוג נמצאים בישראל במועד הגשת התביעה, ולא איפה נישאו או איפה גרו בעבר. לכן גם נישואין אזרחיים של יהודים שנערכו בחו״ל נמצאים בסמכות הייחודית של בית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39 — התשובה הנכונה: ב</w:t>
            </w:r>
          </w:p>
          <w:p>
            <w:pPr>
              <w:bidi/>
              <w:spacing w:before="0" w:after="0" w:line="288" w:lineRule="auto"/>
              <w:jc w:val="both"/>
            </w:pPr>
            <w:r>
              <w:rPr>
                <w:rFonts w:ascii="Arial" w:hAnsi="Arial" w:cs="Arial" w:eastAsia="Arial"/>
                <w:color w:val="1F2430"/>
                <w:sz w:val="19"/>
                <w:szCs w:val="19"/>
                <w:rtl/>
              </w:rPr>
              <w:t>לפי ורבר ״בישראל״ פירושו יהודים בישראל בעת ההגשה, ולא נישואין שנערכו בישראל. לכן גם נישואין אזרחיים של יהודים שנמצאים בארץ בסמכות הייחודית של בית הדין. בית הדין יבחן אם יש ספק נישואין שמחייב גט לחומרה, כדי למנוע ממזרות. גם מי שנישא אזרחית מתגרש בבית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40 — התשובה הנכונה: ג</w:t>
            </w:r>
          </w:p>
          <w:p>
            <w:pPr>
              <w:bidi/>
              <w:spacing w:before="0" w:after="0" w:line="288" w:lineRule="auto"/>
              <w:jc w:val="both"/>
            </w:pPr>
            <w:r>
              <w:rPr>
                <w:rFonts w:ascii="Arial" w:hAnsi="Arial" w:cs="Arial" w:eastAsia="Arial"/>
                <w:color w:val="1F2430"/>
                <w:sz w:val="19"/>
                <w:szCs w:val="19"/>
                <w:rtl/>
              </w:rPr>
              <w:t>בחן התקבלה טענת הבעל שהאישה לא הייתה בישראל, ולכן אין סמכות. השופט לנדוי במיעוט סבר שאם התובע מוכן לקבל את מרות בית הדין, לא משנה שאינו בארץ. בג״ץ הראל אימץ את גישתו. ההלכה על נתבע תושב קבע נקבעה מאוחר יותר, בקריב.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41 — התשובה הנכונה: א</w:t>
            </w:r>
          </w:p>
          <w:p>
            <w:pPr>
              <w:bidi/>
              <w:spacing w:before="0" w:after="0" w:line="288" w:lineRule="auto"/>
              <w:jc w:val="both"/>
            </w:pPr>
            <w:r>
              <w:rPr>
                <w:rFonts w:ascii="Arial" w:hAnsi="Arial" w:cs="Arial" w:eastAsia="Arial"/>
                <w:color w:val="1F2430"/>
                <w:sz w:val="19"/>
                <w:szCs w:val="19"/>
                <w:rtl/>
              </w:rPr>
              <w:t>בג״ץ הראל קבע שלגבי תובע אפשר להסתפק בנוכחות קונסטרוקטיבית: הגשת התביעה מרחוק באמצעות עורך דין מספיקה. התובע בוחר לפתוח בהליך, ולכן הגמישות לגביו רחבה יותר. מאחר שכל תנאי סעיף 1 מתקיימים, אין צורך בסעיף 4א, שמגביל לגירושין בלבד.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42 — התשובה הנכונה: ד</w:t>
            </w:r>
          </w:p>
          <w:p>
            <w:pPr>
              <w:bidi/>
              <w:spacing w:before="0" w:after="0" w:line="288" w:lineRule="auto"/>
              <w:jc w:val="both"/>
            </w:pPr>
            <w:r>
              <w:rPr>
                <w:rFonts w:ascii="Arial" w:hAnsi="Arial" w:cs="Arial" w:eastAsia="Arial"/>
                <w:color w:val="1F2430"/>
                <w:sz w:val="19"/>
                <w:szCs w:val="19"/>
                <w:rtl/>
              </w:rPr>
              <w:t>הלכת קריב הרחיבה את הלכת הראל לנתבע. תושב קבע שמרכז חייו עדיין בישראל, ושלא סגר חשבונות ולא מכר נכסים אלא רק עלה על מטוס, נחשב כאילו הוא כאן. מספיקה זיקה מסוימת, ואפשר לתת נגדו צו עיכוב יציאה. סעיף 4א(1) דורש שמקום מושבו של הנתבע יהיה בישראל, אבל אין צורך בו כשסעיף 1 מתקיים.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43 — התשובה הנכונה: ב</w:t>
            </w:r>
          </w:p>
          <w:p>
            <w:pPr>
              <w:bidi/>
              <w:spacing w:before="0" w:after="0" w:line="288" w:lineRule="auto"/>
              <w:jc w:val="both"/>
            </w:pPr>
            <w:r>
              <w:rPr>
                <w:rFonts w:ascii="Arial" w:hAnsi="Arial" w:cs="Arial" w:eastAsia="Arial"/>
                <w:color w:val="1F2430"/>
                <w:sz w:val="19"/>
                <w:szCs w:val="19"/>
                <w:rtl/>
              </w:rPr>
              <w:t>בג״ץ ביגר (השופט נתניהו) קבע שלגבי נתבע שהוא אזרח בלבד נדרשת ״אזרחות פלוס״: זיקה ממשית כמו חשבונות פעילים, דירה, ביקורים או משפחה בארץ. אזרח על הנייר לא ייחשב נוכח. המסיח הרביעי שגוי כי קריב וביגר החילו נוכחות קונסטרוקטיבית גם על נתבעים.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44 — התשובה הנכונה: ג</w:t>
            </w:r>
          </w:p>
          <w:p>
            <w:pPr>
              <w:bidi/>
              <w:spacing w:before="0" w:after="0" w:line="288" w:lineRule="auto"/>
              <w:jc w:val="both"/>
            </w:pPr>
            <w:r>
              <w:rPr>
                <w:rFonts w:ascii="Arial" w:hAnsi="Arial" w:cs="Arial" w:eastAsia="Arial"/>
                <w:color w:val="1F2430"/>
                <w:sz w:val="19"/>
                <w:szCs w:val="19"/>
                <w:rtl/>
              </w:rPr>
              <w:t>תושב הוא מי שמרכז חייו בישראל, לפי הגדרת מקום מושב בסעיף 80 לחוק הכשרות המשפטית והאפוטרופסות. אזרחות נקבעת לפי חוק האזרחות. אפשר להיות אזרח בלי לגור בארץ אף פעם, למשל מי שנולד לשני הורים אזרחים. ההבחנה בין המושגים היא הבסיס להבדל בין קריב (תושב) לביגר (אזרח בלבד).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45 — התשובה הנכונה: א</w:t>
            </w:r>
          </w:p>
          <w:p>
            <w:pPr>
              <w:bidi/>
              <w:spacing w:before="0" w:after="0" w:line="288" w:lineRule="auto"/>
              <w:jc w:val="both"/>
            </w:pPr>
            <w:r>
              <w:rPr>
                <w:rFonts w:ascii="Arial" w:hAnsi="Arial" w:cs="Arial" w:eastAsia="Arial"/>
                <w:color w:val="1F2430"/>
                <w:sz w:val="19"/>
                <w:szCs w:val="19"/>
                <w:rtl/>
              </w:rPr>
              <w:t>בסבג בני הזוג לא היו אזרחים ולא תושבים, ולא הייתה להם זיקה לישראל חוץ מהיותם יהודים. ביקור של הבעל בארץ לא הקנה סמכות. הרוב (השופטת פרוקצ׳יה) קבע שתנאי סעיף 1 לא מתקיימים, ולכן אין סמכות לגירושין. רובינשטיין במיעוט סבר שיש. בעקבות פסק הדין חוקק סעיף 4א.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46 — התשובה הנכונה: ד</w:t>
            </w:r>
          </w:p>
          <w:p>
            <w:pPr>
              <w:bidi/>
              <w:spacing w:before="0" w:after="0" w:line="288" w:lineRule="auto"/>
              <w:jc w:val="both"/>
            </w:pPr>
            <w:r>
              <w:rPr>
                <w:rFonts w:ascii="Arial" w:hAnsi="Arial" w:cs="Arial" w:eastAsia="Arial"/>
                <w:color w:val="1F2430"/>
                <w:sz w:val="19"/>
                <w:szCs w:val="19"/>
                <w:rtl/>
              </w:rPr>
              <w:t>גם כשאין לבית הדין סמכות לדון בגירושין לפי סעיף 1, ייתכן שיש לו סמכות במזונות אישה לפי סעיף 4. הסעיף פתוח לאישה יהודייה נגד בעלה היהודי בלי דרישת אזרחות, תושבות או נוכחות, ולפי קנול וגולדנברג נדרשת זיקה מסוימת. כריכה לא אפשרית כאן, כי בלי סמכות לפי סעיף 1 אין כריכה לפי סעיף 3.</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47 — התשובה הנכונה: ב</w:t>
            </w:r>
          </w:p>
          <w:p>
            <w:pPr>
              <w:bidi/>
              <w:spacing w:before="0" w:after="0" w:line="288" w:lineRule="auto"/>
              <w:jc w:val="both"/>
            </w:pPr>
            <w:r>
              <w:rPr>
                <w:rFonts w:ascii="Arial" w:hAnsi="Arial" w:cs="Arial" w:eastAsia="Arial"/>
                <w:color w:val="1F2430"/>
                <w:sz w:val="19"/>
                <w:szCs w:val="19"/>
                <w:rtl/>
              </w:rPr>
              <w:t>לפי אמרת האגב, המחוקק כתב את תנאי סעיף 1 פעם אחת כ״כותרת״ שחלה על כל הסעיפים, כולל סעיף 4 (מזונות אישה). זו אמרת אגב בלבד ולכן אינה מחייבת. ההלכה המחייבת בסעיף 4 היא דרישת הזיקה המסוימת מקנול וגולדנברג.</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48 — התשובה הנכונה: א</w:t>
            </w:r>
          </w:p>
          <w:p>
            <w:pPr>
              <w:bidi/>
              <w:spacing w:before="0" w:after="0" w:line="288" w:lineRule="auto"/>
              <w:jc w:val="both"/>
            </w:pPr>
            <w:r>
              <w:rPr>
                <w:rFonts w:ascii="Arial" w:hAnsi="Arial" w:cs="Arial" w:eastAsia="Arial"/>
                <w:color w:val="1F2430"/>
                <w:sz w:val="19"/>
                <w:szCs w:val="19"/>
                <w:rtl/>
              </w:rPr>
              <w:t>זו זיקה 4א(6). נישואין כדמו״י ויהדות הם תנאי סף של הסעיף ולא זיקות. הזיקה הרלוונטית לנתבע היא שמקום מושבו בישראל (4א(1)), ולא ההפך.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49 — התשובה הנכונה: ג</w:t>
            </w:r>
          </w:p>
          <w:p>
            <w:pPr>
              <w:bidi/>
              <w:spacing w:before="0" w:after="0" w:line="288" w:lineRule="auto"/>
              <w:jc w:val="both"/>
            </w:pPr>
            <w:r>
              <w:rPr>
                <w:rFonts w:ascii="Arial" w:hAnsi="Arial" w:cs="Arial" w:eastAsia="Arial"/>
                <w:color w:val="1F2430"/>
                <w:sz w:val="19"/>
                <w:szCs w:val="19"/>
                <w:rtl/>
              </w:rPr>
              <w:t>החידוש של סעיף 4א(1) הוא שמספיק שמקום מושבו של הנתבע בישראל. התובעת לא צריכה להיות אזרחית או תושבת. דרישת השנה קיימת בזיקה 4א(3), שנוגעת למגורי התובע ולא לנתבע. אין צורך בסעיף 4ב כשמתקיימת אחת מזיקות 4א.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50 — התשובה הנכונה: ב</w:t>
            </w:r>
          </w:p>
          <w:p>
            <w:pPr>
              <w:bidi/>
              <w:spacing w:before="0" w:after="0" w:line="288" w:lineRule="auto"/>
              <w:jc w:val="both"/>
            </w:pPr>
            <w:r>
              <w:rPr>
                <w:rFonts w:ascii="Arial" w:hAnsi="Arial" w:cs="Arial" w:eastAsia="Arial"/>
                <w:color w:val="1F2430"/>
                <w:sz w:val="19"/>
                <w:szCs w:val="19"/>
                <w:rtl/>
              </w:rPr>
              <w:t>זיקה 4א(6) לא דורשת שהתובע יגור בישראל ביום ההגשה, רק שנה של מגורים בתוך השנתיים שקדמו לתביעה. זיקה 4א(2) דורשת ששני בני הזוג יהיו אזרחים. סעיף 1 לא מתקיים, כי האישה אינה אזרחית או תושבת, ולכן אין סמכות לכריכות.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51 — התשובה הנכונה: ד</w:t>
            </w:r>
          </w:p>
          <w:p>
            <w:pPr>
              <w:bidi/>
              <w:spacing w:before="0" w:after="0" w:line="288" w:lineRule="auto"/>
              <w:jc w:val="both"/>
            </w:pPr>
            <w:r>
              <w:rPr>
                <w:rFonts w:ascii="Arial" w:hAnsi="Arial" w:cs="Arial" w:eastAsia="Arial"/>
                <w:color w:val="1F2430"/>
                <w:sz w:val="19"/>
                <w:szCs w:val="19"/>
                <w:rtl/>
              </w:rPr>
              <w:t>סעיף 4א(ה) קובע: ״אין בהוראות סעיף זה כדי להקנות לבית הדין הרבני סמכות שיפוט בענינים הכרוכים בגירושין״. ישראל עוזרת ליהודי העולם רק בגט, שאין לו פתרון בחו״ל. מזונות, משמורת ורכוש אפשר לתבוע בחו״ל. המבחן המשולש רלוונטי רק לכריכה מכוח סעיף 3, שדורש סמכות לפי סעיף 1.</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52 — התשובה הנכונה: א</w:t>
            </w:r>
          </w:p>
          <w:p>
            <w:pPr>
              <w:bidi/>
              <w:spacing w:before="0" w:after="0" w:line="288" w:lineRule="auto"/>
              <w:jc w:val="both"/>
            </w:pPr>
            <w:r>
              <w:rPr>
                <w:rFonts w:ascii="Arial" w:hAnsi="Arial" w:cs="Arial" w:eastAsia="Arial"/>
                <w:color w:val="1F2430"/>
                <w:sz w:val="19"/>
                <w:szCs w:val="19"/>
                <w:rtl/>
              </w:rPr>
              <w:t>לשון סעיף 4א(א) מחילה אותו רק על ״בני זוג יהודים שנישאו על פי דין תורה״. נישואין אזרחיים לא נכנסים לסעיף, גם כשמתקיימת אחת הזיקות. סעיף 4ב דורש גם הוא נישואין על פי דין תורה. סעיף 1 אינו חל כי שרה אינה אזרחית או תושבת. ורבר עוסק בתנאי ״בישראל״ ולא מבטל את דרישת האזרחות או התושבות.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53 — התשובה הנכונה: ג</w:t>
            </w:r>
          </w:p>
          <w:p>
            <w:pPr>
              <w:bidi/>
              <w:spacing w:before="0" w:after="0" w:line="288" w:lineRule="auto"/>
              <w:jc w:val="both"/>
            </w:pPr>
            <w:r>
              <w:rPr>
                <w:rFonts w:ascii="Arial" w:hAnsi="Arial" w:cs="Arial" w:eastAsia="Arial"/>
                <w:color w:val="1F2430"/>
                <w:sz w:val="19"/>
                <w:szCs w:val="19"/>
                <w:rtl/>
              </w:rPr>
              <w:t>סעיף 1 פותח את כל ענייני הנישואין והגירושין ומאפשר כריכה לפי סעיף 3. סעיף 4א חל ״בלי לגרוע מסעיף 1״ ומוגבל לגירושין בלבד (4א(ה)). לכן מי שיכולה להיכנס בסעיף 1 תעדיף אותו, ובסעיף 4א משתמשים כשאין ברירה או כשרוצים גירושין בלבד. סעיף 4ב מיועד למקרים שבהם אין אף זיקה של 4א.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54 — התשובה הנכונה: ד</w:t>
            </w:r>
          </w:p>
          <w:p>
            <w:pPr>
              <w:bidi/>
              <w:spacing w:before="0" w:after="0" w:line="288" w:lineRule="auto"/>
              <w:jc w:val="both"/>
            </w:pPr>
            <w:r>
              <w:rPr>
                <w:rFonts w:ascii="Arial" w:hAnsi="Arial" w:cs="Arial" w:eastAsia="Arial"/>
                <w:color w:val="1F2430"/>
                <w:sz w:val="19"/>
                <w:szCs w:val="19"/>
                <w:rtl/>
              </w:rPr>
              <w:t>סעיף 4ב פתוח רק לאישה ורק לתביעת גט. הוא לא דורש אזרחות, תושבות או זיקה. כן נדרשים נישואין על פי דין תורה, שהאישה לא קיבלה גט בחו״ל, ואחת מהחלופות: אין בית דין, הבעל לא התייצב 4 חודשים, או שהגט לא ניתן 6 חודשים אחרי שנקבע. הסעיף נחקק כהוראת שעה לשלוש שנים והפך להוראת קבע.</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55 — התשובה הנכונה: ב</w:t>
            </w:r>
          </w:p>
          <w:p>
            <w:pPr>
              <w:bidi/>
              <w:spacing w:before="0" w:after="0" w:line="288" w:lineRule="auto"/>
              <w:jc w:val="both"/>
            </w:pPr>
            <w:r>
              <w:rPr>
                <w:rFonts w:ascii="Arial" w:hAnsi="Arial" w:cs="Arial" w:eastAsia="Arial"/>
                <w:color w:val="1F2430"/>
                <w:sz w:val="19"/>
                <w:szCs w:val="19"/>
                <w:rtl/>
              </w:rPr>
              <w:t>סעיף 4ב מאפשר לאישה יהודייה בלי זיקה לתבוע גט בישראל אם האיש לא התייצב לפני בית הדין בחו״ל ארבעה חודשים מיום שזומן. חמישה חודשים עומדים בתנאי. הכלל שמי שפנתה לבית דין בחו״ל לא יכולה לטעון שאין בית דין נוגע רק לחלופה הראשונה. סעיף 4א(3) דורש שמקום מושב התובעת יהיה בישראל.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56 — התשובה הנכונה: ג</w:t>
            </w:r>
          </w:p>
          <w:p>
            <w:pPr>
              <w:bidi/>
              <w:spacing w:before="0" w:after="0" w:line="288" w:lineRule="auto"/>
              <w:jc w:val="both"/>
            </w:pPr>
            <w:r>
              <w:rPr>
                <w:rFonts w:ascii="Arial" w:hAnsi="Arial" w:cs="Arial" w:eastAsia="Arial"/>
                <w:color w:val="1F2430"/>
                <w:sz w:val="19"/>
                <w:szCs w:val="19"/>
                <w:rtl/>
              </w:rPr>
              <w:t>לפי ההסבר שנלמד, לגבר יש מוצא הלכתי מסרבנות גט של אשתו: היתר להינשא לאישה נוספת, שאפשר לקבל גם בחו״ל. לאישה אין מוצא כזה. סעיף 4 פתוח גם הוא רק לאישה ולא לגבר. ההגבלה לא נועדה לצמצם את הפגיעה בנימוס הבין-לאומי, שהיה ביקורת על הסעיף כולו.</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6B3FA0"/>
            <w:tcBorders>
              <w:top w:val="single" w:sz="4" w:space="0" w:color="6B3FA0"/>
              <w:left w:val="single" w:sz="4" w:space="0" w:color="6B3FA0"/>
              <w:bottom w:val="single" w:sz="4" w:space="0" w:color="6B3FA0"/>
              <w:right w:val="single" w:sz="4" w:space="0" w:color="6B3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3</w:t>
            </w:r>
          </w:p>
          <w:p>
            <w:pPr>
              <w:bidi/>
              <w:spacing w:before="0" w:after="0" w:line="264" w:lineRule="auto"/>
              <w:outlineLvl w:val="0"/>
            </w:pPr>
            <w:r>
              <w:rPr>
                <w:rFonts w:ascii="Arial" w:hAnsi="Arial" w:cs="Arial" w:eastAsia="Arial"/>
                <w:b/>
                <w:bCs/>
                <w:color w:val="FFFFFF"/>
                <w:sz w:val="42"/>
                <w:szCs w:val="42"/>
                <w:rtl/>
              </w:rPr>
              <w:t>כריכה ומירוץ סמכויות</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57 </w:t>
            </w:r>
            <w:r>
              <w:rPr>
                <w:rFonts w:ascii="Arial" w:hAnsi="Arial" w:cs="Arial" w:eastAsia="Arial"/>
                <w:sz w:val="20"/>
                <w:szCs w:val="20"/>
                <w:rtl/>
              </w:rPr>
              <w:t xml:space="preserve">  </w:t>
            </w:r>
            <w:r>
              <w:rPr>
                <w:rFonts w:ascii="Arial" w:hAnsi="Arial" w:cs="Arial" w:eastAsia="Arial"/>
                <w:b/>
                <w:bCs/>
                <w:color w:val="111827"/>
                <w:sz w:val="20"/>
                <w:szCs w:val="20"/>
                <w:rtl/>
              </w:rPr>
              <w:t>משה הגיש תביעת גירושין לבית הדין הרבני וכרך בה את מזונות האישה ואת חלוקת הרכוש. שבוע לאחר מכן הגישה אשתו תביעת מזונות לבית המשפט לענייני משפחה, ומשה ביקש לדחות את תביעתה מחמת חוסר סמכות עניינית. כיצד יכריע בית המשפט?</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ידחה את הבקשה, משום שלבית המשפט נתונה סמכות מקבילה לזו של בית הדין לדון במזונות</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יקבל את הבקשה אם ישתכנע שתביעת הגירושין כנה ושכריכת המזונות כנה ונעשתה כדין</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יקבל את הבקשה, משום שמשה הגיש ראשון ודי בכך כדי להקנות לבית הדין סמכות</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יקבל את הבקשה, משום שתביעה למזונות אישה אינה בסמכותו של בית המשפט לענייני 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58 </w:t>
            </w:r>
            <w:r>
              <w:rPr>
                <w:rFonts w:ascii="Arial" w:hAnsi="Arial" w:cs="Arial" w:eastAsia="Arial"/>
                <w:sz w:val="20"/>
                <w:szCs w:val="20"/>
                <w:rtl/>
              </w:rPr>
              <w:t xml:space="preserve">  </w:t>
            </w:r>
            <w:r>
              <w:rPr>
                <w:rFonts w:ascii="Arial" w:hAnsi="Arial" w:cs="Arial" w:eastAsia="Arial"/>
                <w:b/>
                <w:bCs/>
                <w:color w:val="111827"/>
                <w:sz w:val="20"/>
                <w:szCs w:val="20"/>
                <w:rtl/>
              </w:rPr>
              <w:t>יוסף הגיש בקשה ליישוב סכסוך נגד אשתו ברכה. חלפו 61 ימים ובני הזוג לא התייצבו לפגישות. בתוך ימי הקדימה של יוסף הגישה ברכה תביעת מזונות אישה לבית המשפט לענייני משפחה, ולמחרת הגיש יוסף תביעת גירושין לבית הדין הרבני וכרך בה את מזונות האישה. איזו תביעה דינה להימחק?</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תביעתו של יוסף בבית הדין, משום שברכה הקדימה וקנתה סמכות במירוץ הסמכויות</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תביעתו של יוסף, משום שהיה עליו להגיש אותה לאותה ערכאה שאליה הגיש את הבקשה ליישוב סכסוך</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שתי התביעות, משום שתקופת עיכוב ההליכים טרם חלפה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תביעתה של ברכה, משום שליוסף, שהגיש ראשון את הבקשה ליישוב סכסוך, עמדה זכות קדימה של 15 ימים להגיש לכל ערכאה מוסמכת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59 </w:t>
            </w:r>
            <w:r>
              <w:rPr>
                <w:rFonts w:ascii="Arial" w:hAnsi="Arial" w:cs="Arial" w:eastAsia="Arial"/>
                <w:sz w:val="20"/>
                <w:szCs w:val="20"/>
                <w:rtl/>
              </w:rPr>
              <w:t xml:space="preserve">  </w:t>
            </w:r>
            <w:r>
              <w:rPr>
                <w:rFonts w:ascii="Arial" w:hAnsi="Arial" w:cs="Arial" w:eastAsia="Arial"/>
                <w:b/>
                <w:bCs/>
                <w:color w:val="111827"/>
                <w:sz w:val="20"/>
                <w:szCs w:val="20"/>
                <w:rtl/>
              </w:rPr>
              <w:t>לפי סעיף 4 לחוק שיפוט בתי דין רבניים, מי רשאי להגיש לבית הדין הרבני תביעת מזונות שלא אגב גירושין, כך שטענת חוסר הסמכות של הנתבע לא תישמע?</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אישה יהודייה, נגד בעלה היהודי או נגד עזבונו</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כל אחד מבני הזוג היהודים, נגד בן זוגו</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אישה יהודייה, ובלבד שהיא אזרחית או תושבת ישראל</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אישה יהודייה, ובלבד שהיא נמצאת בישראל במועד הגשת התביעה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60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לגבי סעיף 4 לחוק השיפוט נכונה?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הוא מקנה לבית הדין הרבני סמכות ייחודית בתביעת מזונות אישה</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הוא מחייב שהאישה תהיה אזרחית או תושבת ישראל</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הוא יוצר סמכות מקבילה – האישה בוחרת אם לתבוע בבית הדין הרבני או בבית המשפט לענייני משפחה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הוא חל רק כאשר תלויה ועומדת תביעת 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61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שאינם אזרחים ואינם תושבים ומעולם לא חיו בישראל, נישאו כדת משה וישראל. האישה הגישה לבית הדין הרבני בישראל תביעת מזונות לפי סעיף 4. מה הדין לפי מה שנלמד?</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אין סמכות, משום שלפי בג״ץ סבג כל תנאי סעיף 1 חלים גם על סעיף 4</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יש סמכות בכל מקרה, משום שסעיף 4 אינו מציב כל תנאי מלבד יהדות הצדדים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נדרשת זיקה מסוימת לישראל, ובבג״ץ קנול הספיק לשם כך שבני הזוג נישאו כדת משה וישראל</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אין סמכות, משום שהאישה אינה נמצאת בישראל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62 </w:t>
            </w:r>
            <w:r>
              <w:rPr>
                <w:rFonts w:ascii="Arial" w:hAnsi="Arial" w:cs="Arial" w:eastAsia="Arial"/>
                <w:sz w:val="20"/>
                <w:szCs w:val="20"/>
                <w:rtl/>
              </w:rPr>
              <w:t xml:space="preserve">  </w:t>
            </w:r>
            <w:r>
              <w:rPr>
                <w:rFonts w:ascii="Arial" w:hAnsi="Arial" w:cs="Arial" w:eastAsia="Arial"/>
                <w:b/>
                <w:bCs/>
                <w:color w:val="111827"/>
                <w:sz w:val="20"/>
                <w:szCs w:val="20"/>
                <w:rtl/>
              </w:rPr>
              <w:t>מה נקבע באמרת האגב של השופטת פרוקצ'יה בבג״ץ סבג לעניין סעיף 4?</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שכל תנאי סעיף 1, לרבות אזרחות או תושבות, חלים גם על סעיף 4 – אך זו אמרת אגב שאינה מחייבת</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שנדרשת זיקה ממשית וחזקה לישראל, וזו הלכה מחייבת</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שסעיף 4 פתוח גם לבעל</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שאין צורך בזיקה כלשהי לישראל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63 </w:t>
            </w:r>
            <w:r>
              <w:rPr>
                <w:rFonts w:ascii="Arial" w:hAnsi="Arial" w:cs="Arial" w:eastAsia="Arial"/>
                <w:sz w:val="20"/>
                <w:szCs w:val="20"/>
                <w:rtl/>
              </w:rPr>
              <w:t xml:space="preserve">  </w:t>
            </w:r>
            <w:r>
              <w:rPr>
                <w:rFonts w:ascii="Arial" w:hAnsi="Arial" w:cs="Arial" w:eastAsia="Arial"/>
                <w:b/>
                <w:bCs/>
                <w:color w:val="111827"/>
                <w:sz w:val="20"/>
                <w:szCs w:val="20"/>
                <w:rtl/>
              </w:rPr>
              <w:t>בעל יהודי מעוניין שמזונות אשתו יידונו בבית הדין הרבני ולא בבית המשפט לענייני משפחה. מה עליו לעשות?</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להגיש לבית הדין תביעה בבודדת לפי סעיף 4 לחוק השיפוט</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לבקש מבית המשפט להעביר את הדיון לבית הדין מכוח סמכות אגבית</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אין לו כל דרך להביא את הנושא לבית הדין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להגיש תביעת גירושין ולכרוך בה במפורש את מזונות האישה (או להשיג את הסכמתה לפי סעיף 9)</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64 </w:t>
            </w:r>
            <w:r>
              <w:rPr>
                <w:rFonts w:ascii="Arial" w:hAnsi="Arial" w:cs="Arial" w:eastAsia="Arial"/>
                <w:sz w:val="20"/>
                <w:szCs w:val="20"/>
                <w:rtl/>
              </w:rPr>
              <w:t xml:space="preserve">  </w:t>
            </w:r>
            <w:r>
              <w:rPr>
                <w:rFonts w:ascii="Arial" w:hAnsi="Arial" w:cs="Arial" w:eastAsia="Arial"/>
                <w:b/>
                <w:bCs/>
                <w:color w:val="111827"/>
                <w:sz w:val="20"/>
                <w:szCs w:val="20"/>
                <w:rtl/>
              </w:rPr>
              <w:t>אסי ורותם, יהודים אזרחי פורטוגל שאינם אזרחי ישראל ואינם תושביה, נמצאים בישראל. אסי הגיש לבית הדין הרבני תביעת גירושין וכרך בה את מזונות רותם. רותם הגישה אף היא תביעת גירושין לבית הדין, אך לא כרכה דבר וביקשה שהמזונות יידונו בחו״ל. מה יעשה בית הדין?</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ידון בגירושין ובמזונות, משום שאסי הקדים וכרך כדין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ידון בגירושין מכוח הסכמת שני הצדדים, אך לא במזונות – אין כריכה כאשר תנאי סעיף 1 אינם מתקיימים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יקבע שאין לו סמכות לדון גם בגירושין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ידון במזונות בלבד, מכוח סעיף 4</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65 </w:t>
            </w:r>
            <w:r>
              <w:rPr>
                <w:rFonts w:ascii="Arial" w:hAnsi="Arial" w:cs="Arial" w:eastAsia="Arial"/>
                <w:sz w:val="20"/>
                <w:szCs w:val="20"/>
                <w:rtl/>
              </w:rPr>
              <w:t xml:space="preserve">  </w:t>
            </w:r>
            <w:r>
              <w:rPr>
                <w:rFonts w:ascii="Arial" w:hAnsi="Arial" w:cs="Arial" w:eastAsia="Arial"/>
                <w:b/>
                <w:bCs/>
                <w:color w:val="111827"/>
                <w:sz w:val="20"/>
                <w:szCs w:val="20"/>
                <w:rtl/>
              </w:rPr>
              <w:t>האם בעל יכול להביא את ענייני הרכוש לבית הדין הרבני אף שלא הגיש בעצמו תביעת גירושין?</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כן – אם האישה הגישה תביעת גירושין, גם הנתבע רשאי לכרוך אליה את הרכוש</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לא – רק מי שהגיש את תביעת הגירושין רשאי לכרוך</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כן – בהסכמת שני הצדדים לפי סעיף 9</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כן – אך רק אם הרכוש רשום על שמו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66 </w:t>
            </w:r>
            <w:r>
              <w:rPr>
                <w:rFonts w:ascii="Arial" w:hAnsi="Arial" w:cs="Arial" w:eastAsia="Arial"/>
                <w:sz w:val="20"/>
                <w:szCs w:val="20"/>
                <w:rtl/>
              </w:rPr>
              <w:t xml:space="preserve">  </w:t>
            </w:r>
            <w:r>
              <w:rPr>
                <w:rFonts w:ascii="Arial" w:hAnsi="Arial" w:cs="Arial" w:eastAsia="Arial"/>
                <w:b/>
                <w:bCs/>
                <w:color w:val="111827"/>
                <w:sz w:val="20"/>
                <w:szCs w:val="20"/>
                <w:rtl/>
              </w:rPr>
              <w:t>אישה מעוניינת שבית הדין הרבני ידון בשאלת מסגרת החינוך של ילדיה, אך אינה רוצה להגיש תביעת גירושין. היא שוקלת להגיש תביעת שלום בית ולכרוך אליה את נושא החינוך. מה הדין לפי תשובת המרצה?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הדבר אפשרי, משום ששלום בית הוא מענייני הנישואין שבסמכות בית הדין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לא ניתן לכרוך לתביעת שלום בית אלא רק לתביעת גירושין, משום שצריך להראות שרוצים להתגרש</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הדבר אפשרי רק אם הבעל אינו מתנגד בדיון הראשון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הדבר אפשרי בכפוף למבחן המשולש</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67 </w:t>
            </w:r>
            <w:r>
              <w:rPr>
                <w:rFonts w:ascii="Arial" w:hAnsi="Arial" w:cs="Arial" w:eastAsia="Arial"/>
                <w:sz w:val="20"/>
                <w:szCs w:val="20"/>
                <w:rtl/>
              </w:rPr>
              <w:t xml:space="preserve">  </w:t>
            </w:r>
            <w:r>
              <w:rPr>
                <w:rFonts w:ascii="Arial" w:hAnsi="Arial" w:cs="Arial" w:eastAsia="Arial"/>
                <w:b/>
                <w:bCs/>
                <w:color w:val="111827"/>
                <w:sz w:val="20"/>
                <w:szCs w:val="20"/>
                <w:rtl/>
              </w:rPr>
              <w:t>איזה מהנושאים הבאים נכרך אוטומטית, מעצם הגשת תביעת הגירושין, גם בלי שנכתב דבר בכתב התביעה?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מזונות אישה</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חינוך הילדים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החזקת הילדים (משמורת פיזית)</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חלוקת הרכוש</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68 </w:t>
            </w:r>
            <w:r>
              <w:rPr>
                <w:rFonts w:ascii="Arial" w:hAnsi="Arial" w:cs="Arial" w:eastAsia="Arial"/>
                <w:sz w:val="20"/>
                <w:szCs w:val="20"/>
                <w:rtl/>
              </w:rPr>
              <w:t xml:space="preserve">  </w:t>
            </w:r>
            <w:r>
              <w:rPr>
                <w:rFonts w:ascii="Arial" w:hAnsi="Arial" w:cs="Arial" w:eastAsia="Arial"/>
                <w:b/>
                <w:bCs/>
                <w:color w:val="111827"/>
                <w:sz w:val="20"/>
                <w:szCs w:val="20"/>
                <w:rtl/>
              </w:rPr>
              <w:t>האם הגישה לבית המשפט לענייני משפחה תביעה להחזקת הילדים. שבועיים לאחר מכן הגיש האב לבית הדין הרבני תביעת גירושין כנה. היכן תידון החזקת הילדים?</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בבית הדין, משום שהחזקת ילדים נכרכת אוטומטית בתביעת הגירושין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בבית הדין, ובלבד שתביעת הגירושין עומדת במבחן המשולש</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בערכאה שיקבע בית הדין הרבני הגדול</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בבית המשפט לענייני משפחה, משום שהנושא נתפס שם קודם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69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דן בהחזקת ילדים שנכרכה בתביעת גירושין. לפי איזה דין יכריע?</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לפי דין תורה, מכוח סעיף 2 לחוק השיפוט</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לפי הדין האישי, משום שאפוטרופסות היא מענייני המעמד האישי שבסימן 51</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לפי הכלל ״הדין הולך אחר הדיין״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לפי הדין האזרחי, מכוח סעיף 79 לחוק הכשרות המשפטית והאפוטרופסות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70 </w:t>
            </w:r>
            <w:r>
              <w:rPr>
                <w:rFonts w:ascii="Arial" w:hAnsi="Arial" w:cs="Arial" w:eastAsia="Arial"/>
                <w:sz w:val="20"/>
                <w:szCs w:val="20"/>
                <w:rtl/>
              </w:rPr>
              <w:t xml:space="preserve">  </w:t>
            </w:r>
            <w:r>
              <w:rPr>
                <w:rFonts w:ascii="Arial" w:hAnsi="Arial" w:cs="Arial" w:eastAsia="Arial"/>
                <w:b/>
                <w:bCs/>
                <w:color w:val="111827"/>
                <w:sz w:val="20"/>
                <w:szCs w:val="20"/>
                <w:rtl/>
              </w:rPr>
              <w:t>מה נקבע בפסק דין שרגאי בעניין כריכת מזונות ילדים?</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שבית הדין מוסמך לדון בכל סוגי מזונות הילדים שנכרכו</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שמזונות ילדים מצויים בסמכות ייחודית של בית המשפט, גם בהסכמת הצדדים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שרק מזונות מסוג השבה ניתנים לכריכה, ואילו מזונות לעתיד הם זכות עצמאית של הילד שאינה נכרכת</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שכל תביעת מזונות תהיה כרוכה בתביעת הגירושין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71 </w:t>
            </w:r>
            <w:r>
              <w:rPr>
                <w:rFonts w:ascii="Arial" w:hAnsi="Arial" w:cs="Arial" w:eastAsia="Arial"/>
                <w:sz w:val="20"/>
                <w:szCs w:val="20"/>
                <w:rtl/>
              </w:rPr>
              <w:t xml:space="preserve">  </w:t>
            </w:r>
            <w:r>
              <w:rPr>
                <w:rFonts w:ascii="Arial" w:hAnsi="Arial" w:cs="Arial" w:eastAsia="Arial"/>
                <w:b/>
                <w:bCs/>
                <w:color w:val="111827"/>
                <w:sz w:val="20"/>
                <w:szCs w:val="20"/>
                <w:rtl/>
              </w:rPr>
              <w:t>כיצד הצדיקו בתי הדין הרבניים את המשך קבלת כריכות של מזונות ילדים לעתיד, בניגוד להלכת שרגאי?</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בכך שהלכת שרגאי ניתנה לפני חקיקת חוק השיפוט</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בכך ששרגאי ניתן בערעור אזרחי ולא בבג״ץ, וסעיף 20 לחוק יסוד: השפיטה מחייב רק את בתי המשפט שמתחת לעליון</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בכך ששרגאי ניתן בדעת מיעוט</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בכך שהלכת שרגאי בוטלה בבע״מ 919/15</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72 </w:t>
            </w:r>
            <w:r>
              <w:rPr>
                <w:rFonts w:ascii="Arial" w:hAnsi="Arial" w:cs="Arial" w:eastAsia="Arial"/>
                <w:sz w:val="20"/>
                <w:szCs w:val="20"/>
                <w:rtl/>
              </w:rPr>
              <w:t xml:space="preserve">  </w:t>
            </w:r>
            <w:r>
              <w:rPr>
                <w:rFonts w:ascii="Arial" w:hAnsi="Arial" w:cs="Arial" w:eastAsia="Arial"/>
                <w:b/>
                <w:bCs/>
                <w:color w:val="111827"/>
                <w:sz w:val="20"/>
                <w:szCs w:val="20"/>
                <w:rtl/>
              </w:rPr>
              <w:t>לפי מה שנלמד בקורס (2026), מה מצב כריכת מזונות ילדים לתביעת גירושין כיום?</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מכוח הוראת שעה אפשר לכרוך את כל סוגי מזונות הילדים – עבר, השבה, עתיד ורפואה – והדין שיחול הוא הדין האישי</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אפשר לכרוך רק מזונות מסוג השבה</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לא ניתן לכרוך מזונות ילדים כלל, אלא רק להביאם בהסכמה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אפשר לכרוך את כל הסוגים, אך יחול עליהם הדין האזרחי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73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נישאו בנישואין אזרחיים בקפריסין. הבעל הגיש לבית הדין הרבני תביעת גירושין וכרך בה את מזונות האישה. לפי מה שנלמד בתרגולים, מה דין הכריכה?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הכריכה תקפה, משום שהגירושין בסמכות ייחודית של בית הדין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הכריכה אינה כנה – בית הדין לא יפסוק מזונות אישה לאישה שנישאה אזרחית, והכריכה נועדה לחסום את מזונותיה</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אין לבית הדין סמכות לדון אף בתביעת הגירושין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הכריכה תקפה, ובית הדין יפסוק מזונות לפי הדין האזרחי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74 </w:t>
            </w:r>
            <w:r>
              <w:rPr>
                <w:rFonts w:ascii="Arial" w:hAnsi="Arial" w:cs="Arial" w:eastAsia="Arial"/>
                <w:sz w:val="20"/>
                <w:szCs w:val="20"/>
                <w:rtl/>
              </w:rPr>
              <w:t xml:space="preserve">  </w:t>
            </w:r>
            <w:r>
              <w:rPr>
                <w:rFonts w:ascii="Arial" w:hAnsi="Arial" w:cs="Arial" w:eastAsia="Arial"/>
                <w:b/>
                <w:bCs/>
                <w:color w:val="111827"/>
                <w:sz w:val="20"/>
                <w:szCs w:val="20"/>
                <w:rtl/>
              </w:rPr>
              <w:t>האישה הגישה לבית המשפט לענייני משפחה תביעה להחזקת הילד. לאחר מכן הגיש הבעל לבית הדין הרבני תביעת גירושין וכרך בה במפורש את נושא חינוך הילד, בטענה שהאישה ״תפסה רק משמורת״. היכן יידון נושא החינוך?</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בבית הדין, משום שהבעל כרך את החינוך במפורש</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בבית הדין, משום שמשמורת וחינוך הם נושאים נפרדים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בערכאה שבה תתקבל ראשונה החלטה במבחן המשולש</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בבית המשפט, משום שתביעת משמורת בבית המשפט האזרחי כוללת מכללא גם את החינוך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75 </w:t>
            </w:r>
            <w:r>
              <w:rPr>
                <w:rFonts w:ascii="Arial" w:hAnsi="Arial" w:cs="Arial" w:eastAsia="Arial"/>
                <w:sz w:val="20"/>
                <w:szCs w:val="20"/>
                <w:rtl/>
              </w:rPr>
              <w:t xml:space="preserve">  </w:t>
            </w:r>
            <w:r>
              <w:rPr>
                <w:rFonts w:ascii="Arial" w:hAnsi="Arial" w:cs="Arial" w:eastAsia="Arial"/>
                <w:b/>
                <w:bCs/>
                <w:color w:val="111827"/>
                <w:sz w:val="20"/>
                <w:szCs w:val="20"/>
                <w:rtl/>
              </w:rPr>
              <w:t>אישה יהודייה, נשואה כדת משה וישראל, הגישה תביעת מזונות אישה לבית המשפט לענייני משפחה. איזה דין יחול?</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הדין האישי, משום שסעיף 2(א) לחוק לתיקון דיני המשפחה (מזונות) מפנה לדין האישי</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הדין האזרחי, משום שהדין הולך אחר הדיין</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הדין שתבחר האישה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הדין האישי, אך רק אם הבעל הסכים לכך בכתב לפני בית המשפט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76 </w:t>
            </w:r>
            <w:r>
              <w:rPr>
                <w:rFonts w:ascii="Arial" w:hAnsi="Arial" w:cs="Arial" w:eastAsia="Arial"/>
                <w:sz w:val="20"/>
                <w:szCs w:val="20"/>
                <w:rtl/>
              </w:rPr>
              <w:t xml:space="preserve">  </w:t>
            </w:r>
            <w:r>
              <w:rPr>
                <w:rFonts w:ascii="Arial" w:hAnsi="Arial" w:cs="Arial" w:eastAsia="Arial"/>
                <w:b/>
                <w:bCs/>
                <w:color w:val="111827"/>
                <w:sz w:val="20"/>
                <w:szCs w:val="20"/>
                <w:rtl/>
              </w:rPr>
              <w:t>תביעת גירושין הוגשה לבית הדין וכרכה בה כדין חלוקת הרכוש. איזו מהטענות הבאות נכונה?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בית הדין יחלק את הרכוש לפי הדין הדתי, משום שהדין הולך אחר הדיין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ניתן היה להביא את הרכוש לבית הדין גם בהסכמה בלבד לפי סעיף 9</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הדין שיחול הוא הדין האזרחי, אלא אם הצדדים הסכימו במפורש לדין דתי לפי סעיף 13(ב) לחוק יחסי ממון</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יש לכרוך במפורש גם את הכתובה, אחרת לא תידון בבית הדין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77 </w:t>
            </w:r>
            <w:r>
              <w:rPr>
                <w:rFonts w:ascii="Arial" w:hAnsi="Arial" w:cs="Arial" w:eastAsia="Arial"/>
                <w:sz w:val="20"/>
                <w:szCs w:val="20"/>
                <w:rtl/>
              </w:rPr>
              <w:t xml:space="preserve">  </w:t>
            </w:r>
            <w:r>
              <w:rPr>
                <w:rFonts w:ascii="Arial" w:hAnsi="Arial" w:cs="Arial" w:eastAsia="Arial"/>
                <w:b/>
                <w:bCs/>
                <w:color w:val="111827"/>
                <w:sz w:val="20"/>
                <w:szCs w:val="20"/>
                <w:rtl/>
              </w:rPr>
              <w:t>מה נקבע בבג״ץ 8533/13 בעניין ברית המילה?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ניתן לכרוך את נושא ברית המילה, והדין שיחול הוא דין דתי</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פה אחד נקבע שלא ניתן לכרוך את הנושא</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ברוב של 6 נגד 1 (השופט רובינשטיין במיעוט) נקבע שלא ניתן לכרוך את הנושא, ורק בית המשפט האזרחי מוסמך לדון בו</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ניתן לכרוך את הנושא רק בהסכמת האם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78 </w:t>
            </w:r>
            <w:r>
              <w:rPr>
                <w:rFonts w:ascii="Arial" w:hAnsi="Arial" w:cs="Arial" w:eastAsia="Arial"/>
                <w:sz w:val="20"/>
                <w:szCs w:val="20"/>
                <w:rtl/>
              </w:rPr>
              <w:t xml:space="preserve">  </w:t>
            </w:r>
            <w:r>
              <w:rPr>
                <w:rFonts w:ascii="Arial" w:hAnsi="Arial" w:cs="Arial" w:eastAsia="Arial"/>
                <w:b/>
                <w:bCs/>
                <w:color w:val="111827"/>
                <w:sz w:val="20"/>
                <w:szCs w:val="20"/>
                <w:rtl/>
              </w:rPr>
              <w:t>המבחן המשולש שנקבע בבג״ץ גבעולי לבחינת כריכה כולל:</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תביעת גירושין כנה, כריכה כדין וכריכה כנה – שלושה מבחנים מצטברים</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יהדות הצדדים, הימצאותם בישראל ואזרחות או תושבות</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תביעת גירושין כנה, כריכה כדין וכריכה כנה – שלושה מבחנים חלופיים</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תביעת גירושין כנה, הסכמת הצד השני והיעדר פיצול תביעות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79 </w:t>
            </w:r>
            <w:r>
              <w:rPr>
                <w:rFonts w:ascii="Arial" w:hAnsi="Arial" w:cs="Arial" w:eastAsia="Arial"/>
                <w:sz w:val="20"/>
                <w:szCs w:val="20"/>
                <w:rtl/>
              </w:rPr>
              <w:t xml:space="preserve">  </w:t>
            </w:r>
            <w:r>
              <w:rPr>
                <w:rFonts w:ascii="Arial" w:hAnsi="Arial" w:cs="Arial" w:eastAsia="Arial"/>
                <w:b/>
                <w:bCs/>
                <w:color w:val="111827"/>
                <w:sz w:val="20"/>
                <w:szCs w:val="20"/>
                <w:rtl/>
              </w:rPr>
              <w:t>באיזה מהמקרים הבאים סביר ביותר שייקבע שתביעת הגירושין אינה כנה?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הבעל כרך את מזונות האישה וצירף תלושי שכר ומסמכים</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הבעל הגיש תביעת גירושין לאחר שהאישה עזבה את הבית</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הבעל כרך לתביעת הגירושין את כל הנושאים שבמחלוקת</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הבעל הגיש את התביעה באמצע טיפול זוגי, ימים ספורים לאחר שערך לאשתו מסיבת יום הולדת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80 </w:t>
            </w:r>
            <w:r>
              <w:rPr>
                <w:rFonts w:ascii="Arial" w:hAnsi="Arial" w:cs="Arial" w:eastAsia="Arial"/>
                <w:sz w:val="20"/>
                <w:szCs w:val="20"/>
                <w:rtl/>
              </w:rPr>
              <w:t xml:space="preserve">  </w:t>
            </w:r>
            <w:r>
              <w:rPr>
                <w:rFonts w:ascii="Arial" w:hAnsi="Arial" w:cs="Arial" w:eastAsia="Arial"/>
                <w:b/>
                <w:bCs/>
                <w:color w:val="111827"/>
                <w:sz w:val="20"/>
                <w:szCs w:val="20"/>
                <w:rtl/>
              </w:rPr>
              <w:t>ספי הגיש כדין תביעת גירושין לבית הדין וכרך בה את הרכוש המשותף. לפני שבית הדין דן בתיק, הגישה ליאור תביעת רכוש לבית המשפט וטענה שהכריכה אינה כנה. על מי מוטל הנטל בשאלת כנות הכריכה?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על ליאור, משום שהיא הטוענת נגד כריכה שנעשתה כדין</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על ספי, משום שלפי בג״ץ גבעולי הנטל מוטל על הכורך</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על שניהם בחלקים שווים</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אין נטל, משום שבית המשפט מנוע מלדון בשאלה לאחר שבית הדין קנה סמכות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81 </w:t>
            </w:r>
            <w:r>
              <w:rPr>
                <w:rFonts w:ascii="Arial" w:hAnsi="Arial" w:cs="Arial" w:eastAsia="Arial"/>
                <w:sz w:val="20"/>
                <w:szCs w:val="20"/>
                <w:rtl/>
              </w:rPr>
              <w:t xml:space="preserve">  </w:t>
            </w:r>
            <w:r>
              <w:rPr>
                <w:rFonts w:ascii="Arial" w:hAnsi="Arial" w:cs="Arial" w:eastAsia="Arial"/>
                <w:b/>
                <w:bCs/>
                <w:color w:val="111827"/>
                <w:sz w:val="20"/>
                <w:szCs w:val="20"/>
                <w:rtl/>
              </w:rPr>
              <w:t>מה בודקים במבחן המשולש לגבי החזקת הילדים, שנכרכה בתביעת הגירושין?</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רק שתביעת הגירושין עצמה כנה</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את שלושת המבחנים במלואם</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רק שהכריכה נעשתה כדין, באופן מפורט ומפורש</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דבר – החזקת ילדים פטורה לחלוטין מהמבחן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82 </w:t>
            </w:r>
            <w:r>
              <w:rPr>
                <w:rFonts w:ascii="Arial" w:hAnsi="Arial" w:cs="Arial" w:eastAsia="Arial"/>
                <w:sz w:val="20"/>
                <w:szCs w:val="20"/>
                <w:rtl/>
              </w:rPr>
              <w:t xml:space="preserve">  </w:t>
            </w:r>
            <w:r>
              <w:rPr>
                <w:rFonts w:ascii="Arial" w:hAnsi="Arial" w:cs="Arial" w:eastAsia="Arial"/>
                <w:b/>
                <w:bCs/>
                <w:color w:val="111827"/>
                <w:sz w:val="20"/>
                <w:szCs w:val="20"/>
                <w:rtl/>
              </w:rPr>
              <w:t>הוגשה תביעת גירושין כנה ונכרכו בה כמה נושאים. התברר שכריכת אחד הנושאים לא פורטה כנדרש. מה הדין לפי תשובת המרצה?</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כל הכריכות נופלות</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גם תביעת הגירושין נדחית</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לפגם אין כל משמעות, משום שתביעת הגירושין כנה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הגיוני שרק אותה כריכה תיפול ושאר הכריכות יעמדו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83 </w:t>
            </w:r>
            <w:r>
              <w:rPr>
                <w:rFonts w:ascii="Arial" w:hAnsi="Arial" w:cs="Arial" w:eastAsia="Arial"/>
                <w:sz w:val="20"/>
                <w:szCs w:val="20"/>
                <w:rtl/>
              </w:rPr>
              <w:t xml:space="preserve">  </w:t>
            </w:r>
            <w:r>
              <w:rPr>
                <w:rFonts w:ascii="Arial" w:hAnsi="Arial" w:cs="Arial" w:eastAsia="Arial"/>
                <w:b/>
                <w:bCs/>
                <w:color w:val="111827"/>
                <w:sz w:val="20"/>
                <w:szCs w:val="20"/>
                <w:rtl/>
              </w:rPr>
              <w:t>בית המשפט לענייני משפחה קבע ראשון, לאחר דיון ובהחלטה מנומקת, שכריכת הרכוש לתביעת הגירושין אינה כנה. לאחר מכן התבקש בית הדין הרבני לקבוע שהכריכה כנה. מה הדין לפי הלכת פלמן?</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בית הדין יכריע, משום שאליו הוגשה התביעה ראשונה</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בית הדין יכבד את החלטת בית המשפט, אלא אם יש טעם מיוחד להתערב בה</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רק בית הדין הרבני הגדול מוסמך להכריע בשאלה</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רק בג״ץ מוסמך להכריע בשאלה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CA8D4"/>
              <w:left w:val="single" w:sz="8" w:space="0" w:color="BCA8D4"/>
              <w:bottom w:val="single" w:sz="8" w:space="0" w:color="BCA8D4"/>
              <w:right w:val="single" w:sz="8" w:space="0" w:color="BCA8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6B3FA0"/>
              </w:rPr>
              <w:t xml:space="preserve"> 84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הלכת פלמן?</w:t>
            </w:r>
          </w:p>
          <w:p>
            <w:pPr>
              <w:bidi/>
              <w:spacing w:before="0" w:after="20" w:line="276" w:lineRule="auto"/>
              <w:ind w:right="400" w:hanging="300"/>
            </w:pPr>
            <w:r>
              <w:rPr>
                <w:rFonts w:ascii="Arial" w:hAnsi="Arial" w:cs="Arial" w:eastAsia="Arial"/>
                <w:b/>
                <w:bCs/>
                <w:color w:val="6B3FA0"/>
                <w:sz w:val="20"/>
                <w:szCs w:val="20"/>
                <w:rtl/>
              </w:rPr>
              <w:t xml:space="preserve">(א)  </w:t>
            </w:r>
            <w:r>
              <w:rPr>
                <w:rFonts w:ascii="Arial" w:hAnsi="Arial" w:cs="Arial" w:eastAsia="Arial"/>
                <w:color w:val="1F2430"/>
                <w:sz w:val="20"/>
                <w:szCs w:val="20"/>
                <w:rtl/>
              </w:rPr>
              <w:t>רק בית המשפט לענייני משפחה מוסמך להכריע אם הכריכה כנה</w:t>
            </w:r>
          </w:p>
          <w:p>
            <w:pPr>
              <w:bidi/>
              <w:spacing w:before="0" w:after="20" w:line="276" w:lineRule="auto"/>
              <w:ind w:right="400" w:hanging="300"/>
            </w:pPr>
            <w:r>
              <w:rPr>
                <w:rFonts w:ascii="Arial" w:hAnsi="Arial" w:cs="Arial" w:eastAsia="Arial"/>
                <w:b/>
                <w:bCs/>
                <w:color w:val="6B3FA0"/>
                <w:sz w:val="20"/>
                <w:szCs w:val="20"/>
                <w:rtl/>
              </w:rPr>
              <w:t xml:space="preserve">(ב)  </w:t>
            </w:r>
            <w:r>
              <w:rPr>
                <w:rFonts w:ascii="Arial" w:hAnsi="Arial" w:cs="Arial" w:eastAsia="Arial"/>
                <w:color w:val="1F2430"/>
                <w:sz w:val="20"/>
                <w:szCs w:val="20"/>
                <w:rtl/>
              </w:rPr>
              <w:t>הכלל מחייב רק את בית המשפט לכבד החלטות של בית הדין, ולא להיפך</w:t>
            </w:r>
          </w:p>
          <w:p>
            <w:pPr>
              <w:bidi/>
              <w:spacing w:before="0" w:after="20" w:line="276" w:lineRule="auto"/>
              <w:ind w:right="400" w:hanging="300"/>
            </w:pPr>
            <w:r>
              <w:rPr>
                <w:rFonts w:ascii="Arial" w:hAnsi="Arial" w:cs="Arial" w:eastAsia="Arial"/>
                <w:b/>
                <w:bCs/>
                <w:color w:val="6B3FA0"/>
                <w:sz w:val="20"/>
                <w:szCs w:val="20"/>
                <w:rtl/>
              </w:rPr>
              <w:t xml:space="preserve">(ג)  </w:t>
            </w:r>
            <w:r>
              <w:rPr>
                <w:rFonts w:ascii="Arial" w:hAnsi="Arial" w:cs="Arial" w:eastAsia="Arial"/>
                <w:color w:val="1F2430"/>
                <w:sz w:val="20"/>
                <w:szCs w:val="20"/>
                <w:rtl/>
              </w:rPr>
              <w:t>שתי הערכאות מוסמכות להכריע בהתקיימות תנאי הכריכה, ועיקרון הכיבוד ההדדי חל בשני הכיוונים</w:t>
            </w:r>
          </w:p>
          <w:p>
            <w:pPr>
              <w:bidi/>
              <w:spacing w:before="0" w:after="20" w:line="276" w:lineRule="auto"/>
              <w:ind w:right="400" w:hanging="300"/>
            </w:pPr>
            <w:r>
              <w:rPr>
                <w:rFonts w:ascii="Arial" w:hAnsi="Arial" w:cs="Arial" w:eastAsia="Arial"/>
                <w:b/>
                <w:bCs/>
                <w:color w:val="6B3FA0"/>
                <w:sz w:val="20"/>
                <w:szCs w:val="20"/>
                <w:rtl/>
              </w:rPr>
              <w:t xml:space="preserve">(ד)  </w:t>
            </w:r>
            <w:r>
              <w:rPr>
                <w:rFonts w:ascii="Arial" w:hAnsi="Arial" w:cs="Arial" w:eastAsia="Arial"/>
                <w:color w:val="1F2430"/>
                <w:sz w:val="20"/>
                <w:szCs w:val="20"/>
                <w:rtl/>
              </w:rPr>
              <w:t>שתי הערכאות מוסמכות להכריע גם בתביעת הגירושין עצמה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3</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57-ב</w:t>
      </w:r>
      <w:r>
        <w:rPr>
          <w:rFonts w:ascii="Arial" w:hAnsi="Arial" w:cs="Arial" w:eastAsia="Arial"/>
          <w:sz w:val="20"/>
          <w:szCs w:val="20"/>
          <w:rtl/>
        </w:rPr>
        <w:t xml:space="preserve">   </w:t>
      </w:r>
      <w:r>
        <w:rPr>
          <w:rFonts w:ascii="Arial" w:hAnsi="Arial" w:cs="Arial" w:eastAsia="Arial"/>
          <w:b/>
          <w:bCs/>
          <w:color w:val="1F2430"/>
          <w:sz w:val="20"/>
          <w:szCs w:val="20"/>
          <w:rtl/>
        </w:rPr>
        <w:t>58-ד</w:t>
      </w:r>
      <w:r>
        <w:rPr>
          <w:rFonts w:ascii="Arial" w:hAnsi="Arial" w:cs="Arial" w:eastAsia="Arial"/>
          <w:sz w:val="20"/>
          <w:szCs w:val="20"/>
          <w:rtl/>
        </w:rPr>
        <w:t xml:space="preserve">   </w:t>
      </w:r>
      <w:r>
        <w:rPr>
          <w:rFonts w:ascii="Arial" w:hAnsi="Arial" w:cs="Arial" w:eastAsia="Arial"/>
          <w:b/>
          <w:bCs/>
          <w:color w:val="1F2430"/>
          <w:sz w:val="20"/>
          <w:szCs w:val="20"/>
          <w:rtl/>
        </w:rPr>
        <w:t>59-א</w:t>
      </w:r>
      <w:r>
        <w:rPr>
          <w:rFonts w:ascii="Arial" w:hAnsi="Arial" w:cs="Arial" w:eastAsia="Arial"/>
          <w:sz w:val="20"/>
          <w:szCs w:val="20"/>
          <w:rtl/>
        </w:rPr>
        <w:t xml:space="preserve">   </w:t>
      </w:r>
      <w:r>
        <w:rPr>
          <w:rFonts w:ascii="Arial" w:hAnsi="Arial" w:cs="Arial" w:eastAsia="Arial"/>
          <w:b/>
          <w:bCs/>
          <w:color w:val="1F2430"/>
          <w:sz w:val="20"/>
          <w:szCs w:val="20"/>
          <w:rtl/>
        </w:rPr>
        <w:t>60-ג</w:t>
      </w:r>
      <w:r>
        <w:rPr>
          <w:rFonts w:ascii="Arial" w:hAnsi="Arial" w:cs="Arial" w:eastAsia="Arial"/>
          <w:sz w:val="20"/>
          <w:szCs w:val="20"/>
          <w:rtl/>
        </w:rPr>
        <w:t xml:space="preserve">   </w:t>
      </w:r>
      <w:r>
        <w:rPr>
          <w:rFonts w:ascii="Arial" w:hAnsi="Arial" w:cs="Arial" w:eastAsia="Arial"/>
          <w:b/>
          <w:bCs/>
          <w:color w:val="1F2430"/>
          <w:sz w:val="20"/>
          <w:szCs w:val="20"/>
          <w:rtl/>
        </w:rPr>
        <w:t>61-ג</w:t>
      </w:r>
      <w:r>
        <w:rPr>
          <w:rFonts w:ascii="Arial" w:hAnsi="Arial" w:cs="Arial" w:eastAsia="Arial"/>
          <w:sz w:val="20"/>
          <w:szCs w:val="20"/>
          <w:rtl/>
        </w:rPr>
        <w:t xml:space="preserve">   </w:t>
      </w:r>
      <w:r>
        <w:rPr>
          <w:rFonts w:ascii="Arial" w:hAnsi="Arial" w:cs="Arial" w:eastAsia="Arial"/>
          <w:b/>
          <w:bCs/>
          <w:color w:val="1F2430"/>
          <w:sz w:val="20"/>
          <w:szCs w:val="20"/>
          <w:rtl/>
        </w:rPr>
        <w:t>62-א</w:t>
      </w:r>
      <w:r>
        <w:rPr>
          <w:rFonts w:ascii="Arial" w:hAnsi="Arial" w:cs="Arial" w:eastAsia="Arial"/>
          <w:sz w:val="20"/>
          <w:szCs w:val="20"/>
          <w:rtl/>
        </w:rPr>
        <w:t xml:space="preserve">   </w:t>
      </w:r>
      <w:r>
        <w:rPr>
          <w:rFonts w:ascii="Arial" w:hAnsi="Arial" w:cs="Arial" w:eastAsia="Arial"/>
          <w:b/>
          <w:bCs/>
          <w:color w:val="1F2430"/>
          <w:sz w:val="20"/>
          <w:szCs w:val="20"/>
          <w:rtl/>
        </w:rPr>
        <w:t>63-ד</w:t>
      </w:r>
      <w:r>
        <w:rPr>
          <w:rFonts w:ascii="Arial" w:hAnsi="Arial" w:cs="Arial" w:eastAsia="Arial"/>
          <w:sz w:val="20"/>
          <w:szCs w:val="20"/>
          <w:rtl/>
        </w:rPr>
        <w:t xml:space="preserve">   </w:t>
      </w:r>
      <w:r>
        <w:rPr>
          <w:rFonts w:ascii="Arial" w:hAnsi="Arial" w:cs="Arial" w:eastAsia="Arial"/>
          <w:b/>
          <w:bCs/>
          <w:color w:val="1F2430"/>
          <w:sz w:val="20"/>
          <w:szCs w:val="20"/>
          <w:rtl/>
        </w:rPr>
        <w:t>64-ב</w:t>
      </w:r>
      <w:r>
        <w:rPr>
          <w:rFonts w:ascii="Arial" w:hAnsi="Arial" w:cs="Arial" w:eastAsia="Arial"/>
          <w:sz w:val="20"/>
          <w:szCs w:val="20"/>
          <w:rtl/>
        </w:rPr>
        <w:t xml:space="preserve">   </w:t>
      </w:r>
      <w:r>
        <w:rPr>
          <w:rFonts w:ascii="Arial" w:hAnsi="Arial" w:cs="Arial" w:eastAsia="Arial"/>
          <w:b/>
          <w:bCs/>
          <w:color w:val="1F2430"/>
          <w:sz w:val="20"/>
          <w:szCs w:val="20"/>
          <w:rtl/>
        </w:rPr>
        <w:t>65-א</w:t>
      </w:r>
      <w:r>
        <w:rPr>
          <w:rFonts w:ascii="Arial" w:hAnsi="Arial" w:cs="Arial" w:eastAsia="Arial"/>
          <w:sz w:val="20"/>
          <w:szCs w:val="20"/>
          <w:rtl/>
        </w:rPr>
        <w:t xml:space="preserve">   </w:t>
      </w:r>
      <w:r>
        <w:rPr>
          <w:rFonts w:ascii="Arial" w:hAnsi="Arial" w:cs="Arial" w:eastAsia="Arial"/>
          <w:b/>
          <w:bCs/>
          <w:color w:val="1F2430"/>
          <w:sz w:val="20"/>
          <w:szCs w:val="20"/>
          <w:rtl/>
        </w:rPr>
        <w:t>66-ב</w:t>
      </w:r>
      <w:r>
        <w:rPr>
          <w:rFonts w:ascii="Arial" w:hAnsi="Arial" w:cs="Arial" w:eastAsia="Arial"/>
          <w:sz w:val="20"/>
          <w:szCs w:val="20"/>
          <w:rtl/>
        </w:rPr>
        <w:t xml:space="preserve">   </w:t>
      </w:r>
      <w:r>
        <w:rPr>
          <w:rFonts w:ascii="Arial" w:hAnsi="Arial" w:cs="Arial" w:eastAsia="Arial"/>
          <w:b/>
          <w:bCs/>
          <w:color w:val="1F2430"/>
          <w:sz w:val="20"/>
          <w:szCs w:val="20"/>
          <w:rtl/>
        </w:rPr>
        <w:t>67-ג</w:t>
      </w:r>
      <w:r>
        <w:rPr>
          <w:rFonts w:ascii="Arial" w:hAnsi="Arial" w:cs="Arial" w:eastAsia="Arial"/>
          <w:sz w:val="20"/>
          <w:szCs w:val="20"/>
          <w:rtl/>
        </w:rPr>
        <w:t xml:space="preserve">   </w:t>
      </w:r>
      <w:r>
        <w:rPr>
          <w:rFonts w:ascii="Arial" w:hAnsi="Arial" w:cs="Arial" w:eastAsia="Arial"/>
          <w:b/>
          <w:bCs/>
          <w:color w:val="1F2430"/>
          <w:sz w:val="20"/>
          <w:szCs w:val="20"/>
          <w:rtl/>
        </w:rPr>
        <w:t>68-ד</w:t>
      </w:r>
      <w:r>
        <w:rPr>
          <w:rFonts w:ascii="Arial" w:hAnsi="Arial" w:cs="Arial" w:eastAsia="Arial"/>
          <w:sz w:val="20"/>
          <w:szCs w:val="20"/>
          <w:rtl/>
        </w:rPr>
        <w:t xml:space="preserve">   </w:t>
      </w:r>
      <w:r>
        <w:rPr>
          <w:rFonts w:ascii="Arial" w:hAnsi="Arial" w:cs="Arial" w:eastAsia="Arial"/>
          <w:b/>
          <w:bCs/>
          <w:color w:val="1F2430"/>
          <w:sz w:val="20"/>
          <w:szCs w:val="20"/>
          <w:rtl/>
        </w:rPr>
        <w:t>69-ד</w:t>
      </w:r>
      <w:r>
        <w:rPr>
          <w:rFonts w:ascii="Arial" w:hAnsi="Arial" w:cs="Arial" w:eastAsia="Arial"/>
          <w:sz w:val="20"/>
          <w:szCs w:val="20"/>
          <w:rtl/>
        </w:rPr>
        <w:t xml:space="preserve">   </w:t>
      </w:r>
      <w:r>
        <w:rPr>
          <w:rFonts w:ascii="Arial" w:hAnsi="Arial" w:cs="Arial" w:eastAsia="Arial"/>
          <w:b/>
          <w:bCs/>
          <w:color w:val="1F2430"/>
          <w:sz w:val="20"/>
          <w:szCs w:val="20"/>
          <w:rtl/>
        </w:rPr>
        <w:t>70-ג</w:t>
      </w:r>
      <w:r>
        <w:rPr>
          <w:rFonts w:ascii="Arial" w:hAnsi="Arial" w:cs="Arial" w:eastAsia="Arial"/>
          <w:sz w:val="20"/>
          <w:szCs w:val="20"/>
          <w:rtl/>
        </w:rPr>
        <w:t xml:space="preserve">   </w:t>
      </w:r>
      <w:r>
        <w:rPr>
          <w:rFonts w:ascii="Arial" w:hAnsi="Arial" w:cs="Arial" w:eastAsia="Arial"/>
          <w:b/>
          <w:bCs/>
          <w:color w:val="1F2430"/>
          <w:sz w:val="20"/>
          <w:szCs w:val="20"/>
          <w:rtl/>
        </w:rPr>
        <w:t>71-ב</w:t>
      </w:r>
      <w:r>
        <w:rPr>
          <w:rFonts w:ascii="Arial" w:hAnsi="Arial" w:cs="Arial" w:eastAsia="Arial"/>
          <w:sz w:val="20"/>
          <w:szCs w:val="20"/>
          <w:rtl/>
        </w:rPr>
        <w:t xml:space="preserve">   </w:t>
      </w:r>
      <w:r>
        <w:rPr>
          <w:rFonts w:ascii="Arial" w:hAnsi="Arial" w:cs="Arial" w:eastAsia="Arial"/>
          <w:b/>
          <w:bCs/>
          <w:color w:val="1F2430"/>
          <w:sz w:val="20"/>
          <w:szCs w:val="20"/>
          <w:rtl/>
        </w:rPr>
        <w:t>72-א</w:t>
      </w:r>
      <w:r>
        <w:rPr>
          <w:rFonts w:ascii="Arial" w:hAnsi="Arial" w:cs="Arial" w:eastAsia="Arial"/>
          <w:sz w:val="20"/>
          <w:szCs w:val="20"/>
          <w:rtl/>
        </w:rPr>
        <w:t xml:space="preserve">   </w:t>
      </w:r>
      <w:r>
        <w:rPr>
          <w:rFonts w:ascii="Arial" w:hAnsi="Arial" w:cs="Arial" w:eastAsia="Arial"/>
          <w:b/>
          <w:bCs/>
          <w:color w:val="1F2430"/>
          <w:sz w:val="20"/>
          <w:szCs w:val="20"/>
          <w:rtl/>
        </w:rPr>
        <w:t>73-ב</w:t>
      </w:r>
      <w:r>
        <w:rPr>
          <w:rFonts w:ascii="Arial" w:hAnsi="Arial" w:cs="Arial" w:eastAsia="Arial"/>
          <w:sz w:val="20"/>
          <w:szCs w:val="20"/>
          <w:rtl/>
        </w:rPr>
        <w:t xml:space="preserve">   </w:t>
      </w:r>
      <w:r>
        <w:rPr>
          <w:rFonts w:ascii="Arial" w:hAnsi="Arial" w:cs="Arial" w:eastAsia="Arial"/>
          <w:b/>
          <w:bCs/>
          <w:color w:val="1F2430"/>
          <w:sz w:val="20"/>
          <w:szCs w:val="20"/>
          <w:rtl/>
        </w:rPr>
        <w:t>74-ד</w:t>
      </w:r>
      <w:r>
        <w:rPr>
          <w:rFonts w:ascii="Arial" w:hAnsi="Arial" w:cs="Arial" w:eastAsia="Arial"/>
          <w:sz w:val="20"/>
          <w:szCs w:val="20"/>
          <w:rtl/>
        </w:rPr>
        <w:t xml:space="preserve">   </w:t>
      </w:r>
      <w:r>
        <w:rPr>
          <w:rFonts w:ascii="Arial" w:hAnsi="Arial" w:cs="Arial" w:eastAsia="Arial"/>
          <w:b/>
          <w:bCs/>
          <w:color w:val="1F2430"/>
          <w:sz w:val="20"/>
          <w:szCs w:val="20"/>
          <w:rtl/>
        </w:rPr>
        <w:t>75-א</w:t>
      </w:r>
      <w:r>
        <w:rPr>
          <w:rFonts w:ascii="Arial" w:hAnsi="Arial" w:cs="Arial" w:eastAsia="Arial"/>
          <w:sz w:val="20"/>
          <w:szCs w:val="20"/>
          <w:rtl/>
        </w:rPr>
        <w:t xml:space="preserve">   </w:t>
      </w:r>
      <w:r>
        <w:rPr>
          <w:rFonts w:ascii="Arial" w:hAnsi="Arial" w:cs="Arial" w:eastAsia="Arial"/>
          <w:b/>
          <w:bCs/>
          <w:color w:val="1F2430"/>
          <w:sz w:val="20"/>
          <w:szCs w:val="20"/>
          <w:rtl/>
        </w:rPr>
        <w:t>76-ג</w:t>
      </w:r>
      <w:r>
        <w:rPr>
          <w:rFonts w:ascii="Arial" w:hAnsi="Arial" w:cs="Arial" w:eastAsia="Arial"/>
          <w:sz w:val="20"/>
          <w:szCs w:val="20"/>
          <w:rtl/>
        </w:rPr>
        <w:t xml:space="preserve">   </w:t>
      </w:r>
      <w:r>
        <w:rPr>
          <w:rFonts w:ascii="Arial" w:hAnsi="Arial" w:cs="Arial" w:eastAsia="Arial"/>
          <w:b/>
          <w:bCs/>
          <w:color w:val="1F2430"/>
          <w:sz w:val="20"/>
          <w:szCs w:val="20"/>
          <w:rtl/>
        </w:rPr>
        <w:t>77-ג</w:t>
      </w:r>
      <w:r>
        <w:rPr>
          <w:rFonts w:ascii="Arial" w:hAnsi="Arial" w:cs="Arial" w:eastAsia="Arial"/>
          <w:sz w:val="20"/>
          <w:szCs w:val="20"/>
          <w:rtl/>
        </w:rPr>
        <w:t xml:space="preserve">   </w:t>
      </w:r>
      <w:r>
        <w:rPr>
          <w:rFonts w:ascii="Arial" w:hAnsi="Arial" w:cs="Arial" w:eastAsia="Arial"/>
          <w:b/>
          <w:bCs/>
          <w:color w:val="1F2430"/>
          <w:sz w:val="20"/>
          <w:szCs w:val="20"/>
          <w:rtl/>
        </w:rPr>
        <w:t>78-א</w:t>
      </w:r>
      <w:r>
        <w:rPr>
          <w:rFonts w:ascii="Arial" w:hAnsi="Arial" w:cs="Arial" w:eastAsia="Arial"/>
          <w:sz w:val="20"/>
          <w:szCs w:val="20"/>
          <w:rtl/>
        </w:rPr>
        <w:t xml:space="preserve">   </w:t>
      </w:r>
      <w:r>
        <w:rPr>
          <w:rFonts w:ascii="Arial" w:hAnsi="Arial" w:cs="Arial" w:eastAsia="Arial"/>
          <w:b/>
          <w:bCs/>
          <w:color w:val="1F2430"/>
          <w:sz w:val="20"/>
          <w:szCs w:val="20"/>
          <w:rtl/>
        </w:rPr>
        <w:t>79-ד</w:t>
      </w:r>
      <w:r>
        <w:rPr>
          <w:rFonts w:ascii="Arial" w:hAnsi="Arial" w:cs="Arial" w:eastAsia="Arial"/>
          <w:sz w:val="20"/>
          <w:szCs w:val="20"/>
          <w:rtl/>
        </w:rPr>
        <w:t xml:space="preserve">   </w:t>
      </w:r>
      <w:r>
        <w:rPr>
          <w:rFonts w:ascii="Arial" w:hAnsi="Arial" w:cs="Arial" w:eastAsia="Arial"/>
          <w:b/>
          <w:bCs/>
          <w:color w:val="1F2430"/>
          <w:sz w:val="20"/>
          <w:szCs w:val="20"/>
          <w:rtl/>
        </w:rPr>
        <w:t>80-ב</w:t>
      </w:r>
      <w:r>
        <w:rPr>
          <w:rFonts w:ascii="Arial" w:hAnsi="Arial" w:cs="Arial" w:eastAsia="Arial"/>
          <w:sz w:val="20"/>
          <w:szCs w:val="20"/>
          <w:rtl/>
        </w:rPr>
        <w:t xml:space="preserve">   </w:t>
      </w:r>
      <w:r>
        <w:rPr>
          <w:rFonts w:ascii="Arial" w:hAnsi="Arial" w:cs="Arial" w:eastAsia="Arial"/>
          <w:b/>
          <w:bCs/>
          <w:color w:val="1F2430"/>
          <w:sz w:val="20"/>
          <w:szCs w:val="20"/>
          <w:rtl/>
        </w:rPr>
        <w:t>81-א</w:t>
      </w:r>
      <w:r>
        <w:rPr>
          <w:rFonts w:ascii="Arial" w:hAnsi="Arial" w:cs="Arial" w:eastAsia="Arial"/>
          <w:sz w:val="20"/>
          <w:szCs w:val="20"/>
          <w:rtl/>
        </w:rPr>
        <w:t xml:space="preserve">   </w:t>
      </w:r>
      <w:r>
        <w:rPr>
          <w:rFonts w:ascii="Arial" w:hAnsi="Arial" w:cs="Arial" w:eastAsia="Arial"/>
          <w:b/>
          <w:bCs/>
          <w:color w:val="1F2430"/>
          <w:sz w:val="20"/>
          <w:szCs w:val="20"/>
          <w:rtl/>
        </w:rPr>
        <w:t>82-ד</w:t>
      </w:r>
      <w:r>
        <w:rPr>
          <w:rFonts w:ascii="Arial" w:hAnsi="Arial" w:cs="Arial" w:eastAsia="Arial"/>
          <w:sz w:val="20"/>
          <w:szCs w:val="20"/>
          <w:rtl/>
        </w:rPr>
        <w:t xml:space="preserve">   </w:t>
      </w:r>
      <w:r>
        <w:rPr>
          <w:rFonts w:ascii="Arial" w:hAnsi="Arial" w:cs="Arial" w:eastAsia="Arial"/>
          <w:b/>
          <w:bCs/>
          <w:color w:val="1F2430"/>
          <w:sz w:val="20"/>
          <w:szCs w:val="20"/>
          <w:rtl/>
        </w:rPr>
        <w:t>83-ב</w:t>
      </w:r>
      <w:r>
        <w:rPr>
          <w:rFonts w:ascii="Arial" w:hAnsi="Arial" w:cs="Arial" w:eastAsia="Arial"/>
          <w:sz w:val="20"/>
          <w:szCs w:val="20"/>
          <w:rtl/>
        </w:rPr>
        <w:t xml:space="preserve">   </w:t>
      </w:r>
      <w:r>
        <w:rPr>
          <w:rFonts w:ascii="Arial" w:hAnsi="Arial" w:cs="Arial" w:eastAsia="Arial"/>
          <w:b/>
          <w:bCs/>
          <w:color w:val="1F2430"/>
          <w:sz w:val="20"/>
          <w:szCs w:val="20"/>
          <w:rtl/>
        </w:rPr>
        <w:t>84-ג</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57 — התשובה הנכונה: ב</w:t>
            </w:r>
          </w:p>
          <w:p>
            <w:pPr>
              <w:bidi/>
              <w:spacing w:before="0" w:after="0" w:line="288" w:lineRule="auto"/>
              <w:jc w:val="both"/>
            </w:pPr>
            <w:r>
              <w:rPr>
                <w:rFonts w:ascii="Arial" w:hAnsi="Arial" w:cs="Arial" w:eastAsia="Arial"/>
                <w:color w:val="1F2430"/>
                <w:sz w:val="19"/>
                <w:szCs w:val="19"/>
                <w:rtl/>
              </w:rPr>
              <w:t>בסמכות מקבילה הראשון זוכה, אבל בבית הדין יש מסננת נוספת – המבחן המשולש של בג״ץ גבעולי (תביעה כנה, כריכה כדין, כריכה כנה), והנטל על הכורך. לכן לא די בכך שמשה הגיש ראשון. התשובה הראשונה שגויה כי הסמכות המקבילה אינה מונעת תפיסה ייחודית בכריכה תקינה.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58 — התשובה הנכונה: ד</w:t>
            </w:r>
          </w:p>
          <w:p>
            <w:pPr>
              <w:bidi/>
              <w:spacing w:before="0" w:after="0" w:line="288" w:lineRule="auto"/>
              <w:jc w:val="both"/>
            </w:pPr>
            <w:r>
              <w:rPr>
                <w:rFonts w:ascii="Arial" w:hAnsi="Arial" w:cs="Arial" w:eastAsia="Arial"/>
                <w:color w:val="1F2430"/>
                <w:sz w:val="19"/>
                <w:szCs w:val="19"/>
                <w:rtl/>
              </w:rPr>
              <w:t>לפי סעיף 4 לחוק להסדר התדיינויות בסכסוכי משפחה, מי שהגיש ראשון את הבקשה ליישוב סכסוך רשאי להגיש בתוך 15 ימים תובענה לכל ערכאה מוסמכת; רק בנושאים שלא הגיש בהם רשאי הצד האחר להגיש. כך המירוץ הוקדם לשלב הבקשה. התשובה השנייה שגויה – הוא רשאי לבחור כל ערכאה מוסמכת.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59 — התשובה הנכונה: א</w:t>
            </w:r>
          </w:p>
          <w:p>
            <w:pPr>
              <w:bidi/>
              <w:spacing w:before="0" w:after="0" w:line="288" w:lineRule="auto"/>
              <w:jc w:val="both"/>
            </w:pPr>
            <w:r>
              <w:rPr>
                <w:rFonts w:ascii="Arial" w:hAnsi="Arial" w:cs="Arial" w:eastAsia="Arial"/>
                <w:color w:val="1F2430"/>
                <w:sz w:val="19"/>
                <w:szCs w:val="19"/>
                <w:rtl/>
              </w:rPr>
              <w:t>הסעיף פתוח רק לאישה יהודייה, נגד בעלה היהודי או עזבונו. בניגוד לסעיף 1 אין בו דרישת אזרחות, תושבות או נוכחות בישראל. התשובה השנייה שגויה – בעל יכול להביא מזונות אישה לבית הדין רק בכריכה לגירושין (או בהסכמה).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60 — התשובה הנכונה: ג</w:t>
            </w:r>
          </w:p>
          <w:p>
            <w:pPr>
              <w:bidi/>
              <w:spacing w:before="0" w:after="0" w:line="288" w:lineRule="auto"/>
              <w:jc w:val="both"/>
            </w:pPr>
            <w:r>
              <w:rPr>
                <w:rFonts w:ascii="Arial" w:hAnsi="Arial" w:cs="Arial" w:eastAsia="Arial"/>
                <w:color w:val="1F2430"/>
                <w:sz w:val="19"/>
                <w:szCs w:val="19"/>
                <w:rtl/>
              </w:rPr>
              <w:t>אחד מארבעת ההבדלים בין סעיף 1 לסעיף 4: סעיף 4 יוצר סמכות מקבילה ולא ייחודית. הוא חל דווקא על תביעה שלא אגב גירושין ואינו דורש אזרחות, תושבות או נוכחות. התשובה הראשונה שגויה – סמכות ייחודית יש רק בסעיף 1 ובכריכה תקינה.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61 — התשובה הנכונה: ג</w:t>
            </w:r>
          </w:p>
          <w:p>
            <w:pPr>
              <w:bidi/>
              <w:spacing w:before="0" w:after="0" w:line="288" w:lineRule="auto"/>
              <w:jc w:val="both"/>
            </w:pPr>
            <w:r>
              <w:rPr>
                <w:rFonts w:ascii="Arial" w:hAnsi="Arial" w:cs="Arial" w:eastAsia="Arial"/>
                <w:color w:val="1F2430"/>
                <w:sz w:val="19"/>
                <w:szCs w:val="19"/>
                <w:rtl/>
              </w:rPr>
              <w:t>בבג״ץ קנול קבע השופט זילברג שלא הגיוני לפתוח את השער לכל אישה יהודייה בעולם, ולכן נדרשת זיקה מסוימת (לא ממשית) לישראל; שם הספיקו נישואין כדמו״י. ההלכה חזרה בגולדנברג. התשובה הראשונה שגויה – הדברים בסבג הם אמרת אגב שאינה מחייבת.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62 — התשובה הנכונה: א</w:t>
            </w:r>
          </w:p>
          <w:p>
            <w:pPr>
              <w:bidi/>
              <w:spacing w:before="0" w:after="0" w:line="288" w:lineRule="auto"/>
              <w:jc w:val="both"/>
            </w:pPr>
            <w:r>
              <w:rPr>
                <w:rFonts w:ascii="Arial" w:hAnsi="Arial" w:cs="Arial" w:eastAsia="Arial"/>
                <w:color w:val="1F2430"/>
                <w:sz w:val="19"/>
                <w:szCs w:val="19"/>
                <w:rtl/>
              </w:rPr>
              <w:t>לפי אמרת האגב, המחוקק כתב את תנאי סעיף 1 כמעין כותרת לחוק כולו ולכן הם חלים גם על סעיף 4. מאחר שזו אמרת אגב היא אינה מחייבת, וההלכה המחייבת היא דרישת הזיקה המסוימת מקנול. התשובה השנייה שגויה – לא נדרשת זיקה ממשית.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63 — התשובה הנכונה: ד</w:t>
            </w:r>
          </w:p>
          <w:p>
            <w:pPr>
              <w:bidi/>
              <w:spacing w:before="0" w:after="0" w:line="288" w:lineRule="auto"/>
              <w:jc w:val="both"/>
            </w:pPr>
            <w:r>
              <w:rPr>
                <w:rFonts w:ascii="Arial" w:hAnsi="Arial" w:cs="Arial" w:eastAsia="Arial"/>
                <w:color w:val="1F2430"/>
                <w:sz w:val="19"/>
                <w:szCs w:val="19"/>
                <w:rtl/>
              </w:rPr>
              <w:t>סעיף 4 פתוח רק לאישה. הבעל יכול להביא את מזונות האישה לבית הדין רק בכריכה מפורשת לתביעת גירושין לפי סעיף 3 (בכפוף למבחן המשולש ולכך שהנושא לא נתפס קודם), או בהסכמת שני הצדדים לפי סעיף 9. לכן בדרך כלל הבעל הוא שכורך מזונות אישה.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64 — התשובה הנכונה: ב</w:t>
            </w:r>
          </w:p>
          <w:p>
            <w:pPr>
              <w:bidi/>
              <w:spacing w:before="0" w:after="0" w:line="288" w:lineRule="auto"/>
              <w:jc w:val="both"/>
            </w:pPr>
            <w:r>
              <w:rPr>
                <w:rFonts w:ascii="Arial" w:hAnsi="Arial" w:cs="Arial" w:eastAsia="Arial"/>
                <w:color w:val="1F2430"/>
                <w:sz w:val="19"/>
                <w:szCs w:val="19"/>
                <w:rtl/>
              </w:rPr>
              <w:t>כריכה היא סמכות משנית שנשענת על סמכות לפי סעיף 1; כאן הצדדים אינם אזרחים או תושבים ולכן אי אפשר לכרוך. הגירושין יכולים להידון מכוח הסכמת שניהם (שניהם הגישו תביעת גירושין), אך במזונות רק אחד מסכים. התשובה הראשונה שגויה – קודם סעיף 1, אחר כך סעיף 3.</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65 — התשובה הנכונה: א</w:t>
            </w:r>
          </w:p>
          <w:p>
            <w:pPr>
              <w:bidi/>
              <w:spacing w:before="0" w:after="0" w:line="288" w:lineRule="auto"/>
              <w:jc w:val="both"/>
            </w:pPr>
            <w:r>
              <w:rPr>
                <w:rFonts w:ascii="Arial" w:hAnsi="Arial" w:cs="Arial" w:eastAsia="Arial"/>
                <w:color w:val="1F2430"/>
                <w:sz w:val="19"/>
                <w:szCs w:val="19"/>
                <w:rtl/>
              </w:rPr>
              <w:t>סעיף 3 חל על תביעת גירושין שהוגשה אם על ידי האישה ואם על ידי האיש, וגם הנתבע רשאי לכרוך, בכתב או בעל פה, כל עוד הנושא לא נתפס. התשובה השלישית שגויה – רכוש אינו עניין של מעמד אישי ולכן אינו נכנס לבית הדין בהסכמה לפי סעיף 9 (סימה אמיר).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66 — התשובה הנכונה: ב</w:t>
            </w:r>
          </w:p>
          <w:p>
            <w:pPr>
              <w:bidi/>
              <w:spacing w:before="0" w:after="0" w:line="288" w:lineRule="auto"/>
              <w:jc w:val="both"/>
            </w:pPr>
            <w:r>
              <w:rPr>
                <w:rFonts w:ascii="Arial" w:hAnsi="Arial" w:cs="Arial" w:eastAsia="Arial"/>
                <w:color w:val="1F2430"/>
                <w:sz w:val="19"/>
                <w:szCs w:val="19"/>
                <w:rtl/>
              </w:rPr>
              <w:t>הכריכה לפי סעיף 3 אפשרית רק לתביעת גירושין, ולפי המבחן המשולש יש להראות רצון אמיתי להתגרש. עם זאת, לפי תשובת המרצה אפוטרופסות כוללת חינוך, ולכן אפשר להביא את סכסוך החינוך בבודדת לבית הדין אם שני הצדדים מסכימים (סעיף 9).</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67 — התשובה הנכונה: ג</w:t>
            </w:r>
          </w:p>
          <w:p>
            <w:pPr>
              <w:bidi/>
              <w:spacing w:before="0" w:after="0" w:line="288" w:lineRule="auto"/>
              <w:jc w:val="both"/>
            </w:pPr>
            <w:r>
              <w:rPr>
                <w:rFonts w:ascii="Arial" w:hAnsi="Arial" w:cs="Arial" w:eastAsia="Arial"/>
                <w:color w:val="1F2430"/>
                <w:sz w:val="19"/>
                <w:szCs w:val="19"/>
                <w:rtl/>
              </w:rPr>
              <w:t>לפי בד״מ 1/60 וינטר נ' בארי, החזקת הילדים כרוכה מעצם טיבה וטבעה בתביעת הגירושין, והיא הנושא היחיד שנכרך אוטומטית. בבג״ץ רון הוסבר שזה נושא רגיש הדורש פתרון מיידי בצמוד לגירושין. חינוך, מזונות ורכוש מחייבים כריכה מפורשת.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68 — התשובה הנכונה: ד</w:t>
            </w:r>
          </w:p>
          <w:p>
            <w:pPr>
              <w:bidi/>
              <w:spacing w:before="0" w:after="0" w:line="288" w:lineRule="auto"/>
              <w:jc w:val="both"/>
            </w:pPr>
            <w:r>
              <w:rPr>
                <w:rFonts w:ascii="Arial" w:hAnsi="Arial" w:cs="Arial" w:eastAsia="Arial"/>
                <w:color w:val="1F2430"/>
                <w:sz w:val="19"/>
                <w:szCs w:val="19"/>
                <w:rtl/>
              </w:rPr>
              <w:t>הכריכה האוטומטית של וינטר נ' בארי מותנית בכך שתביעת הגירושין הוגשה ראשונה. אם תביעת משמורת הוגשה קודם לבית המשפט, הנושא נתפס שם ואינו עובר לבית הדין. התשובה הראשונה שגויה כי היא מתעלמת מתנאי הקדימות.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69 — התשובה הנכונה: ד</w:t>
            </w:r>
          </w:p>
          <w:p>
            <w:pPr>
              <w:bidi/>
              <w:spacing w:before="0" w:after="0" w:line="288" w:lineRule="auto"/>
              <w:jc w:val="both"/>
            </w:pPr>
            <w:r>
              <w:rPr>
                <w:rFonts w:ascii="Arial" w:hAnsi="Arial" w:cs="Arial" w:eastAsia="Arial"/>
                <w:color w:val="1F2430"/>
                <w:sz w:val="19"/>
                <w:szCs w:val="19"/>
                <w:rtl/>
              </w:rPr>
              <w:t>סעיף 79 קובע שמקום שבית דין דתי מוסמך לשפוט, יראו כל הוראה בחוק הכשרות שמדובר בה בבית משפט (פרט לסעיף 75) כאילו מדובר בבית דין דתי. לכן אפוטרופסות ומשמורת, אף שהן מענייני המעמד האישי לעניין הסמכות, כפופות לדין האזרחי גם בבית הדין. התשובה השנייה מבלבלת בין סמכות לבין ברירת 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70 — התשובה הנכונה: ג</w:t>
            </w:r>
          </w:p>
          <w:p>
            <w:pPr>
              <w:bidi/>
              <w:spacing w:before="0" w:after="0" w:line="288" w:lineRule="auto"/>
              <w:jc w:val="both"/>
            </w:pPr>
            <w:r>
              <w:rPr>
                <w:rFonts w:ascii="Arial" w:hAnsi="Arial" w:cs="Arial" w:eastAsia="Arial"/>
                <w:color w:val="1F2430"/>
                <w:sz w:val="19"/>
                <w:szCs w:val="19"/>
                <w:rtl/>
              </w:rPr>
              <w:t>שרגאי פירש את המילים ״לרבות מזונות... לילדי הזוג״ בסעיף 3 כמכוונות להשבה – החזר הוצאות עבר. מזונות הילד לעתיד הם זכות עצמאית שאינה נבלעת בגירושי ההורים, ולכן הגיעו לבית הדין רק בהסכמה לפי סעיף 9. התשובה השנייה שגויה – בהסכמה אפשר.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71 — התשובה הנכונה: ב</w:t>
            </w:r>
          </w:p>
          <w:p>
            <w:pPr>
              <w:bidi/>
              <w:spacing w:before="0" w:after="0" w:line="288" w:lineRule="auto"/>
              <w:jc w:val="both"/>
            </w:pPr>
            <w:r>
              <w:rPr>
                <w:rFonts w:ascii="Arial" w:hAnsi="Arial" w:cs="Arial" w:eastAsia="Arial"/>
                <w:color w:val="1F2430"/>
                <w:sz w:val="19"/>
                <w:szCs w:val="19"/>
                <w:rtl/>
              </w:rPr>
              <w:t>בתי הדין טענו שהם אינם בית משפט, ולכן הלכה שניתנה בערעור אזרחי אינה מחייבת אותם – ״איתי אפשר לדבר רק בבג״ץ״. בעקבות עתירת ארבעה גברים, בג״ץ קבע ישירות שבית הדין חורג מסמכותו ושרגאי מחייב גם אותו. בע״מ 919/15 לא ביטל את שרגאי אלא עסק בחלוקת החובה בין ההורים.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72 — התשובה הנכונה: א</w:t>
            </w:r>
          </w:p>
          <w:p>
            <w:pPr>
              <w:bidi/>
              <w:spacing w:before="0" w:after="0" w:line="288" w:lineRule="auto"/>
              <w:jc w:val="both"/>
            </w:pPr>
            <w:r>
              <w:rPr>
                <w:rFonts w:ascii="Arial" w:hAnsi="Arial" w:cs="Arial" w:eastAsia="Arial"/>
                <w:color w:val="1F2430"/>
                <w:sz w:val="19"/>
                <w:szCs w:val="19"/>
                <w:rtl/>
              </w:rPr>
              <w:t>לאחר מאבק בין העליון לבתי הדין, המחוקק התערב בהוראת שעה לשנתיים ופירש ״מזונות ילדים״ באופן רחב. לכן לפי מה שנלמד אין עוד הבחנה בין השבה לעתיד לצורך הכריכה, והדין אישי (סעיף 3(א) לחוק המזונות). התשובה השנייה משקפת את הלכת שרגאי, שהייתה המצב בעבר ובסיכומים הישנים.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73 — התשובה הנכונה: ב</w:t>
            </w:r>
          </w:p>
          <w:p>
            <w:pPr>
              <w:bidi/>
              <w:spacing w:before="0" w:after="0" w:line="288" w:lineRule="auto"/>
              <w:jc w:val="both"/>
            </w:pPr>
            <w:r>
              <w:rPr>
                <w:rFonts w:ascii="Arial" w:hAnsi="Arial" w:cs="Arial" w:eastAsia="Arial"/>
                <w:color w:val="1F2430"/>
                <w:sz w:val="19"/>
                <w:szCs w:val="19"/>
                <w:rtl/>
              </w:rPr>
              <w:t>לפי פסק דין פלונית (2003), כפי שהוצג בתרגולים, כריכת מזונות אישה בידי הבעל בנישואין אזרחיים אינה כנה, ויש שהרחיבו זאת לכל העניינים הממוניים. הגירושין עצמם נשארים בסמכות בית הדין (יהודים בישראל), ולכן התשובה השלישית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74 — התשובה הנכונה: ד</w:t>
            </w:r>
          </w:p>
          <w:p>
            <w:pPr>
              <w:bidi/>
              <w:spacing w:before="0" w:after="0" w:line="288" w:lineRule="auto"/>
              <w:jc w:val="both"/>
            </w:pPr>
            <w:r>
              <w:rPr>
                <w:rFonts w:ascii="Arial" w:hAnsi="Arial" w:cs="Arial" w:eastAsia="Arial"/>
                <w:color w:val="1F2430"/>
                <w:sz w:val="19"/>
                <w:szCs w:val="19"/>
                <w:rtl/>
              </w:rPr>
              <w:t>בבג״ץ 5507/95 אמיר נקבע שבתי המשפט האזרחיים הם הלב הראשי של המערכת, ולכן תביעת משמורת באזרחי תופסת גם את החינוך. זה לא עובד הפוך: תביעת גירושין בבית הדין אינה כוללת חינוך, ויש לכרוך אותו במפורש ולהגיע ראשון.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75 — התשובה הנכונה: א</w:t>
            </w:r>
          </w:p>
          <w:p>
            <w:pPr>
              <w:bidi/>
              <w:spacing w:before="0" w:after="0" w:line="288" w:lineRule="auto"/>
              <w:jc w:val="both"/>
            </w:pPr>
            <w:r>
              <w:rPr>
                <w:rFonts w:ascii="Arial" w:hAnsi="Arial" w:cs="Arial" w:eastAsia="Arial"/>
                <w:color w:val="1F2430"/>
                <w:sz w:val="19"/>
                <w:szCs w:val="19"/>
                <w:rtl/>
              </w:rPr>
              <w:t>סעיף 2(א) לחוק המזונות קובע שאדם חייב במזונות בן זוגו לפי הדין האישי, ולכן גם בערכאה האזרחית יחול דין אישי; הכלל ״הדין הולך אחר הדיין״ חל רק בהיעדר הוראת חוק. התשובה הרביעית שגויה – תחולת הדין האישי נובעת מהוראת החוק ואינה תלויה בהסכמת הבעל, והאישה בוחרת ערכאה ולא דין. כשאין דין אישי – יחול דין אזרחי לפי סעיף 2(ב).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76 — התשובה הנכונה: ג</w:t>
            </w:r>
          </w:p>
          <w:p>
            <w:pPr>
              <w:bidi/>
              <w:spacing w:before="0" w:after="0" w:line="288" w:lineRule="auto"/>
              <w:jc w:val="both"/>
            </w:pPr>
            <w:r>
              <w:rPr>
                <w:rFonts w:ascii="Arial" w:hAnsi="Arial" w:cs="Arial" w:eastAsia="Arial"/>
                <w:color w:val="1F2430"/>
                <w:sz w:val="19"/>
                <w:szCs w:val="19"/>
                <w:rtl/>
              </w:rPr>
              <w:t>רכוש אינו חלק מהנישואין ולכן חל עליו דין אזרחי (הלכת השיתוף לפי בג״ץ בבלי, חוק יחסי ממון), אלא אם הצדדים הסכימו במפורש לדין דתי. רכוש אינו נכנס בהסכמה לפי סעיף 9 (סימה אמיר), והכתובה ממילא בסמכות ייחודית של בית הדין ואין צורך לכרוך אותה.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77 — התשובה הנכונה: ג</w:t>
            </w:r>
          </w:p>
          <w:p>
            <w:pPr>
              <w:bidi/>
              <w:spacing w:before="0" w:after="0" w:line="288" w:lineRule="auto"/>
              <w:jc w:val="both"/>
            </w:pPr>
            <w:r>
              <w:rPr>
                <w:rFonts w:ascii="Arial" w:hAnsi="Arial" w:cs="Arial" w:eastAsia="Arial"/>
                <w:color w:val="1F2430"/>
                <w:sz w:val="19"/>
                <w:szCs w:val="19"/>
                <w:rtl/>
              </w:rPr>
              <w:t>האב כרך את ברית המילה לתביעת הגירושין ובית הדין אף הטיל על האם קנס של 500 ש״ח ליום. בהרכב של 7 שופטים קבע הרוב שברית מילה היא סוגיה בפני עצמה שאינה ניתנת לכריכה; השופט רובינשטיין סבר שניתן לכרוך. ההחלטה לא הייתה פה אחד.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78 — התשובה הנכונה: א</w:t>
            </w:r>
          </w:p>
          <w:p>
            <w:pPr>
              <w:bidi/>
              <w:spacing w:before="0" w:after="0" w:line="288" w:lineRule="auto"/>
              <w:jc w:val="both"/>
            </w:pPr>
            <w:r>
              <w:rPr>
                <w:rFonts w:ascii="Arial" w:hAnsi="Arial" w:cs="Arial" w:eastAsia="Arial"/>
                <w:color w:val="1F2430"/>
                <w:sz w:val="19"/>
                <w:szCs w:val="19"/>
                <w:rtl/>
              </w:rPr>
              <w:t>המבחן נועד לסייג ולצמצם את הכריכות, והמבחנים מצטברים: די בכישלון באחד מהם כדי שהכריכה תיפול. התשובה השנייה מתארת את תנאי סעיף 1, ואילו הסכמת הצד השני אינה נדרשת לכריכה.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79 — התשובה הנכונה: ד</w:t>
            </w:r>
          </w:p>
          <w:p>
            <w:pPr>
              <w:bidi/>
              <w:spacing w:before="0" w:after="0" w:line="288" w:lineRule="auto"/>
              <w:jc w:val="both"/>
            </w:pPr>
            <w:r>
              <w:rPr>
                <w:rFonts w:ascii="Arial" w:hAnsi="Arial" w:cs="Arial" w:eastAsia="Arial"/>
                <w:color w:val="1F2430"/>
                <w:sz w:val="19"/>
                <w:szCs w:val="19"/>
                <w:rtl/>
              </w:rPr>
              <w:t>הפסיקה ראתה בהגשה באמצע טיפול זוגי, בסמוך למסיבת יום הולדת או תוך דרישות לא ריאליות סימנים לכך שהתובע אינו רוצה באמת להתגרש. במקרה כזה כל הכריכות נופלות. התשובה הראשונה מתארת דווקא כריכה כדין – מפורטת ומפורשת.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80 — התשובה הנכונה: ב</w:t>
            </w:r>
          </w:p>
          <w:p>
            <w:pPr>
              <w:bidi/>
              <w:spacing w:before="0" w:after="0" w:line="288" w:lineRule="auto"/>
              <w:jc w:val="both"/>
            </w:pPr>
            <w:r>
              <w:rPr>
                <w:rFonts w:ascii="Arial" w:hAnsi="Arial" w:cs="Arial" w:eastAsia="Arial"/>
                <w:color w:val="1F2430"/>
                <w:sz w:val="19"/>
                <w:szCs w:val="19"/>
                <w:rtl/>
              </w:rPr>
              <w:t>לפי גבעולי, מי שמבקש למנוע דיון בבית המשפט – הכורך – צריך להוכיח שהכריכה נעשתה כדין ובאופן כן, משום שהוא מוציא את הנושא מבית המשפט שהוא מקומו הטבעי. אם השופט מתלבט במידה שווה, הכורך מפסיד. בית המשפט מוסמך לבחון את השאלה (פלמן), ולכן התשובה הרביעית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81 — התשובה הנכונה: א</w:t>
            </w:r>
          </w:p>
          <w:p>
            <w:pPr>
              <w:bidi/>
              <w:spacing w:before="0" w:after="0" w:line="288" w:lineRule="auto"/>
              <w:jc w:val="both"/>
            </w:pPr>
            <w:r>
              <w:rPr>
                <w:rFonts w:ascii="Arial" w:hAnsi="Arial" w:cs="Arial" w:eastAsia="Arial"/>
                <w:color w:val="1F2430"/>
                <w:sz w:val="19"/>
                <w:szCs w:val="19"/>
                <w:rtl/>
              </w:rPr>
              <w:t>החזקת הילדים נכרכת מעצם טבעה, ולא האדם כרך אותה, ולכן אין טעם לבדוק כריכה כדין או כריכה כנה. בודקים רק שתביעת הגירושין כנה. התשובה הרביעית שגויה – אם תביעת הגירושין אינה כנה, גם המשמורת לא תיכרך.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82 — התשובה הנכונה: ד</w:t>
            </w:r>
          </w:p>
          <w:p>
            <w:pPr>
              <w:bidi/>
              <w:spacing w:before="0" w:after="0" w:line="288" w:lineRule="auto"/>
              <w:jc w:val="both"/>
            </w:pPr>
            <w:r>
              <w:rPr>
                <w:rFonts w:ascii="Arial" w:hAnsi="Arial" w:cs="Arial" w:eastAsia="Arial"/>
                <w:color w:val="1F2430"/>
                <w:sz w:val="19"/>
                <w:szCs w:val="19"/>
                <w:rtl/>
              </w:rPr>
              <w:t>לפי המרצה, כריכה לא כנה תפיל לרוב את הכל, ואילו בכריכה שאינה כדין יש סימן שאלה: אם רק כריכה אחת לא הייתה מפורטת, הגיוני שרק היא תיפול. רק תביעת גירושין שאינה כנה מפילה בוודאות את כל הכריכות.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83 — התשובה הנכונה: ב</w:t>
            </w:r>
          </w:p>
          <w:p>
            <w:pPr>
              <w:bidi/>
              <w:spacing w:before="0" w:after="0" w:line="288" w:lineRule="auto"/>
              <w:jc w:val="both"/>
            </w:pPr>
            <w:r>
              <w:rPr>
                <w:rFonts w:ascii="Arial" w:hAnsi="Arial" w:cs="Arial" w:eastAsia="Arial"/>
                <w:color w:val="1F2430"/>
                <w:sz w:val="19"/>
                <w:szCs w:val="19"/>
                <w:rtl/>
              </w:rPr>
              <w:t>בבג״ץ 8497/00 פלמן קבעה השופטת ביניש ששאלת תקינות הכריכה נתונה לשתי הערכאות, ולכן חל עיקרון הכיבוד ההדדי: הערכאה השנייה מכבדת את ההחלטה הראשונה, אלא אם יש טעם מיוחד (למשל החלטה שניתנה בלי דיון, בחופזה או בלי נימוקים). קדימות הגשת התביעה אינה מכריעה כאן.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84 — התשובה הנכונה: ג</w:t>
            </w:r>
          </w:p>
          <w:p>
            <w:pPr>
              <w:bidi/>
              <w:spacing w:before="0" w:after="0" w:line="288" w:lineRule="auto"/>
              <w:jc w:val="both"/>
            </w:pPr>
            <w:r>
              <w:rPr>
                <w:rFonts w:ascii="Arial" w:hAnsi="Arial" w:cs="Arial" w:eastAsia="Arial"/>
                <w:color w:val="1F2430"/>
                <w:sz w:val="19"/>
                <w:szCs w:val="19"/>
                <w:rtl/>
              </w:rPr>
              <w:t>לפי פלמן, להבדיל מתביעת הגירושין עצמה, שבסמכות ייחודית של בית הדין, ההכרעה בתנאי הכריכה נתונה לשתי הערכאות. לפי תשובת המרצה ההלכה דו-צדדית: גם בית הדין רשאי לבטל החלטה של בית המשפט אם יש טעם מיוחד. התשובה הרביעית שגויה – הגירושין עצמם נשארים בסמכות ייחודית.</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B5304A"/>
            <w:tcBorders>
              <w:top w:val="single" w:sz="4" w:space="0" w:color="B5304A"/>
              <w:left w:val="single" w:sz="4" w:space="0" w:color="B5304A"/>
              <w:bottom w:val="single" w:sz="4" w:space="0" w:color="B5304A"/>
              <w:right w:val="single" w:sz="4" w:space="0" w:color="B5304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4</w:t>
            </w:r>
          </w:p>
          <w:p>
            <w:pPr>
              <w:bidi/>
              <w:spacing w:before="0" w:after="0" w:line="264" w:lineRule="auto"/>
              <w:outlineLvl w:val="0"/>
            </w:pPr>
            <w:r>
              <w:rPr>
                <w:rFonts w:ascii="Arial" w:hAnsi="Arial" w:cs="Arial" w:eastAsia="Arial"/>
                <w:b/>
                <w:bCs/>
                <w:color w:val="FFFFFF"/>
                <w:sz w:val="42"/>
                <w:szCs w:val="42"/>
                <w:rtl/>
              </w:rPr>
              <w:t>סמכות נמשכת, סמכות בהסכמה (סעיף 9), בוררות בבתי הדין ומעמדו העצמאי של הקטין</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85 </w:t>
            </w:r>
            <w:r>
              <w:rPr>
                <w:rFonts w:ascii="Arial" w:hAnsi="Arial" w:cs="Arial" w:eastAsia="Arial"/>
                <w:sz w:val="20"/>
                <w:szCs w:val="20"/>
                <w:rtl/>
              </w:rPr>
              <w:t xml:space="preserve">  </w:t>
            </w:r>
            <w:r>
              <w:rPr>
                <w:rFonts w:ascii="Arial" w:hAnsi="Arial" w:cs="Arial" w:eastAsia="Arial"/>
                <w:b/>
                <w:bCs/>
                <w:color w:val="111827"/>
                <w:sz w:val="20"/>
                <w:szCs w:val="20"/>
                <w:rtl/>
              </w:rPr>
              <w:t>לאחר שזוג התגרש וניתן פסק דין כולל, באילו עניינים ניתן לחזור ולדון בתיק מכוח שינוי נסיבות מהותי?</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רכוש, מזונות ילדים ומשמורת</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מזונות ילדים, מזונות אישה ומשמורת (החזקת ילדים) בלבד</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בכל עניין שנכלל בפסק הדין, ובלבד שחלפו שלושים יום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לא ניתן לחזור ולדון בתיק לאחר 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86 </w:t>
            </w:r>
            <w:r>
              <w:rPr>
                <w:rFonts w:ascii="Arial" w:hAnsi="Arial" w:cs="Arial" w:eastAsia="Arial"/>
                <w:sz w:val="20"/>
                <w:szCs w:val="20"/>
                <w:rtl/>
              </w:rPr>
              <w:t xml:space="preserve">  </w:t>
            </w:r>
            <w:r>
              <w:rPr>
                <w:rFonts w:ascii="Arial" w:hAnsi="Arial" w:cs="Arial" w:eastAsia="Arial"/>
                <w:b/>
                <w:bCs/>
                <w:color w:val="111827"/>
                <w:sz w:val="20"/>
                <w:szCs w:val="20"/>
                <w:rtl/>
              </w:rPr>
              <w:t>תביעת מזונות ילדים נדונה לגופה בבית הדין הרבני: נשמעו טענות, הוגשה חוות דעת וניתן פסק דין. כעבור שנתיים חל שינוי נסיבות מהותי. לאן יש להגיש את התביעה לשינוי המזונות?</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לבית המשפט לענייני משפחה, שכן הוא הערכאה הטבעית לשינוי נסיבות</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לכל אחת מהערכאות לפי בחירת התובע – יש סמכות מקבילה</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לבית הדין הרבני, אך רק אם התובע יכרוך את התביעה לתביעת גירושין חדשה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לבית הדין הרבני, שכן הוא דן ופסק בעניין וסמכותו נמשכת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87 </w:t>
            </w:r>
            <w:r>
              <w:rPr>
                <w:rFonts w:ascii="Arial" w:hAnsi="Arial" w:cs="Arial" w:eastAsia="Arial"/>
                <w:sz w:val="20"/>
                <w:szCs w:val="20"/>
                <w:rtl/>
              </w:rPr>
              <w:t xml:space="preserve">  </w:t>
            </w:r>
            <w:r>
              <w:rPr>
                <w:rFonts w:ascii="Arial" w:hAnsi="Arial" w:cs="Arial" w:eastAsia="Arial"/>
                <w:b/>
                <w:bCs/>
                <w:color w:val="111827"/>
                <w:sz w:val="20"/>
                <w:szCs w:val="20"/>
                <w:rtl/>
              </w:rPr>
              <w:t>יוסי וחדווה התגרשו בבית הדין הרבני בהליך שבו נכרכו כל העניינים. לאחר שנים עזבו את הארץ ואינם עוד אזרחים או תושבים; חדווה גרה במנהטן ויוסי בסין, שם הכפיל את הכנסותיו פי כמה. חדווה מבקשת להגדיל את המזונות. לאן תגיש?</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לבית הדין הרבני – מכוח סמכות נמשכת</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לבית המשפט בסין, מקום מושבו של הנתבע</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לבית המשפט לענייני משפחה בישראל, כי סעיף 1 לחשבד״ר אינו מתקיים עוד</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לבית המשפט במנהטן, מקום מושבה של התובעת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88 </w:t>
            </w:r>
            <w:r>
              <w:rPr>
                <w:rFonts w:ascii="Arial" w:hAnsi="Arial" w:cs="Arial" w:eastAsia="Arial"/>
                <w:sz w:val="20"/>
                <w:szCs w:val="20"/>
                <w:rtl/>
              </w:rPr>
              <w:t xml:space="preserve">  </w:t>
            </w:r>
            <w:r>
              <w:rPr>
                <w:rFonts w:ascii="Arial" w:hAnsi="Arial" w:cs="Arial" w:eastAsia="Arial"/>
                <w:b/>
                <w:bCs/>
                <w:color w:val="111827"/>
                <w:sz w:val="20"/>
                <w:szCs w:val="20"/>
                <w:rtl/>
              </w:rPr>
              <w:t>דנה ואבי התגרשו בבית הדין הרבני, ובמסגרת זו נחלק רכושם לאחר דיון מלא. כעבור שלוש שנים ערך הדירה שקיבל אבי זינק. דנה טוענת לשינוי נסיבות מהותי ומבקשת לפתוח מחדש את חלוקת הרכוש.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ניתן לפתוח מחדש בבית הדין הרבני, שדן ופסק בעניין</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ניתן לפתוח מחדש בבית המשפט לענייני משפחה, משום שאין לבית הדין סמכות נמשכת ברכוש</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לא ניתן לפתוח את חלוקת הרכוש מחדש – אין סמכות נמשכת ברכוש והחלוקה סופית</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ניתן לפתוח מחדש בכל ערכאה, אם שני הצדדים מסכימים לפי סעיף 9</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89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הסמכות הנמשכת נכונה?</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סמכות נמשכת קבועה במפורש בסעיף 3 לחשבד״ר</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סמכות נמשכת קיימת רק בבית הדין הרבני ולא בבית המשפט לענייני משפחה</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כשחוזרים לערכאה שדנה ופסקה, אין צורך להראות שוב כריכה או הסכמה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סמכות נמשכת קמה גם כאשר הערכאה רק נתנה תוקף טכני להסכם שהוצג לה, בלי לנהל דיון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90 </w:t>
            </w:r>
            <w:r>
              <w:rPr>
                <w:rFonts w:ascii="Arial" w:hAnsi="Arial" w:cs="Arial" w:eastAsia="Arial"/>
                <w:sz w:val="20"/>
                <w:szCs w:val="20"/>
                <w:rtl/>
              </w:rPr>
              <w:t xml:space="preserve">  </w:t>
            </w:r>
            <w:r>
              <w:rPr>
                <w:rFonts w:ascii="Arial" w:hAnsi="Arial" w:cs="Arial" w:eastAsia="Arial"/>
                <w:b/>
                <w:bCs/>
                <w:color w:val="111827"/>
                <w:sz w:val="20"/>
                <w:szCs w:val="20"/>
                <w:rtl/>
              </w:rPr>
              <w:t>ראובן כרך לתביעת הגירושין בבית הדין הרבני גם מזונות ילדים; ניתנו פסק דין וגט. לאחר שלוש שנים פוטר והכנסתו פחתה מאוד. מכוח מה יוכל לפנות לבית הדין הרבני בתביעה להפחתת המזונות?</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מכוח הסמכות הנמשכת של בית הדין, שדן ופסק בעניין</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מכוח סעיף 1 לחשבד״ר, כי שני הצדדים יהודים אזרחי ישראל</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מכוח סעיף 3 לחשבד״ר – כריכה מחודשת לתביעת הגירושין המקורית</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מכוח מעמדו העצמאי של הקטין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91 </w:t>
            </w:r>
            <w:r>
              <w:rPr>
                <w:rFonts w:ascii="Arial" w:hAnsi="Arial" w:cs="Arial" w:eastAsia="Arial"/>
                <w:sz w:val="20"/>
                <w:szCs w:val="20"/>
                <w:rtl/>
              </w:rPr>
              <w:t xml:space="preserve">  </w:t>
            </w:r>
            <w:r>
              <w:rPr>
                <w:rFonts w:ascii="Arial" w:hAnsi="Arial" w:cs="Arial" w:eastAsia="Arial"/>
                <w:b/>
                <w:bCs/>
                <w:color w:val="111827"/>
                <w:sz w:val="20"/>
                <w:szCs w:val="20"/>
                <w:rtl/>
              </w:rPr>
              <w:t>אב שחויב במזונות ילדים לפני בע״מ 919/15 מבקש להפחית את המזונות בטענה שעצם שינוי ההלכה מהווה שינוי נסיבות מהותי. לפי מה שנלמד,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שינוי ההלכה הוא תמיד שינוי נסיבות מהותי והוא חל למפרע על כל פסקי הדין</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שינוי ההלכה מאפשר לפתוח את התיק בכל ערכאה לבחירת האב</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שינוי ההלכה מהווה שינוי נסיבות רק אם המזונות נקבעו בהסכם ולא בפסק דין לאחר הליך</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הלכת 919/15 אינה כשלעצמה שינוי נסיבות מהותי; נדרש שינוי עובדתי מהותי, ורק אז תיושם ההלכה ביחס לרכיב שהשתנה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92 </w:t>
            </w:r>
            <w:r>
              <w:rPr>
                <w:rFonts w:ascii="Arial" w:hAnsi="Arial" w:cs="Arial" w:eastAsia="Arial"/>
                <w:sz w:val="20"/>
                <w:szCs w:val="20"/>
                <w:rtl/>
              </w:rPr>
              <w:t xml:space="preserve">  </w:t>
            </w:r>
            <w:r>
              <w:rPr>
                <w:rFonts w:ascii="Arial" w:hAnsi="Arial" w:cs="Arial" w:eastAsia="Arial"/>
                <w:b/>
                <w:bCs/>
                <w:color w:val="111827"/>
                <w:sz w:val="20"/>
                <w:szCs w:val="20"/>
                <w:rtl/>
              </w:rPr>
              <w:t>זוג יהודים שנישאו כדמו״י בישראל, אזרחים החיים בה, מתווכחים על מוסד החינוך של ילדיהם. הם אינם רוצים להתגרש, ומבקשים בהסכמה שבית הדין הרבני יכריע.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בית הדין אינו מוסמך, כי חינוך אינו מופיע בסימן 51 לדבר המלך במועצתו</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בית הדין מוסמך לדון מכוח סעיף 9, שכן אפוטרופסות – הכוללת חינוך – היא מענייני המעמד האישי</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בית הדין מוסמך רק אם אחד מהם יגיש תביעת גירושין ויכרוך אליה את החינוך</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רק בית המשפט לענייני משפחה מוסמך, כי חוק הכשרות המשפטית והאפוטרופסות הוציא את הנושא ממעמד אישי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93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בלי שהוגשה תביעת גירושין, חתמו על הסכמה שבית הדין הרבני ידון בחלוקת דירתם המשותפת. האם הסכמתם מקנה לבית הדין סמכות?</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לא – סעיף 9 חל רק בענייני מעמד אישי, ורכוש אינו עניין של מעמד אישי</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כן – סעיף 9 חל על כל עניין, ובלבד ששני הצדדים הסכימו בכתב</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כן – אך רק אם ההסכמה ניתנה בכתב לפני החתונה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כן – מכוח סמכותו הנמשכת של בית הדין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94 </w:t>
            </w:r>
            <w:r>
              <w:rPr>
                <w:rFonts w:ascii="Arial" w:hAnsi="Arial" w:cs="Arial" w:eastAsia="Arial"/>
                <w:sz w:val="20"/>
                <w:szCs w:val="20"/>
                <w:rtl/>
              </w:rPr>
              <w:t xml:space="preserve">  </w:t>
            </w:r>
            <w:r>
              <w:rPr>
                <w:rFonts w:ascii="Arial" w:hAnsi="Arial" w:cs="Arial" w:eastAsia="Arial"/>
                <w:b/>
                <w:bCs/>
                <w:color w:val="111827"/>
                <w:sz w:val="20"/>
                <w:szCs w:val="20"/>
                <w:rtl/>
              </w:rPr>
              <w:t>במה שונה שאלת הסמכות לעניין רכוש משאלת הסמכות לעניין משמורת ילדים?</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אין כל הבדל ביניהם</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לעניין סעיף 9 – משמורת ניתן להביא לבית הדין בהסכמה, ורכוש לא</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לעניין הכריכה – משמורת ניתן לכרוך לתביעת גירושין, ורכוש לא</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לעניין הסמכות הנמשכת – רכוש ניתן לפתוח מחדש, ומשמורת לא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95 </w:t>
            </w:r>
            <w:r>
              <w:rPr>
                <w:rFonts w:ascii="Arial" w:hAnsi="Arial" w:cs="Arial" w:eastAsia="Arial"/>
                <w:sz w:val="20"/>
                <w:szCs w:val="20"/>
                <w:rtl/>
              </w:rPr>
              <w:t xml:space="preserve">  </w:t>
            </w:r>
            <w:r>
              <w:rPr>
                <w:rFonts w:ascii="Arial" w:hAnsi="Arial" w:cs="Arial" w:eastAsia="Arial"/>
                <w:b/>
                <w:bCs/>
                <w:color w:val="111827"/>
                <w:sz w:val="20"/>
                <w:szCs w:val="20"/>
                <w:rtl/>
              </w:rPr>
              <w:t>מה נקבע בבג״ץ 9476/96 סרגובי נ' בית הדין הרבני ומנהל האוכלוסין (2006)?</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זוג מעורב רשאי להתגרש בבית הדין הרבני אם שני הצדדים הסכימו בכתב</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בית הדין הרבני מוסמך רק להצהיר על בטלות נישואי זוג מעורב מעיקרא, בהסכמת שניהם</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הסכמה מכללא אינה מספיקה לפי סעיף 9 ונדרשת הסכמה מפורשת</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סעיף 9 חל רק כאשר שני בני הזוג יהודים, ולכן זוג מעורב אינו יכול להקנות לבית הדין סמכות בהסכמה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96 </w:t>
            </w:r>
            <w:r>
              <w:rPr>
                <w:rFonts w:ascii="Arial" w:hAnsi="Arial" w:cs="Arial" w:eastAsia="Arial"/>
                <w:sz w:val="20"/>
                <w:szCs w:val="20"/>
                <w:rtl/>
              </w:rPr>
              <w:t xml:space="preserve">  </w:t>
            </w:r>
            <w:r>
              <w:rPr>
                <w:rFonts w:ascii="Arial" w:hAnsi="Arial" w:cs="Arial" w:eastAsia="Arial"/>
                <w:b/>
                <w:bCs/>
                <w:color w:val="111827"/>
                <w:sz w:val="20"/>
                <w:szCs w:val="20"/>
                <w:rtl/>
              </w:rPr>
              <w:t>איגור (לא יהודי) ושרה (יהודייה) נישאו בנישואין אזרחיים בברית המועצות ועלו לישראל. כעת הם מבקשים להתגרש. איזו מהקביעות הבאות נכונה?</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בהסכמת שניהם בית הדין הרבני יכול לדון לפי סעיף 9, אך רק כדי להצהיר על בטלות הנישואין מעיקרא</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בהסכמת שניהם בית הדין הרבני יכול להתיר את נישואיהם לפי סעיף 9</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בית הדין הרבני אינו מוסמך גם בהסכמתם; העניין יידון בבית המשפט לענייני משפחה לפי החוק לשיפוט בענייני התרת נישואין (מקרים מיוחדים)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די שאחד הצדדים יגיש תביעת גירושין לבית הדין הרבני כדי שיקנה סמכות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97 </w:t>
            </w:r>
            <w:r>
              <w:rPr>
                <w:rFonts w:ascii="Arial" w:hAnsi="Arial" w:cs="Arial" w:eastAsia="Arial"/>
                <w:sz w:val="20"/>
                <w:szCs w:val="20"/>
                <w:rtl/>
              </w:rPr>
              <w:t xml:space="preserve">  </w:t>
            </w:r>
            <w:r>
              <w:rPr>
                <w:rFonts w:ascii="Arial" w:hAnsi="Arial" w:cs="Arial" w:eastAsia="Arial"/>
                <w:b/>
                <w:bCs/>
                <w:color w:val="111827"/>
                <w:sz w:val="20"/>
                <w:szCs w:val="20"/>
                <w:rtl/>
              </w:rPr>
              <w:t>מיכל קיבלה כתב תביעה מבית הדין הרבני בעניין משמורת, שאינו כרוך בתביעת גירושין. במקום לטעון לחוסר סמכות, השיבה לגוף הטענות והשתתפה בשני דיונים. בדיון השלישי טענה שלא הסכימה מעולם לסמכות בית הדין.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טענתה תתקבל, כי סעיף 9 דורש הסכמה בכתב</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טענתה תתקבל, כי אפשר לטעון לחוסר סמכות בכל שלב של הדיון</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טענתה תתקבל, כי משמורת היא בסמכות הייחודית של בית המשפט לענייני משפחה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התנהגותה עשויה להיחשב הסכמה מכללא לפי סעיף 9, וטענת חוסר הסמכות לא הועלתה בהזדמנות הראשונה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העלאת טענת חוסר סמכות נגד בית הדין הרבני נכונה?</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יש להעלותה בהזדמנות הראשונה – בדיון הראשון או בכתב הטענות הראשון (סעיף 15(ד)(4) לחוק יסוד: השפיטה)</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ניתן להעלותה בכל שלב, כל עוד לא ניתן פסק דין סופי</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לא ניתן להעלות טענת סמכות נגד בית הדין הרבני, כי סמכותו ייחודית</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ניתן להעלותה רק בבית המשפט לענייני 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99 </w:t>
            </w:r>
            <w:r>
              <w:rPr>
                <w:rFonts w:ascii="Arial" w:hAnsi="Arial" w:cs="Arial" w:eastAsia="Arial"/>
                <w:sz w:val="20"/>
                <w:szCs w:val="20"/>
                <w:rtl/>
              </w:rPr>
              <w:t xml:space="preserve">  </w:t>
            </w:r>
            <w:r>
              <w:rPr>
                <w:rFonts w:ascii="Arial" w:hAnsi="Arial" w:cs="Arial" w:eastAsia="Arial"/>
                <w:b/>
                <w:bCs/>
                <w:color w:val="111827"/>
                <w:sz w:val="20"/>
                <w:szCs w:val="20"/>
                <w:rtl/>
              </w:rPr>
              <w:t>רונית, שאינה מיוצגת, השיבה בבית הדין הרבני לגוף התביעה. כעבור שבועיים שכרה עורכת דין, שטענה מיד לחוסר סמכות בטענה שזו ההזדמנות הראשונה שלה בתיק.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הטענה תתקבל, כי ההזדמנות הראשונה נמדדת מרגע הייצוג</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הטענה תידחה – ההזדמנות הראשונה נמדדת לפי בעלת הדין עצמה, ולא לפי עורכת הדין החדשה</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הטענה תתקבל, כי בעל דין לא מיוצג אינו יכול להסכים מכללא</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הטענה תתקבל רק אם תוגש עתירה לבג״ץ בתוך 30 יום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100 </w:t>
            </w:r>
            <w:r>
              <w:rPr>
                <w:rFonts w:ascii="Arial" w:hAnsi="Arial" w:cs="Arial" w:eastAsia="Arial"/>
                <w:sz w:val="20"/>
                <w:szCs w:val="20"/>
                <w:rtl/>
              </w:rPr>
              <w:t xml:space="preserve">  </w:t>
            </w:r>
            <w:r>
              <w:rPr>
                <w:rFonts w:ascii="Arial" w:hAnsi="Arial" w:cs="Arial" w:eastAsia="Arial"/>
                <w:b/>
                <w:bCs/>
                <w:color w:val="111827"/>
                <w:sz w:val="20"/>
                <w:szCs w:val="20"/>
                <w:rtl/>
              </w:rPr>
              <w:t>בני זוג מבקשים לחתום במעמד החתונה על הסכם, שלפיו כל סכסוך עתידי ביניהם בענייני מעמד אישי יידון בבית הדין הרבני. לפי תשובת המרצה,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ההסכם בטל, כי אי אפשר להסכים לסמכות לפני שהסכסוך נוצר</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ההסכם מקנה לבית הדין סמכות ייחודית, וכל תביעה בבית המשפט תימחק</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הדבר אפשרי, אך אינו חוסם את בן הזוג האחר מלפנות לבית המשפט אם יקדים, ולכן אינו מבטל את מירוץ הסמכויות</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ההסכם תקף רק אם אושר בבית המשפט לענייני משפחה כהסכם ממון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101 </w:t>
            </w:r>
            <w:r>
              <w:rPr>
                <w:rFonts w:ascii="Arial" w:hAnsi="Arial" w:cs="Arial" w:eastAsia="Arial"/>
                <w:sz w:val="20"/>
                <w:szCs w:val="20"/>
                <w:rtl/>
              </w:rPr>
              <w:t xml:space="preserve">  </w:t>
            </w:r>
            <w:r>
              <w:rPr>
                <w:rFonts w:ascii="Arial" w:hAnsi="Arial" w:cs="Arial" w:eastAsia="Arial"/>
                <w:b/>
                <w:bCs/>
                <w:color w:val="111827"/>
                <w:sz w:val="20"/>
                <w:szCs w:val="20"/>
                <w:rtl/>
              </w:rPr>
              <w:t>סטודנט שאל: אם צד אחד יכול להביא רכוש לבית הדין בכריכה גם בלי הסכמת השני, מדוע כששני הצדדים מסכימים לפי סעיף 9 – אין סמכות ברכוש? מה השיב המרצה?</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ההבדל נובע מכך שהכריכה כפופה למבחן המשולש, וההסכמה אינה כפופה לו</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בסעיף 3 נתן המחוקק סמכות רחבה למי שרוצה להתגרש – לנהל הכול בבית הדין – ואילו סעיף 9 נועד לתביעות בודדות ומוגבל לענייני מעמד אישי</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ההבדל בוטל בחוק הבוררות תשפ״ו-2026, והיום רכוש נכנס גם בהסכמה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ההבדל נובע מכך שרכוש בין בני זוג נדון תמיד לפי הדין הדתי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102 </w:t>
            </w:r>
            <w:r>
              <w:rPr>
                <w:rFonts w:ascii="Arial" w:hAnsi="Arial" w:cs="Arial" w:eastAsia="Arial"/>
                <w:sz w:val="20"/>
                <w:szCs w:val="20"/>
                <w:rtl/>
              </w:rPr>
              <w:t xml:space="preserve">  </w:t>
            </w:r>
            <w:r>
              <w:rPr>
                <w:rFonts w:ascii="Arial" w:hAnsi="Arial" w:cs="Arial" w:eastAsia="Arial"/>
                <w:b/>
                <w:bCs/>
                <w:color w:val="111827"/>
                <w:sz w:val="20"/>
                <w:szCs w:val="20"/>
                <w:rtl/>
              </w:rPr>
              <w:t>זוג יהודים תיירים – לא אזרחי ישראל ולא תושביה – מבקשים להתגרש בבית הדין הרבני בהסכמה. לפי מה שנלמד,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בית הדין חייב לדון בעניינם מכוח סעיף 1, כי שניהם יהודים הנמצאים בישראל</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אין כל אפשרות לדון בעניינם בישראל</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הם רשאים להתגרש רק בבית המשפט לענייני משפחה לפי חוק המקרים המיוחדים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הם אינם נכנסים בהכרח לסעיף 1, אך עולה האפשרות להסתמך על סעיף 9, והנטייה היא לאפשר זאת כשיש הסכמה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103 </w:t>
            </w:r>
            <w:r>
              <w:rPr>
                <w:rFonts w:ascii="Arial" w:hAnsi="Arial" w:cs="Arial" w:eastAsia="Arial"/>
                <w:sz w:val="20"/>
                <w:szCs w:val="20"/>
                <w:rtl/>
              </w:rPr>
              <w:t xml:space="preserve">  </w:t>
            </w:r>
            <w:r>
              <w:rPr>
                <w:rFonts w:ascii="Arial" w:hAnsi="Arial" w:cs="Arial" w:eastAsia="Arial"/>
                <w:b/>
                <w:bCs/>
                <w:color w:val="111827"/>
                <w:sz w:val="20"/>
                <w:szCs w:val="20"/>
                <w:rtl/>
              </w:rPr>
              <w:t>בהסכם גירושין נקבע שאם האם תתבע בעתיד הגדלת מזונות ילדים, תחזיר לאב סכום שקיבלה; לצד התניה צורף ערב. מהי מטרת צירוף הערב?</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להבטיח שאם התניה תופעל, גביית הכסף מהאם לא תפגע בפועל בילדים</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להבטיח שהילד לא יוכל לתבוע מכוח מעמדו העצמאי</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להקנות לבית הדין הרבני סמכות נמשכת לאכוף את התניה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להפוך את מזונות הילדים לעניין שאינו קוגנטי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104 </w:t>
            </w:r>
            <w:r>
              <w:rPr>
                <w:rFonts w:ascii="Arial" w:hAnsi="Arial" w:cs="Arial" w:eastAsia="Arial"/>
                <w:sz w:val="20"/>
                <w:szCs w:val="20"/>
                <w:rtl/>
              </w:rPr>
              <w:t xml:space="preserve">  </w:t>
            </w:r>
            <w:r>
              <w:rPr>
                <w:rFonts w:ascii="Arial" w:hAnsi="Arial" w:cs="Arial" w:eastAsia="Arial"/>
                <w:b/>
                <w:bCs/>
                <w:color w:val="111827"/>
                <w:sz w:val="20"/>
                <w:szCs w:val="20"/>
                <w:rtl/>
              </w:rPr>
              <w:t>בבג״ץ 8638/03 סימה אמיר תבע הבעל בבית הדין הרבני לאכוף תניית שיפוי ולקבל בחזרה את מחצית הדירה. מה פסקה השופטת פרוקצ'יה?</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לבית הדין סמכות, כי הצדדים הסכימו בהסכם שכל דיון עתידי יתקיים בו</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לבית הדין סמכות מכוח סמכותו הנמשכת, שכן הוא אישר את הסכם הגירושין</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אין לבית הדין סמכות: אין סמכות מקורית, סעיף 9 אינו חל ברכוש, אין סמכות נמשכת ברכוש, וגם טענת הבוררות נדחתה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לבית הדין סמכות כבורר, כי שני הצדדים היו מיוצגים בעת חתימת ההסכם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105 </w:t>
            </w:r>
            <w:r>
              <w:rPr>
                <w:rFonts w:ascii="Arial" w:hAnsi="Arial" w:cs="Arial" w:eastAsia="Arial"/>
                <w:sz w:val="20"/>
                <w:szCs w:val="20"/>
                <w:rtl/>
              </w:rPr>
              <w:t xml:space="preserve">  </w:t>
            </w:r>
            <w:r>
              <w:rPr>
                <w:rFonts w:ascii="Arial" w:hAnsi="Arial" w:cs="Arial" w:eastAsia="Arial"/>
                <w:b/>
                <w:bCs/>
                <w:color w:val="111827"/>
                <w:sz w:val="20"/>
                <w:szCs w:val="20"/>
                <w:rtl/>
              </w:rPr>
              <w:t>זוג התגרש בהסכמה בבית הדין הרבני. בהסכם נקבע שהרכוש נשאר אצל האישה כנגד התחייבותה שלא לתבוע הגדלת מזונות, ובסופו נכתב: הכול שריר וקיים על פי דין תורה. כעבור שנה תבעה האישה הגדלת מזונות בבית המשפט לענייני משפחה, והאיש מיהר לבית הדין הרבני לתבוע את הרכוש בחזרה. למי הסמכות לדון בתביעת הרכוש?</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לבית המשפט – לבית הדין הרבני אין סמכות לדון בתביעת הרכוש</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לבית הדין הרבני, משום שההסכם נכרת על פי דין תורה</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לבית הדין הרבני, משום שהאיש הקדים והגיש אליו את תביעתו</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לשתי הערכאות בסמכות מקבילה, לפי מירוץ הסמכויות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106 </w:t>
            </w:r>
            <w:r>
              <w:rPr>
                <w:rFonts w:ascii="Arial" w:hAnsi="Arial" w:cs="Arial" w:eastAsia="Arial"/>
                <w:sz w:val="20"/>
                <w:szCs w:val="20"/>
                <w:rtl/>
              </w:rPr>
              <w:t xml:space="preserve">  </w:t>
            </w:r>
            <w:r>
              <w:rPr>
                <w:rFonts w:ascii="Arial" w:hAnsi="Arial" w:cs="Arial" w:eastAsia="Arial"/>
                <w:b/>
                <w:bCs/>
                <w:color w:val="111827"/>
                <w:sz w:val="20"/>
                <w:szCs w:val="20"/>
                <w:rtl/>
              </w:rPr>
              <w:t>לפי חוק שיפוט בתי דין דתיים (בוררות), תשפ״ו-2026, אילו ערכאות נכללות בהגדרת בית דין לעניין החוק?</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בית דין רבני בלבד</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כל בתי הדין הדתיים, לרבות בתי הדין הכנסייתיים והדרוזיים</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בית דין רבני ובתי דין רבניים פרטיים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בית דין רבני ובית דין שרעי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107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הוא תנאי לכך שבית דין רבני ידון כבורר בעניין אזרחי לפי חוק הבוררות 2026?</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הסכמת הצדדים, שיכולה להיות גם מכללא מתוך התנהגותם בדיון</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די בכך שאחד הצדדים יהודי, גם בלא הסכמת הצד האחר</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הסכמה בכתב של כל הצדדים בחתימה על טופס בוררות, וכן סמכות של בית הדין בענייני מעמד אישי כלפי אחד הצדדים לפחות או שכל הצדדים תאגידים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הסכמה בכתב של הצדדים ואישורה בבית המשפט לענייני 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108 </w:t>
            </w:r>
            <w:r>
              <w:rPr>
                <w:rFonts w:ascii="Arial" w:hAnsi="Arial" w:cs="Arial" w:eastAsia="Arial"/>
                <w:sz w:val="20"/>
                <w:szCs w:val="20"/>
                <w:rtl/>
              </w:rPr>
              <w:t xml:space="preserve">  </w:t>
            </w:r>
            <w:r>
              <w:rPr>
                <w:rFonts w:ascii="Arial" w:hAnsi="Arial" w:cs="Arial" w:eastAsia="Arial"/>
                <w:b/>
                <w:bCs/>
                <w:color w:val="111827"/>
                <w:sz w:val="20"/>
                <w:szCs w:val="20"/>
                <w:rtl/>
              </w:rPr>
              <w:t>גרושים חתמו על טופס בוררות שלפיו בית הדין הרבני יכריע כבורר בסכסוך על חלוקת דירה שבבעלותם המשותפת, שנותר פתוח אחרי הגירושין. האם בית הדין מוסמך לפי חוק הבוררות 2026?</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כן – החתימה על טופס הבוררות מספיקה בכל עניין אזרחי</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לא – החוק אינו חל על עניין הנוגע להליך בין בני זוג נשואים או בני זוג לשעבר, ולכן הלכת סימה אמיר עומדת בעינה</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כן – אך רק אם שני הצדדים יהודים</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כן – אך רק אם הסכסוך התגלע לאחר כניסת החוק לתוקף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109 </w:t>
            </w:r>
            <w:r>
              <w:rPr>
                <w:rFonts w:ascii="Arial" w:hAnsi="Arial" w:cs="Arial" w:eastAsia="Arial"/>
                <w:sz w:val="20"/>
                <w:szCs w:val="20"/>
                <w:rtl/>
              </w:rPr>
              <w:t xml:space="preserve">  </w:t>
            </w:r>
            <w:r>
              <w:rPr>
                <w:rFonts w:ascii="Arial" w:hAnsi="Arial" w:cs="Arial" w:eastAsia="Arial"/>
                <w:b/>
                <w:bCs/>
                <w:color w:val="111827"/>
                <w:sz w:val="20"/>
                <w:szCs w:val="20"/>
                <w:rtl/>
              </w:rPr>
              <w:t>הסכם גירושין שאושר בבית הדין הרבני קבע מזונות ילדים נמוכים. במהלך האישור לא נשאלה כל שאלה על הילד, ובית הדין רק נתן תוקף להסכם שהוגש. האם מגישה בשם הילד תביעה להגדלת מזונות לבית המשפט לענייני משפחה, בלי לטעון לשינוי נסיבות.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התביעה תימחק, כי היה על האם לחזור לבית הדין הרבני מכוח סמכות נמשכת</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התביעה אפשרית מכוח מעמדו העצמאי של הקטין: לא היה דן ופסק, ולכן אין צורך בשינוי נסיבות ואין חובה לחזור לבית הדין</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התביעה תידחה, כי האם צד להסכם ומנועה מלתבוע</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התביעה אפשרית רק אם האם תוכיח שינוי נסיבות מהותי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110 </w:t>
            </w:r>
            <w:r>
              <w:rPr>
                <w:rFonts w:ascii="Arial" w:hAnsi="Arial" w:cs="Arial" w:eastAsia="Arial"/>
                <w:sz w:val="20"/>
                <w:szCs w:val="20"/>
                <w:rtl/>
              </w:rPr>
              <w:t xml:space="preserve">  </w:t>
            </w:r>
            <w:r>
              <w:rPr>
                <w:rFonts w:ascii="Arial" w:hAnsi="Arial" w:cs="Arial" w:eastAsia="Arial"/>
                <w:b/>
                <w:bCs/>
                <w:color w:val="111827"/>
                <w:sz w:val="20"/>
                <w:szCs w:val="20"/>
                <w:rtl/>
              </w:rPr>
              <w:t>מהו המבחן הקובע כיום לשאלה אם הסכם הורים מחייב את הקטין, כך שלא יוכל לפתוח את העניין מכוח מעמדו העצמאי?</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מבחן מהותי (בג״ץ 4407/12): האם הערכאה דנה ופסקה בפועל בעניינו של הילד – די בהתייחסות ממשית לעניינו</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מבחן פרוצדורלי (עברון): האם הוגשה בהליך תביעה נפרדת בשם הילד</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מבחן פורמלי: האם פסק הדין מציין שההסכם אושר גם בשם הילד</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מבחן ההסכמה: האם שני ההורים הצהירו שהם פועלים גם בשם הילד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111 </w:t>
            </w:r>
            <w:r>
              <w:rPr>
                <w:rFonts w:ascii="Arial" w:hAnsi="Arial" w:cs="Arial" w:eastAsia="Arial"/>
                <w:sz w:val="20"/>
                <w:szCs w:val="20"/>
                <w:rtl/>
              </w:rPr>
              <w:t xml:space="preserve">  </w:t>
            </w:r>
            <w:r>
              <w:rPr>
                <w:rFonts w:ascii="Arial" w:hAnsi="Arial" w:cs="Arial" w:eastAsia="Arial"/>
                <w:b/>
                <w:bCs/>
                <w:color w:val="111827"/>
                <w:sz w:val="20"/>
                <w:szCs w:val="20"/>
                <w:rtl/>
              </w:rPr>
              <w:t>הוגשה תביעה מכוח מעמדו העצמאי של הקטין לפתוח הסכם מזונות. על מי מוטל הנטל, ומה עליו להראות?</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על הקטין – להוכיח שינוי נסיבות מהותי מאז ההסכם</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על הקטין – להוכיח שההסכם נחתם בחוסר תום לב</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על האב – להראות שהוגשה בהליך הקודם תביעה נפרדת בשם הילד</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על מי שמבקש להשאיר את ההחלטה על כנה (בדרך כלל האב) – להראות שבהליך הקודם הייתה התייחסות מהותית לעניינו של הילד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DA1AD"/>
              <w:left w:val="single" w:sz="8" w:space="0" w:color="DDA1AD"/>
              <w:bottom w:val="single" w:sz="8" w:space="0" w:color="DDA1AD"/>
              <w:right w:val="single" w:sz="8" w:space="0" w:color="DDA1A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5304A"/>
              </w:rPr>
              <w:t xml:space="preserve"> 112 </w:t>
            </w:r>
            <w:r>
              <w:rPr>
                <w:rFonts w:ascii="Arial" w:hAnsi="Arial" w:cs="Arial" w:eastAsia="Arial"/>
                <w:sz w:val="20"/>
                <w:szCs w:val="20"/>
                <w:rtl/>
              </w:rPr>
              <w:t xml:space="preserve">  </w:t>
            </w:r>
            <w:r>
              <w:rPr>
                <w:rFonts w:ascii="Arial" w:hAnsi="Arial" w:cs="Arial" w:eastAsia="Arial"/>
                <w:b/>
                <w:bCs/>
                <w:color w:val="111827"/>
                <w:sz w:val="20"/>
                <w:szCs w:val="20"/>
                <w:rtl/>
              </w:rPr>
              <w:t>אב משלם מזונות ילדים לפי הסכם שאושר בבית הדין הרבני לאחר דיון ממשי בצורכי הילדים. בשל ירידה בשכרו, הוא מגיש לבית המשפט לענייני משפחה תביעה להפחתת מזונות בשם הילדים, מכוח מעמדם העצמאי. מה הדין?</w:t>
            </w:r>
          </w:p>
          <w:p>
            <w:pPr>
              <w:bidi/>
              <w:spacing w:before="0" w:after="20" w:line="276" w:lineRule="auto"/>
              <w:ind w:right="400" w:hanging="300"/>
            </w:pPr>
            <w:r>
              <w:rPr>
                <w:rFonts w:ascii="Arial" w:hAnsi="Arial" w:cs="Arial" w:eastAsia="Arial"/>
                <w:b/>
                <w:bCs/>
                <w:color w:val="B5304A"/>
                <w:sz w:val="20"/>
                <w:szCs w:val="20"/>
                <w:rtl/>
              </w:rPr>
              <w:t xml:space="preserve">(א)  </w:t>
            </w:r>
            <w:r>
              <w:rPr>
                <w:rFonts w:ascii="Arial" w:hAnsi="Arial" w:cs="Arial" w:eastAsia="Arial"/>
                <w:color w:val="1F2430"/>
                <w:sz w:val="20"/>
                <w:szCs w:val="20"/>
                <w:rtl/>
              </w:rPr>
              <w:t>התביעה תתקבל, כי הקטין רשאי לפתוח את התביעה בכל ערכאה</w:t>
            </w:r>
          </w:p>
          <w:p>
            <w:pPr>
              <w:bidi/>
              <w:spacing w:before="0" w:after="20" w:line="276" w:lineRule="auto"/>
              <w:ind w:right="400" w:hanging="300"/>
            </w:pPr>
            <w:r>
              <w:rPr>
                <w:rFonts w:ascii="Arial" w:hAnsi="Arial" w:cs="Arial" w:eastAsia="Arial"/>
                <w:b/>
                <w:bCs/>
                <w:color w:val="B5304A"/>
                <w:sz w:val="20"/>
                <w:szCs w:val="20"/>
                <w:rtl/>
              </w:rPr>
              <w:t xml:space="preserve">(ב)  </w:t>
            </w:r>
            <w:r>
              <w:rPr>
                <w:rFonts w:ascii="Arial" w:hAnsi="Arial" w:cs="Arial" w:eastAsia="Arial"/>
                <w:color w:val="1F2430"/>
                <w:sz w:val="20"/>
                <w:szCs w:val="20"/>
                <w:rtl/>
              </w:rPr>
              <w:t>התביעה תתקבל בלי צורך בשינוי נסיבות, כי הנטל על האם</w:t>
            </w:r>
          </w:p>
          <w:p>
            <w:pPr>
              <w:bidi/>
              <w:spacing w:before="0" w:after="20" w:line="276" w:lineRule="auto"/>
              <w:ind w:right="400" w:hanging="300"/>
            </w:pPr>
            <w:r>
              <w:rPr>
                <w:rFonts w:ascii="Arial" w:hAnsi="Arial" w:cs="Arial" w:eastAsia="Arial"/>
                <w:b/>
                <w:bCs/>
                <w:color w:val="B5304A"/>
                <w:sz w:val="20"/>
                <w:szCs w:val="20"/>
                <w:rtl/>
              </w:rPr>
              <w:t xml:space="preserve">(ג)  </w:t>
            </w:r>
            <w:r>
              <w:rPr>
                <w:rFonts w:ascii="Arial" w:hAnsi="Arial" w:cs="Arial" w:eastAsia="Arial"/>
                <w:color w:val="1F2430"/>
                <w:sz w:val="20"/>
                <w:szCs w:val="20"/>
                <w:rtl/>
              </w:rPr>
              <w:t>התביעה אינה מכוח מעמד הקטין: אי אפשר לטעון בשם הילד להפחתת מזונותיו; זו תביעה רגילה בשינוי נסיבות, שיש להגישה לערכאה שדנה ופסקה</w:t>
            </w:r>
          </w:p>
          <w:p>
            <w:pPr>
              <w:bidi/>
              <w:spacing w:before="0" w:after="20" w:line="276" w:lineRule="auto"/>
              <w:ind w:right="400" w:hanging="300"/>
            </w:pPr>
            <w:r>
              <w:rPr>
                <w:rFonts w:ascii="Arial" w:hAnsi="Arial" w:cs="Arial" w:eastAsia="Arial"/>
                <w:b/>
                <w:bCs/>
                <w:color w:val="B5304A"/>
                <w:sz w:val="20"/>
                <w:szCs w:val="20"/>
                <w:rtl/>
              </w:rPr>
              <w:t xml:space="preserve">(ד)  </w:t>
            </w:r>
            <w:r>
              <w:rPr>
                <w:rFonts w:ascii="Arial" w:hAnsi="Arial" w:cs="Arial" w:eastAsia="Arial"/>
                <w:color w:val="1F2430"/>
                <w:sz w:val="20"/>
                <w:szCs w:val="20"/>
                <w:rtl/>
              </w:rPr>
              <w:t>התביעה תידחה, כי מזונות ילדים לעולם אינם ניתנים להפחתה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4</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85-ב</w:t>
      </w:r>
      <w:r>
        <w:rPr>
          <w:rFonts w:ascii="Arial" w:hAnsi="Arial" w:cs="Arial" w:eastAsia="Arial"/>
          <w:sz w:val="20"/>
          <w:szCs w:val="20"/>
          <w:rtl/>
        </w:rPr>
        <w:t xml:space="preserve">   </w:t>
      </w:r>
      <w:r>
        <w:rPr>
          <w:rFonts w:ascii="Arial" w:hAnsi="Arial" w:cs="Arial" w:eastAsia="Arial"/>
          <w:b/>
          <w:bCs/>
          <w:color w:val="1F2430"/>
          <w:sz w:val="20"/>
          <w:szCs w:val="20"/>
          <w:rtl/>
        </w:rPr>
        <w:t>86-ד</w:t>
      </w:r>
      <w:r>
        <w:rPr>
          <w:rFonts w:ascii="Arial" w:hAnsi="Arial" w:cs="Arial" w:eastAsia="Arial"/>
          <w:sz w:val="20"/>
          <w:szCs w:val="20"/>
          <w:rtl/>
        </w:rPr>
        <w:t xml:space="preserve">   </w:t>
      </w:r>
      <w:r>
        <w:rPr>
          <w:rFonts w:ascii="Arial" w:hAnsi="Arial" w:cs="Arial" w:eastAsia="Arial"/>
          <w:b/>
          <w:bCs/>
          <w:color w:val="1F2430"/>
          <w:sz w:val="20"/>
          <w:szCs w:val="20"/>
          <w:rtl/>
        </w:rPr>
        <w:t>87-א</w:t>
      </w:r>
      <w:r>
        <w:rPr>
          <w:rFonts w:ascii="Arial" w:hAnsi="Arial" w:cs="Arial" w:eastAsia="Arial"/>
          <w:sz w:val="20"/>
          <w:szCs w:val="20"/>
          <w:rtl/>
        </w:rPr>
        <w:t xml:space="preserve">   </w:t>
      </w:r>
      <w:r>
        <w:rPr>
          <w:rFonts w:ascii="Arial" w:hAnsi="Arial" w:cs="Arial" w:eastAsia="Arial"/>
          <w:b/>
          <w:bCs/>
          <w:color w:val="1F2430"/>
          <w:sz w:val="20"/>
          <w:szCs w:val="20"/>
          <w:rtl/>
        </w:rPr>
        <w:t>88-ג</w:t>
      </w:r>
      <w:r>
        <w:rPr>
          <w:rFonts w:ascii="Arial" w:hAnsi="Arial" w:cs="Arial" w:eastAsia="Arial"/>
          <w:sz w:val="20"/>
          <w:szCs w:val="20"/>
          <w:rtl/>
        </w:rPr>
        <w:t xml:space="preserve">   </w:t>
      </w:r>
      <w:r>
        <w:rPr>
          <w:rFonts w:ascii="Arial" w:hAnsi="Arial" w:cs="Arial" w:eastAsia="Arial"/>
          <w:b/>
          <w:bCs/>
          <w:color w:val="1F2430"/>
          <w:sz w:val="20"/>
          <w:szCs w:val="20"/>
          <w:rtl/>
        </w:rPr>
        <w:t>89-ג</w:t>
      </w:r>
      <w:r>
        <w:rPr>
          <w:rFonts w:ascii="Arial" w:hAnsi="Arial" w:cs="Arial" w:eastAsia="Arial"/>
          <w:sz w:val="20"/>
          <w:szCs w:val="20"/>
          <w:rtl/>
        </w:rPr>
        <w:t xml:space="preserve">   </w:t>
      </w:r>
      <w:r>
        <w:rPr>
          <w:rFonts w:ascii="Arial" w:hAnsi="Arial" w:cs="Arial" w:eastAsia="Arial"/>
          <w:b/>
          <w:bCs/>
          <w:color w:val="1F2430"/>
          <w:sz w:val="20"/>
          <w:szCs w:val="20"/>
          <w:rtl/>
        </w:rPr>
        <w:t>90-א</w:t>
      </w:r>
      <w:r>
        <w:rPr>
          <w:rFonts w:ascii="Arial" w:hAnsi="Arial" w:cs="Arial" w:eastAsia="Arial"/>
          <w:sz w:val="20"/>
          <w:szCs w:val="20"/>
          <w:rtl/>
        </w:rPr>
        <w:t xml:space="preserve">   </w:t>
      </w:r>
      <w:r>
        <w:rPr>
          <w:rFonts w:ascii="Arial" w:hAnsi="Arial" w:cs="Arial" w:eastAsia="Arial"/>
          <w:b/>
          <w:bCs/>
          <w:color w:val="1F2430"/>
          <w:sz w:val="20"/>
          <w:szCs w:val="20"/>
          <w:rtl/>
        </w:rPr>
        <w:t>91-ד</w:t>
      </w:r>
      <w:r>
        <w:rPr>
          <w:rFonts w:ascii="Arial" w:hAnsi="Arial" w:cs="Arial" w:eastAsia="Arial"/>
          <w:sz w:val="20"/>
          <w:szCs w:val="20"/>
          <w:rtl/>
        </w:rPr>
        <w:t xml:space="preserve">   </w:t>
      </w:r>
      <w:r>
        <w:rPr>
          <w:rFonts w:ascii="Arial" w:hAnsi="Arial" w:cs="Arial" w:eastAsia="Arial"/>
          <w:b/>
          <w:bCs/>
          <w:color w:val="1F2430"/>
          <w:sz w:val="20"/>
          <w:szCs w:val="20"/>
          <w:rtl/>
        </w:rPr>
        <w:t>92-ב</w:t>
      </w:r>
      <w:r>
        <w:rPr>
          <w:rFonts w:ascii="Arial" w:hAnsi="Arial" w:cs="Arial" w:eastAsia="Arial"/>
          <w:sz w:val="20"/>
          <w:szCs w:val="20"/>
          <w:rtl/>
        </w:rPr>
        <w:t xml:space="preserve">   </w:t>
      </w:r>
      <w:r>
        <w:rPr>
          <w:rFonts w:ascii="Arial" w:hAnsi="Arial" w:cs="Arial" w:eastAsia="Arial"/>
          <w:b/>
          <w:bCs/>
          <w:color w:val="1F2430"/>
          <w:sz w:val="20"/>
          <w:szCs w:val="20"/>
          <w:rtl/>
        </w:rPr>
        <w:t>93-א</w:t>
      </w:r>
      <w:r>
        <w:rPr>
          <w:rFonts w:ascii="Arial" w:hAnsi="Arial" w:cs="Arial" w:eastAsia="Arial"/>
          <w:sz w:val="20"/>
          <w:szCs w:val="20"/>
          <w:rtl/>
        </w:rPr>
        <w:t xml:space="preserve">   </w:t>
      </w:r>
      <w:r>
        <w:rPr>
          <w:rFonts w:ascii="Arial" w:hAnsi="Arial" w:cs="Arial" w:eastAsia="Arial"/>
          <w:b/>
          <w:bCs/>
          <w:color w:val="1F2430"/>
          <w:sz w:val="20"/>
          <w:szCs w:val="20"/>
          <w:rtl/>
        </w:rPr>
        <w:t>94-ב</w:t>
      </w:r>
      <w:r>
        <w:rPr>
          <w:rFonts w:ascii="Arial" w:hAnsi="Arial" w:cs="Arial" w:eastAsia="Arial"/>
          <w:sz w:val="20"/>
          <w:szCs w:val="20"/>
          <w:rtl/>
        </w:rPr>
        <w:t xml:space="preserve">   </w:t>
      </w:r>
      <w:r>
        <w:rPr>
          <w:rFonts w:ascii="Arial" w:hAnsi="Arial" w:cs="Arial" w:eastAsia="Arial"/>
          <w:b/>
          <w:bCs/>
          <w:color w:val="1F2430"/>
          <w:sz w:val="20"/>
          <w:szCs w:val="20"/>
          <w:rtl/>
        </w:rPr>
        <w:t>95-ד</w:t>
      </w:r>
      <w:r>
        <w:rPr>
          <w:rFonts w:ascii="Arial" w:hAnsi="Arial" w:cs="Arial" w:eastAsia="Arial"/>
          <w:sz w:val="20"/>
          <w:szCs w:val="20"/>
          <w:rtl/>
        </w:rPr>
        <w:t xml:space="preserve">   </w:t>
      </w:r>
      <w:r>
        <w:rPr>
          <w:rFonts w:ascii="Arial" w:hAnsi="Arial" w:cs="Arial" w:eastAsia="Arial"/>
          <w:b/>
          <w:bCs/>
          <w:color w:val="1F2430"/>
          <w:sz w:val="20"/>
          <w:szCs w:val="20"/>
          <w:rtl/>
        </w:rPr>
        <w:t>96-ג</w:t>
      </w:r>
      <w:r>
        <w:rPr>
          <w:rFonts w:ascii="Arial" w:hAnsi="Arial" w:cs="Arial" w:eastAsia="Arial"/>
          <w:sz w:val="20"/>
          <w:szCs w:val="20"/>
          <w:rtl/>
        </w:rPr>
        <w:t xml:space="preserve">   </w:t>
      </w:r>
      <w:r>
        <w:rPr>
          <w:rFonts w:ascii="Arial" w:hAnsi="Arial" w:cs="Arial" w:eastAsia="Arial"/>
          <w:b/>
          <w:bCs/>
          <w:color w:val="1F2430"/>
          <w:sz w:val="20"/>
          <w:szCs w:val="20"/>
          <w:rtl/>
        </w:rPr>
        <w:t>97-ד</w:t>
      </w:r>
      <w:r>
        <w:rPr>
          <w:rFonts w:ascii="Arial" w:hAnsi="Arial" w:cs="Arial" w:eastAsia="Arial"/>
          <w:sz w:val="20"/>
          <w:szCs w:val="20"/>
          <w:rtl/>
        </w:rPr>
        <w:t xml:space="preserve">   </w:t>
      </w:r>
      <w:r>
        <w:rPr>
          <w:rFonts w:ascii="Arial" w:hAnsi="Arial" w:cs="Arial" w:eastAsia="Arial"/>
          <w:b/>
          <w:bCs/>
          <w:color w:val="1F2430"/>
          <w:sz w:val="20"/>
          <w:szCs w:val="20"/>
          <w:rtl/>
        </w:rPr>
        <w:t>98-א</w:t>
      </w:r>
      <w:r>
        <w:rPr>
          <w:rFonts w:ascii="Arial" w:hAnsi="Arial" w:cs="Arial" w:eastAsia="Arial"/>
          <w:sz w:val="20"/>
          <w:szCs w:val="20"/>
          <w:rtl/>
        </w:rPr>
        <w:t xml:space="preserve">   </w:t>
      </w:r>
      <w:r>
        <w:rPr>
          <w:rFonts w:ascii="Arial" w:hAnsi="Arial" w:cs="Arial" w:eastAsia="Arial"/>
          <w:b/>
          <w:bCs/>
          <w:color w:val="1F2430"/>
          <w:sz w:val="20"/>
          <w:szCs w:val="20"/>
          <w:rtl/>
        </w:rPr>
        <w:t>99-ב</w:t>
      </w:r>
      <w:r>
        <w:rPr>
          <w:rFonts w:ascii="Arial" w:hAnsi="Arial" w:cs="Arial" w:eastAsia="Arial"/>
          <w:sz w:val="20"/>
          <w:szCs w:val="20"/>
          <w:rtl/>
        </w:rPr>
        <w:t xml:space="preserve">   </w:t>
      </w:r>
      <w:r>
        <w:rPr>
          <w:rFonts w:ascii="Arial" w:hAnsi="Arial" w:cs="Arial" w:eastAsia="Arial"/>
          <w:b/>
          <w:bCs/>
          <w:color w:val="1F2430"/>
          <w:sz w:val="20"/>
          <w:szCs w:val="20"/>
          <w:rtl/>
        </w:rPr>
        <w:t>100-ג</w:t>
      </w:r>
      <w:r>
        <w:rPr>
          <w:rFonts w:ascii="Arial" w:hAnsi="Arial" w:cs="Arial" w:eastAsia="Arial"/>
          <w:sz w:val="20"/>
          <w:szCs w:val="20"/>
          <w:rtl/>
        </w:rPr>
        <w:t xml:space="preserve">   </w:t>
      </w:r>
      <w:r>
        <w:rPr>
          <w:rFonts w:ascii="Arial" w:hAnsi="Arial" w:cs="Arial" w:eastAsia="Arial"/>
          <w:b/>
          <w:bCs/>
          <w:color w:val="1F2430"/>
          <w:sz w:val="20"/>
          <w:szCs w:val="20"/>
          <w:rtl/>
        </w:rPr>
        <w:t>101-ב</w:t>
      </w:r>
      <w:r>
        <w:rPr>
          <w:rFonts w:ascii="Arial" w:hAnsi="Arial" w:cs="Arial" w:eastAsia="Arial"/>
          <w:sz w:val="20"/>
          <w:szCs w:val="20"/>
          <w:rtl/>
        </w:rPr>
        <w:t xml:space="preserve">   </w:t>
      </w:r>
      <w:r>
        <w:rPr>
          <w:rFonts w:ascii="Arial" w:hAnsi="Arial" w:cs="Arial" w:eastAsia="Arial"/>
          <w:b/>
          <w:bCs/>
          <w:color w:val="1F2430"/>
          <w:sz w:val="20"/>
          <w:szCs w:val="20"/>
          <w:rtl/>
        </w:rPr>
        <w:t>102-ד</w:t>
      </w:r>
      <w:r>
        <w:rPr>
          <w:rFonts w:ascii="Arial" w:hAnsi="Arial" w:cs="Arial" w:eastAsia="Arial"/>
          <w:sz w:val="20"/>
          <w:szCs w:val="20"/>
          <w:rtl/>
        </w:rPr>
        <w:t xml:space="preserve">   </w:t>
      </w:r>
      <w:r>
        <w:rPr>
          <w:rFonts w:ascii="Arial" w:hAnsi="Arial" w:cs="Arial" w:eastAsia="Arial"/>
          <w:b/>
          <w:bCs/>
          <w:color w:val="1F2430"/>
          <w:sz w:val="20"/>
          <w:szCs w:val="20"/>
          <w:rtl/>
        </w:rPr>
        <w:t>103-א</w:t>
      </w:r>
      <w:r>
        <w:rPr>
          <w:rFonts w:ascii="Arial" w:hAnsi="Arial" w:cs="Arial" w:eastAsia="Arial"/>
          <w:sz w:val="20"/>
          <w:szCs w:val="20"/>
          <w:rtl/>
        </w:rPr>
        <w:t xml:space="preserve">   </w:t>
      </w:r>
      <w:r>
        <w:rPr>
          <w:rFonts w:ascii="Arial" w:hAnsi="Arial" w:cs="Arial" w:eastAsia="Arial"/>
          <w:b/>
          <w:bCs/>
          <w:color w:val="1F2430"/>
          <w:sz w:val="20"/>
          <w:szCs w:val="20"/>
          <w:rtl/>
        </w:rPr>
        <w:t>104-ג</w:t>
      </w:r>
      <w:r>
        <w:rPr>
          <w:rFonts w:ascii="Arial" w:hAnsi="Arial" w:cs="Arial" w:eastAsia="Arial"/>
          <w:sz w:val="20"/>
          <w:szCs w:val="20"/>
          <w:rtl/>
        </w:rPr>
        <w:t xml:space="preserve">   </w:t>
      </w:r>
      <w:r>
        <w:rPr>
          <w:rFonts w:ascii="Arial" w:hAnsi="Arial" w:cs="Arial" w:eastAsia="Arial"/>
          <w:b/>
          <w:bCs/>
          <w:color w:val="1F2430"/>
          <w:sz w:val="20"/>
          <w:szCs w:val="20"/>
          <w:rtl/>
        </w:rPr>
        <w:t>105-א</w:t>
      </w:r>
      <w:r>
        <w:rPr>
          <w:rFonts w:ascii="Arial" w:hAnsi="Arial" w:cs="Arial" w:eastAsia="Arial"/>
          <w:sz w:val="20"/>
          <w:szCs w:val="20"/>
          <w:rtl/>
        </w:rPr>
        <w:t xml:space="preserve">   </w:t>
      </w:r>
      <w:r>
        <w:rPr>
          <w:rFonts w:ascii="Arial" w:hAnsi="Arial" w:cs="Arial" w:eastAsia="Arial"/>
          <w:b/>
          <w:bCs/>
          <w:color w:val="1F2430"/>
          <w:sz w:val="20"/>
          <w:szCs w:val="20"/>
          <w:rtl/>
        </w:rPr>
        <w:t>106-ד</w:t>
      </w:r>
      <w:r>
        <w:rPr>
          <w:rFonts w:ascii="Arial" w:hAnsi="Arial" w:cs="Arial" w:eastAsia="Arial"/>
          <w:sz w:val="20"/>
          <w:szCs w:val="20"/>
          <w:rtl/>
        </w:rPr>
        <w:t xml:space="preserve">   </w:t>
      </w:r>
      <w:r>
        <w:rPr>
          <w:rFonts w:ascii="Arial" w:hAnsi="Arial" w:cs="Arial" w:eastAsia="Arial"/>
          <w:b/>
          <w:bCs/>
          <w:color w:val="1F2430"/>
          <w:sz w:val="20"/>
          <w:szCs w:val="20"/>
          <w:rtl/>
        </w:rPr>
        <w:t>107-ג</w:t>
      </w:r>
      <w:r>
        <w:rPr>
          <w:rFonts w:ascii="Arial" w:hAnsi="Arial" w:cs="Arial" w:eastAsia="Arial"/>
          <w:sz w:val="20"/>
          <w:szCs w:val="20"/>
          <w:rtl/>
        </w:rPr>
        <w:t xml:space="preserve">   </w:t>
      </w:r>
      <w:r>
        <w:rPr>
          <w:rFonts w:ascii="Arial" w:hAnsi="Arial" w:cs="Arial" w:eastAsia="Arial"/>
          <w:b/>
          <w:bCs/>
          <w:color w:val="1F2430"/>
          <w:sz w:val="20"/>
          <w:szCs w:val="20"/>
          <w:rtl/>
        </w:rPr>
        <w:t>108-ב</w:t>
      </w:r>
      <w:r>
        <w:rPr>
          <w:rFonts w:ascii="Arial" w:hAnsi="Arial" w:cs="Arial" w:eastAsia="Arial"/>
          <w:sz w:val="20"/>
          <w:szCs w:val="20"/>
          <w:rtl/>
        </w:rPr>
        <w:t xml:space="preserve">   </w:t>
      </w:r>
      <w:r>
        <w:rPr>
          <w:rFonts w:ascii="Arial" w:hAnsi="Arial" w:cs="Arial" w:eastAsia="Arial"/>
          <w:b/>
          <w:bCs/>
          <w:color w:val="1F2430"/>
          <w:sz w:val="20"/>
          <w:szCs w:val="20"/>
          <w:rtl/>
        </w:rPr>
        <w:t>109-ב</w:t>
      </w:r>
      <w:r>
        <w:rPr>
          <w:rFonts w:ascii="Arial" w:hAnsi="Arial" w:cs="Arial" w:eastAsia="Arial"/>
          <w:sz w:val="20"/>
          <w:szCs w:val="20"/>
          <w:rtl/>
        </w:rPr>
        <w:t xml:space="preserve">   </w:t>
      </w:r>
      <w:r>
        <w:rPr>
          <w:rFonts w:ascii="Arial" w:hAnsi="Arial" w:cs="Arial" w:eastAsia="Arial"/>
          <w:b/>
          <w:bCs/>
          <w:color w:val="1F2430"/>
          <w:sz w:val="20"/>
          <w:szCs w:val="20"/>
          <w:rtl/>
        </w:rPr>
        <w:t>110-א</w:t>
      </w:r>
      <w:r>
        <w:rPr>
          <w:rFonts w:ascii="Arial" w:hAnsi="Arial" w:cs="Arial" w:eastAsia="Arial"/>
          <w:sz w:val="20"/>
          <w:szCs w:val="20"/>
          <w:rtl/>
        </w:rPr>
        <w:t xml:space="preserve">   </w:t>
      </w:r>
      <w:r>
        <w:rPr>
          <w:rFonts w:ascii="Arial" w:hAnsi="Arial" w:cs="Arial" w:eastAsia="Arial"/>
          <w:b/>
          <w:bCs/>
          <w:color w:val="1F2430"/>
          <w:sz w:val="20"/>
          <w:szCs w:val="20"/>
          <w:rtl/>
        </w:rPr>
        <w:t>111-ד</w:t>
      </w:r>
      <w:r>
        <w:rPr>
          <w:rFonts w:ascii="Arial" w:hAnsi="Arial" w:cs="Arial" w:eastAsia="Arial"/>
          <w:sz w:val="20"/>
          <w:szCs w:val="20"/>
          <w:rtl/>
        </w:rPr>
        <w:t xml:space="preserve">   </w:t>
      </w:r>
      <w:r>
        <w:rPr>
          <w:rFonts w:ascii="Arial" w:hAnsi="Arial" w:cs="Arial" w:eastAsia="Arial"/>
          <w:b/>
          <w:bCs/>
          <w:color w:val="1F2430"/>
          <w:sz w:val="20"/>
          <w:szCs w:val="20"/>
          <w:rtl/>
        </w:rPr>
        <w:t>112-ג</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85 — התשובה הנכונה: ב</w:t>
            </w:r>
          </w:p>
          <w:p>
            <w:pPr>
              <w:bidi/>
              <w:spacing w:before="0" w:after="0" w:line="288" w:lineRule="auto"/>
              <w:jc w:val="both"/>
            </w:pPr>
            <w:r>
              <w:rPr>
                <w:rFonts w:ascii="Arial" w:hAnsi="Arial" w:cs="Arial" w:eastAsia="Arial"/>
                <w:color w:val="1F2430"/>
                <w:sz w:val="19"/>
                <w:szCs w:val="19"/>
                <w:rtl/>
              </w:rPr>
              <w:t>סמכות נמשכת קיימת רק בנושאים מתמשכים מטבעם – משמורת, מזונות אישה ומזונות ילדים – שבהם פסק הדין חל מחודש לחודש. רכוש אינו נושא מתמשך: חלוקה שבוצעה היא סופית ואין לפתוח אותה רק משום שהנסיבות השתנו (וכך גם נפסק בסימה אמיר).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86 — התשובה הנכונה: ד</w:t>
            </w:r>
          </w:p>
          <w:p>
            <w:pPr>
              <w:bidi/>
              <w:spacing w:before="0" w:after="0" w:line="288" w:lineRule="auto"/>
              <w:jc w:val="both"/>
            </w:pPr>
            <w:r>
              <w:rPr>
                <w:rFonts w:ascii="Arial" w:hAnsi="Arial" w:cs="Arial" w:eastAsia="Arial"/>
                <w:color w:val="1F2430"/>
                <w:sz w:val="19"/>
                <w:szCs w:val="19"/>
                <w:rtl/>
              </w:rPr>
              <w:t>כאשר הערכאה הראשונה דנה ופסקה באמת, סמכותה נמשכת וחוזרים אליה – מכוח עקרון הכיבוד ההדדי בין הערכאות. אין בחירה חופשית בין הערכאות, וגם אין צורך בכריכה או הסכמה חדשות: הסמכות נובעת מכך שהערכאה כבר דנה ופסקה.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87 — התשובה הנכונה: א</w:t>
            </w:r>
          </w:p>
          <w:p>
            <w:pPr>
              <w:bidi/>
              <w:spacing w:before="0" w:after="0" w:line="288" w:lineRule="auto"/>
              <w:jc w:val="both"/>
            </w:pPr>
            <w:r>
              <w:rPr>
                <w:rFonts w:ascii="Arial" w:hAnsi="Arial" w:cs="Arial" w:eastAsia="Arial"/>
                <w:color w:val="1F2430"/>
                <w:sz w:val="19"/>
                <w:szCs w:val="19"/>
                <w:rtl/>
              </w:rPr>
              <w:t>בתביעה שנייה באותו נושא מתמשך, אחרי שבית הדין הרבני דן ופסק, הסמכות נמשכת אליו. אין צורך לבחון מחדש את תנאי סעיף 1 (אזרחות, תושבות, בישראל), כי לא מדובר בסמכות מקורית חדשה אלא בהמשך הסמכות שכבר נקנתה.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88 — התשובה הנכונה: ג</w:t>
            </w:r>
          </w:p>
          <w:p>
            <w:pPr>
              <w:bidi/>
              <w:spacing w:before="0" w:after="0" w:line="288" w:lineRule="auto"/>
              <w:jc w:val="both"/>
            </w:pPr>
            <w:r>
              <w:rPr>
                <w:rFonts w:ascii="Arial" w:hAnsi="Arial" w:cs="Arial" w:eastAsia="Arial"/>
                <w:color w:val="1F2430"/>
                <w:sz w:val="19"/>
                <w:szCs w:val="19"/>
                <w:rtl/>
              </w:rPr>
              <w:t>רכוש אינו פסק דין מתמשך, ולכן אין לגביו סמכות נמשכת – והחלוקה סופית. המרצה הבהיר כי ברכוש מדובר בפסק דין סופי שאי אפשר לפתוח משום עילה. המסיח בדבר בית המשפט לענייני משפחה מטעה: היעדר סמכות נמשכת אינו פותח את הדלת לערכאה אחרת, אלא סוגר אותה לגמרי.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89 — התשובה הנכונה: ג</w:t>
            </w:r>
          </w:p>
          <w:p>
            <w:pPr>
              <w:bidi/>
              <w:spacing w:before="0" w:after="0" w:line="288" w:lineRule="auto"/>
              <w:jc w:val="both"/>
            </w:pPr>
            <w:r>
              <w:rPr>
                <w:rFonts w:ascii="Arial" w:hAnsi="Arial" w:cs="Arial" w:eastAsia="Arial"/>
                <w:color w:val="1F2430"/>
                <w:sz w:val="19"/>
                <w:szCs w:val="19"/>
                <w:rtl/>
              </w:rPr>
              <w:t>הסמכות הנמשכת היא יציר הפסיקה (דלת צדדית שאינה כתובה בחוק), והצד הפונה מתלבש על התיק הקיים – בלי כריכה או הסכמה חדשה. היא אינה מוגבלת לבית הדין הרבני: היא נתונה לכל ערכאה שדנה ופסקה. אישור טכני בלבד אינו בגדר דן ופסק.</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90 — התשובה הנכונה: א</w:t>
            </w:r>
          </w:p>
          <w:p>
            <w:pPr>
              <w:bidi/>
              <w:spacing w:before="0" w:after="0" w:line="288" w:lineRule="auto"/>
              <w:jc w:val="both"/>
            </w:pPr>
            <w:r>
              <w:rPr>
                <w:rFonts w:ascii="Arial" w:hAnsi="Arial" w:cs="Arial" w:eastAsia="Arial"/>
                <w:color w:val="1F2430"/>
                <w:sz w:val="19"/>
                <w:szCs w:val="19"/>
                <w:rtl/>
              </w:rPr>
              <w:t>סעיף 1 אינו תופס כי הצדדים כבר גרושים; סעיף 3 מחייב תביעת גירושין תלויה ועומדת; ואין הסכמה לפי סעיף 9. הדלת היחידה היא הסמכות הנמשכת: נושא מתמשך, שינוי נסיבות מהותי ואותה ערכאה. תביעת הפחתה אינה תביעה מכוח מעמד הקטין – אי אפשר לטעון בשם הילד להפחתת מזונותיו.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91 — התשובה הנכונה: ד</w:t>
            </w:r>
          </w:p>
          <w:p>
            <w:pPr>
              <w:bidi/>
              <w:spacing w:before="0" w:after="0" w:line="288" w:lineRule="auto"/>
              <w:jc w:val="both"/>
            </w:pPr>
            <w:r>
              <w:rPr>
                <w:rFonts w:ascii="Arial" w:hAnsi="Arial" w:cs="Arial" w:eastAsia="Arial"/>
                <w:color w:val="1F2430"/>
                <w:sz w:val="19"/>
                <w:szCs w:val="19"/>
                <w:rtl/>
              </w:rPr>
              <w:t>לפי המקראה, בית המשפט העליון הכריע שהלכת בע״מ 919/15 אינה כשלעצמה שינוי נסיבות מהותי, אחרת ייפגעו סופיות הדיון ויציבות חיי המשפחה. רק כאשר יש שינוי עובדתי מהותי (למשל, הילדים עוברים לגור יותר אצל האב) נפתח התיק, והחלת ההלכה החדשה תתוחם לרכיב שהשתנה.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92 — התשובה הנכונה: ב</w:t>
            </w:r>
          </w:p>
          <w:p>
            <w:pPr>
              <w:bidi/>
              <w:spacing w:before="0" w:after="0" w:line="288" w:lineRule="auto"/>
              <w:jc w:val="both"/>
            </w:pPr>
            <w:r>
              <w:rPr>
                <w:rFonts w:ascii="Arial" w:hAnsi="Arial" w:cs="Arial" w:eastAsia="Arial"/>
                <w:color w:val="1F2430"/>
                <w:sz w:val="19"/>
                <w:szCs w:val="19"/>
                <w:rtl/>
              </w:rPr>
              <w:t>סעיף 9 מאפשר תביעה בודדת בענייני מעמד אישי בהסכמת כל הצדדים. המרצה הבהיר: אפוטרופסות כוללת חינוך, ואפשר בבודדת – בלי להתלכלך בתביעת גירושין. לכן אין צורך בכריכה.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93 — התשובה הנכונה: א</w:t>
            </w:r>
          </w:p>
          <w:p>
            <w:pPr>
              <w:bidi/>
              <w:spacing w:before="0" w:after="0" w:line="288" w:lineRule="auto"/>
              <w:jc w:val="both"/>
            </w:pPr>
            <w:r>
              <w:rPr>
                <w:rFonts w:ascii="Arial" w:hAnsi="Arial" w:cs="Arial" w:eastAsia="Arial"/>
                <w:color w:val="1F2430"/>
                <w:sz w:val="19"/>
                <w:szCs w:val="19"/>
                <w:rtl/>
              </w:rPr>
              <w:t>רכוש אי אפשר להביא לבית הדין בהסכמה לפי סעיף 9, גם כששני הצדדים מסכימים, כי הסעיף מוגבל לענייני מעמד אישי (סימן 51) ולירושה. הדרך להביא רכוש לבית הדין היא בעיקר כריכה כדין לתביעת גירושין לפי סעיף 3.</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94 — התשובה הנכונה: ב</w:t>
            </w:r>
          </w:p>
          <w:p>
            <w:pPr>
              <w:bidi/>
              <w:spacing w:before="0" w:after="0" w:line="288" w:lineRule="auto"/>
              <w:jc w:val="both"/>
            </w:pPr>
            <w:r>
              <w:rPr>
                <w:rFonts w:ascii="Arial" w:hAnsi="Arial" w:cs="Arial" w:eastAsia="Arial"/>
                <w:color w:val="1F2430"/>
                <w:sz w:val="19"/>
                <w:szCs w:val="19"/>
                <w:rtl/>
              </w:rPr>
              <w:t>משמורת ואפוטרופסות הם מענייני המעמד האישי, ולכן נכנסים לבית הדין גם בהסכמה לפי סעיף 9. רכוש נכנס רק בכריכה לפי סעיף 3. שני הנושאים ניתנים לכריכה, והסמכות הנמשכת קיימת דווקא במשמורת ולא ברכוש.</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95 — התשובה הנכונה: ד</w:t>
            </w:r>
          </w:p>
          <w:p>
            <w:pPr>
              <w:bidi/>
              <w:spacing w:before="0" w:after="0" w:line="288" w:lineRule="auto"/>
              <w:jc w:val="both"/>
            </w:pPr>
            <w:r>
              <w:rPr>
                <w:rFonts w:ascii="Arial" w:hAnsi="Arial" w:cs="Arial" w:eastAsia="Arial"/>
                <w:color w:val="1F2430"/>
                <w:sz w:val="19"/>
                <w:szCs w:val="19"/>
                <w:rtl/>
              </w:rPr>
              <w:t>בעליית שנות ה-90 התגרשו זוגות מעורבים רבים בהסכמה בבית הדין הרבני. הנשיא ברק קיבל את העתירה וקבע שסעיף 9 חל רק כששני בני הזוג יהודים – בית דין של דת אחת לא ינהל בני זוג משתי דתות. הסכמה מכללא דווקא מספיקה לפי סעיף 9.</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96 — התשובה הנכונה: ג</w:t>
            </w:r>
          </w:p>
          <w:p>
            <w:pPr>
              <w:bidi/>
              <w:spacing w:before="0" w:after="0" w:line="288" w:lineRule="auto"/>
              <w:jc w:val="both"/>
            </w:pPr>
            <w:r>
              <w:rPr>
                <w:rFonts w:ascii="Arial" w:hAnsi="Arial" w:cs="Arial" w:eastAsia="Arial"/>
                <w:color w:val="1F2430"/>
                <w:sz w:val="19"/>
                <w:szCs w:val="19"/>
                <w:rtl/>
              </w:rPr>
              <w:t>לפי הלכת סרגובי, סעיף 9 אינו חל על זוג מעורב, ולכן כל תשובה המבוססת על הסכמה לבית הדין הרבני שגויה. גם סעיף 1 אינו מתקיים, שכן הוא דורש ששניהם יהודים. מקומם בבית המשפט לענייני משפחה (ראו פרק 2).</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97 — התשובה הנכונה: ד</w:t>
            </w:r>
          </w:p>
          <w:p>
            <w:pPr>
              <w:bidi/>
              <w:spacing w:before="0" w:after="0" w:line="288" w:lineRule="auto"/>
              <w:jc w:val="both"/>
            </w:pPr>
            <w:r>
              <w:rPr>
                <w:rFonts w:ascii="Arial" w:hAnsi="Arial" w:cs="Arial" w:eastAsia="Arial"/>
                <w:color w:val="1F2430"/>
                <w:sz w:val="19"/>
                <w:szCs w:val="19"/>
                <w:rtl/>
              </w:rPr>
              <w:t>בית המשפט העליון קבע שההסכמה לפי סעיף 9 יכולה להיות מפורשת או מכללא – מתוך התנהגות או שתיקה. מי שמשיב לגופו של עניין בלי להתנגד לסמכות נחשב כמי שהסכים. הדבר מתחזק מסעיף 15(ד)(4) לחוק יסוד: השפיטה, המחייב לטעון לחוסר סמכות בהזדמנות הראשונה.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98 — התשובה הנכונה: א</w:t>
            </w:r>
          </w:p>
          <w:p>
            <w:pPr>
              <w:bidi/>
              <w:spacing w:before="0" w:after="0" w:line="288" w:lineRule="auto"/>
              <w:jc w:val="both"/>
            </w:pPr>
            <w:r>
              <w:rPr>
                <w:rFonts w:ascii="Arial" w:hAnsi="Arial" w:cs="Arial" w:eastAsia="Arial"/>
                <w:color w:val="1F2430"/>
                <w:sz w:val="19"/>
                <w:szCs w:val="19"/>
                <w:rtl/>
              </w:rPr>
              <w:t>סעיף 15(ד)(4) לחוק יסוד: השפיטה מאפשר לבג״ץ להתערב בהחלטות בתי הדין הדתיים בשאלות סמכות, ובלבד שהמבקש עורר את שאלת הסמכות בהזדמנות הראשונה. מי שהמתין והשיב לגופו של עניין עלול להיחשב כמי שהסכים.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99 — התשובה הנכונה: ב</w:t>
            </w:r>
          </w:p>
          <w:p>
            <w:pPr>
              <w:bidi/>
              <w:spacing w:before="0" w:after="0" w:line="288" w:lineRule="auto"/>
              <w:jc w:val="both"/>
            </w:pPr>
            <w:r>
              <w:rPr>
                <w:rFonts w:ascii="Arial" w:hAnsi="Arial" w:cs="Arial" w:eastAsia="Arial"/>
                <w:color w:val="1F2430"/>
                <w:sz w:val="19"/>
                <w:szCs w:val="19"/>
                <w:rtl/>
              </w:rPr>
              <w:t>לפי המקראה, בעלי דין לא מיוצגים יודעים לטעון לגופו של עניין אך לא לנהל פרוצדורה, ועלולים לאבד את טענת הסמכות. הצטרפות מאוחרת של עורך דין לא תעזור: ההזדמנות הראשונה נבחנת לפי בעל הדין, לא לפי מועד כניסת עורך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100 — התשובה הנכונה: ג</w:t>
            </w:r>
          </w:p>
          <w:p>
            <w:pPr>
              <w:bidi/>
              <w:spacing w:before="0" w:after="0" w:line="288" w:lineRule="auto"/>
              <w:jc w:val="both"/>
            </w:pPr>
            <w:r>
              <w:rPr>
                <w:rFonts w:ascii="Arial" w:hAnsi="Arial" w:cs="Arial" w:eastAsia="Arial"/>
                <w:color w:val="1F2430"/>
                <w:sz w:val="19"/>
                <w:szCs w:val="19"/>
                <w:rtl/>
              </w:rPr>
              <w:t>המרצה השיב שהסכמה מראש אפשרית, אך ראשית לא רוצים להכניס אנשים לסכסוך עוד לפני החתונה, ושנית אי אפשר לחסום אדם מללכת לבית המשפט. ההסכם רק מאפשר למי שמקדים לפנות לבית הדין, ואינו מונע מבן הזוג האחר להקדים לבית המשפט.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101 — התשובה הנכונה: ב</w:t>
            </w:r>
          </w:p>
          <w:p>
            <w:pPr>
              <w:bidi/>
              <w:spacing w:before="0" w:after="0" w:line="288" w:lineRule="auto"/>
              <w:jc w:val="both"/>
            </w:pPr>
            <w:r>
              <w:rPr>
                <w:rFonts w:ascii="Arial" w:hAnsi="Arial" w:cs="Arial" w:eastAsia="Arial"/>
                <w:color w:val="1F2430"/>
                <w:sz w:val="19"/>
                <w:szCs w:val="19"/>
                <w:rtl/>
              </w:rPr>
              <w:t>לפי המרצה, סעיף 3 נועד לרכז את כל הסכסוך במקום אחד כשיש רצון להתגרש, ולכן הוא רחב; סעיף 9 עוסק בתביעות בודדות ושם המחוקק הגביל את הסמכות לענייני מעמד אישי. חוק הבוררות 2026 אינו משנה זאת, שכן הוא מחריג במפורש הליכים בין בני זוג או בני זוג לשעבר.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102 — התשובה הנכונה: ד</w:t>
            </w:r>
          </w:p>
          <w:p>
            <w:pPr>
              <w:bidi/>
              <w:spacing w:before="0" w:after="0" w:line="288" w:lineRule="auto"/>
              <w:jc w:val="both"/>
            </w:pPr>
            <w:r>
              <w:rPr>
                <w:rFonts w:ascii="Arial" w:hAnsi="Arial" w:cs="Arial" w:eastAsia="Arial"/>
                <w:color w:val="1F2430"/>
                <w:sz w:val="19"/>
                <w:szCs w:val="19"/>
                <w:rtl/>
              </w:rPr>
              <w:t>סעיף 1 דורש שהצדדים יהיו אזרחים או תושבים, ולכן תיירים אינם נכנסים אליו בהכרח. לפי סיכום 2026 הנטייה היא לאפשר זאת מכוח סעיף 9 כשיש הסכמה; המקראה מציינת שלא הייתה הכרעה חד-משמעית, אך בית הדין כנראה לא ידחה צדדים שמסכימים.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103 — התשובה הנכונה: א</w:t>
            </w:r>
          </w:p>
          <w:p>
            <w:pPr>
              <w:bidi/>
              <w:spacing w:before="0" w:after="0" w:line="288" w:lineRule="auto"/>
              <w:jc w:val="both"/>
            </w:pPr>
            <w:r>
              <w:rPr>
                <w:rFonts w:ascii="Arial" w:hAnsi="Arial" w:cs="Arial" w:eastAsia="Arial"/>
                <w:color w:val="1F2430"/>
                <w:sz w:val="19"/>
                <w:szCs w:val="19"/>
                <w:rtl/>
              </w:rPr>
              <w:t>תניית שיפוי נועדה להגן על הצד שנתן תמורה בהסכם; הערב מצורף כדי שהפעלתה – גביית כסף מההורה המגדל – לא תפגע בילדים בפועל. התניה והערב הם טענות הגנה, אך אינם שוללים את זכות הילד לתבוע, ואינם יוצרים סמכות לבית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104 — התשובה הנכונה: ג</w:t>
            </w:r>
          </w:p>
          <w:p>
            <w:pPr>
              <w:bidi/>
              <w:spacing w:before="0" w:after="0" w:line="288" w:lineRule="auto"/>
              <w:jc w:val="both"/>
            </w:pPr>
            <w:r>
              <w:rPr>
                <w:rFonts w:ascii="Arial" w:hAnsi="Arial" w:cs="Arial" w:eastAsia="Arial"/>
                <w:color w:val="1F2430"/>
                <w:sz w:val="19"/>
                <w:szCs w:val="19"/>
                <w:rtl/>
              </w:rPr>
              <w:t>אכיפת תניית שיפוי היא תביעה רכושית שאינה כרוכה עוד בתביעת גירושין; סעיף 9 חל רק בענייני מעמד אישי; וסמכות נמשכת קיימת רק במשמורת ובמזונות. הסכם בין הצדדים אינו יכול ליצור לבית הדין סמכות שהחוק לא נתן, ובית הדין אינו יכול לשמש בורר בסכסוך ממוני אזרחי.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105 — התשובה הנכונה: א</w:t>
            </w:r>
          </w:p>
          <w:p>
            <w:pPr>
              <w:bidi/>
              <w:spacing w:before="0" w:after="0" w:line="288" w:lineRule="auto"/>
              <w:jc w:val="both"/>
            </w:pPr>
            <w:r>
              <w:rPr>
                <w:rFonts w:ascii="Arial" w:hAnsi="Arial" w:cs="Arial" w:eastAsia="Arial"/>
                <w:color w:val="1F2430"/>
                <w:sz w:val="19"/>
                <w:szCs w:val="19"/>
                <w:rtl/>
              </w:rPr>
              <w:t>זהו אירוע בנוסח סימה אמיר: אין תביעת גירושין תלויה ועומדת לכרוך אליה, רכוש אינו נכנס בסעיף 9, אין סמכות נמשכת ברכוש ובית הדין אינו יכול לשמש בורר או לאכוף חוזים אזרחיים. הכיתוב על פי דין תורה אינו יוצר סמכות, וגם הקדמת ההגשה אינה מועילה כשאין לבית הדין סמכות בכלל.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106 — התשובה הנכונה: ד</w:t>
            </w:r>
          </w:p>
          <w:p>
            <w:pPr>
              <w:bidi/>
              <w:spacing w:before="0" w:after="0" w:line="288" w:lineRule="auto"/>
              <w:jc w:val="both"/>
            </w:pPr>
            <w:r>
              <w:rPr>
                <w:rFonts w:ascii="Arial" w:hAnsi="Arial" w:cs="Arial" w:eastAsia="Arial"/>
                <w:color w:val="1F2430"/>
                <w:sz w:val="19"/>
                <w:szCs w:val="19"/>
                <w:rtl/>
              </w:rPr>
              <w:t>לפי מה שנלמד, בית דין לעניין חוק הבוררות הוא בית דין רבני ובית דין שרעי. החוק מאפשר להם לדון כבוררים בעניין אזרחי בתנאים שבחוק.</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107 — התשובה הנכונה: ג</w:t>
            </w:r>
          </w:p>
          <w:p>
            <w:pPr>
              <w:bidi/>
              <w:spacing w:before="0" w:after="0" w:line="288" w:lineRule="auto"/>
              <w:jc w:val="both"/>
            </w:pPr>
            <w:r>
              <w:rPr>
                <w:rFonts w:ascii="Arial" w:hAnsi="Arial" w:cs="Arial" w:eastAsia="Arial"/>
                <w:color w:val="1F2430"/>
                <w:sz w:val="19"/>
                <w:szCs w:val="19"/>
                <w:rtl/>
              </w:rPr>
              <w:t>החוק דורש הסכמה בכתב – חתימה על טופס בוררות; כאן אין הסכמה בשתיקה או בהתנהגות, בשונה מסעיף 9. בנוסף נדרשת זיקה: סמכות במעמד אישי כלפי אחד הצדדים לפחות, או שכל הצדדים תאגידים – כדי ששני אנשים זרים לבית הדין לא יהפכו אותו סתם לבורר.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108 — התשובה הנכונה: ב</w:t>
            </w:r>
          </w:p>
          <w:p>
            <w:pPr>
              <w:bidi/>
              <w:spacing w:before="0" w:after="0" w:line="288" w:lineRule="auto"/>
              <w:jc w:val="both"/>
            </w:pPr>
            <w:r>
              <w:rPr>
                <w:rFonts w:ascii="Arial" w:hAnsi="Arial" w:cs="Arial" w:eastAsia="Arial"/>
                <w:color w:val="1F2430"/>
                <w:sz w:val="19"/>
                <w:szCs w:val="19"/>
                <w:rtl/>
              </w:rPr>
              <w:t>החוק מחריג במפורש עניין פלילי, עניין מנהלי, עניין שכבר בסמכות בית הדין מכוח חוק, ועניין הנוגע להליך בין בני זוג או בני זוג לשעבר. החריג האחרון מתחבר ישירות לסימה אמיר: החוק החדש אינו הופך את ההלכה לגבי סכסוך רכושי בין בני זוג או גרושים.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109 — התשובה הנכונה: ב</w:t>
            </w:r>
          </w:p>
          <w:p>
            <w:pPr>
              <w:bidi/>
              <w:spacing w:before="0" w:after="0" w:line="288" w:lineRule="auto"/>
              <w:jc w:val="both"/>
            </w:pPr>
            <w:r>
              <w:rPr>
                <w:rFonts w:ascii="Arial" w:hAnsi="Arial" w:cs="Arial" w:eastAsia="Arial"/>
                <w:color w:val="1F2430"/>
                <w:sz w:val="19"/>
                <w:szCs w:val="19"/>
                <w:rtl/>
              </w:rPr>
              <w:t>הקטין אינו כבול להסכם הוריו. כשהערכאה לא דנה ופסקה בעניינו לפי המבחן המהותי, הוא רשאי לתבוע בכל ערכאה, ואינו צריך להוכיח שינוי נסיבות – טענתו היא שכבר בהליך הראשון זכויותיו לא נשקלו. זו עילה שונה מסמכות נמשכת, המחייבת שינוי נסיבות וחזרה לאותה ערכאה.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110 — התשובה הנכונה: א</w:t>
            </w:r>
          </w:p>
          <w:p>
            <w:pPr>
              <w:bidi/>
              <w:spacing w:before="0" w:after="0" w:line="288" w:lineRule="auto"/>
              <w:jc w:val="both"/>
            </w:pPr>
            <w:r>
              <w:rPr>
                <w:rFonts w:ascii="Arial" w:hAnsi="Arial" w:cs="Arial" w:eastAsia="Arial"/>
                <w:color w:val="1F2430"/>
                <w:sz w:val="19"/>
                <w:szCs w:val="19"/>
                <w:rtl/>
              </w:rPr>
              <w:t>המבחן הפרוצדורלי של עברון הוחלף במבחן המהותי. בודקים מה באמת קרה בדיון: האם נשאלו שאלות על הילד, נבדקו צרכיו ומזונותיו, הנושא נרשם בפרוטוקול ואולי התקבלה חוות דעת. הצהרת ההורים שהם פועלים בשם הילד אינה מעלה ואינה מורידה (משקה, עברון).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111 — התשובה הנכונה: ד</w:t>
            </w:r>
          </w:p>
          <w:p>
            <w:pPr>
              <w:bidi/>
              <w:spacing w:before="0" w:after="0" w:line="288" w:lineRule="auto"/>
              <w:jc w:val="both"/>
            </w:pPr>
            <w:r>
              <w:rPr>
                <w:rFonts w:ascii="Arial" w:hAnsi="Arial" w:cs="Arial" w:eastAsia="Arial"/>
                <w:color w:val="1F2430"/>
                <w:sz w:val="19"/>
                <w:szCs w:val="19"/>
                <w:rtl/>
              </w:rPr>
              <w:t>בזכות מעמדו העצמאי הנטל אינו על הילד אלא על מי שרוצה לשמר את ההחלטה. האב צריך להראות דן ופסק לפי המבחן המהותי – די בהתייחסות כלשהי, עדיף מתועדת בפרוטוקול, ואין צורך להראות תביעה נפרדת. המסיח בדבר תביעה נפרדת בשם הילד משקף את המבחן הפרוצדורלי שהוחלף.</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112 — התשובה הנכונה: ג</w:t>
            </w:r>
          </w:p>
          <w:p>
            <w:pPr>
              <w:bidi/>
              <w:spacing w:before="0" w:after="0" w:line="288" w:lineRule="auto"/>
              <w:jc w:val="both"/>
            </w:pPr>
            <w:r>
              <w:rPr>
                <w:rFonts w:ascii="Arial" w:hAnsi="Arial" w:cs="Arial" w:eastAsia="Arial"/>
                <w:color w:val="1F2430"/>
                <w:sz w:val="19"/>
                <w:szCs w:val="19"/>
                <w:rtl/>
              </w:rPr>
              <w:t>תביעה להפחתת מזונות אינה נחשבת תביעה מכוח מעמדו העצמאי של הקטין – הרעיון הוא שהילד מבקש לשפר את מעמדו, לא להרע אותו. זו תביעה רגילה מכוח שינוי נסיבות, ולכן היא אינה עוקפת את מירוץ הסמכויות וחוזרת לבית הדין שדן ופסק. מזונות ניתנים להפחתה בשינוי נסיבות מהותי, אך תביעות כאלה נדחות לרוב.</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C25A12"/>
            <w:tcBorders>
              <w:top w:val="single" w:sz="4" w:space="0" w:color="C25A12"/>
              <w:left w:val="single" w:sz="4" w:space="0" w:color="C25A12"/>
              <w:bottom w:val="single" w:sz="4" w:space="0" w:color="C25A12"/>
              <w:right w:val="single" w:sz="4" w:space="0" w:color="C25A12"/>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5</w:t>
            </w:r>
          </w:p>
          <w:p>
            <w:pPr>
              <w:bidi/>
              <w:spacing w:before="0" w:after="0" w:line="264" w:lineRule="auto"/>
              <w:outlineLvl w:val="0"/>
            </w:pPr>
            <w:r>
              <w:rPr>
                <w:rFonts w:ascii="Arial" w:hAnsi="Arial" w:cs="Arial" w:eastAsia="Arial"/>
                <w:b/>
                <w:bCs/>
                <w:color w:val="FFFFFF"/>
                <w:sz w:val="42"/>
                <w:szCs w:val="42"/>
                <w:rtl/>
              </w:rPr>
              <w:t>בית המשפט לענייני משפחה והליך יישוב הסכסוך</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113 </w:t>
            </w:r>
            <w:r>
              <w:rPr>
                <w:rFonts w:ascii="Arial" w:hAnsi="Arial" w:cs="Arial" w:eastAsia="Arial"/>
                <w:sz w:val="20"/>
                <w:szCs w:val="20"/>
                <w:rtl/>
              </w:rPr>
              <w:t xml:space="preserve">  </w:t>
            </w:r>
            <w:r>
              <w:rPr>
                <w:rFonts w:ascii="Arial" w:hAnsi="Arial" w:cs="Arial" w:eastAsia="Arial"/>
                <w:b/>
                <w:bCs/>
                <w:color w:val="111827"/>
                <w:sz w:val="20"/>
                <w:szCs w:val="20"/>
                <w:rtl/>
              </w:rPr>
              <w:t>מהי מטרתו של חוק להסדר התדיינויות בסכסוכי משפחה, התשע״ה-2014, כפי שנקבעה בסעיף 1 לחוק?</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ליצור שלום בית בין בני זוג ולהחזירם לחיים משותפים</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לפתור את הסכסוך בין בני הזוג בדרך של גישור חובה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לסייע לבני זוג ולהורים וילדיהם ליישב סכסוך משפחתי ביניהם בהסכמה ובדרכי שלום ולצמצם את הצורך בהתדיינות משפטית</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להעביר את כל הסכסוכים המשפחתיים לבית המשפט לענייני משפחה ולמנוע מירוץ סמכויות לבית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114 </w:t>
            </w:r>
            <w:r>
              <w:rPr>
                <w:rFonts w:ascii="Arial" w:hAnsi="Arial" w:cs="Arial" w:eastAsia="Arial"/>
                <w:sz w:val="20"/>
                <w:szCs w:val="20"/>
                <w:rtl/>
              </w:rPr>
              <w:t xml:space="preserve">  </w:t>
            </w:r>
            <w:r>
              <w:rPr>
                <w:rFonts w:ascii="Arial" w:hAnsi="Arial" w:cs="Arial" w:eastAsia="Arial"/>
                <w:b/>
                <w:bCs/>
                <w:color w:val="111827"/>
                <w:sz w:val="20"/>
                <w:szCs w:val="20"/>
                <w:rtl/>
              </w:rPr>
              <w:t>המבקש להגיש לערכאה שיפוטית תובענה בעניין של סכסוך משפחתי, יגיש תחילה לערכאה השיפוטית:</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כתב תביעה מנומק</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פירוט נושא הסכסוך ומרכיביו</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אין חובה להגיש דבר לפני הדיון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115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תוכנה של 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הבקשה צריכה לפרט את עילות התביעה כדי שיחידת הסיוע תוכל להיערך</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הבקשה צריכה לכלול טענות לעניין סמכות הערכאה, אחרת ייחשב המבקש כמי שהסכים לסמכותה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הבקשה תכלול את העובדות המרכזיות בלבד, ללא טענות משפטיות</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הבקשה לא תכלול טענות או עובדות בקשר לסכסוך או בקשר לסמכות השיפוט של הערכאה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116 </w:t>
            </w:r>
            <w:r>
              <w:rPr>
                <w:rFonts w:ascii="Arial" w:hAnsi="Arial" w:cs="Arial" w:eastAsia="Arial"/>
                <w:sz w:val="20"/>
                <w:szCs w:val="20"/>
                <w:rtl/>
              </w:rPr>
              <w:t xml:space="preserve">  </w:t>
            </w:r>
            <w:r>
              <w:rPr>
                <w:rFonts w:ascii="Arial" w:hAnsi="Arial" w:cs="Arial" w:eastAsia="Arial"/>
                <w:b/>
                <w:bCs/>
                <w:color w:val="111827"/>
                <w:sz w:val="20"/>
                <w:szCs w:val="20"/>
                <w:rtl/>
              </w:rPr>
              <w:t>לאחר הגשת בקשה ליישוב סכסוך, לכמה פגישות מהו״ת יוזמנו הצדדים?</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לשתי פגישות בדיוק: אחת לכל צד</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לארבע פגישות, ויחידת הסיוע רשאית לקיים מספר קטן יותר של פגישות לפי שיקול דעתה המקצועי</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לארבע פגישות לפחות, ויחידת הסיוע רשאית להוסיף פגישות כרצונה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לפגישה אחת, ולאחריה רשאי כל צד להגיש תביעה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117 </w:t>
            </w:r>
            <w:r>
              <w:rPr>
                <w:rFonts w:ascii="Arial" w:hAnsi="Arial" w:cs="Arial" w:eastAsia="Arial"/>
                <w:sz w:val="20"/>
                <w:szCs w:val="20"/>
                <w:rtl/>
              </w:rPr>
              <w:t xml:space="preserve">  </w:t>
            </w:r>
            <w:r>
              <w:rPr>
                <w:rFonts w:ascii="Arial" w:hAnsi="Arial" w:cs="Arial" w:eastAsia="Arial"/>
                <w:b/>
                <w:bCs/>
                <w:color w:val="111827"/>
                <w:sz w:val="20"/>
                <w:szCs w:val="20"/>
                <w:rtl/>
              </w:rPr>
              <w:t>בתוך כמה זמן יתקיימו פגישות המהו״ת?</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בתוך 30 ימים מיום הגשת הבקשה, ללא אפשרות הארכה</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בתוך 60 ימים מיום הגשת הבקשה, וניתן להאריך פעמיים ב-15 ימים</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בתוך 45 ימים מיום הגשת הבקשה, ויחידת הסיוע רשאית להאריך את התקופה פעם אחת ב-15 ימים</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בתוך 45 ימים מיום הגשת הבקשה, ובית המשפט בלבד רשאי להאריך את התקופה ב-30 ימים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118 </w:t>
            </w:r>
            <w:r>
              <w:rPr>
                <w:rFonts w:ascii="Arial" w:hAnsi="Arial" w:cs="Arial" w:eastAsia="Arial"/>
                <w:sz w:val="20"/>
                <w:szCs w:val="20"/>
                <w:rtl/>
              </w:rPr>
              <w:t xml:space="preserve">  </w:t>
            </w:r>
            <w:r>
              <w:rPr>
                <w:rFonts w:ascii="Arial" w:hAnsi="Arial" w:cs="Arial" w:eastAsia="Arial"/>
                <w:b/>
                <w:bCs/>
                <w:color w:val="111827"/>
                <w:sz w:val="20"/>
                <w:szCs w:val="20"/>
                <w:rtl/>
              </w:rPr>
              <w:t>תקופת המהו״ת הוארכה ב-15 ימים. מהי תקופת עיכוב ההליכים, בהיעדר החלטה אחרת של הערכאה ובהיעדר הסכמה בכתב של הצדדים?</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75 ימים מיום הגשת הבקשה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60 ימים מיום הגשת הבקשה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90 ימים מיום הגשת הבקשה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45 ימים מתום פגישת המהו״ת האחרונה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119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תקופת עיכוב ההליכים לפי סעיף 3(ה) לחוק ההסדר?</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הצדדים רשאים להגיש תביעות, אך הערכאה לא תדון בהן עד תום התקופה</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ניתן להגיש בתקופה זו רק תביעות לבית הדין הרבני</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הערכאה רשאית לדון בתקופה זו רק בשאלת סמכותה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הצדדים לא יוכלו להגיש תובענה בעניין הסכסוך המשפחתי לשום ערכאה, ואף ערכאה לא תדון בה, לרבות בעניין סמכות השיפוט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120 </w:t>
            </w:r>
            <w:r>
              <w:rPr>
                <w:rFonts w:ascii="Arial" w:hAnsi="Arial" w:cs="Arial" w:eastAsia="Arial"/>
                <w:sz w:val="20"/>
                <w:szCs w:val="20"/>
                <w:rtl/>
              </w:rPr>
              <w:t xml:space="preserve">  </w:t>
            </w:r>
            <w:r>
              <w:rPr>
                <w:rFonts w:ascii="Arial" w:hAnsi="Arial" w:cs="Arial" w:eastAsia="Arial"/>
                <w:b/>
                <w:bCs/>
                <w:color w:val="111827"/>
                <w:sz w:val="20"/>
                <w:szCs w:val="20"/>
                <w:rtl/>
              </w:rPr>
              <w:t>חלפה תקופת עיכוב ההליכים ולא הושג הסדר. מי רשאי להגיש תובענה בתוך 15 הימים הראשונים?</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כל אחד מהצדדים, לפי מי שיקדים</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הצד שהגיש תחילה את הבקשה ליישוב הסכסוך, לכל ערכאה שיפוטית שלה סמכות לדון בעניין לפי דין</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הצד שהגיש תחילה את הבקשה, ורק לערכאה שבה הוגשה הבקשה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האישה בלבד, בשל הסמכות המקבילה בענייני 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121 </w:t>
            </w:r>
            <w:r>
              <w:rPr>
                <w:rFonts w:ascii="Arial" w:hAnsi="Arial" w:cs="Arial" w:eastAsia="Arial"/>
                <w:sz w:val="20"/>
                <w:szCs w:val="20"/>
                <w:rtl/>
              </w:rPr>
              <w:t xml:space="preserve">  </w:t>
            </w:r>
            <w:r>
              <w:rPr>
                <w:rFonts w:ascii="Arial" w:hAnsi="Arial" w:cs="Arial" w:eastAsia="Arial"/>
                <w:b/>
                <w:bCs/>
                <w:color w:val="111827"/>
                <w:sz w:val="20"/>
                <w:szCs w:val="20"/>
                <w:rtl/>
              </w:rPr>
              <w:t>יוסף הגיש לבית המשפט לענייני משפחה בקשה ליישוב סכסוך נגד אשתו ברכה. כעבור שבועיים התייצבו בני הזוג לפגישת מהו״ת, הפגישה נכשלה ותקופת עיכוב ההליכים לא הוארכה. כשחלפו 61 ימים מיום הגשת הבקשה, הגישה ברכה לבית המשפט לענייני משפחה תביעה למזונות אישה. למחרת הגיש יוסף לבית הדין הרבני תביעת גירושין וכרך בה את מזונות האישה. איזו תביעה דינה להימחק?</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בית הדין הרבני ימחק את תביעת יוסף בעניין מזונות האישה, כי ברכה קדמה לו ובית המשפט קנה סמכות</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בית הדין הרבני ימחק את תביעת יוסף, כי היה עליו להגיש לערכאה שבה הוגשה הבקשה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בית המשפט לענייני משפחה ימחק את תביעת ברכה למזונות אישה, כי לא הייתה לה זכות להגיש תביעה במועד זה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שתי התביעות יימחקו, כי טרם חלפו 60 ימים מהפגישה האחרונה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122 </w:t>
            </w:r>
            <w:r>
              <w:rPr>
                <w:rFonts w:ascii="Arial" w:hAnsi="Arial" w:cs="Arial" w:eastAsia="Arial"/>
                <w:sz w:val="20"/>
                <w:szCs w:val="20"/>
                <w:rtl/>
              </w:rPr>
              <w:t xml:space="preserve">  </w:t>
            </w:r>
            <w:r>
              <w:rPr>
                <w:rFonts w:ascii="Arial" w:hAnsi="Arial" w:cs="Arial" w:eastAsia="Arial"/>
                <w:b/>
                <w:bCs/>
                <w:color w:val="111827"/>
                <w:sz w:val="20"/>
                <w:szCs w:val="20"/>
                <w:rtl/>
              </w:rPr>
              <w:t>לפי תקנות להסדר התדיינויות בסכסוכי משפחה, מה הדין לגבי השתתפות עורכי דין בפגישות המהו״ת?</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לפגישה הראשונה יתייצבו הצדדים לבדם. לפגישה שיועדה לנסות ליישב את הסכסוך המשפטי רשאים הצדדים לצרף את באי כוחם</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עורכי דין רשאים להשתתף בכל הפגישות, כולל הראשונה, אם הצדדים הסכימו לכך</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עורכי דין אינם רשאים להשתתף באף פגישה, ואף לא בפגישה שיועדה ליישוב המשפטי</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צד רשאי לשלוח את עורך דינו במקומו לכל פגישה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123 </w:t>
            </w:r>
            <w:r>
              <w:rPr>
                <w:rFonts w:ascii="Arial" w:hAnsi="Arial" w:cs="Arial" w:eastAsia="Arial"/>
                <w:sz w:val="20"/>
                <w:szCs w:val="20"/>
                <w:rtl/>
              </w:rPr>
              <w:t xml:space="preserve">  </w:t>
            </w:r>
            <w:r>
              <w:rPr>
                <w:rFonts w:ascii="Arial" w:hAnsi="Arial" w:cs="Arial" w:eastAsia="Arial"/>
                <w:b/>
                <w:bCs/>
                <w:color w:val="111827"/>
                <w:sz w:val="20"/>
                <w:szCs w:val="20"/>
                <w:rtl/>
              </w:rPr>
              <w:t>איזה מההליכים הבאים אינו ״תובענה״ לפי חוק ההסדר, ולכן אינו מחייב הגשת 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בקשה למתן סעד זמני</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תביעה להגדלת מזונות ילדים</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תביעה לחלוקת רכוש בין בני זוג</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בקשה לאישור הסכם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124 </w:t>
            </w:r>
            <w:r>
              <w:rPr>
                <w:rFonts w:ascii="Arial" w:hAnsi="Arial" w:cs="Arial" w:eastAsia="Arial"/>
                <w:sz w:val="20"/>
                <w:szCs w:val="20"/>
                <w:rtl/>
              </w:rPr>
              <w:t xml:space="preserve">  </w:t>
            </w:r>
            <w:r>
              <w:rPr>
                <w:rFonts w:ascii="Arial" w:hAnsi="Arial" w:cs="Arial" w:eastAsia="Arial"/>
                <w:b/>
                <w:bCs/>
                <w:color w:val="111827"/>
                <w:sz w:val="20"/>
                <w:szCs w:val="20"/>
                <w:rtl/>
              </w:rPr>
              <w:t>בני זוג נשואים כדמו״י הסכימו להתגרש ומבקשים להגיש תביעת גירושין משותפת. האם עליהם להגיש קודם 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כן, כל עניין של נישואין וגירושין מחייב הליך יישוב סכסוך</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לא, תובענה לגירושין שהוגשה בהסכמת הצדדים הוחרגה במפורש מסעיף 2 לחוק</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כן, אלא אם הם מגישים אותה לבית הדין הרבני</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לא, משום שחוק ההסדר אינו חל על בני זוג נשואים כדמו״י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125 </w:t>
            </w:r>
            <w:r>
              <w:rPr>
                <w:rFonts w:ascii="Arial" w:hAnsi="Arial" w:cs="Arial" w:eastAsia="Arial"/>
                <w:sz w:val="20"/>
                <w:szCs w:val="20"/>
                <w:rtl/>
              </w:rPr>
              <w:t xml:space="preserve">  </w:t>
            </w:r>
            <w:r>
              <w:rPr>
                <w:rFonts w:ascii="Arial" w:hAnsi="Arial" w:cs="Arial" w:eastAsia="Arial"/>
                <w:b/>
                <w:bCs/>
                <w:color w:val="111827"/>
                <w:sz w:val="20"/>
                <w:szCs w:val="20"/>
                <w:rtl/>
              </w:rPr>
              <w:t>לפי סעיף 2(6) לחוק ההסדר, מיהו ״צעיר״ שתביעת מזונותיו או סכסוכו עם הוריו מחייבים יישוב סכסוך?</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קטין שטרם מלאו לו 18 שנים</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חייל בשירות סדיר בלבד</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בגיר שטרם מלאו לו 21 שנים</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בגיר שטרם מלאו לו 25 שנים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126 </w:t>
            </w:r>
            <w:r>
              <w:rPr>
                <w:rFonts w:ascii="Arial" w:hAnsi="Arial" w:cs="Arial" w:eastAsia="Arial"/>
                <w:sz w:val="20"/>
                <w:szCs w:val="20"/>
                <w:rtl/>
              </w:rPr>
              <w:t xml:space="preserve">  </w:t>
            </w:r>
            <w:r>
              <w:rPr>
                <w:rFonts w:ascii="Arial" w:hAnsi="Arial" w:cs="Arial" w:eastAsia="Arial"/>
                <w:b/>
                <w:bCs/>
                <w:color w:val="111827"/>
                <w:sz w:val="20"/>
                <w:szCs w:val="20"/>
                <w:rtl/>
              </w:rPr>
              <w:t>סבא ונכדו שותפים בחנות, ופרץ ביניהם סכסוך כספי. הסבא מבקש לתבוע את הנכד. האם עליו להגיש קודם בקשה ליישוב סכסוך?</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לא, חוק ההסדר חל רק על בני זוג, הורים, והורים וילדיהם</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כן, כל ״בן משפחה״ לפי חוק בית המשפט לענייני משפחה כפוף לחוק ההסדר</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כן, אם התביעה תוגש לבית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לא, אלא אם שווי התביעה עולה על 2.5 מיליון ש״ח</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127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הוא הוקם בדרגת בית משפט מחוזי, ולכן הערעור על פסקי דינו הוא בזכות לבית המשפט העליון</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הוא הוקם בדרגת בית משפט שלום, ולכן הערעור על פסקי דינו הוא ברשות בלבד לבית המשפט המחוזי</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חוק בית המשפט לענייני משפחה קבע כי בכל עניין הנדון בו יחול הדין האזרחי</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הוא הוקם בדרגת בית משפט שלום. ערעור על פסק דינו הוא בזכות לבית המשפט המחוזי, ומשם ברשות לבית המשפט העליון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128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אינו אחד החסרונות של המצב שקדם להקמת בית המשפט לענייני משפחה, כפי שנמנו בקורס?</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פתרונות שאינם גלובליים: כל שופט ראה רק חלק מהסכסוך</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העדר סמכות לבתי המשפט האזרחיים לדון בענייני מעמד אישי</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סדרי דין וראיות נוקשים</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פגיעה בפרטיות והגדלת ההוצאות המשפטיות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129 </w:t>
            </w:r>
            <w:r>
              <w:rPr>
                <w:rFonts w:ascii="Arial" w:hAnsi="Arial" w:cs="Arial" w:eastAsia="Arial"/>
                <w:sz w:val="20"/>
                <w:szCs w:val="20"/>
                <w:rtl/>
              </w:rPr>
              <w:t xml:space="preserve">  </w:t>
            </w:r>
            <w:r>
              <w:rPr>
                <w:rFonts w:ascii="Arial" w:hAnsi="Arial" w:cs="Arial" w:eastAsia="Arial"/>
                <w:b/>
                <w:bCs/>
                <w:color w:val="111827"/>
                <w:sz w:val="20"/>
                <w:szCs w:val="20"/>
                <w:rtl/>
              </w:rPr>
              <w:t>איזה מההיגדים הבאים משקף נכון את סעיף 8(א) לחוק 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בית המשפט לענייני משפחה פטור לחלוטין מכל דיני הראיות וסדרי הדין, ובכלל זה מחסיונות</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בכל עניין של דיני ראיות וסדרי דין רשאי בית המשפט לנהוג כרצונו, אך אינו רשאי לסטות מתקנות סדר הדין האזרחי</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בכל עניין של דיני ראיות וסדרי דין שאין עליו הוראה אחרת לפי החוק, ינהג בית המשפט בדרך הנראית לו הטובה ביותר לעשיית משפט צדק, ואין בכך כדי לגרוע מחסיונות</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בית המשפט לענייני משפחה כפוף לדיני הראיות וסדרי הדין החלים בבית משפט השלום, ללא גמישות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130 </w:t>
            </w:r>
            <w:r>
              <w:rPr>
                <w:rFonts w:ascii="Arial" w:hAnsi="Arial" w:cs="Arial" w:eastAsia="Arial"/>
                <w:sz w:val="20"/>
                <w:szCs w:val="20"/>
                <w:rtl/>
              </w:rPr>
              <w:t xml:space="preserve">  </w:t>
            </w:r>
            <w:r>
              <w:rPr>
                <w:rFonts w:ascii="Arial" w:hAnsi="Arial" w:cs="Arial" w:eastAsia="Arial"/>
                <w:b/>
                <w:bCs/>
                <w:color w:val="111827"/>
                <w:sz w:val="20"/>
                <w:szCs w:val="20"/>
                <w:rtl/>
              </w:rPr>
              <w:t>יעקב ולאה מתדיינים בבית המשפט לענייני משפחה. לאה הגישה הקלטה של יעקב, ויעקב טוען שאין לקבלה כראיה. מה הדין?</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הדבר נתון להחלטת השופט, שאינו כבול לדיני הראיות הרגילים, מכוח סעיף 8(א)</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ההקלטה תתקבל בכל מקרה, כי בית המשפט לענייני משפחה אינו כפוף לדיני ראיות</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ההקלטה לא תתקבל, כי היא אינה עומדת בדיני הראיות</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ההקלטה תתקבל רק אם תעמוד בכל מבחני הקבילות הרגילים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131 </w:t>
            </w:r>
            <w:r>
              <w:rPr>
                <w:rFonts w:ascii="Arial" w:hAnsi="Arial" w:cs="Arial" w:eastAsia="Arial"/>
                <w:sz w:val="20"/>
                <w:szCs w:val="20"/>
                <w:rtl/>
              </w:rPr>
              <w:t xml:space="preserve">  </w:t>
            </w:r>
            <w:r>
              <w:rPr>
                <w:rFonts w:ascii="Arial" w:hAnsi="Arial" w:cs="Arial" w:eastAsia="Arial"/>
                <w:b/>
                <w:bCs/>
                <w:color w:val="111827"/>
                <w:sz w:val="20"/>
                <w:szCs w:val="20"/>
                <w:rtl/>
              </w:rPr>
              <w:t>בני זוג הגיעו להסכם מחוץ לכותלי בית המשפט ומבקשים שבית המשפט לענייני משפחה יאשר אותו. מה נכון?</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עליהם להגיש קודם תביעה ולשלם אגרה, ורק במסגרתה להגיש את ההסכם לאישור</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עליהם להגיש קודם בקשה ליישוב סכסוך ולעבור פגישות מהו״ת</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בית המשפט לענייני משפחה אינו מוסמך לאשר הסכמים, אלא רק בית הדין הרבני</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הם רשאים לבקש את אישור ההסכם אף שאין תובענה תלויה ועומדת, ובית המשפט רשאי לתת להסכם תוקף של פסק דין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132 </w:t>
            </w:r>
            <w:r>
              <w:rPr>
                <w:rFonts w:ascii="Arial" w:hAnsi="Arial" w:cs="Arial" w:eastAsia="Arial"/>
                <w:sz w:val="20"/>
                <w:szCs w:val="20"/>
                <w:rtl/>
              </w:rPr>
              <w:t xml:space="preserve">  </w:t>
            </w:r>
            <w:r>
              <w:rPr>
                <w:rFonts w:ascii="Arial" w:hAnsi="Arial" w:cs="Arial" w:eastAsia="Arial"/>
                <w:b/>
                <w:bCs/>
                <w:color w:val="111827"/>
                <w:sz w:val="20"/>
                <w:szCs w:val="20"/>
                <w:rtl/>
              </w:rPr>
              <w:t>בית המשפט לענייני משפחה אישר הסכם בין בני זוג, אך לא נתן לו תוקף של פסק דין. אחד הצדדים מפר את ההסכם. מה נכון?</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ניתן לפתוח מיד תיק בהוצאה לפועל, שכן אישור ההסכם שקול לפסק דין</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אישור ההסכם כשלעצמו אינו תוקף של פסק דין, ולכן אי אפשר ללכת איתו ישירות להוצאה לפועל</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ההסכם בטל, כי הסכם שלא ניתן לו תוקף של פסק דין אינו מחייב</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יש להגיש בקשה ליישוב סכסוך בטרם ניתן לאכוף את ההסכם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133 </w:t>
            </w:r>
            <w:r>
              <w:rPr>
                <w:rFonts w:ascii="Arial" w:hAnsi="Arial" w:cs="Arial" w:eastAsia="Arial"/>
                <w:sz w:val="20"/>
                <w:szCs w:val="20"/>
                <w:rtl/>
              </w:rPr>
              <w:t xml:space="preserve">  </w:t>
            </w:r>
            <w:r>
              <w:rPr>
                <w:rFonts w:ascii="Arial" w:hAnsi="Arial" w:cs="Arial" w:eastAsia="Arial"/>
                <w:b/>
                <w:bCs/>
                <w:color w:val="111827"/>
                <w:sz w:val="20"/>
                <w:szCs w:val="20"/>
                <w:rtl/>
              </w:rPr>
              <w:t>ראובן ולאה, נשואים כדמו״י, ערכו הסכם מפורט על כל העניינים שביניהם ופנו לבית המשפט לענייני משפחה. כיצד יפעל בית המשפט?</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יפנה אותם מיד לפגישות מהו״ת ביחידת הסיוע</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יאשר את ההסכם באופן אוטומטי, כי הוא נערך בהסכמה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יסביר לצדדים את משמעות ההסכם, יברר שהם מבינים אותו וערכו אותו בהסכמה חופשית, ולאחר מכן יאשר אותו</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יבדוק רק אם ההסכם מקפח אחד הצדדים, בלי לשוחח עם הצדדים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134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פומביות הדיון בענייני משפחה, לפי סעיף 68(ה) לחוק בתי המשפט?</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ענייני משפחה יידונו בדלתיים סגורות, אלא אם הורה בית המשפט לדון בעניין, כולו או מקצתו, בפומבי. תובענות לפי חוק השמות הוחרגו מכלל זה</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ענייני משפחה יידונו בפומבי, אלא אם ביקש אחד הצדדים לדון בדלתיים סגורות</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כל תובענה לפי חוק הירושה תידון בדלתיים סגורות, ללא יוצא מן הכלל</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הכלל של דלתיים סגורות חל רק בבית המשפט לענייני משפחה ולא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135 </w:t>
            </w:r>
            <w:r>
              <w:rPr>
                <w:rFonts w:ascii="Arial" w:hAnsi="Arial" w:cs="Arial" w:eastAsia="Arial"/>
                <w:sz w:val="20"/>
                <w:szCs w:val="20"/>
                <w:rtl/>
              </w:rPr>
              <w:t xml:space="preserve">  </w:t>
            </w:r>
            <w:r>
              <w:rPr>
                <w:rFonts w:ascii="Arial" w:hAnsi="Arial" w:cs="Arial" w:eastAsia="Arial"/>
                <w:b/>
                <w:bCs/>
                <w:color w:val="111827"/>
                <w:sz w:val="20"/>
                <w:szCs w:val="20"/>
                <w:rtl/>
              </w:rPr>
              <w:t>מי מהבאים אינו ״בן משפחתו״ של אדם לפי סעיף 1 לחוק 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הידועה בציבור כאשתו</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ילדו של בן זוגו</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אחיו של בן זוגו</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בן דודו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136 </w:t>
            </w:r>
            <w:r>
              <w:rPr>
                <w:rFonts w:ascii="Arial" w:hAnsi="Arial" w:cs="Arial" w:eastAsia="Arial"/>
                <w:sz w:val="20"/>
                <w:szCs w:val="20"/>
                <w:rtl/>
              </w:rPr>
              <w:t xml:space="preserve">  </w:t>
            </w:r>
            <w:r>
              <w:rPr>
                <w:rFonts w:ascii="Arial" w:hAnsi="Arial" w:cs="Arial" w:eastAsia="Arial"/>
                <w:b/>
                <w:bCs/>
                <w:color w:val="111827"/>
                <w:sz w:val="20"/>
                <w:szCs w:val="20"/>
                <w:rtl/>
              </w:rPr>
              <w:t>לפי סעיף 1(2) לחוק בית המשפט לענייני משפחה, תובענה אזרחית בין אדם לבן משפחתו שעילתה סכסוך בתוך המשפחה תידון בבית המשפט לענייני משפחה. מהו ההיגד הנכון ביותר?</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אם התביעה הרכושית בין בני הזוג נוגעת לחברה ששוויה מעל 2.5 מיליון ש״ח, הסמכות לבית המשפט המחוזי</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ככל שמספר הגורמים הלבר-משפחתיים גדול יותר, נאמר כי תרומת יחסי המשפחה לסכסוך קטנה, והעילה אינה סכסוך בתוך המשפחה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אם בין בני המשפחה יש כמה קשרים עסקיים ורק באחד מהם התגלע סכסוך, נאמר כי העילה היא סכסוך בתוך המשפחה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ככל שמספר הגורמים הלבר-משפחתיים גדול יותר, נאמר כי העילה היא סכסוך בתוך המשפחה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137 </w:t>
            </w:r>
            <w:r>
              <w:rPr>
                <w:rFonts w:ascii="Arial" w:hAnsi="Arial" w:cs="Arial" w:eastAsia="Arial"/>
                <w:sz w:val="20"/>
                <w:szCs w:val="20"/>
                <w:rtl/>
              </w:rPr>
              <w:t xml:space="preserve">  </w:t>
            </w:r>
            <w:r>
              <w:rPr>
                <w:rFonts w:ascii="Arial" w:hAnsi="Arial" w:cs="Arial" w:eastAsia="Arial"/>
                <w:b/>
                <w:bCs/>
                <w:color w:val="111827"/>
                <w:sz w:val="20"/>
                <w:szCs w:val="20"/>
                <w:rtl/>
              </w:rPr>
              <w:t>מוטי ובנו אלי הם בעלים של חברה לייבוא תבלינים. מוטי ורעייתו בהליכי גירושין. סכסוך נוקב פרץ בין מוטי לאלי לאחר שאלי הצהיר על תמיכתו בעמדת אמו ועל כוונתו לגור איתה, ובעקבותיו הגיש מוטי תביעה לצו שיורה לבנו להעביר לידיו את מניותיו בחברה. איזה בית משפט מוסמך לדון בתביעה?</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בית הדין הרבני, כי הסכסוך כרוך בהליכי הגירושין</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בית משפט השלום או המחוזי, לפי שווי התובענה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המחלקה הכלכלית בבית המשפט המחוזי בתל אביב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138 </w:t>
            </w:r>
            <w:r>
              <w:rPr>
                <w:rFonts w:ascii="Arial" w:hAnsi="Arial" w:cs="Arial" w:eastAsia="Arial"/>
                <w:sz w:val="20"/>
                <w:szCs w:val="20"/>
                <w:rtl/>
              </w:rPr>
              <w:t xml:space="preserve">  </w:t>
            </w:r>
            <w:r>
              <w:rPr>
                <w:rFonts w:ascii="Arial" w:hAnsi="Arial" w:cs="Arial" w:eastAsia="Arial"/>
                <w:b/>
                <w:bCs/>
                <w:color w:val="111827"/>
                <w:sz w:val="20"/>
                <w:szCs w:val="20"/>
                <w:rtl/>
              </w:rPr>
              <w:t>בית המשפט לענייני משפחה שוקל, באמצע הדיון בתיק, להפנות את בעלי הדין ליחידת הסיוע. מה נכון לפי תקנה 37 לתקנות בית המשפט לענייני משפחה (סדרי דין), התשפ״א-2020?</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יחידת הסיוע מוסמכת לאשר את ההסכם שיגיעו אליו הצדדים ולתת לו תוקף של פסק דין</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ההפניה אפשרית רק לפני הגשת התביעה, במסגרת פגישות המהו״ת</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הפנה בית המשפט את הצדדים ליחידת הסיוע, יעכב את ההליכים ל-60 ימים</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בית המשפט רשאי להפנות את בעלי הדין ליחידת הסיוע לשירותי אבחון, ייעוץ, גישור או טיפול, ואם הפנה, יעכב את ההליכים לשלושים ימים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139 </w:t>
            </w:r>
            <w:r>
              <w:rPr>
                <w:rFonts w:ascii="Arial" w:hAnsi="Arial" w:cs="Arial" w:eastAsia="Arial"/>
                <w:sz w:val="20"/>
                <w:szCs w:val="20"/>
                <w:rtl/>
              </w:rPr>
              <w:t xml:space="preserve">  </w:t>
            </w:r>
            <w:r>
              <w:rPr>
                <w:rFonts w:ascii="Arial" w:hAnsi="Arial" w:cs="Arial" w:eastAsia="Arial"/>
                <w:b/>
                <w:bCs/>
                <w:color w:val="111827"/>
                <w:sz w:val="20"/>
                <w:szCs w:val="20"/>
                <w:rtl/>
              </w:rPr>
              <w:t>ראובן ושרה התגרשו. התובענה לאיזון המשאבים התנהלה בבית המשפט לענייני משפחה, ונקבע בפסק הדין כי ראובן יעביר לשרה 200,000 ש״ח. ראובן לא קיים את חלקו. מהי הדרך הנכונה העומדת לרשות שרה (שאלה ממבחן לשכת עורכי הדין)?</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פתיחת הליך לביצוע פסק הדין בבית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פתיחת הליך לביצוע פסק הדין בלשכת ההוצאה לפועל, בלי צורך לבקש אישור מבית המשפט לענייני משפחה</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הגשת תביעה חדשה בבית המשפט לענייני משפחה בגין אי-קיום פסק הדין</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פתיחת הליך מכוח פקודת בזיון בית משפט בבית משפט השלום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E3B494"/>
              <w:left w:val="single" w:sz="8" w:space="0" w:color="E3B494"/>
              <w:bottom w:val="single" w:sz="8" w:space="0" w:color="E3B494"/>
              <w:right w:val="single" w:sz="8" w:space="0" w:color="E3B49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C25A12"/>
              </w:rPr>
              <w:t xml:space="preserve"> 140 </w:t>
            </w:r>
            <w:r>
              <w:rPr>
                <w:rFonts w:ascii="Arial" w:hAnsi="Arial" w:cs="Arial" w:eastAsia="Arial"/>
                <w:sz w:val="20"/>
                <w:szCs w:val="20"/>
                <w:rtl/>
              </w:rPr>
              <w:t xml:space="preserve">  </w:t>
            </w:r>
            <w:r>
              <w:rPr>
                <w:rFonts w:ascii="Arial" w:hAnsi="Arial" w:cs="Arial" w:eastAsia="Arial"/>
                <w:b/>
                <w:bCs/>
                <w:color w:val="111827"/>
                <w:sz w:val="20"/>
                <w:szCs w:val="20"/>
                <w:rtl/>
              </w:rPr>
              <w:t>שירה וינאי, זוג נשוי המתגורר בתל אביב, מבקשים לאמץ קטין בן 3 המתגורר בירושלים. לאן יגישו את הבקשה למתן צו אימוץ (שאלה ממבחן לשכת עורכי הדין)?</w:t>
            </w:r>
          </w:p>
          <w:p>
            <w:pPr>
              <w:bidi/>
              <w:spacing w:before="0" w:after="20" w:line="276" w:lineRule="auto"/>
              <w:ind w:right="400" w:hanging="300"/>
            </w:pPr>
            <w:r>
              <w:rPr>
                <w:rFonts w:ascii="Arial" w:hAnsi="Arial" w:cs="Arial" w:eastAsia="Arial"/>
                <w:b/>
                <w:bCs/>
                <w:color w:val="C25A12"/>
                <w:sz w:val="20"/>
                <w:szCs w:val="20"/>
                <w:rtl/>
              </w:rPr>
              <w:t xml:space="preserve">(א)  </w:t>
            </w:r>
            <w:r>
              <w:rPr>
                <w:rFonts w:ascii="Arial" w:hAnsi="Arial" w:cs="Arial" w:eastAsia="Arial"/>
                <w:color w:val="1F2430"/>
                <w:sz w:val="20"/>
                <w:szCs w:val="20"/>
                <w:rtl/>
              </w:rPr>
              <w:t>לבית המשפט לענייני משפחה בירושלים, מקום מגורי הקטין</w:t>
            </w:r>
          </w:p>
          <w:p>
            <w:pPr>
              <w:bidi/>
              <w:spacing w:before="0" w:after="20" w:line="276" w:lineRule="auto"/>
              <w:ind w:right="400" w:hanging="300"/>
            </w:pPr>
            <w:r>
              <w:rPr>
                <w:rFonts w:ascii="Arial" w:hAnsi="Arial" w:cs="Arial" w:eastAsia="Arial"/>
                <w:b/>
                <w:bCs/>
                <w:color w:val="C25A12"/>
                <w:sz w:val="20"/>
                <w:szCs w:val="20"/>
                <w:rtl/>
              </w:rPr>
              <w:t xml:space="preserve">(ב)  </w:t>
            </w:r>
            <w:r>
              <w:rPr>
                <w:rFonts w:ascii="Arial" w:hAnsi="Arial" w:cs="Arial" w:eastAsia="Arial"/>
                <w:color w:val="1F2430"/>
                <w:sz w:val="20"/>
                <w:szCs w:val="20"/>
                <w:rtl/>
              </w:rPr>
              <w:t>לבית המשפט לענייני משפחה בתל אביב</w:t>
            </w:r>
          </w:p>
          <w:p>
            <w:pPr>
              <w:bidi/>
              <w:spacing w:before="0" w:after="20" w:line="276" w:lineRule="auto"/>
              <w:ind w:right="400" w:hanging="300"/>
            </w:pPr>
            <w:r>
              <w:rPr>
                <w:rFonts w:ascii="Arial" w:hAnsi="Arial" w:cs="Arial" w:eastAsia="Arial"/>
                <w:b/>
                <w:bCs/>
                <w:color w:val="C25A12"/>
                <w:sz w:val="20"/>
                <w:szCs w:val="20"/>
                <w:rtl/>
              </w:rPr>
              <w:t xml:space="preserve">(ג)  </w:t>
            </w:r>
            <w:r>
              <w:rPr>
                <w:rFonts w:ascii="Arial" w:hAnsi="Arial" w:cs="Arial" w:eastAsia="Arial"/>
                <w:color w:val="1F2430"/>
                <w:sz w:val="20"/>
                <w:szCs w:val="20"/>
                <w:rtl/>
              </w:rPr>
              <w:t>לבית המשפט לענייני משפחה או לבית הדין הדתי בתל אביב, לפי בחירתם</w:t>
            </w:r>
          </w:p>
          <w:p>
            <w:pPr>
              <w:bidi/>
              <w:spacing w:before="0" w:after="20" w:line="276" w:lineRule="auto"/>
              <w:ind w:right="400" w:hanging="300"/>
            </w:pPr>
            <w:r>
              <w:rPr>
                <w:rFonts w:ascii="Arial" w:hAnsi="Arial" w:cs="Arial" w:eastAsia="Arial"/>
                <w:b/>
                <w:bCs/>
                <w:color w:val="C25A12"/>
                <w:sz w:val="20"/>
                <w:szCs w:val="20"/>
                <w:rtl/>
              </w:rPr>
              <w:t xml:space="preserve">(ד)  </w:t>
            </w:r>
            <w:r>
              <w:rPr>
                <w:rFonts w:ascii="Arial" w:hAnsi="Arial" w:cs="Arial" w:eastAsia="Arial"/>
                <w:color w:val="1F2430"/>
                <w:sz w:val="20"/>
                <w:szCs w:val="20"/>
                <w:rtl/>
              </w:rPr>
              <w:t>לבית המשפט לענייני משפחה או לבית הדין הדתי בירושלים, לפי בחירתם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5</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113-ג</w:t>
      </w:r>
      <w:r>
        <w:rPr>
          <w:rFonts w:ascii="Arial" w:hAnsi="Arial" w:cs="Arial" w:eastAsia="Arial"/>
          <w:sz w:val="20"/>
          <w:szCs w:val="20"/>
          <w:rtl/>
        </w:rPr>
        <w:t xml:space="preserve">   </w:t>
      </w:r>
      <w:r>
        <w:rPr>
          <w:rFonts w:ascii="Arial" w:hAnsi="Arial" w:cs="Arial" w:eastAsia="Arial"/>
          <w:b/>
          <w:bCs/>
          <w:color w:val="1F2430"/>
          <w:sz w:val="20"/>
          <w:szCs w:val="20"/>
          <w:rtl/>
        </w:rPr>
        <w:t>114-א</w:t>
      </w:r>
      <w:r>
        <w:rPr>
          <w:rFonts w:ascii="Arial" w:hAnsi="Arial" w:cs="Arial" w:eastAsia="Arial"/>
          <w:sz w:val="20"/>
          <w:szCs w:val="20"/>
          <w:rtl/>
        </w:rPr>
        <w:t xml:space="preserve">   </w:t>
      </w:r>
      <w:r>
        <w:rPr>
          <w:rFonts w:ascii="Arial" w:hAnsi="Arial" w:cs="Arial" w:eastAsia="Arial"/>
          <w:b/>
          <w:bCs/>
          <w:color w:val="1F2430"/>
          <w:sz w:val="20"/>
          <w:szCs w:val="20"/>
          <w:rtl/>
        </w:rPr>
        <w:t>115-ד</w:t>
      </w:r>
      <w:r>
        <w:rPr>
          <w:rFonts w:ascii="Arial" w:hAnsi="Arial" w:cs="Arial" w:eastAsia="Arial"/>
          <w:sz w:val="20"/>
          <w:szCs w:val="20"/>
          <w:rtl/>
        </w:rPr>
        <w:t xml:space="preserve">   </w:t>
      </w:r>
      <w:r>
        <w:rPr>
          <w:rFonts w:ascii="Arial" w:hAnsi="Arial" w:cs="Arial" w:eastAsia="Arial"/>
          <w:b/>
          <w:bCs/>
          <w:color w:val="1F2430"/>
          <w:sz w:val="20"/>
          <w:szCs w:val="20"/>
          <w:rtl/>
        </w:rPr>
        <w:t>116-ב</w:t>
      </w:r>
      <w:r>
        <w:rPr>
          <w:rFonts w:ascii="Arial" w:hAnsi="Arial" w:cs="Arial" w:eastAsia="Arial"/>
          <w:sz w:val="20"/>
          <w:szCs w:val="20"/>
          <w:rtl/>
        </w:rPr>
        <w:t xml:space="preserve">   </w:t>
      </w:r>
      <w:r>
        <w:rPr>
          <w:rFonts w:ascii="Arial" w:hAnsi="Arial" w:cs="Arial" w:eastAsia="Arial"/>
          <w:b/>
          <w:bCs/>
          <w:color w:val="1F2430"/>
          <w:sz w:val="20"/>
          <w:szCs w:val="20"/>
          <w:rtl/>
        </w:rPr>
        <w:t>117-ג</w:t>
      </w:r>
      <w:r>
        <w:rPr>
          <w:rFonts w:ascii="Arial" w:hAnsi="Arial" w:cs="Arial" w:eastAsia="Arial"/>
          <w:sz w:val="20"/>
          <w:szCs w:val="20"/>
          <w:rtl/>
        </w:rPr>
        <w:t xml:space="preserve">   </w:t>
      </w:r>
      <w:r>
        <w:rPr>
          <w:rFonts w:ascii="Arial" w:hAnsi="Arial" w:cs="Arial" w:eastAsia="Arial"/>
          <w:b/>
          <w:bCs/>
          <w:color w:val="1F2430"/>
          <w:sz w:val="20"/>
          <w:szCs w:val="20"/>
          <w:rtl/>
        </w:rPr>
        <w:t>118-א</w:t>
      </w:r>
      <w:r>
        <w:rPr>
          <w:rFonts w:ascii="Arial" w:hAnsi="Arial" w:cs="Arial" w:eastAsia="Arial"/>
          <w:sz w:val="20"/>
          <w:szCs w:val="20"/>
          <w:rtl/>
        </w:rPr>
        <w:t xml:space="preserve">   </w:t>
      </w:r>
      <w:r>
        <w:rPr>
          <w:rFonts w:ascii="Arial" w:hAnsi="Arial" w:cs="Arial" w:eastAsia="Arial"/>
          <w:b/>
          <w:bCs/>
          <w:color w:val="1F2430"/>
          <w:sz w:val="20"/>
          <w:szCs w:val="20"/>
          <w:rtl/>
        </w:rPr>
        <w:t>119-ד</w:t>
      </w:r>
      <w:r>
        <w:rPr>
          <w:rFonts w:ascii="Arial" w:hAnsi="Arial" w:cs="Arial" w:eastAsia="Arial"/>
          <w:sz w:val="20"/>
          <w:szCs w:val="20"/>
          <w:rtl/>
        </w:rPr>
        <w:t xml:space="preserve">   </w:t>
      </w:r>
      <w:r>
        <w:rPr>
          <w:rFonts w:ascii="Arial" w:hAnsi="Arial" w:cs="Arial" w:eastAsia="Arial"/>
          <w:b/>
          <w:bCs/>
          <w:color w:val="1F2430"/>
          <w:sz w:val="20"/>
          <w:szCs w:val="20"/>
          <w:rtl/>
        </w:rPr>
        <w:t>120-ב</w:t>
      </w:r>
      <w:r>
        <w:rPr>
          <w:rFonts w:ascii="Arial" w:hAnsi="Arial" w:cs="Arial" w:eastAsia="Arial"/>
          <w:sz w:val="20"/>
          <w:szCs w:val="20"/>
          <w:rtl/>
        </w:rPr>
        <w:t xml:space="preserve">   </w:t>
      </w:r>
      <w:r>
        <w:rPr>
          <w:rFonts w:ascii="Arial" w:hAnsi="Arial" w:cs="Arial" w:eastAsia="Arial"/>
          <w:b/>
          <w:bCs/>
          <w:color w:val="1F2430"/>
          <w:sz w:val="20"/>
          <w:szCs w:val="20"/>
          <w:rtl/>
        </w:rPr>
        <w:t>121-ג</w:t>
      </w:r>
      <w:r>
        <w:rPr>
          <w:rFonts w:ascii="Arial" w:hAnsi="Arial" w:cs="Arial" w:eastAsia="Arial"/>
          <w:sz w:val="20"/>
          <w:szCs w:val="20"/>
          <w:rtl/>
        </w:rPr>
        <w:t xml:space="preserve">   </w:t>
      </w:r>
      <w:r>
        <w:rPr>
          <w:rFonts w:ascii="Arial" w:hAnsi="Arial" w:cs="Arial" w:eastAsia="Arial"/>
          <w:b/>
          <w:bCs/>
          <w:color w:val="1F2430"/>
          <w:sz w:val="20"/>
          <w:szCs w:val="20"/>
          <w:rtl/>
        </w:rPr>
        <w:t>122-א</w:t>
      </w:r>
      <w:r>
        <w:rPr>
          <w:rFonts w:ascii="Arial" w:hAnsi="Arial" w:cs="Arial" w:eastAsia="Arial"/>
          <w:sz w:val="20"/>
          <w:szCs w:val="20"/>
          <w:rtl/>
        </w:rPr>
        <w:t xml:space="preserve">   </w:t>
      </w:r>
      <w:r>
        <w:rPr>
          <w:rFonts w:ascii="Arial" w:hAnsi="Arial" w:cs="Arial" w:eastAsia="Arial"/>
          <w:b/>
          <w:bCs/>
          <w:color w:val="1F2430"/>
          <w:sz w:val="20"/>
          <w:szCs w:val="20"/>
          <w:rtl/>
        </w:rPr>
        <w:t>123-ד</w:t>
      </w:r>
      <w:r>
        <w:rPr>
          <w:rFonts w:ascii="Arial" w:hAnsi="Arial" w:cs="Arial" w:eastAsia="Arial"/>
          <w:sz w:val="20"/>
          <w:szCs w:val="20"/>
          <w:rtl/>
        </w:rPr>
        <w:t xml:space="preserve">   </w:t>
      </w:r>
      <w:r>
        <w:rPr>
          <w:rFonts w:ascii="Arial" w:hAnsi="Arial" w:cs="Arial" w:eastAsia="Arial"/>
          <w:b/>
          <w:bCs/>
          <w:color w:val="1F2430"/>
          <w:sz w:val="20"/>
          <w:szCs w:val="20"/>
          <w:rtl/>
        </w:rPr>
        <w:t>124-ב</w:t>
      </w:r>
      <w:r>
        <w:rPr>
          <w:rFonts w:ascii="Arial" w:hAnsi="Arial" w:cs="Arial" w:eastAsia="Arial"/>
          <w:sz w:val="20"/>
          <w:szCs w:val="20"/>
          <w:rtl/>
        </w:rPr>
        <w:t xml:space="preserve">   </w:t>
      </w:r>
      <w:r>
        <w:rPr>
          <w:rFonts w:ascii="Arial" w:hAnsi="Arial" w:cs="Arial" w:eastAsia="Arial"/>
          <w:b/>
          <w:bCs/>
          <w:color w:val="1F2430"/>
          <w:sz w:val="20"/>
          <w:szCs w:val="20"/>
          <w:rtl/>
        </w:rPr>
        <w:t>125-ג</w:t>
      </w:r>
      <w:r>
        <w:rPr>
          <w:rFonts w:ascii="Arial" w:hAnsi="Arial" w:cs="Arial" w:eastAsia="Arial"/>
          <w:sz w:val="20"/>
          <w:szCs w:val="20"/>
          <w:rtl/>
        </w:rPr>
        <w:t xml:space="preserve">   </w:t>
      </w:r>
      <w:r>
        <w:rPr>
          <w:rFonts w:ascii="Arial" w:hAnsi="Arial" w:cs="Arial" w:eastAsia="Arial"/>
          <w:b/>
          <w:bCs/>
          <w:color w:val="1F2430"/>
          <w:sz w:val="20"/>
          <w:szCs w:val="20"/>
          <w:rtl/>
        </w:rPr>
        <w:t>126-א</w:t>
      </w:r>
      <w:r>
        <w:rPr>
          <w:rFonts w:ascii="Arial" w:hAnsi="Arial" w:cs="Arial" w:eastAsia="Arial"/>
          <w:sz w:val="20"/>
          <w:szCs w:val="20"/>
          <w:rtl/>
        </w:rPr>
        <w:t xml:space="preserve">   </w:t>
      </w:r>
      <w:r>
        <w:rPr>
          <w:rFonts w:ascii="Arial" w:hAnsi="Arial" w:cs="Arial" w:eastAsia="Arial"/>
          <w:b/>
          <w:bCs/>
          <w:color w:val="1F2430"/>
          <w:sz w:val="20"/>
          <w:szCs w:val="20"/>
          <w:rtl/>
        </w:rPr>
        <w:t>127-ד</w:t>
      </w:r>
      <w:r>
        <w:rPr>
          <w:rFonts w:ascii="Arial" w:hAnsi="Arial" w:cs="Arial" w:eastAsia="Arial"/>
          <w:sz w:val="20"/>
          <w:szCs w:val="20"/>
          <w:rtl/>
        </w:rPr>
        <w:t xml:space="preserve">   </w:t>
      </w:r>
      <w:r>
        <w:rPr>
          <w:rFonts w:ascii="Arial" w:hAnsi="Arial" w:cs="Arial" w:eastAsia="Arial"/>
          <w:b/>
          <w:bCs/>
          <w:color w:val="1F2430"/>
          <w:sz w:val="20"/>
          <w:szCs w:val="20"/>
          <w:rtl/>
        </w:rPr>
        <w:t>128-ב</w:t>
      </w:r>
      <w:r>
        <w:rPr>
          <w:rFonts w:ascii="Arial" w:hAnsi="Arial" w:cs="Arial" w:eastAsia="Arial"/>
          <w:sz w:val="20"/>
          <w:szCs w:val="20"/>
          <w:rtl/>
        </w:rPr>
        <w:t xml:space="preserve">   </w:t>
      </w:r>
      <w:r>
        <w:rPr>
          <w:rFonts w:ascii="Arial" w:hAnsi="Arial" w:cs="Arial" w:eastAsia="Arial"/>
          <w:b/>
          <w:bCs/>
          <w:color w:val="1F2430"/>
          <w:sz w:val="20"/>
          <w:szCs w:val="20"/>
          <w:rtl/>
        </w:rPr>
        <w:t>129-ג</w:t>
      </w:r>
      <w:r>
        <w:rPr>
          <w:rFonts w:ascii="Arial" w:hAnsi="Arial" w:cs="Arial" w:eastAsia="Arial"/>
          <w:sz w:val="20"/>
          <w:szCs w:val="20"/>
          <w:rtl/>
        </w:rPr>
        <w:t xml:space="preserve">   </w:t>
      </w:r>
      <w:r>
        <w:rPr>
          <w:rFonts w:ascii="Arial" w:hAnsi="Arial" w:cs="Arial" w:eastAsia="Arial"/>
          <w:b/>
          <w:bCs/>
          <w:color w:val="1F2430"/>
          <w:sz w:val="20"/>
          <w:szCs w:val="20"/>
          <w:rtl/>
        </w:rPr>
        <w:t>130-א</w:t>
      </w:r>
      <w:r>
        <w:rPr>
          <w:rFonts w:ascii="Arial" w:hAnsi="Arial" w:cs="Arial" w:eastAsia="Arial"/>
          <w:sz w:val="20"/>
          <w:szCs w:val="20"/>
          <w:rtl/>
        </w:rPr>
        <w:t xml:space="preserve">   </w:t>
      </w:r>
      <w:r>
        <w:rPr>
          <w:rFonts w:ascii="Arial" w:hAnsi="Arial" w:cs="Arial" w:eastAsia="Arial"/>
          <w:b/>
          <w:bCs/>
          <w:color w:val="1F2430"/>
          <w:sz w:val="20"/>
          <w:szCs w:val="20"/>
          <w:rtl/>
        </w:rPr>
        <w:t>131-ד</w:t>
      </w:r>
      <w:r>
        <w:rPr>
          <w:rFonts w:ascii="Arial" w:hAnsi="Arial" w:cs="Arial" w:eastAsia="Arial"/>
          <w:sz w:val="20"/>
          <w:szCs w:val="20"/>
          <w:rtl/>
        </w:rPr>
        <w:t xml:space="preserve">   </w:t>
      </w:r>
      <w:r>
        <w:rPr>
          <w:rFonts w:ascii="Arial" w:hAnsi="Arial" w:cs="Arial" w:eastAsia="Arial"/>
          <w:b/>
          <w:bCs/>
          <w:color w:val="1F2430"/>
          <w:sz w:val="20"/>
          <w:szCs w:val="20"/>
          <w:rtl/>
        </w:rPr>
        <w:t>132-ב</w:t>
      </w:r>
      <w:r>
        <w:rPr>
          <w:rFonts w:ascii="Arial" w:hAnsi="Arial" w:cs="Arial" w:eastAsia="Arial"/>
          <w:sz w:val="20"/>
          <w:szCs w:val="20"/>
          <w:rtl/>
        </w:rPr>
        <w:t xml:space="preserve">   </w:t>
      </w:r>
      <w:r>
        <w:rPr>
          <w:rFonts w:ascii="Arial" w:hAnsi="Arial" w:cs="Arial" w:eastAsia="Arial"/>
          <w:b/>
          <w:bCs/>
          <w:color w:val="1F2430"/>
          <w:sz w:val="20"/>
          <w:szCs w:val="20"/>
          <w:rtl/>
        </w:rPr>
        <w:t>133-ג</w:t>
      </w:r>
      <w:r>
        <w:rPr>
          <w:rFonts w:ascii="Arial" w:hAnsi="Arial" w:cs="Arial" w:eastAsia="Arial"/>
          <w:sz w:val="20"/>
          <w:szCs w:val="20"/>
          <w:rtl/>
        </w:rPr>
        <w:t xml:space="preserve">   </w:t>
      </w:r>
      <w:r>
        <w:rPr>
          <w:rFonts w:ascii="Arial" w:hAnsi="Arial" w:cs="Arial" w:eastAsia="Arial"/>
          <w:b/>
          <w:bCs/>
          <w:color w:val="1F2430"/>
          <w:sz w:val="20"/>
          <w:szCs w:val="20"/>
          <w:rtl/>
        </w:rPr>
        <w:t>134-א</w:t>
      </w:r>
      <w:r>
        <w:rPr>
          <w:rFonts w:ascii="Arial" w:hAnsi="Arial" w:cs="Arial" w:eastAsia="Arial"/>
          <w:sz w:val="20"/>
          <w:szCs w:val="20"/>
          <w:rtl/>
        </w:rPr>
        <w:t xml:space="preserve">   </w:t>
      </w:r>
      <w:r>
        <w:rPr>
          <w:rFonts w:ascii="Arial" w:hAnsi="Arial" w:cs="Arial" w:eastAsia="Arial"/>
          <w:b/>
          <w:bCs/>
          <w:color w:val="1F2430"/>
          <w:sz w:val="20"/>
          <w:szCs w:val="20"/>
          <w:rtl/>
        </w:rPr>
        <w:t>135-ד</w:t>
      </w:r>
      <w:r>
        <w:rPr>
          <w:rFonts w:ascii="Arial" w:hAnsi="Arial" w:cs="Arial" w:eastAsia="Arial"/>
          <w:sz w:val="20"/>
          <w:szCs w:val="20"/>
          <w:rtl/>
        </w:rPr>
        <w:t xml:space="preserve">   </w:t>
      </w:r>
      <w:r>
        <w:rPr>
          <w:rFonts w:ascii="Arial" w:hAnsi="Arial" w:cs="Arial" w:eastAsia="Arial"/>
          <w:b/>
          <w:bCs/>
          <w:color w:val="1F2430"/>
          <w:sz w:val="20"/>
          <w:szCs w:val="20"/>
          <w:rtl/>
        </w:rPr>
        <w:t>136-ב</w:t>
      </w:r>
      <w:r>
        <w:rPr>
          <w:rFonts w:ascii="Arial" w:hAnsi="Arial" w:cs="Arial" w:eastAsia="Arial"/>
          <w:sz w:val="20"/>
          <w:szCs w:val="20"/>
          <w:rtl/>
        </w:rPr>
        <w:t xml:space="preserve">   </w:t>
      </w:r>
      <w:r>
        <w:rPr>
          <w:rFonts w:ascii="Arial" w:hAnsi="Arial" w:cs="Arial" w:eastAsia="Arial"/>
          <w:b/>
          <w:bCs/>
          <w:color w:val="1F2430"/>
          <w:sz w:val="20"/>
          <w:szCs w:val="20"/>
          <w:rtl/>
        </w:rPr>
        <w:t>137-ג</w:t>
      </w:r>
      <w:r>
        <w:rPr>
          <w:rFonts w:ascii="Arial" w:hAnsi="Arial" w:cs="Arial" w:eastAsia="Arial"/>
          <w:sz w:val="20"/>
          <w:szCs w:val="20"/>
          <w:rtl/>
        </w:rPr>
        <w:t xml:space="preserve">   </w:t>
      </w:r>
      <w:r>
        <w:rPr>
          <w:rFonts w:ascii="Arial" w:hAnsi="Arial" w:cs="Arial" w:eastAsia="Arial"/>
          <w:b/>
          <w:bCs/>
          <w:color w:val="1F2430"/>
          <w:sz w:val="20"/>
          <w:szCs w:val="20"/>
          <w:rtl/>
        </w:rPr>
        <w:t>138-ד</w:t>
      </w:r>
      <w:r>
        <w:rPr>
          <w:rFonts w:ascii="Arial" w:hAnsi="Arial" w:cs="Arial" w:eastAsia="Arial"/>
          <w:sz w:val="20"/>
          <w:szCs w:val="20"/>
          <w:rtl/>
        </w:rPr>
        <w:t xml:space="preserve">   </w:t>
      </w:r>
      <w:r>
        <w:rPr>
          <w:rFonts w:ascii="Arial" w:hAnsi="Arial" w:cs="Arial" w:eastAsia="Arial"/>
          <w:b/>
          <w:bCs/>
          <w:color w:val="1F2430"/>
          <w:sz w:val="20"/>
          <w:szCs w:val="20"/>
          <w:rtl/>
        </w:rPr>
        <w:t>139-א</w:t>
      </w:r>
      <w:r>
        <w:rPr>
          <w:rFonts w:ascii="Arial" w:hAnsi="Arial" w:cs="Arial" w:eastAsia="Arial"/>
          <w:sz w:val="20"/>
          <w:szCs w:val="20"/>
          <w:rtl/>
        </w:rPr>
        <w:t xml:space="preserve">   </w:t>
      </w:r>
      <w:r>
        <w:rPr>
          <w:rFonts w:ascii="Arial" w:hAnsi="Arial" w:cs="Arial" w:eastAsia="Arial"/>
          <w:b/>
          <w:bCs/>
          <w:color w:val="1F2430"/>
          <w:sz w:val="20"/>
          <w:szCs w:val="20"/>
          <w:rtl/>
        </w:rPr>
        <w:t>140-ב</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113 — התשובה הנכונה: ג</w:t>
            </w:r>
          </w:p>
          <w:p>
            <w:pPr>
              <w:bidi/>
              <w:spacing w:before="0" w:after="0" w:line="288" w:lineRule="auto"/>
              <w:jc w:val="both"/>
            </w:pPr>
            <w:r>
              <w:rPr>
                <w:rFonts w:ascii="Arial" w:hAnsi="Arial" w:cs="Arial" w:eastAsia="Arial"/>
                <w:color w:val="1F2430"/>
                <w:sz w:val="19"/>
                <w:szCs w:val="19"/>
                <w:rtl/>
              </w:rPr>
              <w:t>סעיף 1 לחוק קובע שהמטרה היא יישוב הסכסוך בהסכמה ובדרכי שלום וצמצום ההתדיינות, מתוך התחשבות בטובת כל ילד. מטרת החוק אינה שלום בית, ואין בה כוונה להחזיר את בני הזוג לחיים משותפים. החוק גם לא כופה גישור ולא מעביר סמכויות בין הערכאות.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114 — התשובה הנכונה: א</w:t>
            </w:r>
          </w:p>
          <w:p>
            <w:pPr>
              <w:bidi/>
              <w:spacing w:before="0" w:after="0" w:line="288" w:lineRule="auto"/>
              <w:jc w:val="both"/>
            </w:pPr>
            <w:r>
              <w:rPr>
                <w:rFonts w:ascii="Arial" w:hAnsi="Arial" w:cs="Arial" w:eastAsia="Arial"/>
                <w:color w:val="1F2430"/>
                <w:sz w:val="19"/>
                <w:szCs w:val="19"/>
                <w:rtl/>
              </w:rPr>
              <w:t>לפי סעיף 3(א) לחוק ההסדר, המבקש ״יגיש תחילה״ בקשה ליישוב סכסוך, וזו חובה שאינה נתונה למשא ומתן. הבקשה אינה כתב תביעה, ואסור לפרט בה את נושא הסכסוך ומרכיביו.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115 — התשובה הנכונה: ד</w:t>
            </w:r>
          </w:p>
          <w:p>
            <w:pPr>
              <w:bidi/>
              <w:spacing w:before="0" w:after="0" w:line="288" w:lineRule="auto"/>
              <w:jc w:val="both"/>
            </w:pPr>
            <w:r>
              <w:rPr>
                <w:rFonts w:ascii="Arial" w:hAnsi="Arial" w:cs="Arial" w:eastAsia="Arial"/>
                <w:color w:val="1F2430"/>
                <w:sz w:val="19"/>
                <w:szCs w:val="19"/>
                <w:rtl/>
              </w:rPr>
              <w:t>סעיף 3(א) קובע במפורש שהבקשה ״לא תכלול טענות או עובדות בקשר לסכסוך או בקשר לסמכות השיפוט״. היא רק מודיעה שיש סכסוך ושמתחילים הליך יישוב, כפי שעולה גם מהטופס בתקנה 2. גם עובדות מרכזיות בלבד אסור לכלול.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116 — התשובה הנכונה: ב</w:t>
            </w:r>
          </w:p>
          <w:p>
            <w:pPr>
              <w:bidi/>
              <w:spacing w:before="0" w:after="0" w:line="288" w:lineRule="auto"/>
              <w:jc w:val="both"/>
            </w:pPr>
            <w:r>
              <w:rPr>
                <w:rFonts w:ascii="Arial" w:hAnsi="Arial" w:cs="Arial" w:eastAsia="Arial"/>
                <w:color w:val="1F2430"/>
                <w:sz w:val="19"/>
                <w:szCs w:val="19"/>
                <w:rtl/>
              </w:rPr>
              <w:t>לפי סעיף 3(ב)(1), הצדדים מוזמנים לארבע פגישות מידע, היכרות ותיאום, ויחידת הסיוע רשאית לקיים פחות. ארבע הוא אפוא תקרה ולא מינימום. ההזמנה היא כהזמנה לדיון בבית המשפט.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117 — התשובה הנכונה: ג</w:t>
            </w:r>
          </w:p>
          <w:p>
            <w:pPr>
              <w:bidi/>
              <w:spacing w:before="0" w:after="0" w:line="288" w:lineRule="auto"/>
              <w:jc w:val="both"/>
            </w:pPr>
            <w:r>
              <w:rPr>
                <w:rFonts w:ascii="Arial" w:hAnsi="Arial" w:cs="Arial" w:eastAsia="Arial"/>
                <w:color w:val="1F2430"/>
                <w:sz w:val="19"/>
                <w:szCs w:val="19"/>
                <w:rtl/>
              </w:rPr>
              <w:t>סעיף 3(ב)(3) קובע שכל פגישות המהו״ת יתקיימו בתוך 45 ימים. יחידת הסיוע (ולא בית המשפט) רשאית להאריך פעם אחת ב-15 ימים, בהודעה לערכאה ולצדדים. 30 ימים הם עיכוב ההליכים בהפניה באמצע תיק לפי תקנה 37.</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118 — התשובה הנכונה: א</w:t>
            </w:r>
          </w:p>
          <w:p>
            <w:pPr>
              <w:bidi/>
              <w:spacing w:before="0" w:after="0" w:line="288" w:lineRule="auto"/>
              <w:jc w:val="both"/>
            </w:pPr>
            <w:r>
              <w:rPr>
                <w:rFonts w:ascii="Arial" w:hAnsi="Arial" w:cs="Arial" w:eastAsia="Arial"/>
                <w:color w:val="1F2430"/>
                <w:sz w:val="19"/>
                <w:szCs w:val="19"/>
                <w:rtl/>
              </w:rPr>
              <w:t>לפי סעיף 3(ה), תקופת עיכוב ההליכים היא 60 ימים מיום הגשת הבקשה, ואם תקופת המהו״ת הוארכה, 75 ימים. דרך לזכור: 60 ימי מהו״ת ועוד 15 ימי ״צינון״. 60 ימים הם התקופה ללא הארכה.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119 — התשובה הנכונה: ד</w:t>
            </w:r>
          </w:p>
          <w:p>
            <w:pPr>
              <w:bidi/>
              <w:spacing w:before="0" w:after="0" w:line="288" w:lineRule="auto"/>
              <w:jc w:val="both"/>
            </w:pPr>
            <w:r>
              <w:rPr>
                <w:rFonts w:ascii="Arial" w:hAnsi="Arial" w:cs="Arial" w:eastAsia="Arial"/>
                <w:color w:val="1F2430"/>
                <w:sz w:val="19"/>
                <w:szCs w:val="19"/>
                <w:rtl/>
              </w:rPr>
              <w:t>סעיף 3(ה) אוסר גם הגשה וגם דיון, לכל ערכאה, ומוסיף במפורש שלא ידונו ״לרבות בעניין סמכות השיפוט של הערכאה השיפוטית״. המסיח על דיון בסמכות בלבד שגוי, כי דווקא שאלת הסמכות הוחרגה במפורש.</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120 — התשובה הנכונה: ב</w:t>
            </w:r>
          </w:p>
          <w:p>
            <w:pPr>
              <w:bidi/>
              <w:spacing w:before="0" w:after="0" w:line="288" w:lineRule="auto"/>
              <w:jc w:val="both"/>
            </w:pPr>
            <w:r>
              <w:rPr>
                <w:rFonts w:ascii="Arial" w:hAnsi="Arial" w:cs="Arial" w:eastAsia="Arial"/>
                <w:color w:val="1F2430"/>
                <w:sz w:val="19"/>
                <w:szCs w:val="19"/>
                <w:rtl/>
              </w:rPr>
              <w:t>סעיף 4 נותן לצד שהגיש ראשון את הבקשה ליישוב סכסוך זכות קדימה של 15 ימים להגיש לכל ערכאה מוסמכת, ולא דווקא לערכאה שבה הוגשה הבקשה. רק אם לא הגיש, או הגיש רק על חלק מהעניינים, רשאי הצד האחר להגיש. כך עבר מירוץ הסמכויות לשלב הגשת הבקשה.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121 — התשובה הנכונה: ג</w:t>
            </w:r>
          </w:p>
          <w:p>
            <w:pPr>
              <w:bidi/>
              <w:spacing w:before="0" w:after="0" w:line="288" w:lineRule="auto"/>
              <w:jc w:val="both"/>
            </w:pPr>
            <w:r>
              <w:rPr>
                <w:rFonts w:ascii="Arial" w:hAnsi="Arial" w:cs="Arial" w:eastAsia="Arial"/>
                <w:color w:val="1F2430"/>
                <w:sz w:val="19"/>
                <w:szCs w:val="19"/>
                <w:rtl/>
              </w:rPr>
              <w:t>יוסף הגיש ראשון את הבקשה, ולכן לפי סעיף 4 הוא בלבד רשאי להגיש בתוך 15 ימים מתום תקופת העיכוב (הימים 61 עד 75). ברכה הגישה ביום ה-61, בתוך חלון הקדימה שלו, ולכן תביעתה תימחק. הקדמה אינה נותנת לה סמכות, ויוסף רשאי להגיש לכל ערכאה מוסמכת. תקופת העיכוב נמנית מהגשת הבקשה ולא מהפגישה.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122 — התשובה הנכונה: א</w:t>
            </w:r>
          </w:p>
          <w:p>
            <w:pPr>
              <w:bidi/>
              <w:spacing w:before="0" w:after="0" w:line="288" w:lineRule="auto"/>
              <w:jc w:val="both"/>
            </w:pPr>
            <w:r>
              <w:rPr>
                <w:rFonts w:ascii="Arial" w:hAnsi="Arial" w:cs="Arial" w:eastAsia="Arial"/>
                <w:color w:val="1F2430"/>
                <w:sz w:val="19"/>
                <w:szCs w:val="19"/>
                <w:rtl/>
              </w:rPr>
              <w:t>תקנה 5(ב): לפגישה הראשונה מתייצבים לבד, ואין בה ניסיון ליישוב הסכסוך המשפטי. תקנה 5(ג): פגישה שיועדה ליישוב הסכסוך המשפטי, כולו או מקצתו, אפשר לקיים בנוכחות באי כוח. אי אפשר לשלוח עורך דין במקום הצד, כי ההזמנה היא כהזמנה לדיון והצדדים יתייצבו בעצמם (ס׳ 3(ב)).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123 — התשובה הנכונה: ד</w:t>
            </w:r>
          </w:p>
          <w:p>
            <w:pPr>
              <w:bidi/>
              <w:spacing w:before="0" w:after="0" w:line="288" w:lineRule="auto"/>
              <w:jc w:val="both"/>
            </w:pPr>
            <w:r>
              <w:rPr>
                <w:rFonts w:ascii="Arial" w:hAnsi="Arial" w:cs="Arial" w:eastAsia="Arial"/>
                <w:color w:val="1F2430"/>
                <w:sz w:val="19"/>
                <w:szCs w:val="19"/>
                <w:rtl/>
              </w:rPr>
              <w:t>הגדרת ״תובענה״ מחריגה במפורש בקשה לאישור הסכם, ערעור ובקשת רשות ערעור, ותובענה לאכיפה וביצוע של החלטה שיפוטית. בקשה לסעד זמני דווקא נכללת במפורש בהגדרה. תביעה להגדלת מזונות היא תובענה רגילה.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124 — התשובה הנכונה: ב</w:t>
            </w:r>
          </w:p>
          <w:p>
            <w:pPr>
              <w:bidi/>
              <w:spacing w:before="0" w:after="0" w:line="288" w:lineRule="auto"/>
              <w:jc w:val="both"/>
            </w:pPr>
            <w:r>
              <w:rPr>
                <w:rFonts w:ascii="Arial" w:hAnsi="Arial" w:cs="Arial" w:eastAsia="Arial"/>
                <w:color w:val="1F2430"/>
                <w:sz w:val="19"/>
                <w:szCs w:val="19"/>
                <w:rtl/>
              </w:rPr>
              <w:t>סעיף 2(1) כולל ענייני נישואין וגירושין, ״למעט תובענה לגירושין או להתרת נישואין שהוגשה בהסכמת הצדדים״. גם אבהות או אמהות בהסכמה הוחרגו (ס׳ 2(5)). החוק חל בשתי הערכאות ועל כל בני הזוג.</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125 — התשובה הנכונה: ג</w:t>
            </w:r>
          </w:p>
          <w:p>
            <w:pPr>
              <w:bidi/>
              <w:spacing w:before="0" w:after="0" w:line="288" w:lineRule="auto"/>
              <w:jc w:val="both"/>
            </w:pPr>
            <w:r>
              <w:rPr>
                <w:rFonts w:ascii="Arial" w:hAnsi="Arial" w:cs="Arial" w:eastAsia="Arial"/>
                <w:color w:val="1F2430"/>
                <w:sz w:val="19"/>
                <w:szCs w:val="19"/>
                <w:rtl/>
              </w:rPr>
              <w:t>החוק מגדיר ״צעיר״ כ״בגיר שטרם מלאו לו 21 שנים״. ההגדרה חלה על מזונות או מדור של צעיר ועל סכסוך בין הורים לילדיהם הצעירים. קטין עד 18 מכוסה ממילא בסעיפים העוסקים בילד.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126 — התשובה הנכונה: א</w:t>
            </w:r>
          </w:p>
          <w:p>
            <w:pPr>
              <w:bidi/>
              <w:spacing w:before="0" w:after="0" w:line="288" w:lineRule="auto"/>
              <w:jc w:val="both"/>
            </w:pPr>
            <w:r>
              <w:rPr>
                <w:rFonts w:ascii="Arial" w:hAnsi="Arial" w:cs="Arial" w:eastAsia="Arial"/>
                <w:color w:val="1F2430"/>
                <w:sz w:val="19"/>
                <w:szCs w:val="19"/>
                <w:rtl/>
              </w:rPr>
              <w:t>חוק ההסדר חל רק על ״הגרעין המשפחתי המצומצם״: תובענות בין בני זוג, בין הורים, או בין הורים לילדיהם (ס׳ 2). סבא ונכד, וכן סכסוך עסקי, אינם בגדרו. המסיח המרכזי מבלבל בין ״בן משפחתו״ שבחוק בית המשפט לענייני משפחה, שהוא רחב, לבין החוג המצומצם של חוק ההסדר.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127 — התשובה הנכונה: ד</w:t>
            </w:r>
          </w:p>
          <w:p>
            <w:pPr>
              <w:bidi/>
              <w:spacing w:before="0" w:after="0" w:line="288" w:lineRule="auto"/>
              <w:jc w:val="both"/>
            </w:pPr>
            <w:r>
              <w:rPr>
                <w:rFonts w:ascii="Arial" w:hAnsi="Arial" w:cs="Arial" w:eastAsia="Arial"/>
                <w:color w:val="1F2430"/>
                <w:sz w:val="19"/>
                <w:szCs w:val="19"/>
                <w:rtl/>
              </w:rPr>
              <w:t>הוחלט להקים את בית המשפט בדרגת שלום, בעיקר משיקולי עלות. לכן הערעור הוא בזכות למחוזי, ומשם בקשת רשות ערעור לעליון. החוק טכני-פרוצדורלי ואינו קובע איזה דין יחול, דתי או אזרחי.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128 — התשובה הנכונה: ב</w:t>
            </w:r>
          </w:p>
          <w:p>
            <w:pPr>
              <w:bidi/>
              <w:spacing w:before="0" w:after="0" w:line="288" w:lineRule="auto"/>
              <w:jc w:val="both"/>
            </w:pPr>
            <w:r>
              <w:rPr>
                <w:rFonts w:ascii="Arial" w:hAnsi="Arial" w:cs="Arial" w:eastAsia="Arial"/>
                <w:color w:val="1F2430"/>
                <w:sz w:val="19"/>
                <w:szCs w:val="19"/>
                <w:rtl/>
              </w:rPr>
              <w:t>חמשת החסרונות שנמנו (ובעקבותיהם ועדת שינבוים): ריבוי שופטים, הוצאות גבוהות, פתרונות לא גלובליים, סדרי דין וראיות נוקשים ופגיעה בפרטיות. לבתי המשפט האזרחיים הייתה ממילא סמכות בענייני מעמד אישי מכוח סימן 47 לדבר המלך. הבעיה הייתה הפיצול בין שלום למחוזי.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129 — התשובה הנכונה: ג</w:t>
            </w:r>
          </w:p>
          <w:p>
            <w:pPr>
              <w:bidi/>
              <w:spacing w:before="0" w:after="0" w:line="288" w:lineRule="auto"/>
              <w:jc w:val="both"/>
            </w:pPr>
            <w:r>
              <w:rPr>
                <w:rFonts w:ascii="Arial" w:hAnsi="Arial" w:cs="Arial" w:eastAsia="Arial"/>
                <w:color w:val="1F2430"/>
                <w:sz w:val="19"/>
                <w:szCs w:val="19"/>
                <w:rtl/>
              </w:rPr>
              <w:t>זה נוסח סעיף 8(א). הגמישות חלה רק כשאין הוראה אחרת לפי החוק, והיא אינה גורעת מכללי חסיונות עדים או ראיות חסויות. השופט אינו כבול, אבל גם אינו פטור לחלוטין ואינו ״עושה כרצונו״. הסעיף נועד לאפשר שופט אקטיבי שמאזן כוחות.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130 — התשובה הנכונה: א</w:t>
            </w:r>
          </w:p>
          <w:p>
            <w:pPr>
              <w:bidi/>
              <w:spacing w:before="0" w:after="0" w:line="288" w:lineRule="auto"/>
              <w:jc w:val="both"/>
            </w:pPr>
            <w:r>
              <w:rPr>
                <w:rFonts w:ascii="Arial" w:hAnsi="Arial" w:cs="Arial" w:eastAsia="Arial"/>
                <w:color w:val="1F2430"/>
                <w:sz w:val="19"/>
                <w:szCs w:val="19"/>
                <w:rtl/>
              </w:rPr>
              <w:t>לפי סעיף 8(א), בכל עניין של ראיות שאין עליו הוראה אחרת, בית המשפט נוהג בדרך הטובה ביותר לעשיית משפט צדק. לכן הקבלה נתונה לשיקול דעתו. אין כלל אוטומטי של קבלה, כי השופט לא פטור לגמרי והחסיונות נשמרים. אין גם דרישה לעמוד במבחני הקבילות הרגילים.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131 — התשובה הנכונה: ד</w:t>
            </w:r>
          </w:p>
          <w:p>
            <w:pPr>
              <w:bidi/>
              <w:spacing w:before="0" w:after="0" w:line="288" w:lineRule="auto"/>
              <w:jc w:val="both"/>
            </w:pPr>
            <w:r>
              <w:rPr>
                <w:rFonts w:ascii="Arial" w:hAnsi="Arial" w:cs="Arial" w:eastAsia="Arial"/>
                <w:color w:val="1F2430"/>
                <w:sz w:val="19"/>
                <w:szCs w:val="19"/>
                <w:rtl/>
              </w:rPr>
              <w:t>סעיף 3(ג) מסמיך את בית המשפט לאשר הסכם ״אף אם אינה תלויה ועומדת אותה שעה תובענה לגביו״ ולתת לו תוקף של פסק דין. זה מאפיין ייחודי לדיני המשפחה. בתחומים אחרים צריך קודם להגיש תביעה. בקשה לאישור הסכם אינה ״תובענה״ לפי חוק ההסדר, ולכן אין צורך במהו״ת.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132 — התשובה הנכונה: ב</w:t>
            </w:r>
          </w:p>
          <w:p>
            <w:pPr>
              <w:bidi/>
              <w:spacing w:before="0" w:after="0" w:line="288" w:lineRule="auto"/>
              <w:jc w:val="both"/>
            </w:pPr>
            <w:r>
              <w:rPr>
                <w:rFonts w:ascii="Arial" w:hAnsi="Arial" w:cs="Arial" w:eastAsia="Arial"/>
                <w:color w:val="1F2430"/>
                <w:sz w:val="19"/>
                <w:szCs w:val="19"/>
                <w:rtl/>
              </w:rPr>
              <w:t>יש להבחין בין אישור ההסכם לבין מתן תוקף של פסק דין. רק תוקף של פסק דין מעניק להסכם מעמד של פסק דין שאפשר לאכוף בהוצאה לפועל. ההסכם המאושר אינו בטל, אבל אינו פסק דין. אכיפה וביצוע של החלטה שיפוטית אינם ״תובענה״ לפי חוק ההסדר.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133 — התשובה הנכונה: ג</w:t>
            </w:r>
          </w:p>
          <w:p>
            <w:pPr>
              <w:bidi/>
              <w:spacing w:before="0" w:after="0" w:line="288" w:lineRule="auto"/>
              <w:jc w:val="both"/>
            </w:pPr>
            <w:r>
              <w:rPr>
                <w:rFonts w:ascii="Arial" w:hAnsi="Arial" w:cs="Arial" w:eastAsia="Arial"/>
                <w:color w:val="1F2430"/>
                <w:sz w:val="19"/>
                <w:szCs w:val="19"/>
                <w:rtl/>
              </w:rPr>
              <w:t>תקנה 43(א) לתקנות 2020 מחייבת את בית המשפט להסביר לבעלי הדין את משמעות ההסכם ולברר שהם מבינים את הוראותיו ותוצאותיו וערכו אותו בהסכמה חופשית. אם ההסכם נוגע לקטין, הוא יאושר רק אם הוא לטובת הקטין. אין הפניה למהו״ת, כי אישור הסכם אינו ״תובענה״, ואין אישור אוטומטי.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134 — התשובה הנכונה: א</w:t>
            </w:r>
          </w:p>
          <w:p>
            <w:pPr>
              <w:bidi/>
              <w:spacing w:before="0" w:after="0" w:line="288" w:lineRule="auto"/>
              <w:jc w:val="both"/>
            </w:pPr>
            <w:r>
              <w:rPr>
                <w:rFonts w:ascii="Arial" w:hAnsi="Arial" w:cs="Arial" w:eastAsia="Arial"/>
                <w:color w:val="1F2430"/>
                <w:sz w:val="19"/>
                <w:szCs w:val="19"/>
                <w:rtl/>
              </w:rPr>
              <w:t>סעיף 68(ה) הופך את כלל פומביות הדיון: ברירת המחדל בענייני משפחה היא דלתיים סגורות. החריגים הם תובענות ירושה שעילתן אינה סכסוך בתוך המשפחה, ותובענות לפי חוק השמות וחוק קביעת גיל. לכן לא כל תביעת ירושה נדונה בדלתיים סגורות. לפי המקראה, הכלל נכון גם לבית הדין הרבני.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135 — התשובה הנכונה: ד</w:t>
            </w:r>
          </w:p>
          <w:p>
            <w:pPr>
              <w:bidi/>
              <w:spacing w:before="0" w:after="0" w:line="288" w:lineRule="auto"/>
              <w:jc w:val="both"/>
            </w:pPr>
            <w:r>
              <w:rPr>
                <w:rFonts w:ascii="Arial" w:hAnsi="Arial" w:cs="Arial" w:eastAsia="Arial"/>
                <w:color w:val="1F2430"/>
                <w:sz w:val="19"/>
                <w:szCs w:val="19"/>
                <w:rtl/>
              </w:rPr>
              <w:t>ההגדרה כוללת בן זוג, לרבות הידועה בציבור כאשתו, בן זוג לשעבר (כשהעניין נובע מהקשר), ילד ולרבות ילד של בן הזוג, הורים והורי בן הזוג, נכד, הורי ההורים, ואחים שלו או של בן זוגו. בן דוד אינו ברשימה. ידועים בציבור נכנסו לחוק לראשונה בהגדרה זו.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136 — התשובה הנכונה: ב</w:t>
            </w:r>
          </w:p>
          <w:p>
            <w:pPr>
              <w:bidi/>
              <w:spacing w:before="0" w:after="0" w:line="288" w:lineRule="auto"/>
              <w:jc w:val="both"/>
            </w:pPr>
            <w:r>
              <w:rPr>
                <w:rFonts w:ascii="Arial" w:hAnsi="Arial" w:cs="Arial" w:eastAsia="Arial"/>
                <w:color w:val="1F2430"/>
                <w:sz w:val="19"/>
                <w:szCs w:val="19"/>
                <w:rtl/>
              </w:rPr>
              <w:t>זו הלכת פס״ד חבס נ׳ חבס, שהיא התשובה בשאלת החידוד. סכסוך עם גורמים לבר-משפחתיים רבים הוא עסקי. גם סכסוך באחד מכמה קשרים עסקיים מעיד על סכסוך עסקי ולא משפחתי. אין תקרה כספית: התובענה נדונה ״יהא נושאה או שוויה אשר יהא״.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137 — התשובה הנכונה: ג</w:t>
            </w:r>
          </w:p>
          <w:p>
            <w:pPr>
              <w:bidi/>
              <w:spacing w:before="0" w:after="0" w:line="288" w:lineRule="auto"/>
              <w:jc w:val="both"/>
            </w:pPr>
            <w:r>
              <w:rPr>
                <w:rFonts w:ascii="Arial" w:hAnsi="Arial" w:cs="Arial" w:eastAsia="Arial"/>
                <w:color w:val="1F2430"/>
                <w:sz w:val="19"/>
                <w:szCs w:val="19"/>
                <w:rtl/>
              </w:rPr>
              <w:t>זו תובענה אזרחית בין אדם לבן משפחתו (ילדו), ועילתה סכסוך בתוך המשפחה: הגירושין והתייצבות הבן לצד האם. לכן היא בסמכות בית המשפט לענייני משפחה לפי ס׳ 1(2) ו-3(א), יהא שוויה אשר יהא. נושא עסקי אינו מוציא אותה כשעילת הסכסוך משפחתית.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138 — התשובה הנכונה: ד</w:t>
            </w:r>
          </w:p>
          <w:p>
            <w:pPr>
              <w:bidi/>
              <w:spacing w:before="0" w:after="0" w:line="288" w:lineRule="auto"/>
              <w:jc w:val="both"/>
            </w:pPr>
            <w:r>
              <w:rPr>
                <w:rFonts w:ascii="Arial" w:hAnsi="Arial" w:cs="Arial" w:eastAsia="Arial"/>
                <w:color w:val="1F2430"/>
                <w:sz w:val="19"/>
                <w:szCs w:val="19"/>
                <w:rtl/>
              </w:rPr>
              <w:t>תקנה 37(א) מסמיכה להפנות לשירותי אבחון, ייעוץ, גישור או טיפול, ותקנה 37(ב) קובעת עיכוב הליכים של 30 יום. אפשר להיעזר ביחידה גם באמצע תיק, והשירות ניתן בחינם. אין לבלבל עם עיכוב של 60 או 75 יום לפי ס׳ 3(ה) לחוק ההסדר. היחידה אינה מאשרת הסכמים.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139 — התשובה הנכונה: א</w:t>
            </w:r>
          </w:p>
          <w:p>
            <w:pPr>
              <w:bidi/>
              <w:spacing w:before="0" w:after="0" w:line="288" w:lineRule="auto"/>
              <w:jc w:val="both"/>
            </w:pPr>
            <w:r>
              <w:rPr>
                <w:rFonts w:ascii="Arial" w:hAnsi="Arial" w:cs="Arial" w:eastAsia="Arial"/>
                <w:color w:val="1F2430"/>
                <w:sz w:val="19"/>
                <w:szCs w:val="19"/>
                <w:rtl/>
              </w:rPr>
              <w:t>לפי מפתח התשובות של הלשכה (בחינה 29/06/2021, שאלה 20), התשובה הנכונה היא פתיחת הליך לביצוע פסק הדין בבית המשפט לענייני משפחה, בהפניה לסעיף 7 לחוק בית המשפט לענייני משפחה. אין צורך בתביעה חדשה, כי כבר יש פסק דין. בזיון בבית משפט השלום אינו הדרך. אכיפה וביצוע של החלטה שיפוטית אינם ״תובענה״, ולכן אין צורך ביישוב סכסוך.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140 — התשובה הנכונה: ב</w:t>
            </w:r>
          </w:p>
          <w:p>
            <w:pPr>
              <w:bidi/>
              <w:spacing w:before="0" w:after="0" w:line="288" w:lineRule="auto"/>
              <w:jc w:val="both"/>
            </w:pPr>
            <w:r>
              <w:rPr>
                <w:rFonts w:ascii="Arial" w:hAnsi="Arial" w:cs="Arial" w:eastAsia="Arial"/>
                <w:color w:val="1F2430"/>
                <w:sz w:val="19"/>
                <w:szCs w:val="19"/>
                <w:rtl/>
              </w:rPr>
              <w:t>לפי תקנה 75 לתקנות בית המשפט לענייני משפחה (סדרי דין), התשפ״א-2020, ולפי מפתח התשובות של הלשכה, בקשת אימוץ מוגשת לבית המשפט לענייני משפחה במקום מגורי המבקשים, כלומר בתל אביב. מקום מגורי הקטין אינו הקובע, וזו אינה בחירה בין בית משפט לבית דין דתי.</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2E7D4F"/>
            <w:tcBorders>
              <w:top w:val="single" w:sz="4" w:space="0" w:color="2E7D4F"/>
              <w:left w:val="single" w:sz="4" w:space="0" w:color="2E7D4F"/>
              <w:bottom w:val="single" w:sz="4" w:space="0" w:color="2E7D4F"/>
              <w:right w:val="single" w:sz="4" w:space="0" w:color="2E7D4F"/>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6</w:t>
            </w:r>
          </w:p>
          <w:p>
            <w:pPr>
              <w:bidi/>
              <w:spacing w:before="0" w:after="0" w:line="264" w:lineRule="auto"/>
              <w:outlineLvl w:val="0"/>
            </w:pPr>
            <w:r>
              <w:rPr>
                <w:rFonts w:ascii="Arial" w:hAnsi="Arial" w:cs="Arial" w:eastAsia="Arial"/>
                <w:b/>
                <w:bCs/>
                <w:color w:val="FFFFFF"/>
                <w:sz w:val="42"/>
                <w:szCs w:val="42"/>
                <w:rtl/>
              </w:rPr>
              <w:t>מזונות אישה – הדין המהותי</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141 </w:t>
            </w:r>
            <w:r>
              <w:rPr>
                <w:rFonts w:ascii="Arial" w:hAnsi="Arial" w:cs="Arial" w:eastAsia="Arial"/>
                <w:sz w:val="20"/>
                <w:szCs w:val="20"/>
                <w:rtl/>
              </w:rPr>
              <w:t xml:space="preserve">  </w:t>
            </w:r>
            <w:r>
              <w:rPr>
                <w:rFonts w:ascii="Arial" w:hAnsi="Arial" w:cs="Arial" w:eastAsia="Arial"/>
                <w:b/>
                <w:bCs/>
                <w:color w:val="111827"/>
                <w:sz w:val="20"/>
                <w:szCs w:val="20"/>
                <w:rtl/>
              </w:rPr>
              <w:t>דנה ויואב, יהודים שנישאו כדמו״י, מתגוררים בישראל. דנה הגישה לבית המשפט לענייני משפחה תביעת מזונות אישה שלא אגב גירושין. איזה דין יחיל בית המשפט?</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דין טריטוריאלי-אזרחי, משום שהדין הולך אחר הדיין והתביעה הוגשה לערכאה אזרחית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דין אישי – דין תורה, מכוח סעיף 2(א) לחוק לתיקון דיני המשפחה (מזונות)</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הדין שתבחר דנה, משום שהיא זו שבחרה את הערכאה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דין תורה רק אם יואב יבקש להעביר את הדיון לבית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142 </w:t>
            </w:r>
            <w:r>
              <w:rPr>
                <w:rFonts w:ascii="Arial" w:hAnsi="Arial" w:cs="Arial" w:eastAsia="Arial"/>
                <w:sz w:val="20"/>
                <w:szCs w:val="20"/>
                <w:rtl/>
              </w:rPr>
              <w:t xml:space="preserve">  </w:t>
            </w:r>
            <w:r>
              <w:rPr>
                <w:rFonts w:ascii="Arial" w:hAnsi="Arial" w:cs="Arial" w:eastAsia="Arial"/>
                <w:b/>
                <w:bCs/>
                <w:color w:val="111827"/>
                <w:sz w:val="20"/>
                <w:szCs w:val="20"/>
                <w:rtl/>
              </w:rPr>
              <w:t>סעיף 10 לחוק לתיקון דיני המשפחה (מזונות) מאפשר לפסוק מזונות זמניים עד לגמר בירור התביעה. לפי מה שנלמד בקורס, האם הוא חל על תביעת מזונות אישה בין יהודים הנשואים כדמו״י?</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לא, שכן סעיף 2(א) קובע שהוראות חוק המזונות לא יחולו על מי שחל עליו דין אישי</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כן, אך רק בבית המשפט לענייני משפחה ולא בבית הדין הרבני</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רק אם שני הצדדים הסכימו לכך בכתב</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כן, משום שזו הוראה פרוצדורלית-טכנית החלה גם על מזונות לפי דין אישי, ואף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143 </w:t>
            </w:r>
            <w:r>
              <w:rPr>
                <w:rFonts w:ascii="Arial" w:hAnsi="Arial" w:cs="Arial" w:eastAsia="Arial"/>
                <w:sz w:val="20"/>
                <w:szCs w:val="20"/>
                <w:rtl/>
              </w:rPr>
              <w:t xml:space="preserve">  </w:t>
            </w:r>
            <w:r>
              <w:rPr>
                <w:rFonts w:ascii="Arial" w:hAnsi="Arial" w:cs="Arial" w:eastAsia="Arial"/>
                <w:b/>
                <w:bCs/>
                <w:color w:val="111827"/>
                <w:sz w:val="20"/>
                <w:szCs w:val="20"/>
                <w:rtl/>
              </w:rPr>
              <w:t>לפי הרמב״ם, הבעל מתחייב לאשתו בעשרה דברים וזוכה בארבעה. איזו התאמה בין זכות הבעל לבין החיוב שכנגדה נכונה?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מעשה ידיה – כנגד מזונותיה; פירות נכסיה – כנגד חובת פדיונה מן השבי</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מעשה ידיה – כנגד כתובתה; פירות נכסיה – כנגד מזונותיה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מציאתה – כנגד רפואתה; ירושתה – כנגד מזונותיה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פירות נכסיה – כנגד עונתה; מעשה ידיה – כנגד כסותה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144 </w:t>
            </w:r>
            <w:r>
              <w:rPr>
                <w:rFonts w:ascii="Arial" w:hAnsi="Arial" w:cs="Arial" w:eastAsia="Arial"/>
                <w:sz w:val="20"/>
                <w:szCs w:val="20"/>
                <w:rtl/>
              </w:rPr>
              <w:t xml:space="preserve">  </w:t>
            </w:r>
            <w:r>
              <w:rPr>
                <w:rFonts w:ascii="Arial" w:hAnsi="Arial" w:cs="Arial" w:eastAsia="Arial"/>
                <w:b/>
                <w:bCs/>
                <w:color w:val="111827"/>
                <w:sz w:val="20"/>
                <w:szCs w:val="20"/>
                <w:rtl/>
              </w:rPr>
              <w:t>מה פירוש האמירה ״אינני ניזונת ואינני עושה״ בהקשר של מזונות אישה?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האישה מודיעה שאינה מסוגלת לעבוד, ולכן דורשת מזונות מלאים</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האישה מוותרת על מזונותיה וגם על כתובתה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האישה מוותרת על מזונות מבעלה, ובתמורה שכר עבודתה (מעשה ידיה) נשאר אצלה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האישה מוותרת על פירות נכסיה כדי לפטור את בעלה מחובת הפדיון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145 </w:t>
            </w:r>
            <w:r>
              <w:rPr>
                <w:rFonts w:ascii="Arial" w:hAnsi="Arial" w:cs="Arial" w:eastAsia="Arial"/>
                <w:sz w:val="20"/>
                <w:szCs w:val="20"/>
                <w:rtl/>
              </w:rPr>
              <w:t xml:space="preserve">  </w:t>
            </w:r>
            <w:r>
              <w:rPr>
                <w:rFonts w:ascii="Arial" w:hAnsi="Arial" w:cs="Arial" w:eastAsia="Arial"/>
                <w:b/>
                <w:bCs/>
                <w:color w:val="111827"/>
                <w:sz w:val="20"/>
                <w:szCs w:val="20"/>
                <w:rtl/>
              </w:rPr>
              <w:t>מיכל, נשואה כדמו״י, יורשת דירה שהיא משכירה. היא חתמה עם בעלה על מסמך שבו היא מוותרת על זכותה להיפדות מן השבי, כדי שדמי השכירות יישארו אצלה. מה הדין לפי ההלכה כפי שנלמדה?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הוויתור תקף, בדיוק כמו הוויתור ״אינני ניזונת ואינני עושה״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הוויתור תקף רק אם אושר בבית הדין הרבני</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הוויתור אינו תקף – האישה אינה יכולה לוותר על הסדר הפירות כנגד הפדיון</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הוויתור תקף רק אם דמי השכירות נמוכים מסכום המזונות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146 </w:t>
            </w:r>
            <w:r>
              <w:rPr>
                <w:rFonts w:ascii="Arial" w:hAnsi="Arial" w:cs="Arial" w:eastAsia="Arial"/>
                <w:sz w:val="20"/>
                <w:szCs w:val="20"/>
                <w:rtl/>
              </w:rPr>
              <w:t xml:space="preserve">  </w:t>
            </w:r>
            <w:r>
              <w:rPr>
                <w:rFonts w:ascii="Arial" w:hAnsi="Arial" w:cs="Arial" w:eastAsia="Arial"/>
                <w:b/>
                <w:bCs/>
                <w:color w:val="111827"/>
                <w:sz w:val="20"/>
                <w:szCs w:val="20"/>
                <w:rtl/>
              </w:rPr>
              <w:t>מה נקבע בפס״ד מזור בנוגע לאישה שאינה עובדת?</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לא ניתן לחייב את האישה לצאת לעבוד, וגם לא ניתן לקזז ממזונותיה את פוטנציאל השתכרותה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לא ניתן לחייבה לצאת לעבוד, אך ניתן לקזז את פוטנציאל השתכרותה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ניתן לחייבה לצאת לעבוד אם היא צעירה ובריאה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ניתן לקזז פוטנציאל השתכרות אם הבעל מוכיח שעבדה בעבר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147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ביחס לפסקי הדין ביקל נ׳ ביקל ופדן נ׳ פדן?</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בשניהם נקבע כי אסור בשום מקרה לקזז פוטנציאל השתכרות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בשניהם נפסקו לאישה מזונות מלאים בשל אלימות הבעל</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בביקל נקבע מבחן הפרידה הנקייה, ובפדן נקבע שיש לחייב כל אישה לצאת לעבוד</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השופט שמגר ביקש לאמץ קו שוויוני ופסק לנשים רק חלק מהסכום שתבעו, בין היתר בשל עקרון תום הלב וגישת ״הפרידה הנקייה״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148 </w:t>
            </w:r>
            <w:r>
              <w:rPr>
                <w:rFonts w:ascii="Arial" w:hAnsi="Arial" w:cs="Arial" w:eastAsia="Arial"/>
                <w:sz w:val="20"/>
                <w:szCs w:val="20"/>
                <w:rtl/>
              </w:rPr>
              <w:t xml:space="preserve">  </w:t>
            </w:r>
            <w:r>
              <w:rPr>
                <w:rFonts w:ascii="Arial" w:hAnsi="Arial" w:cs="Arial" w:eastAsia="Arial"/>
                <w:b/>
                <w:bCs/>
                <w:color w:val="111827"/>
                <w:sz w:val="20"/>
                <w:szCs w:val="20"/>
                <w:rtl/>
              </w:rPr>
              <w:t>שרה, בת 60, נשואה כדמו״י מעל 30 שנה, מעולם לא עבדה וסבלה מאלימות מצד בעלה. בעלה מבקש לקזז ממזונותיה את פוטנציאל השתכרותה, בהסתמך על ביקל ופדן. מה ההלכה לפי פס״ד פלולי?</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פוטנציאל ההשתכרות יקוזז באופן אוטומטי, שכן כל אישה יכולה להשתלב בשוק העבודה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ככלל אין לחייב אישה לצאת לעבוד ואין לקזז פוטנציאל השתכרות; רק במקרים מתאימים, ולא באופן אוטומטי, ניתן לשקול קיזוז – והנטל על הבעל</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ניתן לקזז פוטנציאל השתכרות רק אם שרה תוכיח שאינה מסוגלת לעבוד</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פלולי ביטל לחלוטין את האפשרות לקזז פוטנציאל השתכרות בכל מקרה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149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אינו אחד הפרמטרים שנלמדו לבחינת פוטנציאל ההשתכרות של האישה?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השאלה מי מבני הזוג יזם את הפירוד</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מצבה הבריאותי של האישה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נסיבות הפסקת עבודתה, אם עבדה בעבר</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קיומם של ילדים קטנים, גילם ומצבם הבריאותי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150 </w:t>
            </w:r>
            <w:r>
              <w:rPr>
                <w:rFonts w:ascii="Arial" w:hAnsi="Arial" w:cs="Arial" w:eastAsia="Arial"/>
                <w:sz w:val="20"/>
                <w:szCs w:val="20"/>
                <w:rtl/>
              </w:rPr>
              <w:t xml:space="preserve">  </w:t>
            </w:r>
            <w:r>
              <w:rPr>
                <w:rFonts w:ascii="Arial" w:hAnsi="Arial" w:cs="Arial" w:eastAsia="Arial"/>
                <w:b/>
                <w:bCs/>
                <w:color w:val="111827"/>
                <w:sz w:val="20"/>
                <w:szCs w:val="20"/>
                <w:rtl/>
              </w:rPr>
              <w:t>מה הייתה ביקורתו של השופט שמגר על המצב המשפטי שנוצר בעקבות סעיף 2 לחוק שיווי זכויות האישה ופס״ד סידיס?</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נוצר אי-שוויון בין גברים לנשים, שכן הבעל אינו זכאי למזונות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נוצר אי-שוויון בין נשים: אישה בעלת נכסים שומרת את פירותיה ומקבלת מזונות מלאים, ואילו מעשה ידיה של אישה עובדת מתקזזים</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החוק פוגע בקניינה של האישה ולכן יש לבטלו</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החוק מונע מבית הדין הרבני לדון במזונות 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151 </w:t>
            </w:r>
            <w:r>
              <w:rPr>
                <w:rFonts w:ascii="Arial" w:hAnsi="Arial" w:cs="Arial" w:eastAsia="Arial"/>
                <w:sz w:val="20"/>
                <w:szCs w:val="20"/>
                <w:rtl/>
              </w:rPr>
              <w:t xml:space="preserve">  </w:t>
            </w:r>
            <w:r>
              <w:rPr>
                <w:rFonts w:ascii="Arial" w:hAnsi="Arial" w:cs="Arial" w:eastAsia="Arial"/>
                <w:b/>
                <w:bCs/>
                <w:color w:val="111827"/>
                <w:sz w:val="20"/>
                <w:szCs w:val="20"/>
                <w:rtl/>
              </w:rPr>
              <w:t>מה קובע סעיף 2א לחוק לתיקון דיני המשפחה (מזונות), שהוסף ב-1976?</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שבני זוג חייבים במזונות זה של זה באופן שוויוני</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שאישה נשואה רשאית לנהל את קניינה כאילו הייתה פנויה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שבית המשפט רשאי לפסוק מזונות זמניים עד גמר בירור התביעה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שעל אף האמור בחוק שיווי זכויות האישה, בקביעת מזונות לאישה רשאי בית המשפט להתחשב בהכנסותיה מעבודה, מנכסים ומכל מקור אחר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152 </w:t>
            </w:r>
            <w:r>
              <w:rPr>
                <w:rFonts w:ascii="Arial" w:hAnsi="Arial" w:cs="Arial" w:eastAsia="Arial"/>
                <w:sz w:val="20"/>
                <w:szCs w:val="20"/>
                <w:rtl/>
              </w:rPr>
              <w:t xml:space="preserve">  </w:t>
            </w:r>
            <w:r>
              <w:rPr>
                <w:rFonts w:ascii="Arial" w:hAnsi="Arial" w:cs="Arial" w:eastAsia="Arial"/>
                <w:b/>
                <w:bCs/>
                <w:color w:val="111827"/>
                <w:sz w:val="20"/>
                <w:szCs w:val="20"/>
                <w:rtl/>
              </w:rPr>
              <w:t>בפס״ד חקק נ׳ חקק (הרכב של חמישה שופטים) נדון היחס בין סעיף 2א לחוק המזונות לבין הדין האישי. מה הייתה ההלכה שנקבעה בדעת הרוב?</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סעיף 2א הוא הוראה פרוצדורלית ולכן חל על כולם, ומותר להתחשב בכל מקור הכנסה של האישה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סעיף 2א אינו חל כלל על יהודים, ולכן אין לקזז דבר ממזונות האישה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המחוקק חזר בו לדין תורה, ולכן מותר לקזז ממזונות האישה רק את פירותיה – ורק פירות בפועל</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מותר לקזז את פירותיה ואת פוטנציאל פירותיה, אך לא את שכר עבודתה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153 </w:t>
            </w:r>
            <w:r>
              <w:rPr>
                <w:rFonts w:ascii="Arial" w:hAnsi="Arial" w:cs="Arial" w:eastAsia="Arial"/>
                <w:sz w:val="20"/>
                <w:szCs w:val="20"/>
                <w:rtl/>
              </w:rPr>
              <w:t xml:space="preserve">  </w:t>
            </w:r>
            <w:r>
              <w:rPr>
                <w:rFonts w:ascii="Arial" w:hAnsi="Arial" w:cs="Arial" w:eastAsia="Arial"/>
                <w:b/>
                <w:bCs/>
                <w:color w:val="111827"/>
                <w:sz w:val="20"/>
                <w:szCs w:val="20"/>
                <w:rtl/>
              </w:rPr>
              <w:t>לרחל, נשואה כדמו״י, דירה שירשה, והיא עומדת ריקה. בעלה טוען בתביעת המזונות כי יש לקזז את דמי השכירות שרחל הייתה יכולה לקבל אילו השכירה את הדירה. מה הדין?</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יש לקזז, שכן לפי פס״ד חקק מותר לקזז פירות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אין לקזז – מקזזים רק פירות בפועל; את פוטנציאל הפירות אין לקזז, ואין לחייבה להשכיר את נכסה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יש לקזז רק מחצית מדמי השכירות הפוטנציאליים</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יש לקזז אם הבעל יוכיח שרחל מסרבת להשכיר מתוך חוסר תום לב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154 </w:t>
            </w:r>
            <w:r>
              <w:rPr>
                <w:rFonts w:ascii="Arial" w:hAnsi="Arial" w:cs="Arial" w:eastAsia="Arial"/>
                <w:sz w:val="20"/>
                <w:szCs w:val="20"/>
                <w:rtl/>
              </w:rPr>
              <w:t xml:space="preserve">  </w:t>
            </w:r>
            <w:r>
              <w:rPr>
                <w:rFonts w:ascii="Arial" w:hAnsi="Arial" w:cs="Arial" w:eastAsia="Arial"/>
                <w:b/>
                <w:bCs/>
                <w:color w:val="111827"/>
                <w:sz w:val="20"/>
                <w:szCs w:val="20"/>
                <w:rtl/>
              </w:rPr>
              <w:t>לתמר, נשואה כדמו״י, משכורת חודשית, דירה מושכרת שמניבה דמי שכירות, וכן סכום כסף גדול שירשה ומופקד בבנק ללא תשואה. מה מותר לקזז ממזונותיה לפי מה שנלמד?</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רק את המשכורת, שכן פירות אינם מתקזזים מאז חוק שיווי זכויות האישה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את המשכורת, את דמי השכירות ואת קרן הירושה – כל מקור הכנסה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את המשכורת שהיא משתכרת בפועל ואת דמי השכירות בפועל, אך לא את קרן הירושה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רק את דמי השכירות, שכן אין לקזז שכר עבודה של 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155 </w:t>
            </w:r>
            <w:r>
              <w:rPr>
                <w:rFonts w:ascii="Arial" w:hAnsi="Arial" w:cs="Arial" w:eastAsia="Arial"/>
                <w:sz w:val="20"/>
                <w:szCs w:val="20"/>
                <w:rtl/>
              </w:rPr>
              <w:t xml:space="preserve">  </w:t>
            </w:r>
            <w:r>
              <w:rPr>
                <w:rFonts w:ascii="Arial" w:hAnsi="Arial" w:cs="Arial" w:eastAsia="Arial"/>
                <w:b/>
                <w:bCs/>
                <w:color w:val="111827"/>
                <w:sz w:val="20"/>
                <w:szCs w:val="20"/>
                <w:rtl/>
              </w:rPr>
              <w:t>בעל נתבע למזונות אישה בבית המשפט לענייני משפחה וטוען שקיים ספק בתוקף הנישואין כדמו״י. איזו מהטענות נכונה?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לפי הכלל ״אין מוציאין ממון מספק״, מנישואין בספק אין כתובה ואין מזונות; בית המשפט רשאי להכריע בשאלת התוקף באופן אגבי מכוח סעיף 76 לחוק בתי המשפט [נוסח משולב]</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מאחר שקיים ספק, יש לחייב את הבעל במזונות לחומרא, כמו שמחייבים גט לחומרא</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בית המשפט חייב להעביר את כל תביעת המזונות לבית הדין הרבני</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שאלת תוקף הנישואין אינה רלוונטית למזונות 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156 </w:t>
            </w:r>
            <w:r>
              <w:rPr>
                <w:rFonts w:ascii="Arial" w:hAnsi="Arial" w:cs="Arial" w:eastAsia="Arial"/>
                <w:sz w:val="20"/>
                <w:szCs w:val="20"/>
                <w:rtl/>
              </w:rPr>
              <w:t xml:space="preserve">  </w:t>
            </w:r>
            <w:r>
              <w:rPr>
                <w:rFonts w:ascii="Arial" w:hAnsi="Arial" w:cs="Arial" w:eastAsia="Arial"/>
                <w:b/>
                <w:bCs/>
                <w:color w:val="111827"/>
                <w:sz w:val="20"/>
                <w:szCs w:val="20"/>
                <w:rtl/>
              </w:rPr>
              <w:t>רונית, נשואה כדמו״י, עזבה את בית בני הזוג ותבעה מזונות. בעלה טוען שהיא ״אינה עמו״ ולכן אינה זכאית למזונות. מה נקבע בפס״ד מילר?</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טענת הבעל מתקבלת אוטומטית, שכן אישה שאינה עמו מאבדת את מזונותיה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הנטל על הבעל להוכיח שרונית עזבה ללא סיבה, בשני עדים</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הטענה תתקבל רק אם בית הדין הרבני הכריז על רונית כמורדת</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רונית רשאית להוכיח שיש לה סיבה מוצדקת לכך שאינה עמו, והנטל המוטל עליה ״קל כנוצה״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157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״מורדת״ נכונה?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מורדת היא אישה שאינה גרה עם בעלה, וכל ערכאה רשאית להכריז עליה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ההכרזה על מורדת היא בסמכות מקבילה של בית הדין ובית המשפט, שכן מזונות אישה בסמכות מקבילה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הכרזת מורדת של בית הדין אינה מחייבת את הערכאה האזרחית בשום מצב</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מורדת היא אישה המונעת תשמיש מיטה מבעלה; ההכרזה, בהליך של י״ב חודשים, היא בסמכות ייחודית של בית הדין הרבני, והכרזה כללית מחייבת גם את הערכאה האזרחית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158 </w:t>
            </w:r>
            <w:r>
              <w:rPr>
                <w:rFonts w:ascii="Arial" w:hAnsi="Arial" w:cs="Arial" w:eastAsia="Arial"/>
                <w:sz w:val="20"/>
                <w:szCs w:val="20"/>
                <w:rtl/>
              </w:rPr>
              <w:t xml:space="preserve">  </w:t>
            </w:r>
            <w:r>
              <w:rPr>
                <w:rFonts w:ascii="Arial" w:hAnsi="Arial" w:cs="Arial" w:eastAsia="Arial"/>
                <w:b/>
                <w:bCs/>
                <w:color w:val="111827"/>
                <w:sz w:val="20"/>
                <w:szCs w:val="20"/>
                <w:rtl/>
              </w:rPr>
              <w:t>אישה תבעה מזונות בבית המשפט. לאחר מכן קבע בית הדין הרבני, לבקשת הבעל, כי ״לעניין המזונות דינה כדין מורדת״. לפי פס״ד שרגאי, מה הדין?</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בית הדין חרג מסמכותו – הוא לא הכריז עליה כמורדת באופן כללי בהליך מלא, אלא הכריע לעניין המזונות, שבו הסמכות נתונה לבית המשפט שאליו פנתה האישה</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קביעת בית הדין מחייבת את בית המשפט, שכן מורדת היא בסמכות ייחודית של בית הדין</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בית המשפט רשאי להתעלם מקביעת בית הדין רק אם האישה תוכיח שלא מרדה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קביעת בית הדין תקפה, שכן הבעל כרך את המזונות לתביעת שלום בית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159 </w:t>
            </w:r>
            <w:r>
              <w:rPr>
                <w:rFonts w:ascii="Arial" w:hAnsi="Arial" w:cs="Arial" w:eastAsia="Arial"/>
                <w:sz w:val="20"/>
                <w:szCs w:val="20"/>
                <w:rtl/>
              </w:rPr>
              <w:t xml:space="preserve">  </w:t>
            </w:r>
            <w:r>
              <w:rPr>
                <w:rFonts w:ascii="Arial" w:hAnsi="Arial" w:cs="Arial" w:eastAsia="Arial"/>
                <w:b/>
                <w:bCs/>
                <w:color w:val="111827"/>
                <w:sz w:val="20"/>
                <w:szCs w:val="20"/>
                <w:rtl/>
              </w:rPr>
              <w:t>אסתי עזבה את הבית בשל אלימות בעלה ותבעה מזונות אישה בבית המשפט, ובית המשפט פסק לה מזונות. רק לאחר מכן הגיש הבעל תביעת גירושין בעילת מורדת, ובית הדין הכריז עליה מורדת לכל דין. לפי מה שנלמד (פס״ד מקיטן), מה הדין?</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בית המשפט חייב לקבל את ההכרזה ולבטל מיד את המזונות, שכן הכרזת מורדת חלוטה לכל דין</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בית המשפט יקבל את ההכרזה רק אם יוצגו בפניו ראיות במשקל של נוצה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מאחר שבית המשפט כבר פסק מזונות נוצר מעשה בית דין, וההכרזה המאוחרת אינה מחייבת אותו באופן אוטומטי</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בית הדין חרג מסמכותו, שכן אין לו סמכות להכריז על אישה כמורדת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160 </w:t>
            </w:r>
            <w:r>
              <w:rPr>
                <w:rFonts w:ascii="Arial" w:hAnsi="Arial" w:cs="Arial" w:eastAsia="Arial"/>
                <w:sz w:val="20"/>
                <w:szCs w:val="20"/>
                <w:rtl/>
              </w:rPr>
              <w:t xml:space="preserve">  </w:t>
            </w:r>
            <w:r>
              <w:rPr>
                <w:rFonts w:ascii="Arial" w:hAnsi="Arial" w:cs="Arial" w:eastAsia="Arial"/>
                <w:b/>
                <w:bCs/>
                <w:color w:val="111827"/>
                <w:sz w:val="20"/>
                <w:szCs w:val="20"/>
                <w:rtl/>
              </w:rPr>
              <w:t>מה ההבדל בין עילת הבגידה לבין עילת מעשה הכיעור לפי הדין האישי?</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בגידה היא עילה הדדית, ומעשה כיעור הוא עילה של הבעל בלבד</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בבגידה אין מחילה, ואילו במעשה כיעור יש מחילה והבעל יכול ״להחזירה אליו״; שתיהן אינן הדדיות</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במעשה כיעור האישה מאבדת רק את כתובתה, ובבגידה – רק את מזונותיה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הודאת האישה לבדה מספיקה להוכחת בגידה, אך לא להוכחת מעשה כיעור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161 </w:t>
            </w:r>
            <w:r>
              <w:rPr>
                <w:rFonts w:ascii="Arial" w:hAnsi="Arial" w:cs="Arial" w:eastAsia="Arial"/>
                <w:sz w:val="20"/>
                <w:szCs w:val="20"/>
                <w:rtl/>
              </w:rPr>
              <w:t xml:space="preserve">  </w:t>
            </w:r>
            <w:r>
              <w:rPr>
                <w:rFonts w:ascii="Arial" w:hAnsi="Arial" w:cs="Arial" w:eastAsia="Arial"/>
                <w:b/>
                <w:bCs/>
                <w:color w:val="111827"/>
                <w:sz w:val="20"/>
                <w:szCs w:val="20"/>
                <w:rtl/>
              </w:rPr>
              <w:t>בפס״ד טביב נ׳ טביב קבע בית הדין הרבני כי האישה ביצעה ״מעשה כיעור לכל הפחות״, בעוד שתביעת המזונות שלה התנהלה בבית המשפט. מה קבע בית המשפט העליון?</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קביעת בית הדין מחייבת את בית המשפט לפטור את הבעל ממזונות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קביעת בית הדין בטלה מעיקרה, ובית המשפט יברר מחדש את העובדות</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הקביעה מהווה השתק פלוגתא לעניין העובדות אך לא לעניין המסקנות; את המסקנות לעניין המזונות מסיקה הערכאה האזרחית, תוך שקילת מכלול הנסיבות</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בית המשפט חייב להעביר את תביעת המזונות לבית הדין, שקבע את העובדות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162 </w:t>
            </w:r>
            <w:r>
              <w:rPr>
                <w:rFonts w:ascii="Arial" w:hAnsi="Arial" w:cs="Arial" w:eastAsia="Arial"/>
                <w:sz w:val="20"/>
                <w:szCs w:val="20"/>
                <w:rtl/>
              </w:rPr>
              <w:t xml:space="preserve">  </w:t>
            </w:r>
            <w:r>
              <w:rPr>
                <w:rFonts w:ascii="Arial" w:hAnsi="Arial" w:cs="Arial" w:eastAsia="Arial"/>
                <w:b/>
                <w:bCs/>
                <w:color w:val="111827"/>
                <w:sz w:val="20"/>
                <w:szCs w:val="20"/>
                <w:rtl/>
              </w:rPr>
              <w:t>בעל טוען כי הוא פטור ממזונות אשתו משום שהיא ״עוברת על דת משה״ – מאכילה אותו מזון לא כשר. באיזה מקרה טענתו לא תתקבל?</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כאשר האישה עשתה זאת במזיד ובאופן חוזר</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כאשר הבעל עצמו אינו מקפיד על המצוות</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כאשר הבעל טרם מחל לה על כך</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כאשר המעשים חזרו על עצמם במשך תקופה ארוכה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163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ביחס לעילת ״עוברת על דת יהודית״?</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נדרשים התמדה ודפוס התנהגות מכוון, ולא מעשים בודדים; והעניין נבחן לפי אורח החיים של בני הזוג</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די באירוע חריג אחד של קללה או השפלה כדי לשלול מזונות</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העילה אינה הדדית ואין בה מחילה, בדומה לבגידה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העילה נבחנת לפי סטנדרט אחיד לכל הזוגות, ללא קשר לאורח חייהם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164 </w:t>
            </w:r>
            <w:r>
              <w:rPr>
                <w:rFonts w:ascii="Arial" w:hAnsi="Arial" w:cs="Arial" w:eastAsia="Arial"/>
                <w:sz w:val="20"/>
                <w:szCs w:val="20"/>
                <w:rtl/>
              </w:rPr>
              <w:t xml:space="preserve">  </w:t>
            </w:r>
            <w:r>
              <w:rPr>
                <w:rFonts w:ascii="Arial" w:hAnsi="Arial" w:cs="Arial" w:eastAsia="Arial"/>
                <w:b/>
                <w:bCs/>
                <w:color w:val="111827"/>
                <w:sz w:val="20"/>
                <w:szCs w:val="20"/>
                <w:rtl/>
              </w:rPr>
              <w:t>בע״מ 3151/14 פלונית נ׳ פלוני עסק בסרבנות גט מטעמים כלכליים של אישה. מה נקבע?</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רק בית הדין הרבני מוסמך לקבוע שאישה היא סרבנית גט, וקביעה כזו שוללת את מזונותיה אוטומטית</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בית המשפט מוסמך לקבוע סרבנות גט רק בהסכמת הצדדים לפי סעיף 9 לחוק השיפוט</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סרבנות גט אינה רלוונטית למזונות אישה כל עוד הנישואין קיימים</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גם הערכאה האזרחית רשאית לקבוע באופן אגבי (סעיף 76 לחוק בתי המשפט) שהנישואין הגיעו לקיצם, אך הקביעה אינה שוללת מזונות אוטומטית; בוחנים את מניע הסרבנות, יכולת הקיום אחרי הגירושין, קרבה לפרישה והשתלבות בעבודה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165 </w:t>
            </w:r>
            <w:r>
              <w:rPr>
                <w:rFonts w:ascii="Arial" w:hAnsi="Arial" w:cs="Arial" w:eastAsia="Arial"/>
                <w:sz w:val="20"/>
                <w:szCs w:val="20"/>
                <w:rtl/>
              </w:rPr>
              <w:t xml:space="preserve">  </w:t>
            </w:r>
            <w:r>
              <w:rPr>
                <w:rFonts w:ascii="Arial" w:hAnsi="Arial" w:cs="Arial" w:eastAsia="Arial"/>
                <w:b/>
                <w:bCs/>
                <w:color w:val="111827"/>
                <w:sz w:val="20"/>
                <w:szCs w:val="20"/>
                <w:rtl/>
              </w:rPr>
              <w:t>כיצד ממחישים פסקי הדין כליפה (1993) ואקנין (1994) את חשיבות השאלה היכן מוגשת תביעת מזונות אישה?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העליון פירש את דין תורה כמתיר מדור חלופי, ואילו בית הדין הרבני פסק מדור ספציפי באותן נסיבות – ובג״ץ קבע שפרשנות הערכאה האזרחית אינה מחייבת את בית הדין</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בשני המקרים נקבע שהמדור אינו חלק מהמזונות ולכן חל עליו דין אזרחי</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בג״ץ ביטל את פסק הדין של בית הדין באקנין בשל חריגה מסמכות, משום שהתעלם מהלכת כליפה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בשני פסקי הדין נקבע שהאישה זכאית למדור ספציפי, ולכן אין משמעות למקום הגשת התביעה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166 </w:t>
            </w:r>
            <w:r>
              <w:rPr>
                <w:rFonts w:ascii="Arial" w:hAnsi="Arial" w:cs="Arial" w:eastAsia="Arial"/>
                <w:sz w:val="20"/>
                <w:szCs w:val="20"/>
                <w:rtl/>
              </w:rPr>
              <w:t xml:space="preserve">  </w:t>
            </w:r>
            <w:r>
              <w:rPr>
                <w:rFonts w:ascii="Arial" w:hAnsi="Arial" w:cs="Arial" w:eastAsia="Arial"/>
                <w:b/>
                <w:bCs/>
                <w:color w:val="111827"/>
                <w:sz w:val="20"/>
                <w:szCs w:val="20"/>
                <w:rtl/>
              </w:rPr>
              <w:t>לפי ביקורתו של הרב דיכובסקי (פרשת ניגאו) על הוצאת צווי מדור ספציפי, באיזה מהמקרים הבאים לא נקבע סייג להוצאת צו כזה?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הנישואין הגיעו לקיצם – ״מות הנישואין״</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האישה פיצלה את תביעותיה: רכוש בערכאה האזרחית ומדור ספציפי בבית הדין</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הבעל הציע הסדר מגורים הוגן ולא מקפח, והאישה סירבה</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הבעל הקדים את האישה והגיש תביעת פירוק שיתוף בערכאה האזרחית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167 </w:t>
            </w:r>
            <w:r>
              <w:rPr>
                <w:rFonts w:ascii="Arial" w:hAnsi="Arial" w:cs="Arial" w:eastAsia="Arial"/>
                <w:sz w:val="20"/>
                <w:szCs w:val="20"/>
                <w:rtl/>
              </w:rPr>
              <w:t xml:space="preserve">  </w:t>
            </w:r>
            <w:r>
              <w:rPr>
                <w:rFonts w:ascii="Arial" w:hAnsi="Arial" w:cs="Arial" w:eastAsia="Arial"/>
                <w:b/>
                <w:bCs/>
                <w:color w:val="111827"/>
                <w:sz w:val="20"/>
                <w:szCs w:val="20"/>
                <w:rtl/>
              </w:rPr>
              <w:t>מה הכלל לגבי מזונות אישה לפי דין תורה לאחר הגירושין, לפי מה שנלמד בקורס?</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האישה זכאית למזונות משקמים לפי דין תורה למשך שנה לאחר הגט</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ככלל, אחרי הגירושין אין מזונות אישה; אך לאחרונה פסק בית הדין הרבני כי אישה שהייתה נשואה כדמו״י תמשיך לקבל מזונות לפי דין תורה עד למועד חלוקת הרכוש המשותף</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האישה זכאית למזונות עד שתינשא מחדש</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החיוב נמשך כל עוד לא שולמה הכתובה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C4AF"/>
              <w:left w:val="single" w:sz="8" w:space="0" w:color="A0C4AF"/>
              <w:bottom w:val="single" w:sz="8" w:space="0" w:color="A0C4AF"/>
              <w:right w:val="single" w:sz="8" w:space="0" w:color="A0C4AF"/>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E7D4F"/>
              </w:rPr>
              <w:t xml:space="preserve"> 168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פסק לשירה מזונות אישה עד מתן הגט. בני הזוג פרודים שנתיים והגט טרם ניתן, ובינתיים שירה בגדה בבעלה. מה נכון לפי תשובת המרצה?</w:t>
            </w:r>
          </w:p>
          <w:p>
            <w:pPr>
              <w:bidi/>
              <w:spacing w:before="0" w:after="20" w:line="276" w:lineRule="auto"/>
              <w:ind w:right="400" w:hanging="300"/>
            </w:pPr>
            <w:r>
              <w:rPr>
                <w:rFonts w:ascii="Arial" w:hAnsi="Arial" w:cs="Arial" w:eastAsia="Arial"/>
                <w:b/>
                <w:bCs/>
                <w:color w:val="2E7D4F"/>
                <w:sz w:val="20"/>
                <w:szCs w:val="20"/>
                <w:rtl/>
              </w:rPr>
              <w:t xml:space="preserve">(א)  </w:t>
            </w:r>
            <w:r>
              <w:rPr>
                <w:rFonts w:ascii="Arial" w:hAnsi="Arial" w:cs="Arial" w:eastAsia="Arial"/>
                <w:color w:val="1F2430"/>
                <w:sz w:val="20"/>
                <w:szCs w:val="20"/>
                <w:rtl/>
              </w:rPr>
              <w:t>לא ניתן לפתוח את פסק הדין, שכן מזונות אישה אינם נושא בעל אופי מתמשך</w:t>
            </w:r>
          </w:p>
          <w:p>
            <w:pPr>
              <w:bidi/>
              <w:spacing w:before="0" w:after="20" w:line="276" w:lineRule="auto"/>
              <w:ind w:right="400" w:hanging="300"/>
            </w:pPr>
            <w:r>
              <w:rPr>
                <w:rFonts w:ascii="Arial" w:hAnsi="Arial" w:cs="Arial" w:eastAsia="Arial"/>
                <w:b/>
                <w:bCs/>
                <w:color w:val="2E7D4F"/>
                <w:sz w:val="20"/>
                <w:szCs w:val="20"/>
                <w:rtl/>
              </w:rPr>
              <w:t xml:space="preserve">(ב)  </w:t>
            </w:r>
            <w:r>
              <w:rPr>
                <w:rFonts w:ascii="Arial" w:hAnsi="Arial" w:cs="Arial" w:eastAsia="Arial"/>
                <w:color w:val="1F2430"/>
                <w:sz w:val="20"/>
                <w:szCs w:val="20"/>
                <w:rtl/>
              </w:rPr>
              <w:t>ניתן לפתוח את פסק הדין רק בבית המשפט לענייני משפחה</w:t>
            </w:r>
          </w:p>
          <w:p>
            <w:pPr>
              <w:bidi/>
              <w:spacing w:before="0" w:after="20" w:line="276" w:lineRule="auto"/>
              <w:ind w:right="400" w:hanging="300"/>
            </w:pPr>
            <w:r>
              <w:rPr>
                <w:rFonts w:ascii="Arial" w:hAnsi="Arial" w:cs="Arial" w:eastAsia="Arial"/>
                <w:b/>
                <w:bCs/>
                <w:color w:val="2E7D4F"/>
                <w:sz w:val="20"/>
                <w:szCs w:val="20"/>
                <w:rtl/>
              </w:rPr>
              <w:t xml:space="preserve">(ג)  </w:t>
            </w:r>
            <w:r>
              <w:rPr>
                <w:rFonts w:ascii="Arial" w:hAnsi="Arial" w:cs="Arial" w:eastAsia="Arial"/>
                <w:color w:val="1F2430"/>
                <w:sz w:val="20"/>
                <w:szCs w:val="20"/>
                <w:rtl/>
              </w:rPr>
              <w:t>הבגידה היא שינוי נסיבות המצדיק פתיחה מחדש; ואולם אם הבעל הוא שמעכב את הגט, האישה עשויה להיחשב ״מעוכבת מחמתו״</w:t>
            </w:r>
          </w:p>
          <w:p>
            <w:pPr>
              <w:bidi/>
              <w:spacing w:before="0" w:after="20" w:line="276" w:lineRule="auto"/>
              <w:ind w:right="400" w:hanging="300"/>
            </w:pPr>
            <w:r>
              <w:rPr>
                <w:rFonts w:ascii="Arial" w:hAnsi="Arial" w:cs="Arial" w:eastAsia="Arial"/>
                <w:b/>
                <w:bCs/>
                <w:color w:val="2E7D4F"/>
                <w:sz w:val="20"/>
                <w:szCs w:val="20"/>
                <w:rtl/>
              </w:rPr>
              <w:t xml:space="preserve">(ד)  </w:t>
            </w:r>
            <w:r>
              <w:rPr>
                <w:rFonts w:ascii="Arial" w:hAnsi="Arial" w:cs="Arial" w:eastAsia="Arial"/>
                <w:color w:val="1F2430"/>
                <w:sz w:val="20"/>
                <w:szCs w:val="20"/>
                <w:rtl/>
              </w:rPr>
              <w:t>הבגידה שוללת את המזונות למפרע מיום פסק הדין, ללא צורך בדיון נוסף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6</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141-ב</w:t>
      </w:r>
      <w:r>
        <w:rPr>
          <w:rFonts w:ascii="Arial" w:hAnsi="Arial" w:cs="Arial" w:eastAsia="Arial"/>
          <w:sz w:val="20"/>
          <w:szCs w:val="20"/>
          <w:rtl/>
        </w:rPr>
        <w:t xml:space="preserve">   </w:t>
      </w:r>
      <w:r>
        <w:rPr>
          <w:rFonts w:ascii="Arial" w:hAnsi="Arial" w:cs="Arial" w:eastAsia="Arial"/>
          <w:b/>
          <w:bCs/>
          <w:color w:val="1F2430"/>
          <w:sz w:val="20"/>
          <w:szCs w:val="20"/>
          <w:rtl/>
        </w:rPr>
        <w:t>142-ד</w:t>
      </w:r>
      <w:r>
        <w:rPr>
          <w:rFonts w:ascii="Arial" w:hAnsi="Arial" w:cs="Arial" w:eastAsia="Arial"/>
          <w:sz w:val="20"/>
          <w:szCs w:val="20"/>
          <w:rtl/>
        </w:rPr>
        <w:t xml:space="preserve">   </w:t>
      </w:r>
      <w:r>
        <w:rPr>
          <w:rFonts w:ascii="Arial" w:hAnsi="Arial" w:cs="Arial" w:eastAsia="Arial"/>
          <w:b/>
          <w:bCs/>
          <w:color w:val="1F2430"/>
          <w:sz w:val="20"/>
          <w:szCs w:val="20"/>
          <w:rtl/>
        </w:rPr>
        <w:t>143-א</w:t>
      </w:r>
      <w:r>
        <w:rPr>
          <w:rFonts w:ascii="Arial" w:hAnsi="Arial" w:cs="Arial" w:eastAsia="Arial"/>
          <w:sz w:val="20"/>
          <w:szCs w:val="20"/>
          <w:rtl/>
        </w:rPr>
        <w:t xml:space="preserve">   </w:t>
      </w:r>
      <w:r>
        <w:rPr>
          <w:rFonts w:ascii="Arial" w:hAnsi="Arial" w:cs="Arial" w:eastAsia="Arial"/>
          <w:b/>
          <w:bCs/>
          <w:color w:val="1F2430"/>
          <w:sz w:val="20"/>
          <w:szCs w:val="20"/>
          <w:rtl/>
        </w:rPr>
        <w:t>144-ג</w:t>
      </w:r>
      <w:r>
        <w:rPr>
          <w:rFonts w:ascii="Arial" w:hAnsi="Arial" w:cs="Arial" w:eastAsia="Arial"/>
          <w:sz w:val="20"/>
          <w:szCs w:val="20"/>
          <w:rtl/>
        </w:rPr>
        <w:t xml:space="preserve">   </w:t>
      </w:r>
      <w:r>
        <w:rPr>
          <w:rFonts w:ascii="Arial" w:hAnsi="Arial" w:cs="Arial" w:eastAsia="Arial"/>
          <w:b/>
          <w:bCs/>
          <w:color w:val="1F2430"/>
          <w:sz w:val="20"/>
          <w:szCs w:val="20"/>
          <w:rtl/>
        </w:rPr>
        <w:t>145-ג</w:t>
      </w:r>
      <w:r>
        <w:rPr>
          <w:rFonts w:ascii="Arial" w:hAnsi="Arial" w:cs="Arial" w:eastAsia="Arial"/>
          <w:sz w:val="20"/>
          <w:szCs w:val="20"/>
          <w:rtl/>
        </w:rPr>
        <w:t xml:space="preserve">   </w:t>
      </w:r>
      <w:r>
        <w:rPr>
          <w:rFonts w:ascii="Arial" w:hAnsi="Arial" w:cs="Arial" w:eastAsia="Arial"/>
          <w:b/>
          <w:bCs/>
          <w:color w:val="1F2430"/>
          <w:sz w:val="20"/>
          <w:szCs w:val="20"/>
          <w:rtl/>
        </w:rPr>
        <w:t>146-א</w:t>
      </w:r>
      <w:r>
        <w:rPr>
          <w:rFonts w:ascii="Arial" w:hAnsi="Arial" w:cs="Arial" w:eastAsia="Arial"/>
          <w:sz w:val="20"/>
          <w:szCs w:val="20"/>
          <w:rtl/>
        </w:rPr>
        <w:t xml:space="preserve">   </w:t>
      </w:r>
      <w:r>
        <w:rPr>
          <w:rFonts w:ascii="Arial" w:hAnsi="Arial" w:cs="Arial" w:eastAsia="Arial"/>
          <w:b/>
          <w:bCs/>
          <w:color w:val="1F2430"/>
          <w:sz w:val="20"/>
          <w:szCs w:val="20"/>
          <w:rtl/>
        </w:rPr>
        <w:t>147-ד</w:t>
      </w:r>
      <w:r>
        <w:rPr>
          <w:rFonts w:ascii="Arial" w:hAnsi="Arial" w:cs="Arial" w:eastAsia="Arial"/>
          <w:sz w:val="20"/>
          <w:szCs w:val="20"/>
          <w:rtl/>
        </w:rPr>
        <w:t xml:space="preserve">   </w:t>
      </w:r>
      <w:r>
        <w:rPr>
          <w:rFonts w:ascii="Arial" w:hAnsi="Arial" w:cs="Arial" w:eastAsia="Arial"/>
          <w:b/>
          <w:bCs/>
          <w:color w:val="1F2430"/>
          <w:sz w:val="20"/>
          <w:szCs w:val="20"/>
          <w:rtl/>
        </w:rPr>
        <w:t>148-ב</w:t>
      </w:r>
      <w:r>
        <w:rPr>
          <w:rFonts w:ascii="Arial" w:hAnsi="Arial" w:cs="Arial" w:eastAsia="Arial"/>
          <w:sz w:val="20"/>
          <w:szCs w:val="20"/>
          <w:rtl/>
        </w:rPr>
        <w:t xml:space="preserve">   </w:t>
      </w:r>
      <w:r>
        <w:rPr>
          <w:rFonts w:ascii="Arial" w:hAnsi="Arial" w:cs="Arial" w:eastAsia="Arial"/>
          <w:b/>
          <w:bCs/>
          <w:color w:val="1F2430"/>
          <w:sz w:val="20"/>
          <w:szCs w:val="20"/>
          <w:rtl/>
        </w:rPr>
        <w:t>149-א</w:t>
      </w:r>
      <w:r>
        <w:rPr>
          <w:rFonts w:ascii="Arial" w:hAnsi="Arial" w:cs="Arial" w:eastAsia="Arial"/>
          <w:sz w:val="20"/>
          <w:szCs w:val="20"/>
          <w:rtl/>
        </w:rPr>
        <w:t xml:space="preserve">   </w:t>
      </w:r>
      <w:r>
        <w:rPr>
          <w:rFonts w:ascii="Arial" w:hAnsi="Arial" w:cs="Arial" w:eastAsia="Arial"/>
          <w:b/>
          <w:bCs/>
          <w:color w:val="1F2430"/>
          <w:sz w:val="20"/>
          <w:szCs w:val="20"/>
          <w:rtl/>
        </w:rPr>
        <w:t>150-ב</w:t>
      </w:r>
      <w:r>
        <w:rPr>
          <w:rFonts w:ascii="Arial" w:hAnsi="Arial" w:cs="Arial" w:eastAsia="Arial"/>
          <w:sz w:val="20"/>
          <w:szCs w:val="20"/>
          <w:rtl/>
        </w:rPr>
        <w:t xml:space="preserve">   </w:t>
      </w:r>
      <w:r>
        <w:rPr>
          <w:rFonts w:ascii="Arial" w:hAnsi="Arial" w:cs="Arial" w:eastAsia="Arial"/>
          <w:b/>
          <w:bCs/>
          <w:color w:val="1F2430"/>
          <w:sz w:val="20"/>
          <w:szCs w:val="20"/>
          <w:rtl/>
        </w:rPr>
        <w:t>151-ד</w:t>
      </w:r>
      <w:r>
        <w:rPr>
          <w:rFonts w:ascii="Arial" w:hAnsi="Arial" w:cs="Arial" w:eastAsia="Arial"/>
          <w:sz w:val="20"/>
          <w:szCs w:val="20"/>
          <w:rtl/>
        </w:rPr>
        <w:t xml:space="preserve">   </w:t>
      </w:r>
      <w:r>
        <w:rPr>
          <w:rFonts w:ascii="Arial" w:hAnsi="Arial" w:cs="Arial" w:eastAsia="Arial"/>
          <w:b/>
          <w:bCs/>
          <w:color w:val="1F2430"/>
          <w:sz w:val="20"/>
          <w:szCs w:val="20"/>
          <w:rtl/>
        </w:rPr>
        <w:t>152-ג</w:t>
      </w:r>
      <w:r>
        <w:rPr>
          <w:rFonts w:ascii="Arial" w:hAnsi="Arial" w:cs="Arial" w:eastAsia="Arial"/>
          <w:sz w:val="20"/>
          <w:szCs w:val="20"/>
          <w:rtl/>
        </w:rPr>
        <w:t xml:space="preserve">   </w:t>
      </w:r>
      <w:r>
        <w:rPr>
          <w:rFonts w:ascii="Arial" w:hAnsi="Arial" w:cs="Arial" w:eastAsia="Arial"/>
          <w:b/>
          <w:bCs/>
          <w:color w:val="1F2430"/>
          <w:sz w:val="20"/>
          <w:szCs w:val="20"/>
          <w:rtl/>
        </w:rPr>
        <w:t>153-ב</w:t>
      </w:r>
      <w:r>
        <w:rPr>
          <w:rFonts w:ascii="Arial" w:hAnsi="Arial" w:cs="Arial" w:eastAsia="Arial"/>
          <w:sz w:val="20"/>
          <w:szCs w:val="20"/>
          <w:rtl/>
        </w:rPr>
        <w:t xml:space="preserve">   </w:t>
      </w:r>
      <w:r>
        <w:rPr>
          <w:rFonts w:ascii="Arial" w:hAnsi="Arial" w:cs="Arial" w:eastAsia="Arial"/>
          <w:b/>
          <w:bCs/>
          <w:color w:val="1F2430"/>
          <w:sz w:val="20"/>
          <w:szCs w:val="20"/>
          <w:rtl/>
        </w:rPr>
        <w:t>154-ג</w:t>
      </w:r>
      <w:r>
        <w:rPr>
          <w:rFonts w:ascii="Arial" w:hAnsi="Arial" w:cs="Arial" w:eastAsia="Arial"/>
          <w:sz w:val="20"/>
          <w:szCs w:val="20"/>
          <w:rtl/>
        </w:rPr>
        <w:t xml:space="preserve">   </w:t>
      </w:r>
      <w:r>
        <w:rPr>
          <w:rFonts w:ascii="Arial" w:hAnsi="Arial" w:cs="Arial" w:eastAsia="Arial"/>
          <w:b/>
          <w:bCs/>
          <w:color w:val="1F2430"/>
          <w:sz w:val="20"/>
          <w:szCs w:val="20"/>
          <w:rtl/>
        </w:rPr>
        <w:t>155-א</w:t>
      </w:r>
      <w:r>
        <w:rPr>
          <w:rFonts w:ascii="Arial" w:hAnsi="Arial" w:cs="Arial" w:eastAsia="Arial"/>
          <w:sz w:val="20"/>
          <w:szCs w:val="20"/>
          <w:rtl/>
        </w:rPr>
        <w:t xml:space="preserve">   </w:t>
      </w:r>
      <w:r>
        <w:rPr>
          <w:rFonts w:ascii="Arial" w:hAnsi="Arial" w:cs="Arial" w:eastAsia="Arial"/>
          <w:b/>
          <w:bCs/>
          <w:color w:val="1F2430"/>
          <w:sz w:val="20"/>
          <w:szCs w:val="20"/>
          <w:rtl/>
        </w:rPr>
        <w:t>156-ד</w:t>
      </w:r>
      <w:r>
        <w:rPr>
          <w:rFonts w:ascii="Arial" w:hAnsi="Arial" w:cs="Arial" w:eastAsia="Arial"/>
          <w:sz w:val="20"/>
          <w:szCs w:val="20"/>
          <w:rtl/>
        </w:rPr>
        <w:t xml:space="preserve">   </w:t>
      </w:r>
      <w:r>
        <w:rPr>
          <w:rFonts w:ascii="Arial" w:hAnsi="Arial" w:cs="Arial" w:eastAsia="Arial"/>
          <w:b/>
          <w:bCs/>
          <w:color w:val="1F2430"/>
          <w:sz w:val="20"/>
          <w:szCs w:val="20"/>
          <w:rtl/>
        </w:rPr>
        <w:t>157-ד</w:t>
      </w:r>
      <w:r>
        <w:rPr>
          <w:rFonts w:ascii="Arial" w:hAnsi="Arial" w:cs="Arial" w:eastAsia="Arial"/>
          <w:sz w:val="20"/>
          <w:szCs w:val="20"/>
          <w:rtl/>
        </w:rPr>
        <w:t xml:space="preserve">   </w:t>
      </w:r>
      <w:r>
        <w:rPr>
          <w:rFonts w:ascii="Arial" w:hAnsi="Arial" w:cs="Arial" w:eastAsia="Arial"/>
          <w:b/>
          <w:bCs/>
          <w:color w:val="1F2430"/>
          <w:sz w:val="20"/>
          <w:szCs w:val="20"/>
          <w:rtl/>
        </w:rPr>
        <w:t>158-א</w:t>
      </w:r>
      <w:r>
        <w:rPr>
          <w:rFonts w:ascii="Arial" w:hAnsi="Arial" w:cs="Arial" w:eastAsia="Arial"/>
          <w:sz w:val="20"/>
          <w:szCs w:val="20"/>
          <w:rtl/>
        </w:rPr>
        <w:t xml:space="preserve">   </w:t>
      </w:r>
      <w:r>
        <w:rPr>
          <w:rFonts w:ascii="Arial" w:hAnsi="Arial" w:cs="Arial" w:eastAsia="Arial"/>
          <w:b/>
          <w:bCs/>
          <w:color w:val="1F2430"/>
          <w:sz w:val="20"/>
          <w:szCs w:val="20"/>
          <w:rtl/>
        </w:rPr>
        <w:t>159-ג</w:t>
      </w:r>
      <w:r>
        <w:rPr>
          <w:rFonts w:ascii="Arial" w:hAnsi="Arial" w:cs="Arial" w:eastAsia="Arial"/>
          <w:sz w:val="20"/>
          <w:szCs w:val="20"/>
          <w:rtl/>
        </w:rPr>
        <w:t xml:space="preserve">   </w:t>
      </w:r>
      <w:r>
        <w:rPr>
          <w:rFonts w:ascii="Arial" w:hAnsi="Arial" w:cs="Arial" w:eastAsia="Arial"/>
          <w:b/>
          <w:bCs/>
          <w:color w:val="1F2430"/>
          <w:sz w:val="20"/>
          <w:szCs w:val="20"/>
          <w:rtl/>
        </w:rPr>
        <w:t>160-ב</w:t>
      </w:r>
      <w:r>
        <w:rPr>
          <w:rFonts w:ascii="Arial" w:hAnsi="Arial" w:cs="Arial" w:eastAsia="Arial"/>
          <w:sz w:val="20"/>
          <w:szCs w:val="20"/>
          <w:rtl/>
        </w:rPr>
        <w:t xml:space="preserve">   </w:t>
      </w:r>
      <w:r>
        <w:rPr>
          <w:rFonts w:ascii="Arial" w:hAnsi="Arial" w:cs="Arial" w:eastAsia="Arial"/>
          <w:b/>
          <w:bCs/>
          <w:color w:val="1F2430"/>
          <w:sz w:val="20"/>
          <w:szCs w:val="20"/>
          <w:rtl/>
        </w:rPr>
        <w:t>161-ג</w:t>
      </w:r>
      <w:r>
        <w:rPr>
          <w:rFonts w:ascii="Arial" w:hAnsi="Arial" w:cs="Arial" w:eastAsia="Arial"/>
          <w:sz w:val="20"/>
          <w:szCs w:val="20"/>
          <w:rtl/>
        </w:rPr>
        <w:t xml:space="preserve">   </w:t>
      </w:r>
      <w:r>
        <w:rPr>
          <w:rFonts w:ascii="Arial" w:hAnsi="Arial" w:cs="Arial" w:eastAsia="Arial"/>
          <w:b/>
          <w:bCs/>
          <w:color w:val="1F2430"/>
          <w:sz w:val="20"/>
          <w:szCs w:val="20"/>
          <w:rtl/>
        </w:rPr>
        <w:t>162-ב</w:t>
      </w:r>
      <w:r>
        <w:rPr>
          <w:rFonts w:ascii="Arial" w:hAnsi="Arial" w:cs="Arial" w:eastAsia="Arial"/>
          <w:sz w:val="20"/>
          <w:szCs w:val="20"/>
          <w:rtl/>
        </w:rPr>
        <w:t xml:space="preserve">   </w:t>
      </w:r>
      <w:r>
        <w:rPr>
          <w:rFonts w:ascii="Arial" w:hAnsi="Arial" w:cs="Arial" w:eastAsia="Arial"/>
          <w:b/>
          <w:bCs/>
          <w:color w:val="1F2430"/>
          <w:sz w:val="20"/>
          <w:szCs w:val="20"/>
          <w:rtl/>
        </w:rPr>
        <w:t>163-א</w:t>
      </w:r>
      <w:r>
        <w:rPr>
          <w:rFonts w:ascii="Arial" w:hAnsi="Arial" w:cs="Arial" w:eastAsia="Arial"/>
          <w:sz w:val="20"/>
          <w:szCs w:val="20"/>
          <w:rtl/>
        </w:rPr>
        <w:t xml:space="preserve">   </w:t>
      </w:r>
      <w:r>
        <w:rPr>
          <w:rFonts w:ascii="Arial" w:hAnsi="Arial" w:cs="Arial" w:eastAsia="Arial"/>
          <w:b/>
          <w:bCs/>
          <w:color w:val="1F2430"/>
          <w:sz w:val="20"/>
          <w:szCs w:val="20"/>
          <w:rtl/>
        </w:rPr>
        <w:t>164-ד</w:t>
      </w:r>
      <w:r>
        <w:rPr>
          <w:rFonts w:ascii="Arial" w:hAnsi="Arial" w:cs="Arial" w:eastAsia="Arial"/>
          <w:sz w:val="20"/>
          <w:szCs w:val="20"/>
          <w:rtl/>
        </w:rPr>
        <w:t xml:space="preserve">   </w:t>
      </w:r>
      <w:r>
        <w:rPr>
          <w:rFonts w:ascii="Arial" w:hAnsi="Arial" w:cs="Arial" w:eastAsia="Arial"/>
          <w:b/>
          <w:bCs/>
          <w:color w:val="1F2430"/>
          <w:sz w:val="20"/>
          <w:szCs w:val="20"/>
          <w:rtl/>
        </w:rPr>
        <w:t>165-א</w:t>
      </w:r>
      <w:r>
        <w:rPr>
          <w:rFonts w:ascii="Arial" w:hAnsi="Arial" w:cs="Arial" w:eastAsia="Arial"/>
          <w:sz w:val="20"/>
          <w:szCs w:val="20"/>
          <w:rtl/>
        </w:rPr>
        <w:t xml:space="preserve">   </w:t>
      </w:r>
      <w:r>
        <w:rPr>
          <w:rFonts w:ascii="Arial" w:hAnsi="Arial" w:cs="Arial" w:eastAsia="Arial"/>
          <w:b/>
          <w:bCs/>
          <w:color w:val="1F2430"/>
          <w:sz w:val="20"/>
          <w:szCs w:val="20"/>
          <w:rtl/>
        </w:rPr>
        <w:t>166-ד</w:t>
      </w:r>
      <w:r>
        <w:rPr>
          <w:rFonts w:ascii="Arial" w:hAnsi="Arial" w:cs="Arial" w:eastAsia="Arial"/>
          <w:sz w:val="20"/>
          <w:szCs w:val="20"/>
          <w:rtl/>
        </w:rPr>
        <w:t xml:space="preserve">   </w:t>
      </w:r>
      <w:r>
        <w:rPr>
          <w:rFonts w:ascii="Arial" w:hAnsi="Arial" w:cs="Arial" w:eastAsia="Arial"/>
          <w:b/>
          <w:bCs/>
          <w:color w:val="1F2430"/>
          <w:sz w:val="20"/>
          <w:szCs w:val="20"/>
          <w:rtl/>
        </w:rPr>
        <w:t>167-ב</w:t>
      </w:r>
      <w:r>
        <w:rPr>
          <w:rFonts w:ascii="Arial" w:hAnsi="Arial" w:cs="Arial" w:eastAsia="Arial"/>
          <w:sz w:val="20"/>
          <w:szCs w:val="20"/>
          <w:rtl/>
        </w:rPr>
        <w:t xml:space="preserve">   </w:t>
      </w:r>
      <w:r>
        <w:rPr>
          <w:rFonts w:ascii="Arial" w:hAnsi="Arial" w:cs="Arial" w:eastAsia="Arial"/>
          <w:b/>
          <w:bCs/>
          <w:color w:val="1F2430"/>
          <w:sz w:val="20"/>
          <w:szCs w:val="20"/>
          <w:rtl/>
        </w:rPr>
        <w:t>168-ג</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141 — התשובה הנכונה: ב</w:t>
            </w:r>
          </w:p>
          <w:p>
            <w:pPr>
              <w:bidi/>
              <w:spacing w:before="0" w:after="0" w:line="288" w:lineRule="auto"/>
              <w:jc w:val="both"/>
            </w:pPr>
            <w:r>
              <w:rPr>
                <w:rFonts w:ascii="Arial" w:hAnsi="Arial" w:cs="Arial" w:eastAsia="Arial"/>
                <w:color w:val="1F2430"/>
                <w:sz w:val="19"/>
                <w:szCs w:val="19"/>
                <w:rtl/>
              </w:rPr>
              <w:t>סעיף 2(א) לחוק המזונות קובע שאדם חייב במזונות בן זוגו לפי הדין האישי החל עליו, ולכן גם בית המשפט האזרחי פוסק לפי דין תורה. הכלל הפסיקתי ״הדין הולך אחר הדיין״ חל רק כשאין הוראת חוק ספציפית – וכאן יש. דין אזרחי (ס׳ 2(ב)) חל רק על מי שאין לו דין אישי, כמו חסרי דת או זוגות מעורבים.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142 — התשובה הנכונה: ד</w:t>
            </w:r>
          </w:p>
          <w:p>
            <w:pPr>
              <w:bidi/>
              <w:spacing w:before="0" w:after="0" w:line="288" w:lineRule="auto"/>
              <w:jc w:val="both"/>
            </w:pPr>
            <w:r>
              <w:rPr>
                <w:rFonts w:ascii="Arial" w:hAnsi="Arial" w:cs="Arial" w:eastAsia="Arial"/>
                <w:color w:val="1F2430"/>
                <w:sz w:val="19"/>
                <w:szCs w:val="19"/>
                <w:rtl/>
              </w:rPr>
              <w:t>לפי תשובת המרצה, סעיף 10 הוא סעיף פרוצדורלי-טכני ולא מהותי, ולכן חל גם על מזונות לפי הדין האישי, וגם בית הדין הרבני פוסק מזונות זמניים. ההבחנה בין הוראות מהותיות (שאינן חלות) לפרוצדורליות (שחלות על כולם) הוצעה בפס״ד חקק. המסיח הראשון מתעלם מהבחנה זו.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143 — התשובה הנכונה: א</w:t>
            </w:r>
          </w:p>
          <w:p>
            <w:pPr>
              <w:bidi/>
              <w:spacing w:before="0" w:after="0" w:line="288" w:lineRule="auto"/>
              <w:jc w:val="both"/>
            </w:pPr>
            <w:r>
              <w:rPr>
                <w:rFonts w:ascii="Arial" w:hAnsi="Arial" w:cs="Arial" w:eastAsia="Arial"/>
                <w:color w:val="1F2430"/>
                <w:sz w:val="19"/>
                <w:szCs w:val="19"/>
                <w:rtl/>
              </w:rPr>
              <w:t>לפי ההלכה מעשה ידיה של האישה (שכר עבודתה) הם כנגד מזונותיה, ופירות נכסיה הם כנגד חובת הבעל לפדותה מן השבי. התאמה זו מסבירה את שתי טענות הקיזוז המרכזיות. היא גם מסבירה מדוע האישה יכולה לוותר על ההסדר הראשון אך לא על השני.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144 — התשובה הנכונה: ג</w:t>
            </w:r>
          </w:p>
          <w:p>
            <w:pPr>
              <w:bidi/>
              <w:spacing w:before="0" w:after="0" w:line="288" w:lineRule="auto"/>
              <w:jc w:val="both"/>
            </w:pPr>
            <w:r>
              <w:rPr>
                <w:rFonts w:ascii="Arial" w:hAnsi="Arial" w:cs="Arial" w:eastAsia="Arial"/>
                <w:color w:val="1F2430"/>
                <w:sz w:val="19"/>
                <w:szCs w:val="19"/>
                <w:rtl/>
              </w:rPr>
              <w:t>ההלכה מאפשרת לאישה לוותר על ההסדר שלפיו מעשה ידיה שייכים לבעל כנגד מזונותיה: היא אינה ניזונת ושכרה נשאר שלה. אישה תעדיף זאת כשמשכורתה גבוהה מהמזונות. אין לאמירה קשר לכתובה, ועל הסדר הפירות-פדיון האישה אינה יכולה לוותר.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145 — התשובה הנכונה: ג</w:t>
            </w:r>
          </w:p>
          <w:p>
            <w:pPr>
              <w:bidi/>
              <w:spacing w:before="0" w:after="0" w:line="288" w:lineRule="auto"/>
              <w:jc w:val="both"/>
            </w:pPr>
            <w:r>
              <w:rPr>
                <w:rFonts w:ascii="Arial" w:hAnsi="Arial" w:cs="Arial" w:eastAsia="Arial"/>
                <w:color w:val="1F2430"/>
                <w:sz w:val="19"/>
                <w:szCs w:val="19"/>
                <w:rtl/>
              </w:rPr>
              <w:t>לפי מה שנלמד, על הסדר הפירות כנגד חובת הפדיון האישה אינה יכולה לוותר – גם אם תסכים לכך בכתב. זה ההבדל ממעשה ידיה, שעליהם ניתן לוותר באמירה ״אינני ניזונת ואינני עושה״. פגיעה זו בקניינה היא שהניעה את חקיקת חוק שיווי זכויות האישה.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146 — התשובה הנכונה: א</w:t>
            </w:r>
          </w:p>
          <w:p>
            <w:pPr>
              <w:bidi/>
              <w:spacing w:before="0" w:after="0" w:line="288" w:lineRule="auto"/>
              <w:jc w:val="both"/>
            </w:pPr>
            <w:r>
              <w:rPr>
                <w:rFonts w:ascii="Arial" w:hAnsi="Arial" w:cs="Arial" w:eastAsia="Arial"/>
                <w:color w:val="1F2430"/>
                <w:sz w:val="19"/>
                <w:szCs w:val="19"/>
                <w:rtl/>
              </w:rPr>
              <w:t>פס״ד מזור השיב בשלילה לשתי השאלות: ההלכה אינה מחייבת את האישה לצאת לעבוד, אלא רק קובעת שאם עבדה – מעשה ידיה לבעלה. מכאן שגם לא ניתן לקזז פוטנציאל השתכרות. המסיח השני מתאר עמדה שהתקבלה בפסיקה רק כחריג מאוחר יותר (פלולי), ולא את הלכת מזור.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147 — התשובה הנכונה: ד</w:t>
            </w:r>
          </w:p>
          <w:p>
            <w:pPr>
              <w:bidi/>
              <w:spacing w:before="0" w:after="0" w:line="288" w:lineRule="auto"/>
              <w:jc w:val="both"/>
            </w:pPr>
            <w:r>
              <w:rPr>
                <w:rFonts w:ascii="Arial" w:hAnsi="Arial" w:cs="Arial" w:eastAsia="Arial"/>
                <w:color w:val="1F2430"/>
                <w:sz w:val="19"/>
                <w:szCs w:val="19"/>
                <w:rtl/>
              </w:rPr>
              <w:t>בביקל (אישה שעבדה כל חייה והפסיקה כשהיחסים עלו על שרטון) ובפדן (אישה צעירה עם תואר וילדה בת 4) פסק שמגר לנשים רק חלק מהסכום (לפי סיכום השיעור – כשליש), בהסתמך על תום הלב והשוויון. בפדן הוא הדגיש את עקרון ״הפרידה הנקייה״. אף אחד מפסקי הדין לא קבע חובה כללית לצאת לעבוד.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148 — התשובה הנכונה: ב</w:t>
            </w:r>
          </w:p>
          <w:p>
            <w:pPr>
              <w:bidi/>
              <w:spacing w:before="0" w:after="0" w:line="288" w:lineRule="auto"/>
              <w:jc w:val="both"/>
            </w:pPr>
            <w:r>
              <w:rPr>
                <w:rFonts w:ascii="Arial" w:hAnsi="Arial" w:cs="Arial" w:eastAsia="Arial"/>
                <w:color w:val="1F2430"/>
                <w:sz w:val="19"/>
                <w:szCs w:val="19"/>
                <w:rtl/>
              </w:rPr>
              <w:t>בפלולי ״החזיר העליון עטרה ליושנה״: הכלל הוא שאין לחייב אישה לצאת לעבוד ואין לקזז פוטנציאל השתכרות, אך במקרים מתאימים (כמו ביקל ופדן) ניתן לבחון זאת – לא אוטומטית, והנטל על הבעל. המסיח הרביעי שגוי משום שפלולי השאיר פתח לחריג. המסיח השלישי הופך את נטל ההוכחה.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149 — התשובה הנכונה: א</w:t>
            </w:r>
          </w:p>
          <w:p>
            <w:pPr>
              <w:bidi/>
              <w:spacing w:before="0" w:after="0" w:line="288" w:lineRule="auto"/>
              <w:jc w:val="both"/>
            </w:pPr>
            <w:r>
              <w:rPr>
                <w:rFonts w:ascii="Arial" w:hAnsi="Arial" w:cs="Arial" w:eastAsia="Arial"/>
                <w:color w:val="1F2430"/>
                <w:sz w:val="19"/>
                <w:szCs w:val="19"/>
                <w:rtl/>
              </w:rPr>
              <w:t>הפרמטרים שנלמדו: גיל, מצב בריאותי, כישורים מקצועיים, יכולת להשתלב בשוק העבודה הרלוונטי, ניסיון תעסוקתי, נסיבות הפסקת העבודה, משך הנישואין, ילדים קטנים ומצבם, ומגורים משותפים. הפרמטרים אינם מצטברים. השאלה מי יזם את הפירוד אינה חלק מהם.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150 — התשובה הנכונה: ב</w:t>
            </w:r>
          </w:p>
          <w:p>
            <w:pPr>
              <w:bidi/>
              <w:spacing w:before="0" w:after="0" w:line="288" w:lineRule="auto"/>
              <w:jc w:val="both"/>
            </w:pPr>
            <w:r>
              <w:rPr>
                <w:rFonts w:ascii="Arial" w:hAnsi="Arial" w:cs="Arial" w:eastAsia="Arial"/>
                <w:color w:val="1F2430"/>
                <w:sz w:val="19"/>
                <w:szCs w:val="19"/>
                <w:rtl/>
              </w:rPr>
              <w:t>לאחר חוק שיווי זכויות האישה (1951) נדחתה בפס״ד סידיס טענת הבעל לקזז את פירות אשתו. שמגר הצביע על אי-שוויון בין נשים: פירות של אישה ״עמידה״ אינם מתקזזים, ואילו מעשה ידיה של אישה עובדת מתקזזים. אי-שוויון זה הוביל לתיקון 1976 – סעיף 2א לחוק המזונות.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151 — התשובה הנכונה: ד</w:t>
            </w:r>
          </w:p>
          <w:p>
            <w:pPr>
              <w:bidi/>
              <w:spacing w:before="0" w:after="0" w:line="288" w:lineRule="auto"/>
              <w:jc w:val="both"/>
            </w:pPr>
            <w:r>
              <w:rPr>
                <w:rFonts w:ascii="Arial" w:hAnsi="Arial" w:cs="Arial" w:eastAsia="Arial"/>
                <w:color w:val="1F2430"/>
                <w:sz w:val="19"/>
                <w:szCs w:val="19"/>
                <w:rtl/>
              </w:rPr>
              <w:t>סעיף 2א נחקק כדי להתגבר על הקושי שיצר סעיף 2 לחוק שיווי זכויות האישה, ופותח במילים ״על אף האמור בחוק שיווי זכויות האשה״. המסיח השני מתאר את חוק שיווי זכויות האישה עצמו, והמסיח השלישי – את סעיף 10 לחוק המזונות (מזונות זמניים).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152 — התשובה הנכונה: ג</w:t>
            </w:r>
          </w:p>
          <w:p>
            <w:pPr>
              <w:bidi/>
              <w:spacing w:before="0" w:after="0" w:line="288" w:lineRule="auto"/>
              <w:jc w:val="both"/>
            </w:pPr>
            <w:r>
              <w:rPr>
                <w:rFonts w:ascii="Arial" w:hAnsi="Arial" w:cs="Arial" w:eastAsia="Arial"/>
                <w:color w:val="1F2430"/>
                <w:sz w:val="19"/>
                <w:szCs w:val="19"/>
                <w:rtl/>
              </w:rPr>
              <w:t>דעת הרוב היא של השופט אלון, שאליה הצטרפו לוין, לוין ואור: בתיקון 1976 חזר המחוקק לדין תורה, ולפיו מותר לקזז רק פירות ולא כל דבר. התשובה הראשונה היא עמדת שמגר – דעת מיעוט. פוטנציאל פירות אינו מתקזז.</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153 — התשובה הנכונה: ב</w:t>
            </w:r>
          </w:p>
          <w:p>
            <w:pPr>
              <w:bidi/>
              <w:spacing w:before="0" w:after="0" w:line="288" w:lineRule="auto"/>
              <w:jc w:val="both"/>
            </w:pPr>
            <w:r>
              <w:rPr>
                <w:rFonts w:ascii="Arial" w:hAnsi="Arial" w:cs="Arial" w:eastAsia="Arial"/>
                <w:color w:val="1F2430"/>
                <w:sz w:val="19"/>
                <w:szCs w:val="19"/>
                <w:rtl/>
              </w:rPr>
              <w:t>לפי חקק ופלולי מקזזים רק פירות בפועל. הנכס הוא של האישה בלבד, ואין לחייבה להשכירו, שכן ההשכרה עלולה לגרום לה נזקים. הרעיון הוא שהבעל נהנה רק מפירות שבפועל. המסיח הראשון נכון לפירות בפועל בלבד.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154 — התשובה הנכונה: ג</w:t>
            </w:r>
          </w:p>
          <w:p>
            <w:pPr>
              <w:bidi/>
              <w:spacing w:before="0" w:after="0" w:line="288" w:lineRule="auto"/>
              <w:jc w:val="both"/>
            </w:pPr>
            <w:r>
              <w:rPr>
                <w:rFonts w:ascii="Arial" w:hAnsi="Arial" w:cs="Arial" w:eastAsia="Arial"/>
                <w:color w:val="1F2430"/>
                <w:sz w:val="19"/>
                <w:szCs w:val="19"/>
                <w:rtl/>
              </w:rPr>
              <w:t>מעשה ידיה בפועל מתקזזים כנגד המזונות, ולפי דעת הרוב בחקק מותר לקזז גם פירות בפועל. את הקרן עצמה – ״כל מקור אחר״ – אין לקזז, שכן גישת שמגר (כל מקור הכנסה) היא דעת מיעוט. האישה גם אינה צריכה להתפרנס מרכושה.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155 — התשובה הנכונה: א</w:t>
            </w:r>
          </w:p>
          <w:p>
            <w:pPr>
              <w:bidi/>
              <w:spacing w:before="0" w:after="0" w:line="288" w:lineRule="auto"/>
              <w:jc w:val="both"/>
            </w:pPr>
            <w:r>
              <w:rPr>
                <w:rFonts w:ascii="Arial" w:hAnsi="Arial" w:cs="Arial" w:eastAsia="Arial"/>
                <w:color w:val="1F2430"/>
                <w:sz w:val="19"/>
                <w:szCs w:val="19"/>
                <w:rtl/>
              </w:rPr>
              <w:t>לפי דין תורה יש קשר הדוק בין תוקף הנישואין לחיוב במזונות. בענייני ממון לא מחמירים: ״אין מוציאין ממון מספק״, ולכן מנישואין בספק אין כתובה ומזונות (אף שלעניין האיסור מסדרים גט לחומרא). תוקף נישואין הוא בסמכות בית הדין, אך בית המשפט רשאי להכריע בו אגבית לפי סעיף 76, לצורך התיק בלבד.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156 — התשובה הנכונה: ד</w:t>
            </w:r>
          </w:p>
          <w:p>
            <w:pPr>
              <w:bidi/>
              <w:spacing w:before="0" w:after="0" w:line="288" w:lineRule="auto"/>
              <w:jc w:val="both"/>
            </w:pPr>
            <w:r>
              <w:rPr>
                <w:rFonts w:ascii="Arial" w:hAnsi="Arial" w:cs="Arial" w:eastAsia="Arial"/>
                <w:color w:val="1F2430"/>
                <w:sz w:val="19"/>
                <w:szCs w:val="19"/>
                <w:rtl/>
              </w:rPr>
              <w:t>״מעין מורדת״ היא אישה שאינה עמו – עילת גירושין שעלולה לשלול כתובה ומזונות. פס״ד מילר הוסיף שהאישה יכולה להוכיח סיבה מוצדקת (כגון אלימות, או שהבעל עזב), והנטל עליה קל כנוצה. הכרזת מורדת היא עניין נפרד – מניעת תשמיש מיטה.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157 — התשובה הנכונה: ד</w:t>
            </w:r>
          </w:p>
          <w:p>
            <w:pPr>
              <w:bidi/>
              <w:spacing w:before="0" w:after="0" w:line="288" w:lineRule="auto"/>
              <w:jc w:val="both"/>
            </w:pPr>
            <w:r>
              <w:rPr>
                <w:rFonts w:ascii="Arial" w:hAnsi="Arial" w:cs="Arial" w:eastAsia="Arial"/>
                <w:color w:val="1F2430"/>
                <w:sz w:val="19"/>
                <w:szCs w:val="19"/>
                <w:rtl/>
              </w:rPr>
              <w:t>מורדת היא חלק מענייני נישואין וגירושין, ולכן ההכרזה עליה בסמכות הייחודית של בית הדין הרבני (סעיף 1 לחוק השיפוט). זהו הליך של י״ב חודשים, והכרזה כללית היא קונסטיטוטיבית ומחייבת גם את בית המשפט. אישה ״שאינה עמו״ היא ״מעין מורדת״ – עילה אחרת.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158 — התשובה הנכונה: א</w:t>
            </w:r>
          </w:p>
          <w:p>
            <w:pPr>
              <w:bidi/>
              <w:spacing w:before="0" w:after="0" w:line="288" w:lineRule="auto"/>
              <w:jc w:val="both"/>
            </w:pPr>
            <w:r>
              <w:rPr>
                <w:rFonts w:ascii="Arial" w:hAnsi="Arial" w:cs="Arial" w:eastAsia="Arial"/>
                <w:color w:val="1F2430"/>
                <w:sz w:val="19"/>
                <w:szCs w:val="19"/>
                <w:rtl/>
              </w:rPr>
              <w:t>בשרגאי נקבע כי מאחר שהאישה פנתה לבית המשפט, הסמכות במזונות היא שלו. בית הדין לא הכריז עליה כמורדת באופן כללי (שזו סמכותו) ולא השלים הליך של י״ב חודשים, אלא קבע ״לעניין המזונות״ בלבד – ובכך חרג מסמכותו. הכרזה כללית הייתה מחייבת את בית המשפט. בנוסף, לא ניתן לכרוך לתביעת שלום בית.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159 — התשובה הנכונה: ג</w:t>
            </w:r>
          </w:p>
          <w:p>
            <w:pPr>
              <w:bidi/>
              <w:spacing w:before="0" w:after="0" w:line="288" w:lineRule="auto"/>
              <w:jc w:val="both"/>
            </w:pPr>
            <w:r>
              <w:rPr>
                <w:rFonts w:ascii="Arial" w:hAnsi="Arial" w:cs="Arial" w:eastAsia="Arial"/>
                <w:color w:val="1F2430"/>
                <w:sz w:val="19"/>
                <w:szCs w:val="19"/>
                <w:rtl/>
              </w:rPr>
              <w:t>לפי שאלות החזרה, בפס״ד מקיטן בית המשפט כבר פסק מזונות לאישה, ולכן נוצר ״מעשה בית דין״, וקביעת מורדת שנעשתה לאחר מכן אינה מחייבת אותו אוטומטית. לו טרם נפסקו מזונות – בית המשפט היה מקבל את ההכרזה הכללית. להכריז על מורדת בית הדין דווקא מוסמך, ובאופן ייחודי.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160 — התשובה הנכונה: ב</w:t>
            </w:r>
          </w:p>
          <w:p>
            <w:pPr>
              <w:bidi/>
              <w:spacing w:before="0" w:after="0" w:line="288" w:lineRule="auto"/>
              <w:jc w:val="both"/>
            </w:pPr>
            <w:r>
              <w:rPr>
                <w:rFonts w:ascii="Arial" w:hAnsi="Arial" w:cs="Arial" w:eastAsia="Arial"/>
                <w:color w:val="1F2430"/>
                <w:sz w:val="19"/>
                <w:szCs w:val="19"/>
                <w:rtl/>
              </w:rPr>
              <w:t>בגידה ומעשה כיעור הן עילות של הבעל בלבד – אין בהן הדדיות. בבגידה אין מחילה, ואילו במעשה כיעור יש. בשתיהן האישה מאבדת כתובה ומזונות, וההוכחה היא לפי דין תורה – שני עדים. הודאת האישה לבדה אינה מספיקה, אלא אם יש ״רגליים לדבר״.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161 — התשובה הנכונה: ג</w:t>
            </w:r>
          </w:p>
          <w:p>
            <w:pPr>
              <w:bidi/>
              <w:spacing w:before="0" w:after="0" w:line="288" w:lineRule="auto"/>
              <w:jc w:val="both"/>
            </w:pPr>
            <w:r>
              <w:rPr>
                <w:rFonts w:ascii="Arial" w:hAnsi="Arial" w:cs="Arial" w:eastAsia="Arial"/>
                <w:color w:val="1F2430"/>
                <w:sz w:val="19"/>
                <w:szCs w:val="19"/>
                <w:rtl/>
              </w:rPr>
              <w:t>העליון קבע כי הסמכות במזונות היא של הערכאה האזרחית שאליה פנתה האישה. הקביעה העובדתית של בית הדין משתיקה את הצדדים, אך המסקנה – האם לשלול מזונות – נתונה לבית המשפט. לכן ייתכן שבית הדין יקבע מעשה כיעור, בגידה או מרד, ובכל זאת בית המשפט יחייב את הבעל במזונות. כך בפועל מתרחקים מהדין האישי.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162 — התשובה הנכונה: ב</w:t>
            </w:r>
          </w:p>
          <w:p>
            <w:pPr>
              <w:bidi/>
              <w:spacing w:before="0" w:after="0" w:line="288" w:lineRule="auto"/>
              <w:jc w:val="both"/>
            </w:pPr>
            <w:r>
              <w:rPr>
                <w:rFonts w:ascii="Arial" w:hAnsi="Arial" w:cs="Arial" w:eastAsia="Arial"/>
                <w:color w:val="1F2430"/>
                <w:sz w:val="19"/>
                <w:szCs w:val="19"/>
                <w:rtl/>
              </w:rPr>
              <w:t>עילת ״עוברת על דת משה״ מבוססת על כך שהאישה מחטיאה את בעלה במזיד. הטענה לא תתקבל אם האישה פעלה בשגגה, אם הבעל כפה זאת, או אם הבעל עצמו אינו מקפיד על ההלכה. זו עילה הדדית, ויש בה מחילה. מעשה במזיד וחוזר דווקא מחזק את טענת הבעל.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163 — התשובה הנכונה: א</w:t>
            </w:r>
          </w:p>
          <w:p>
            <w:pPr>
              <w:bidi/>
              <w:spacing w:before="0" w:after="0" w:line="288" w:lineRule="auto"/>
              <w:jc w:val="both"/>
            </w:pPr>
            <w:r>
              <w:rPr>
                <w:rFonts w:ascii="Arial" w:hAnsi="Arial" w:cs="Arial" w:eastAsia="Arial"/>
                <w:color w:val="1F2430"/>
                <w:sz w:val="19"/>
                <w:szCs w:val="19"/>
                <w:rtl/>
              </w:rPr>
              <w:t>״עוברת על דת יהודית״ היא התנהגות פרוצה או חצופה – קללות, השפלה, מניעת ביקור אצל הורי הבעל, פלירטוט עם גברים. אין די במעשים בודדים; נדרשת התמדה, וכל חברה נבחנת לפי אורח חייה. כמו בעוברת על דת משה, יש בה הדדיות ומחילה – בניגוד לבגידה.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164 — התשובה הנכונה: ד</w:t>
            </w:r>
          </w:p>
          <w:p>
            <w:pPr>
              <w:bidi/>
              <w:spacing w:before="0" w:after="0" w:line="288" w:lineRule="auto"/>
              <w:jc w:val="both"/>
            </w:pPr>
            <w:r>
              <w:rPr>
                <w:rFonts w:ascii="Arial" w:hAnsi="Arial" w:cs="Arial" w:eastAsia="Arial"/>
                <w:color w:val="1F2430"/>
                <w:sz w:val="19"/>
                <w:szCs w:val="19"/>
                <w:rtl/>
              </w:rPr>
              <w:t>לפי השופטים רובינשטיין וזילברטל, לצד סמכותו הייחודית של בית הדין, גם הערכאה האזרחית רשאית לקבוע זאת אגבית לצורך תביעת המזונות, ללא מעשה בית דין. השלילה אינה אוטומטית: יש להבחין בין נקמנות וסחטנות לבין חשש קיומי-כלכלי ולבחון את יכולת הקיום. אמרת האגב בדבר מזונות חוזיים לנשואים כדמו״י נותרה, לפי המרצה, בגדר מיעוט.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165 — התשובה הנכונה: א</w:t>
            </w:r>
          </w:p>
          <w:p>
            <w:pPr>
              <w:bidi/>
              <w:spacing w:before="0" w:after="0" w:line="288" w:lineRule="auto"/>
              <w:jc w:val="both"/>
            </w:pPr>
            <w:r>
              <w:rPr>
                <w:rFonts w:ascii="Arial" w:hAnsi="Arial" w:cs="Arial" w:eastAsia="Arial"/>
                <w:color w:val="1F2430"/>
                <w:sz w:val="19"/>
                <w:szCs w:val="19"/>
                <w:rtl/>
              </w:rPr>
              <w:t>בכליפה קבע העליון שלפי דין תורה המדור יכול להיות גם דירה חלופית בתנאים שהאישה הורגלה בהם. באקנין, באותן נסיבות, פסק בית הדין מדור ספציפי, ובג״ץ דחה את עתירת הבעל: פרשנות הערכאה האזרחית לדין האישי אינה מחייבת את בית הדין. הדין זהה, אך הפרשנות שונה – ומכאן חשיבות מירוץ הסמכויות.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166 — התשובה הנכונה: ד</w:t>
            </w:r>
          </w:p>
          <w:p>
            <w:pPr>
              <w:bidi/>
              <w:spacing w:before="0" w:after="0" w:line="288" w:lineRule="auto"/>
              <w:jc w:val="both"/>
            </w:pPr>
            <w:r>
              <w:rPr>
                <w:rFonts w:ascii="Arial" w:hAnsi="Arial" w:cs="Arial" w:eastAsia="Arial"/>
                <w:color w:val="1F2430"/>
                <w:sz w:val="19"/>
                <w:szCs w:val="19"/>
                <w:rtl/>
              </w:rPr>
              <w:t>שלושת הסייגים שנלמדו הם מות הנישואין, פיצול התביעות על ידי האישה, וסירוב להסדר הוגן שהציע הבעל. דווקא הקדמת הבעל בתביעת פירוק שיתוף אינה סייג: בבג״ץ יאיר ובג״ץ גולדנברג נקבע שצו מדור ספציפי של בית הדין מונע את פירוק השיתוף גם כשהבעל הקדים.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167 — התשובה הנכונה: ב</w:t>
            </w:r>
          </w:p>
          <w:p>
            <w:pPr>
              <w:bidi/>
              <w:spacing w:before="0" w:after="0" w:line="288" w:lineRule="auto"/>
              <w:jc w:val="both"/>
            </w:pPr>
            <w:r>
              <w:rPr>
                <w:rFonts w:ascii="Arial" w:hAnsi="Arial" w:cs="Arial" w:eastAsia="Arial"/>
                <w:color w:val="1F2430"/>
                <w:sz w:val="19"/>
                <w:szCs w:val="19"/>
                <w:rtl/>
              </w:rPr>
              <w:t>החיוב במזונות אישה לפי דין תורה קיים כל עוד הנישואין קיימים; משפקעו בגט או במוות – פקע החיוב. עם זאת, לפי מה שנלמד, בית הדין הרבני פסק לאחרונה מזונות גם אחרי הגירושין, עד חלוקת הרכוש המשותף. מזונות משקמים הם מוסד של הדין האזרחי-החוזי (8256/99), ולא של דין תורה.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168 — התשובה הנכונה: ג</w:t>
            </w:r>
          </w:p>
          <w:p>
            <w:pPr>
              <w:bidi/>
              <w:spacing w:before="0" w:after="0" w:line="288" w:lineRule="auto"/>
              <w:jc w:val="both"/>
            </w:pPr>
            <w:r>
              <w:rPr>
                <w:rFonts w:ascii="Arial" w:hAnsi="Arial" w:cs="Arial" w:eastAsia="Arial"/>
                <w:color w:val="1F2430"/>
                <w:sz w:val="19"/>
                <w:szCs w:val="19"/>
                <w:rtl/>
              </w:rPr>
              <w:t>מזונות אישה הם נושא בעל אופי מתמשך, ובשינוי נסיבות מהותי ניתן לפתוח את התיק מחדש – באותה ערכאה שדנה בו (כאן בית הדין). לפי תשובת המרצה, בגידה היא בוודאי שינוי נסיבות. ואם הבעל הוא שמעכב את הגט, האישה ״מעוכבת מחמתו״ ועשויה להמשיך להיות זכאית.</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3949AB"/>
            <w:tcBorders>
              <w:top w:val="single" w:sz="4" w:space="0" w:color="3949AB"/>
              <w:left w:val="single" w:sz="4" w:space="0" w:color="3949AB"/>
              <w:bottom w:val="single" w:sz="4" w:space="0" w:color="3949AB"/>
              <w:right w:val="single" w:sz="4" w:space="0" w:color="3949AB"/>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7</w:t>
            </w:r>
          </w:p>
          <w:p>
            <w:pPr>
              <w:bidi/>
              <w:spacing w:before="0" w:after="0" w:line="264" w:lineRule="auto"/>
              <w:outlineLvl w:val="0"/>
            </w:pPr>
            <w:r>
              <w:rPr>
                <w:rFonts w:ascii="Arial" w:hAnsi="Arial" w:cs="Arial" w:eastAsia="Arial"/>
                <w:b/>
                <w:bCs/>
                <w:color w:val="FFFFFF"/>
                <w:sz w:val="42"/>
                <w:szCs w:val="42"/>
                <w:rtl/>
              </w:rPr>
              <w:t>נישואין בדין הדתי ובעיות הכשרות</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169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דרכי הקידושין לפי ההלכה נכונה?</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קידושי ביאה בטלים מעיקרם, משום שחכמים אסרו אותם בשל פריצות</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קידושי ביאה אסורים מדרבנן, אך אם נעשו בכוונת קידושין ובפני שני עדים כשרים – הם יכולים לתפוס</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קידושי כסף מחייבים מסירת טבעת, ובלעדיה אין קידושין</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לפי רוב הפוסקים, החתימה על טפסי הנישואין בקפריסין היא קידושי שטר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170 </w:t>
            </w:r>
            <w:r>
              <w:rPr>
                <w:rFonts w:ascii="Arial" w:hAnsi="Arial" w:cs="Arial" w:eastAsia="Arial"/>
                <w:sz w:val="20"/>
                <w:szCs w:val="20"/>
                <w:rtl/>
              </w:rPr>
              <w:t xml:space="preserve">  </w:t>
            </w:r>
            <w:r>
              <w:rPr>
                <w:rFonts w:ascii="Arial" w:hAnsi="Arial" w:cs="Arial" w:eastAsia="Arial"/>
                <w:b/>
                <w:bCs/>
                <w:color w:val="111827"/>
                <w:sz w:val="20"/>
                <w:szCs w:val="20"/>
                <w:rtl/>
              </w:rPr>
              <w:t>מה מעמדם ההלכתי של שני העדים בטקס הקידושין?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הם עדי בירור – תפקידם להוכיח בעתיד שהיו קידושין, ובהיעדרם אפשר להוכיח זאת בדרך אחרת</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פסולי קרבה כשרים בדיעבד להעיד בחופה, ורק פסולי רשעה פסולים</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הרב המסדר חשוב מהעדים; אם לא היה רב – אין קידושין</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הם עדי קיום – חלק מהמעשה עצמו; בלעדיהם אין קידושין, ואם יתברר שעד פסול הקידושין עלולים ליפול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171 </w:t>
            </w:r>
            <w:r>
              <w:rPr>
                <w:rFonts w:ascii="Arial" w:hAnsi="Arial" w:cs="Arial" w:eastAsia="Arial"/>
                <w:sz w:val="20"/>
                <w:szCs w:val="20"/>
                <w:rtl/>
              </w:rPr>
              <w:t xml:space="preserve">  </w:t>
            </w:r>
            <w:r>
              <w:rPr>
                <w:rFonts w:ascii="Arial" w:hAnsi="Arial" w:cs="Arial" w:eastAsia="Arial"/>
                <w:b/>
                <w:bCs/>
                <w:color w:val="111827"/>
                <w:sz w:val="20"/>
                <w:szCs w:val="20"/>
                <w:rtl/>
              </w:rPr>
              <w:t>דני (30) נתן למיכל (28) טבעת בפארק ואמר לה: ״הרי את מקודשת לי״, בנוכחות שני חברים שומרי שבת שאינם קרובי משפחה. לא היו רב, חופה או מניין, והקשר לא נרשם ברבנות. מה הדין?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הקידושין תופסים מדין תורה, אף שלא התקיימו תקנות תש״י</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הקידושין בטלים, משום שלא נכח רב מטעם הרבנות</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הקידושין תקפים רק אם יירשמו ברבנות תוך 30 יום</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הקידושין תופסים רק אם התקיימו לפחות שניים מארבעת התנאים של תקנות תש״י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172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אינו אחד מארבעת התנאים שנקבעו בתקנות הרבנות משנת 1950 לטקס הנישואין הממוסד?</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נוכחות רב והשגחתו</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נוכחות מניין של עשרה אנשים</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הסכמה בכתב של הורי הכלה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מעבר דרך רשות רושמת – הרבנות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173 </w:t>
            </w:r>
            <w:r>
              <w:rPr>
                <w:rFonts w:ascii="Arial" w:hAnsi="Arial" w:cs="Arial" w:eastAsia="Arial"/>
                <w:sz w:val="20"/>
                <w:szCs w:val="20"/>
                <w:rtl/>
              </w:rPr>
              <w:t xml:space="preserve">  </w:t>
            </w:r>
            <w:r>
              <w:rPr>
                <w:rFonts w:ascii="Arial" w:hAnsi="Arial" w:cs="Arial" w:eastAsia="Arial"/>
                <w:b/>
                <w:bCs/>
                <w:color w:val="111827"/>
                <w:sz w:val="20"/>
                <w:szCs w:val="20"/>
                <w:rtl/>
              </w:rPr>
              <w:t>לאחר שנים טוענת אישה כי אחד מעדי הקידושין שלה היה מחלל שבת בפרהסיה. לפי הפסיקה שנלמדה (תיק 1068330/1), מה נדרש כדי לפסול את העד?</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די שהעד עצמו יצהיר בבית הדין שחילל שבת בפרהסיה</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די בתצהיר של החתן</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נדרשים שני עדים שומרי שבת שיעידו, בפני העד עצמו, שראו אותו מחלל שבת בפרהסיה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נדרשת הרשעה פלילית של העד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174 </w:t>
            </w:r>
            <w:r>
              <w:rPr>
                <w:rFonts w:ascii="Arial" w:hAnsi="Arial" w:cs="Arial" w:eastAsia="Arial"/>
                <w:sz w:val="20"/>
                <w:szCs w:val="20"/>
                <w:rtl/>
              </w:rPr>
              <w:t xml:space="preserve">  </w:t>
            </w:r>
            <w:r>
              <w:rPr>
                <w:rFonts w:ascii="Arial" w:hAnsi="Arial" w:cs="Arial" w:eastAsia="Arial"/>
                <w:b/>
                <w:bCs/>
                <w:color w:val="111827"/>
                <w:sz w:val="20"/>
                <w:szCs w:val="20"/>
                <w:rtl/>
              </w:rPr>
              <w:t>רון ושירה, שנישאו כדמו״י, התגרשו בגט. כעבור שנה חזרו לגור יחד, וידוע לכל שקיימו יחסי אישות. עתה שירה מבקשת להינשא לאחר. מה הדין?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בית הדין עשוי לדרוש גט נוסף, מכוח החזקה שאין אדם עושה בעילתו בעילת זנות</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אין צורך בגט נוסף, משום שהגט הראשון סופי ואינו ניתן לביטול</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יש צורך בגט נוסף רק אם נערך ביניהם טקס חופה חדש</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דינם כדין ידועים בציבור רגילים, ולכן אין צורך בגט אפילו לחומרא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175 </w:t>
            </w:r>
            <w:r>
              <w:rPr>
                <w:rFonts w:ascii="Arial" w:hAnsi="Arial" w:cs="Arial" w:eastAsia="Arial"/>
                <w:sz w:val="20"/>
                <w:szCs w:val="20"/>
                <w:rtl/>
              </w:rPr>
              <w:t xml:space="preserve">  </w:t>
            </w:r>
            <w:r>
              <w:rPr>
                <w:rFonts w:ascii="Arial" w:hAnsi="Arial" w:cs="Arial" w:eastAsia="Arial"/>
                <w:b/>
                <w:bCs/>
                <w:color w:val="111827"/>
                <w:sz w:val="20"/>
                <w:szCs w:val="20"/>
                <w:rtl/>
              </w:rPr>
              <w:t>משה ורחל, שאינם שומרי מצוות, חיו יחד שמונה שנים כידועים בציבור, בלי טקס כלשהו. רחל מבקשת מבית הדין הרבני לסדר לה גט לחומרא. מה הדין לפי מה שנלמד?</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בית הדין יסדר גט לחומרא, מכוח החזקה שאין אדם עושה בעילתו בעילת זנות</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יש דיינים שמסדרים גט ויש שלא, ולכן התוצאה תלויה בהרכב</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גט יסודר רק לזוג שומר תורה ומצוות</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ככלל אין מסדרים גט לידועים בציבור, אפילו לא לחומרא, למעט בני זוג שהיו נשואים כדמו״י, התגרשו וחזרו לחיות יחד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176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קבע כי בני זוג נשואים מספק, וסידר להם גט לחומרא. האישה תובעת בבית הדין כתובה ומזונות אישה. מה הדין?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תקבל כתובה ומזונות, שהרי בית הדין עצמו הכיר בנישואין לעניין הגט</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לא תקבל – בענייני ממון אין מוציאין ממון מספק, ולכן הספק יוצר חובות ולא זכויות</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תקבל מזונות אך לא כתובה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תקבל כתובה אך לא 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177 </w:t>
            </w:r>
            <w:r>
              <w:rPr>
                <w:rFonts w:ascii="Arial" w:hAnsi="Arial" w:cs="Arial" w:eastAsia="Arial"/>
                <w:sz w:val="20"/>
                <w:szCs w:val="20"/>
                <w:rtl/>
              </w:rPr>
              <w:t xml:space="preserve">  </w:t>
            </w:r>
            <w:r>
              <w:rPr>
                <w:rFonts w:ascii="Arial" w:hAnsi="Arial" w:cs="Arial" w:eastAsia="Arial"/>
                <w:b/>
                <w:bCs/>
                <w:color w:val="111827"/>
                <w:sz w:val="20"/>
                <w:szCs w:val="20"/>
                <w:rtl/>
              </w:rPr>
              <w:t>מהו גיל הנישואין לפי ההלכה ולפי תקנות הרבנות?</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מדין תורה איש בן 13 ואישה בת 12 וחצי; תקנת תש״י העלתה את גיל האישה בלבד ל-16, והתקנה אינה עוקרת את דין התורה</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מדין תורה 18 לשני המינים, כמו בחוק גיל הנישואין</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מדין תורה 13 לשני המינים; תקנת תש״י העלתה את גיל שניהם ל-16</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מדין תורה 12 וחצי לשני המינים; תקנת תש״י ביטלה כל קידושין של מי שטרם מלאו לו 16</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חוק גיל הנישואין, התש״י-1950 נכונה?</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החוק קובע במפורש בסעיף 1 את גיל 17 כגיל המינימום</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״נישואין״ כוללים קידושין, ולכן גם מי שקידש קטינה בלבד עבר עבירה, שעונשה מאסר שנתיים או קנס</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העבירה חלה רק על מי שערך את הטקס, ולא על החתן</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עונש העבירה הוא מאסר חמש שנים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179 </w:t>
            </w:r>
            <w:r>
              <w:rPr>
                <w:rFonts w:ascii="Arial" w:hAnsi="Arial" w:cs="Arial" w:eastAsia="Arial"/>
                <w:sz w:val="20"/>
                <w:szCs w:val="20"/>
                <w:rtl/>
              </w:rPr>
              <w:t xml:space="preserve">  </w:t>
            </w:r>
            <w:r>
              <w:rPr>
                <w:rFonts w:ascii="Arial" w:hAnsi="Arial" w:cs="Arial" w:eastAsia="Arial"/>
                <w:b/>
                <w:bCs/>
                <w:color w:val="111827"/>
                <w:sz w:val="20"/>
                <w:szCs w:val="20"/>
                <w:rtl/>
              </w:rPr>
              <w:t>יוסי בן 13 אמר לנועה בת 14 ״הרי את מקודשת לי״ ונתן לה טבעת בפני שני עדים כשרים. מה מעמד הקידושין?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הקידושין בטלים מכוח חוק גיל הנישואין, משום ששניהם קטינים</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הקידושין בטלים, משום שתקנת תש״י קבעה גיל 16</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הקידושין תופסים דתית; סעיף 3א לחוק רק קובע עילה להתרה הכפופה לדין האישי, שאינו רואה בכך עילת גירושין</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בית המשפט לענייני משפחה מוסמך להצהיר על בטלותם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180 </w:t>
            </w:r>
            <w:r>
              <w:rPr>
                <w:rFonts w:ascii="Arial" w:hAnsi="Arial" w:cs="Arial" w:eastAsia="Arial"/>
                <w:sz w:val="20"/>
                <w:szCs w:val="20"/>
                <w:rtl/>
              </w:rPr>
              <w:t xml:space="preserve">  </w:t>
            </w:r>
            <w:r>
              <w:rPr>
                <w:rFonts w:ascii="Arial" w:hAnsi="Arial" w:cs="Arial" w:eastAsia="Arial"/>
                <w:b/>
                <w:bCs/>
                <w:color w:val="111827"/>
                <w:sz w:val="20"/>
                <w:szCs w:val="20"/>
                <w:rtl/>
              </w:rPr>
              <w:t>אברימי ורבקי, בני 17 מהמגזר החסידי, התארסו, ורבקי בהיריון. הם מבקשים להינשא מיד. מה הדין הנוהג?</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מאחר שמלאו להם 17, הם רשאים להינשא בלי היתר</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עליהם להמתין לגיל 18, ואין לבית המשפט סמכות להתיר</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בית הדין הרבני יתיר להם, משום שהאיסור נובע מהדין הדתי</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הם רשאים לבקש היתר מבית המשפט לענייני משפחה, אך הנסיבות המתוארות – אירוסין, השתייכות למגזר והיריון – אינן נסיבות מיוחדות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181 </w:t>
            </w:r>
            <w:r>
              <w:rPr>
                <w:rFonts w:ascii="Arial" w:hAnsi="Arial" w:cs="Arial" w:eastAsia="Arial"/>
                <w:sz w:val="20"/>
                <w:szCs w:val="20"/>
                <w:rtl/>
              </w:rPr>
              <w:t xml:space="preserve">  </w:t>
            </w:r>
            <w:r>
              <w:rPr>
                <w:rFonts w:ascii="Arial" w:hAnsi="Arial" w:cs="Arial" w:eastAsia="Arial"/>
                <w:b/>
                <w:bCs/>
                <w:color w:val="111827"/>
                <w:sz w:val="20"/>
                <w:szCs w:val="20"/>
                <w:rtl/>
              </w:rPr>
              <w:t>מי מוסמך להתיר נישואי קטין לפי חוק גיל הנישואין, ובאילו תנאים?</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בית הדין הרבני, בכל גיל, אם השתכנע שהקידושין כשרים</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בית המשפט המחוזי, אם הקטינה ילדה או נמצאת בהיריון</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בית המשפט לענייני משפחה, מגיל 17, אם הוצג אישור עובד סוציאלי</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בית המשפט לענייני משפחה, אם מלאו לקטין 16, יש נסיבות מיוחדות הקשורות בטובתו, ולאחר ששמע את הקטין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182 </w:t>
            </w:r>
            <w:r>
              <w:rPr>
                <w:rFonts w:ascii="Arial" w:hAnsi="Arial" w:cs="Arial" w:eastAsia="Arial"/>
                <w:sz w:val="20"/>
                <w:szCs w:val="20"/>
                <w:rtl/>
              </w:rPr>
              <w:t xml:space="preserve">  </w:t>
            </w:r>
            <w:r>
              <w:rPr>
                <w:rFonts w:ascii="Arial" w:hAnsi="Arial" w:cs="Arial" w:eastAsia="Arial"/>
                <w:b/>
                <w:bCs/>
                <w:color w:val="111827"/>
                <w:sz w:val="20"/>
                <w:szCs w:val="20"/>
                <w:rtl/>
              </w:rPr>
              <w:t>אח ואחות שנמסרו לאימוץ למשפחות שונות, ולא עיינו בפנקס האימוץ, נישאו זה לזה בטקס כדת עם רב וחופה. מאוחר יותר התגלה הקשר. מה הדין?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הנישואין תקפים אך אסורים, ונדרש גט לחומרא</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הנישואין תקפים עד שבית הדין יבטל אותם</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אין תוקף לנישואין ואין צורך בגט, משום שמדובר בחייבי כריתות</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הנישואין תקפים, משום שנערכו בתום לב ובטקס מלא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183 </w:t>
            </w:r>
            <w:r>
              <w:rPr>
                <w:rFonts w:ascii="Arial" w:hAnsi="Arial" w:cs="Arial" w:eastAsia="Arial"/>
                <w:sz w:val="20"/>
                <w:szCs w:val="20"/>
                <w:rtl/>
              </w:rPr>
              <w:t xml:space="preserve">  </w:t>
            </w:r>
            <w:r>
              <w:rPr>
                <w:rFonts w:ascii="Arial" w:hAnsi="Arial" w:cs="Arial" w:eastAsia="Arial"/>
                <w:b/>
                <w:bCs/>
                <w:color w:val="111827"/>
                <w:sz w:val="20"/>
                <w:szCs w:val="20"/>
                <w:rtl/>
              </w:rPr>
              <w:t>לפי סעיף 30 לחוק אימוץ ילדים, התשמ״א-1981, מי מהבאים רשאי לעיין בפנקס האימוצים?</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כל אדם שמלאו לו 18 ומבקש לברר את קרובי משפחתו</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רושם נישואין, או מי שהוא הסמיך לכך, כשהעיון דרוש למילוי תפקידו הרשמי</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בית הדין הרבני בלבד, בכל עת</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מאומץ שמלאו לו 16, בלי צורך באישור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184 </w:t>
            </w:r>
            <w:r>
              <w:rPr>
                <w:rFonts w:ascii="Arial" w:hAnsi="Arial" w:cs="Arial" w:eastAsia="Arial"/>
                <w:sz w:val="20"/>
                <w:szCs w:val="20"/>
                <w:rtl/>
              </w:rPr>
              <w:t xml:space="preserve">  </w:t>
            </w:r>
            <w:r>
              <w:rPr>
                <w:rFonts w:ascii="Arial" w:hAnsi="Arial" w:cs="Arial" w:eastAsia="Arial"/>
                <w:b/>
                <w:bCs/>
                <w:color w:val="111827"/>
                <w:sz w:val="20"/>
                <w:szCs w:val="20"/>
                <w:rtl/>
              </w:rPr>
              <w:t>אישה רווקה ילדה בת מתרומת זרע וביקשה מבית הדין הרבני היתר נישואין מראש לבתה (תיק 1123955/1). מה נקבע?</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בית הדין קבע תחילה שהבת כשרה (בין היתר בשל ספק ספיקא), ובפסק מתוקן הציע, בשל חשש נישואי אחים, בדיקה גנטית או בירור אם אבי החתן תרם זרע</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בית הדין קבע שהבת ממזרת, משום שאין יודעים מי אביה</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בית הדין סירב לדון, משום שהבקשה הוגשה כשהבת עוד בעריסה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בית הדין קבע שהבת אסורה לכל יהודי ורשאית להינשא רק לגר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185 </w:t>
            </w:r>
            <w:r>
              <w:rPr>
                <w:rFonts w:ascii="Arial" w:hAnsi="Arial" w:cs="Arial" w:eastAsia="Arial"/>
                <w:sz w:val="20"/>
                <w:szCs w:val="20"/>
                <w:rtl/>
              </w:rPr>
              <w:t xml:space="preserve">  </w:t>
            </w:r>
            <w:r>
              <w:rPr>
                <w:rFonts w:ascii="Arial" w:hAnsi="Arial" w:cs="Arial" w:eastAsia="Arial"/>
                <w:b/>
                <w:bCs/>
                <w:color w:val="111827"/>
                <w:sz w:val="20"/>
                <w:szCs w:val="20"/>
                <w:rtl/>
              </w:rPr>
              <w:t>לפי חוק הסכמים לנשיאת עוברים ולפי מה שנלמד בעניין הדין הדתי, מי האם לעניין דיני הנישואין?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האם הגנטית בלבד, שכן צו ההורות קובע זאת לכל דבר ועניין</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לפי רוב הפוסקים – הפונדקאית, ולכן סעיף 12(ב) קובע שאין בצו הורות כדי לפגוע בדיני איסור והיתר לעניין נישואין וגירושין</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מי שרשומה כאם בתעודת הזהות, והרבנות כפופה לרישום</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אין לילד אם הלכתית, ולכן הוא נחשב שתוקי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186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בעניין חוק הסכמים לנשיאת עוברים נכונה?</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האם הנושאת חייבת להיות אישה נשואה, כדי להבטיח יציבות</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ההורים המיועדים הם האפוטרופסים הבלעדיים של הילד משעת הלידה</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ההורים המיועדים יגישו בקשה לצו הורות תוך 30 יום מהלידה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אם נושאת רשאית לחזור בה רק אם חל שינוי נסיבות המצדיק זאת ואין בכך פגיעה בטובת הילד, לאחר תסקיר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187 </w:t>
            </w:r>
            <w:r>
              <w:rPr>
                <w:rFonts w:ascii="Arial" w:hAnsi="Arial" w:cs="Arial" w:eastAsia="Arial"/>
                <w:sz w:val="20"/>
                <w:szCs w:val="20"/>
                <w:rtl/>
              </w:rPr>
              <w:t xml:space="preserve">  </w:t>
            </w:r>
            <w:r>
              <w:rPr>
                <w:rFonts w:ascii="Arial" w:hAnsi="Arial" w:cs="Arial" w:eastAsia="Arial"/>
                <w:b/>
                <w:bCs/>
                <w:color w:val="111827"/>
                <w:sz w:val="20"/>
                <w:szCs w:val="20"/>
                <w:rtl/>
              </w:rPr>
              <w:t>חווה דעתך: (א) נישואי כהן לגרושה; (ב) נישואי יהודייה לממזר. בשני המקרים נערך טקס קידושין תקף.</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בשניהם מדובר באיסורי לאוין; הקידושין תופסים ונדרש גט לחומרא</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בשניהם מדובר באיסורי לאוין, ולכן הקידושין אינם תופסים, אך בית הדין מצריך גט לחומרא</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במקרה (א) הקידושין תופסים, ובמקרה (ב) לא, כי זה איסור כרת</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בשניהם מדובר בחייבי כריתות, ואין צורך בגט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188 </w:t>
            </w:r>
            <w:r>
              <w:rPr>
                <w:rFonts w:ascii="Arial" w:hAnsi="Arial" w:cs="Arial" w:eastAsia="Arial"/>
                <w:sz w:val="20"/>
                <w:szCs w:val="20"/>
                <w:rtl/>
              </w:rPr>
              <w:t xml:space="preserve">  </w:t>
            </w:r>
            <w:r>
              <w:rPr>
                <w:rFonts w:ascii="Arial" w:hAnsi="Arial" w:cs="Arial" w:eastAsia="Arial"/>
                <w:b/>
                <w:bCs/>
                <w:color w:val="111827"/>
                <w:sz w:val="20"/>
                <w:szCs w:val="20"/>
                <w:rtl/>
              </w:rPr>
              <w:t>כהן ואישה גרושה נישאו בטקס קידושין פרטי ונולדו להם בן ובת. מה מעמד הילדים?</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ממזרים, משום שהנישואין אסורים</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כשרים לגמרי, והבן כהן כאביו</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כשרים אך חללים: הבן אינו כהן, והבת אסורה להינשא לכהן</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מעמדם תלוי בשאלה אם הנישואין נרשמו במרשם האוכלוסין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189 </w:t>
            </w:r>
            <w:r>
              <w:rPr>
                <w:rFonts w:ascii="Arial" w:hAnsi="Arial" w:cs="Arial" w:eastAsia="Arial"/>
                <w:sz w:val="20"/>
                <w:szCs w:val="20"/>
                <w:rtl/>
              </w:rPr>
              <w:t xml:space="preserve">  </w:t>
            </w:r>
            <w:r>
              <w:rPr>
                <w:rFonts w:ascii="Arial" w:hAnsi="Arial" w:cs="Arial" w:eastAsia="Arial"/>
                <w:b/>
                <w:bCs/>
                <w:color w:val="111827"/>
                <w:sz w:val="20"/>
                <w:szCs w:val="20"/>
                <w:rtl/>
              </w:rPr>
              <w:t>האם בכל איסורי הלאו הקידושין תופסים?</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כן, בכל איסור לאו הקידושין תופסים ונדרש גט לחומרא</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לא, באיסורי לאו הקידושין לעולם אינם תופסים</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לא בהכרח: בדרך כלל תופסים, אך נישואי יהודייה ולא יהודי הם איסור לאו ואין להם תוקף כלל, אף לא לחומרא</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כן, למעט נישואי כהן וגרושה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190 </w:t>
            </w:r>
            <w:r>
              <w:rPr>
                <w:rFonts w:ascii="Arial" w:hAnsi="Arial" w:cs="Arial" w:eastAsia="Arial"/>
                <w:sz w:val="20"/>
                <w:szCs w:val="20"/>
                <w:rtl/>
              </w:rPr>
              <w:t xml:space="preserve">  </w:t>
            </w:r>
            <w:r>
              <w:rPr>
                <w:rFonts w:ascii="Arial" w:hAnsi="Arial" w:cs="Arial" w:eastAsia="Arial"/>
                <w:b/>
                <w:bCs/>
                <w:color w:val="111827"/>
                <w:sz w:val="20"/>
                <w:szCs w:val="20"/>
                <w:rtl/>
              </w:rPr>
              <w:t>יהודייה נישאה למוסלמי. מה הדין מבחינה דתית?</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ביהדות אין לנישואין תוקף ואין צורך בגט; באסלאם הם תקפים; הילד כפול דת – יהודי לפי האם ומוסלמי לפי האב</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הנישואין תקפים ביהדות לחומרא, ונדרש גט</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הנישואין בטלים בשתי הדתות, והילד חסר דת</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ביהדות הנישואין תקפים, באסלאם לא, והילד יהודי בלבד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191 </w:t>
            </w:r>
            <w:r>
              <w:rPr>
                <w:rFonts w:ascii="Arial" w:hAnsi="Arial" w:cs="Arial" w:eastAsia="Arial"/>
                <w:sz w:val="20"/>
                <w:szCs w:val="20"/>
                <w:rtl/>
              </w:rPr>
              <w:t xml:space="preserve">  </w:t>
            </w:r>
            <w:r>
              <w:rPr>
                <w:rFonts w:ascii="Arial" w:hAnsi="Arial" w:cs="Arial" w:eastAsia="Arial"/>
                <w:b/>
                <w:bCs/>
                <w:color w:val="111827"/>
                <w:sz w:val="20"/>
                <w:szCs w:val="20"/>
                <w:rtl/>
              </w:rPr>
              <w:t>אבי, אזרח ישראלי, נשוי לרונית אך גר כבר שנתיים עם דנה כידועה בציבור. עתה נישא לדנה בקפריסין. איזו טענה נכונה?</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המגורים עם דנה כידועה בציבור הם כשלעצמם עבירת ריבוי נישואין</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אבי לא עבר עבירה, משום שהנישואין בקפריסין נערכו מחוץ לישראל</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אבי לא עבר עבירה, משום שהנישואין לדנה בטלים לפי הדין הדתי</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רק עריכת הנישואין בקפריסין היא עבירה לפי סעיף 176, ולפי סעיף 178 אין נפקא מינה אם הנישואין החדשים בטלים או נערכו בחו״ל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192 </w:t>
            </w:r>
            <w:r>
              <w:rPr>
                <w:rFonts w:ascii="Arial" w:hAnsi="Arial" w:cs="Arial" w:eastAsia="Arial"/>
                <w:sz w:val="20"/>
                <w:szCs w:val="20"/>
                <w:rtl/>
              </w:rPr>
              <w:t xml:space="preserve">  </w:t>
            </w:r>
            <w:r>
              <w:rPr>
                <w:rFonts w:ascii="Arial" w:hAnsi="Arial" w:cs="Arial" w:eastAsia="Arial"/>
                <w:b/>
                <w:bCs/>
                <w:color w:val="111827"/>
                <w:sz w:val="20"/>
                <w:szCs w:val="20"/>
                <w:rtl/>
              </w:rPr>
              <w:t>באיזה מקרה לא יורשע נשוי שנשא אישה נוספת, לפי סעיף 179 לחוק העונשין?</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אם אשתו הראשונה נתנה את הסכמתה בכתב</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אם הדין החל הוא דין תורה, והנישואין נערכו לאחר שניתן לו היתר נישואין בפסק דין סופי של בית דין רבני שאושר בידי נשיא בית הדין הרבני הגדול</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אם הנישואין השניים נערכו במדינה המתירה פוליגמיה</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אם בית המשפט לענייני משפחה התיר זאת בשל נסיבות מיוחדות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193 </w:t>
            </w:r>
            <w:r>
              <w:rPr>
                <w:rFonts w:ascii="Arial" w:hAnsi="Arial" w:cs="Arial" w:eastAsia="Arial"/>
                <w:sz w:val="20"/>
                <w:szCs w:val="20"/>
                <w:rtl/>
              </w:rPr>
              <w:t xml:space="preserve">  </w:t>
            </w:r>
            <w:r>
              <w:rPr>
                <w:rFonts w:ascii="Arial" w:hAnsi="Arial" w:cs="Arial" w:eastAsia="Arial"/>
                <w:b/>
                <w:bCs/>
                <w:color w:val="111827"/>
                <w:sz w:val="20"/>
                <w:szCs w:val="20"/>
                <w:rtl/>
              </w:rPr>
              <w:t>אישה נשואה כדמו״י בגדה בבעלה, ובני הזוג התגרשו. מה מעמדה ההלכתי?</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היא אסורה על בעלה ועל בועלה גם לאחר הגירושין, ולפי הנחיות נשיא בית הדין הגדול הבגידה נרשמת בעת הגירושין</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לאחר הגירושין היא מותרת לבועל, אך אסורה לבעלה</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היא מותרת לשניהם לאחר הגירושין, שכן הגט מתיר הכול</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דינה כדין הגבר הבוגד, שאף הוא נאסר על אשתו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194 </w:t>
            </w:r>
            <w:r>
              <w:rPr>
                <w:rFonts w:ascii="Arial" w:hAnsi="Arial" w:cs="Arial" w:eastAsia="Arial"/>
                <w:sz w:val="20"/>
                <w:szCs w:val="20"/>
                <w:rtl/>
              </w:rPr>
              <w:t xml:space="preserve">  </w:t>
            </w:r>
            <w:r>
              <w:rPr>
                <w:rFonts w:ascii="Arial" w:hAnsi="Arial" w:cs="Arial" w:eastAsia="Arial"/>
                <w:b/>
                <w:bCs/>
                <w:color w:val="111827"/>
                <w:sz w:val="20"/>
                <w:szCs w:val="20"/>
                <w:rtl/>
              </w:rPr>
              <w:t>שני זוגות יהודים נישאו בקפריסין: זוג א׳ – כשירי חיתון שיכלו להינשא ברבנות; זוג ב׳ – כהן וגרושה. מה הנטייה בבית הדין הרבני כשירצו להתגרש?</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בשני הזוגות הנטייה להחמיר ולסדר גט מספק</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בשני הזוגות אין צורך בגט, כי הטקס האזרחי אינו טקס יהודי</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בזוג א׳ הנטייה להקל (אילו רצו נישואין דתיים, היו נישאים ברבנות); בזוג ב׳ הנטייה להחמיר ולסדר גט מספק</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בזוג א׳ הנטייה להחמיר, ובזוג ב׳ להקל, כי נישואיהם אסורים ממילא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195 </w:t>
            </w:r>
            <w:r>
              <w:rPr>
                <w:rFonts w:ascii="Arial" w:hAnsi="Arial" w:cs="Arial" w:eastAsia="Arial"/>
                <w:sz w:val="20"/>
                <w:szCs w:val="20"/>
                <w:rtl/>
              </w:rPr>
              <w:t xml:space="preserve">  </w:t>
            </w:r>
            <w:r>
              <w:rPr>
                <w:rFonts w:ascii="Arial" w:hAnsi="Arial" w:cs="Arial" w:eastAsia="Arial"/>
                <w:b/>
                <w:bCs/>
                <w:color w:val="111827"/>
                <w:sz w:val="20"/>
                <w:szCs w:val="20"/>
                <w:rtl/>
              </w:rPr>
              <w:t>לפי הדעה המחמירה, מה יוצר את הספק שמא זוג יהודי שנישא בנישואין אזרחיים נשוי גם כדמו״י?</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עצם טקס הנישואין האזרחי, שהוא קידושי שטר</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יחסי האישות שלאחר הטקס – ביאה היא דרך קידושין – בצירוף החזקה שאין אדם עושה בעילתו בעילת זנות</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הרישום במרשם האוכלוסין כנשואים</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הצהרת הזוג בפני הפקיד הזר שהם מסכימים להינשא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5ADD9"/>
              <w:left w:val="single" w:sz="8" w:space="0" w:color="A5ADD9"/>
              <w:bottom w:val="single" w:sz="8" w:space="0" w:color="A5ADD9"/>
              <w:right w:val="single" w:sz="8" w:space="0" w:color="A5ADD9"/>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3949AB"/>
              </w:rPr>
              <w:t xml:space="preserve"> 196 </w:t>
            </w:r>
            <w:r>
              <w:rPr>
                <w:rFonts w:ascii="Arial" w:hAnsi="Arial" w:cs="Arial" w:eastAsia="Arial"/>
                <w:sz w:val="20"/>
                <w:szCs w:val="20"/>
                <w:rtl/>
              </w:rPr>
              <w:t xml:space="preserve">  </w:t>
            </w:r>
            <w:r>
              <w:rPr>
                <w:rFonts w:ascii="Arial" w:hAnsi="Arial" w:cs="Arial" w:eastAsia="Arial"/>
                <w:b/>
                <w:bCs/>
                <w:color w:val="111827"/>
                <w:sz w:val="20"/>
                <w:szCs w:val="20"/>
                <w:rtl/>
              </w:rPr>
              <w:t>לפי תשובת בית הדין הרבני הגדול בבג״ץ 2232/03 (דיני בני נח), כיצד מטפל בית הדין בגירושי זוג יהודי שנישא בנישואין אזרחיים?</w:t>
            </w:r>
          </w:p>
          <w:p>
            <w:pPr>
              <w:bidi/>
              <w:spacing w:before="0" w:after="20" w:line="276" w:lineRule="auto"/>
              <w:ind w:right="400" w:hanging="300"/>
            </w:pPr>
            <w:r>
              <w:rPr>
                <w:rFonts w:ascii="Arial" w:hAnsi="Arial" w:cs="Arial" w:eastAsia="Arial"/>
                <w:b/>
                <w:bCs/>
                <w:color w:val="3949AB"/>
                <w:sz w:val="20"/>
                <w:szCs w:val="20"/>
                <w:rtl/>
              </w:rPr>
              <w:t xml:space="preserve">(א)  </w:t>
            </w:r>
            <w:r>
              <w:rPr>
                <w:rFonts w:ascii="Arial" w:hAnsi="Arial" w:cs="Arial" w:eastAsia="Arial"/>
                <w:color w:val="1F2430"/>
                <w:sz w:val="20"/>
                <w:szCs w:val="20"/>
                <w:rtl/>
              </w:rPr>
              <w:t>מפנה את הזוג לבית המשפט לענייני משפחה, שכן לנישואין אזרחיים אין כל ערך בהלכה</w:t>
            </w:r>
          </w:p>
          <w:p>
            <w:pPr>
              <w:bidi/>
              <w:spacing w:before="0" w:after="20" w:line="276" w:lineRule="auto"/>
              <w:ind w:right="400" w:hanging="300"/>
            </w:pPr>
            <w:r>
              <w:rPr>
                <w:rFonts w:ascii="Arial" w:hAnsi="Arial" w:cs="Arial" w:eastAsia="Arial"/>
                <w:b/>
                <w:bCs/>
                <w:color w:val="3949AB"/>
                <w:sz w:val="20"/>
                <w:szCs w:val="20"/>
                <w:rtl/>
              </w:rPr>
              <w:t xml:space="preserve">(ב)  </w:t>
            </w:r>
            <w:r>
              <w:rPr>
                <w:rFonts w:ascii="Arial" w:hAnsi="Arial" w:cs="Arial" w:eastAsia="Arial"/>
                <w:color w:val="1F2430"/>
                <w:sz w:val="20"/>
                <w:szCs w:val="20"/>
                <w:rtl/>
              </w:rPr>
              <w:t>מסדר בכל מקרה גט לחומרא, ופוסק לאישה מזונות מכוח הנישואין</w:t>
            </w:r>
          </w:p>
          <w:p>
            <w:pPr>
              <w:bidi/>
              <w:spacing w:before="0" w:after="20" w:line="276" w:lineRule="auto"/>
              <w:ind w:right="400" w:hanging="300"/>
            </w:pPr>
            <w:r>
              <w:rPr>
                <w:rFonts w:ascii="Arial" w:hAnsi="Arial" w:cs="Arial" w:eastAsia="Arial"/>
                <w:b/>
                <w:bCs/>
                <w:color w:val="3949AB"/>
                <w:sz w:val="20"/>
                <w:szCs w:val="20"/>
                <w:rtl/>
              </w:rPr>
              <w:t xml:space="preserve">(ג)  </w:t>
            </w:r>
            <w:r>
              <w:rPr>
                <w:rFonts w:ascii="Arial" w:hAnsi="Arial" w:cs="Arial" w:eastAsia="Arial"/>
                <w:color w:val="1F2430"/>
                <w:sz w:val="20"/>
                <w:szCs w:val="20"/>
                <w:rtl/>
              </w:rPr>
              <w:t>מצהיר שהם פנויים בלי לגעת בנישואין האזרחיים, שנשארים רשומים</w:t>
            </w:r>
          </w:p>
          <w:p>
            <w:pPr>
              <w:bidi/>
              <w:spacing w:before="0" w:after="20" w:line="276" w:lineRule="auto"/>
              <w:ind w:right="400" w:hanging="300"/>
            </w:pPr>
            <w:r>
              <w:rPr>
                <w:rFonts w:ascii="Arial" w:hAnsi="Arial" w:cs="Arial" w:eastAsia="Arial"/>
                <w:b/>
                <w:bCs/>
                <w:color w:val="3949AB"/>
                <w:sz w:val="20"/>
                <w:szCs w:val="20"/>
                <w:rtl/>
              </w:rPr>
              <w:t xml:space="preserve">(ד)  </w:t>
            </w:r>
            <w:r>
              <w:rPr>
                <w:rFonts w:ascii="Arial" w:hAnsi="Arial" w:cs="Arial" w:eastAsia="Arial"/>
                <w:color w:val="1F2430"/>
                <w:sz w:val="20"/>
                <w:szCs w:val="20"/>
                <w:rtl/>
              </w:rPr>
              <w:t>בוחן תחילה בכובע דתי אם נוצרו קידושין ומסדר גט מספק אם יש ספק; אם לא – עובר לכובע אזרחי ומתיר את הנישואין בפסק דין בעילת תום הקשר, בלי צורך בהסכמה, ואינו פוסק זכויות ממוניות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7</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169-ב</w:t>
      </w:r>
      <w:r>
        <w:rPr>
          <w:rFonts w:ascii="Arial" w:hAnsi="Arial" w:cs="Arial" w:eastAsia="Arial"/>
          <w:sz w:val="20"/>
          <w:szCs w:val="20"/>
          <w:rtl/>
        </w:rPr>
        <w:t xml:space="preserve">   </w:t>
      </w:r>
      <w:r>
        <w:rPr>
          <w:rFonts w:ascii="Arial" w:hAnsi="Arial" w:cs="Arial" w:eastAsia="Arial"/>
          <w:b/>
          <w:bCs/>
          <w:color w:val="1F2430"/>
          <w:sz w:val="20"/>
          <w:szCs w:val="20"/>
          <w:rtl/>
        </w:rPr>
        <w:t>170-ד</w:t>
      </w:r>
      <w:r>
        <w:rPr>
          <w:rFonts w:ascii="Arial" w:hAnsi="Arial" w:cs="Arial" w:eastAsia="Arial"/>
          <w:sz w:val="20"/>
          <w:szCs w:val="20"/>
          <w:rtl/>
        </w:rPr>
        <w:t xml:space="preserve">   </w:t>
      </w:r>
      <w:r>
        <w:rPr>
          <w:rFonts w:ascii="Arial" w:hAnsi="Arial" w:cs="Arial" w:eastAsia="Arial"/>
          <w:b/>
          <w:bCs/>
          <w:color w:val="1F2430"/>
          <w:sz w:val="20"/>
          <w:szCs w:val="20"/>
          <w:rtl/>
        </w:rPr>
        <w:t>171-א</w:t>
      </w:r>
      <w:r>
        <w:rPr>
          <w:rFonts w:ascii="Arial" w:hAnsi="Arial" w:cs="Arial" w:eastAsia="Arial"/>
          <w:sz w:val="20"/>
          <w:szCs w:val="20"/>
          <w:rtl/>
        </w:rPr>
        <w:t xml:space="preserve">   </w:t>
      </w:r>
      <w:r>
        <w:rPr>
          <w:rFonts w:ascii="Arial" w:hAnsi="Arial" w:cs="Arial" w:eastAsia="Arial"/>
          <w:b/>
          <w:bCs/>
          <w:color w:val="1F2430"/>
          <w:sz w:val="20"/>
          <w:szCs w:val="20"/>
          <w:rtl/>
        </w:rPr>
        <w:t>172-ג</w:t>
      </w:r>
      <w:r>
        <w:rPr>
          <w:rFonts w:ascii="Arial" w:hAnsi="Arial" w:cs="Arial" w:eastAsia="Arial"/>
          <w:sz w:val="20"/>
          <w:szCs w:val="20"/>
          <w:rtl/>
        </w:rPr>
        <w:t xml:space="preserve">   </w:t>
      </w:r>
      <w:r>
        <w:rPr>
          <w:rFonts w:ascii="Arial" w:hAnsi="Arial" w:cs="Arial" w:eastAsia="Arial"/>
          <w:b/>
          <w:bCs/>
          <w:color w:val="1F2430"/>
          <w:sz w:val="20"/>
          <w:szCs w:val="20"/>
          <w:rtl/>
        </w:rPr>
        <w:t>173-ג</w:t>
      </w:r>
      <w:r>
        <w:rPr>
          <w:rFonts w:ascii="Arial" w:hAnsi="Arial" w:cs="Arial" w:eastAsia="Arial"/>
          <w:sz w:val="20"/>
          <w:szCs w:val="20"/>
          <w:rtl/>
        </w:rPr>
        <w:t xml:space="preserve">   </w:t>
      </w:r>
      <w:r>
        <w:rPr>
          <w:rFonts w:ascii="Arial" w:hAnsi="Arial" w:cs="Arial" w:eastAsia="Arial"/>
          <w:b/>
          <w:bCs/>
          <w:color w:val="1F2430"/>
          <w:sz w:val="20"/>
          <w:szCs w:val="20"/>
          <w:rtl/>
        </w:rPr>
        <w:t>174-א</w:t>
      </w:r>
      <w:r>
        <w:rPr>
          <w:rFonts w:ascii="Arial" w:hAnsi="Arial" w:cs="Arial" w:eastAsia="Arial"/>
          <w:sz w:val="20"/>
          <w:szCs w:val="20"/>
          <w:rtl/>
        </w:rPr>
        <w:t xml:space="preserve">   </w:t>
      </w:r>
      <w:r>
        <w:rPr>
          <w:rFonts w:ascii="Arial" w:hAnsi="Arial" w:cs="Arial" w:eastAsia="Arial"/>
          <w:b/>
          <w:bCs/>
          <w:color w:val="1F2430"/>
          <w:sz w:val="20"/>
          <w:szCs w:val="20"/>
          <w:rtl/>
        </w:rPr>
        <w:t>175-ד</w:t>
      </w:r>
      <w:r>
        <w:rPr>
          <w:rFonts w:ascii="Arial" w:hAnsi="Arial" w:cs="Arial" w:eastAsia="Arial"/>
          <w:sz w:val="20"/>
          <w:szCs w:val="20"/>
          <w:rtl/>
        </w:rPr>
        <w:t xml:space="preserve">   </w:t>
      </w:r>
      <w:r>
        <w:rPr>
          <w:rFonts w:ascii="Arial" w:hAnsi="Arial" w:cs="Arial" w:eastAsia="Arial"/>
          <w:b/>
          <w:bCs/>
          <w:color w:val="1F2430"/>
          <w:sz w:val="20"/>
          <w:szCs w:val="20"/>
          <w:rtl/>
        </w:rPr>
        <w:t>176-ב</w:t>
      </w:r>
      <w:r>
        <w:rPr>
          <w:rFonts w:ascii="Arial" w:hAnsi="Arial" w:cs="Arial" w:eastAsia="Arial"/>
          <w:sz w:val="20"/>
          <w:szCs w:val="20"/>
          <w:rtl/>
        </w:rPr>
        <w:t xml:space="preserve">   </w:t>
      </w:r>
      <w:r>
        <w:rPr>
          <w:rFonts w:ascii="Arial" w:hAnsi="Arial" w:cs="Arial" w:eastAsia="Arial"/>
          <w:b/>
          <w:bCs/>
          <w:color w:val="1F2430"/>
          <w:sz w:val="20"/>
          <w:szCs w:val="20"/>
          <w:rtl/>
        </w:rPr>
        <w:t>177-א</w:t>
      </w:r>
      <w:r>
        <w:rPr>
          <w:rFonts w:ascii="Arial" w:hAnsi="Arial" w:cs="Arial" w:eastAsia="Arial"/>
          <w:sz w:val="20"/>
          <w:szCs w:val="20"/>
          <w:rtl/>
        </w:rPr>
        <w:t xml:space="preserve">   </w:t>
      </w:r>
      <w:r>
        <w:rPr>
          <w:rFonts w:ascii="Arial" w:hAnsi="Arial" w:cs="Arial" w:eastAsia="Arial"/>
          <w:b/>
          <w:bCs/>
          <w:color w:val="1F2430"/>
          <w:sz w:val="20"/>
          <w:szCs w:val="20"/>
          <w:rtl/>
        </w:rPr>
        <w:t>178-ב</w:t>
      </w:r>
      <w:r>
        <w:rPr>
          <w:rFonts w:ascii="Arial" w:hAnsi="Arial" w:cs="Arial" w:eastAsia="Arial"/>
          <w:sz w:val="20"/>
          <w:szCs w:val="20"/>
          <w:rtl/>
        </w:rPr>
        <w:t xml:space="preserve">   </w:t>
      </w:r>
      <w:r>
        <w:rPr>
          <w:rFonts w:ascii="Arial" w:hAnsi="Arial" w:cs="Arial" w:eastAsia="Arial"/>
          <w:b/>
          <w:bCs/>
          <w:color w:val="1F2430"/>
          <w:sz w:val="20"/>
          <w:szCs w:val="20"/>
          <w:rtl/>
        </w:rPr>
        <w:t>179-ג</w:t>
      </w:r>
      <w:r>
        <w:rPr>
          <w:rFonts w:ascii="Arial" w:hAnsi="Arial" w:cs="Arial" w:eastAsia="Arial"/>
          <w:sz w:val="20"/>
          <w:szCs w:val="20"/>
          <w:rtl/>
        </w:rPr>
        <w:t xml:space="preserve">   </w:t>
      </w:r>
      <w:r>
        <w:rPr>
          <w:rFonts w:ascii="Arial" w:hAnsi="Arial" w:cs="Arial" w:eastAsia="Arial"/>
          <w:b/>
          <w:bCs/>
          <w:color w:val="1F2430"/>
          <w:sz w:val="20"/>
          <w:szCs w:val="20"/>
          <w:rtl/>
        </w:rPr>
        <w:t>180-ד</w:t>
      </w:r>
      <w:r>
        <w:rPr>
          <w:rFonts w:ascii="Arial" w:hAnsi="Arial" w:cs="Arial" w:eastAsia="Arial"/>
          <w:sz w:val="20"/>
          <w:szCs w:val="20"/>
          <w:rtl/>
        </w:rPr>
        <w:t xml:space="preserve">   </w:t>
      </w:r>
      <w:r>
        <w:rPr>
          <w:rFonts w:ascii="Arial" w:hAnsi="Arial" w:cs="Arial" w:eastAsia="Arial"/>
          <w:b/>
          <w:bCs/>
          <w:color w:val="1F2430"/>
          <w:sz w:val="20"/>
          <w:szCs w:val="20"/>
          <w:rtl/>
        </w:rPr>
        <w:t>181-ד</w:t>
      </w:r>
      <w:r>
        <w:rPr>
          <w:rFonts w:ascii="Arial" w:hAnsi="Arial" w:cs="Arial" w:eastAsia="Arial"/>
          <w:sz w:val="20"/>
          <w:szCs w:val="20"/>
          <w:rtl/>
        </w:rPr>
        <w:t xml:space="preserve">   </w:t>
      </w:r>
      <w:r>
        <w:rPr>
          <w:rFonts w:ascii="Arial" w:hAnsi="Arial" w:cs="Arial" w:eastAsia="Arial"/>
          <w:b/>
          <w:bCs/>
          <w:color w:val="1F2430"/>
          <w:sz w:val="20"/>
          <w:szCs w:val="20"/>
          <w:rtl/>
        </w:rPr>
        <w:t>182-ג</w:t>
      </w:r>
      <w:r>
        <w:rPr>
          <w:rFonts w:ascii="Arial" w:hAnsi="Arial" w:cs="Arial" w:eastAsia="Arial"/>
          <w:sz w:val="20"/>
          <w:szCs w:val="20"/>
          <w:rtl/>
        </w:rPr>
        <w:t xml:space="preserve">   </w:t>
      </w:r>
      <w:r>
        <w:rPr>
          <w:rFonts w:ascii="Arial" w:hAnsi="Arial" w:cs="Arial" w:eastAsia="Arial"/>
          <w:b/>
          <w:bCs/>
          <w:color w:val="1F2430"/>
          <w:sz w:val="20"/>
          <w:szCs w:val="20"/>
          <w:rtl/>
        </w:rPr>
        <w:t>183-ב</w:t>
      </w:r>
      <w:r>
        <w:rPr>
          <w:rFonts w:ascii="Arial" w:hAnsi="Arial" w:cs="Arial" w:eastAsia="Arial"/>
          <w:sz w:val="20"/>
          <w:szCs w:val="20"/>
          <w:rtl/>
        </w:rPr>
        <w:t xml:space="preserve">   </w:t>
      </w:r>
      <w:r>
        <w:rPr>
          <w:rFonts w:ascii="Arial" w:hAnsi="Arial" w:cs="Arial" w:eastAsia="Arial"/>
          <w:b/>
          <w:bCs/>
          <w:color w:val="1F2430"/>
          <w:sz w:val="20"/>
          <w:szCs w:val="20"/>
          <w:rtl/>
        </w:rPr>
        <w:t>184-א</w:t>
      </w:r>
      <w:r>
        <w:rPr>
          <w:rFonts w:ascii="Arial" w:hAnsi="Arial" w:cs="Arial" w:eastAsia="Arial"/>
          <w:sz w:val="20"/>
          <w:szCs w:val="20"/>
          <w:rtl/>
        </w:rPr>
        <w:t xml:space="preserve">   </w:t>
      </w:r>
      <w:r>
        <w:rPr>
          <w:rFonts w:ascii="Arial" w:hAnsi="Arial" w:cs="Arial" w:eastAsia="Arial"/>
          <w:b/>
          <w:bCs/>
          <w:color w:val="1F2430"/>
          <w:sz w:val="20"/>
          <w:szCs w:val="20"/>
          <w:rtl/>
        </w:rPr>
        <w:t>185-ב</w:t>
      </w:r>
      <w:r>
        <w:rPr>
          <w:rFonts w:ascii="Arial" w:hAnsi="Arial" w:cs="Arial" w:eastAsia="Arial"/>
          <w:sz w:val="20"/>
          <w:szCs w:val="20"/>
          <w:rtl/>
        </w:rPr>
        <w:t xml:space="preserve">   </w:t>
      </w:r>
      <w:r>
        <w:rPr>
          <w:rFonts w:ascii="Arial" w:hAnsi="Arial" w:cs="Arial" w:eastAsia="Arial"/>
          <w:b/>
          <w:bCs/>
          <w:color w:val="1F2430"/>
          <w:sz w:val="20"/>
          <w:szCs w:val="20"/>
          <w:rtl/>
        </w:rPr>
        <w:t>186-ד</w:t>
      </w:r>
      <w:r>
        <w:rPr>
          <w:rFonts w:ascii="Arial" w:hAnsi="Arial" w:cs="Arial" w:eastAsia="Arial"/>
          <w:sz w:val="20"/>
          <w:szCs w:val="20"/>
          <w:rtl/>
        </w:rPr>
        <w:t xml:space="preserve">   </w:t>
      </w:r>
      <w:r>
        <w:rPr>
          <w:rFonts w:ascii="Arial" w:hAnsi="Arial" w:cs="Arial" w:eastAsia="Arial"/>
          <w:b/>
          <w:bCs/>
          <w:color w:val="1F2430"/>
          <w:sz w:val="20"/>
          <w:szCs w:val="20"/>
          <w:rtl/>
        </w:rPr>
        <w:t>187-א</w:t>
      </w:r>
      <w:r>
        <w:rPr>
          <w:rFonts w:ascii="Arial" w:hAnsi="Arial" w:cs="Arial" w:eastAsia="Arial"/>
          <w:sz w:val="20"/>
          <w:szCs w:val="20"/>
          <w:rtl/>
        </w:rPr>
        <w:t xml:space="preserve">   </w:t>
      </w:r>
      <w:r>
        <w:rPr>
          <w:rFonts w:ascii="Arial" w:hAnsi="Arial" w:cs="Arial" w:eastAsia="Arial"/>
          <w:b/>
          <w:bCs/>
          <w:color w:val="1F2430"/>
          <w:sz w:val="20"/>
          <w:szCs w:val="20"/>
          <w:rtl/>
        </w:rPr>
        <w:t>188-ג</w:t>
      </w:r>
      <w:r>
        <w:rPr>
          <w:rFonts w:ascii="Arial" w:hAnsi="Arial" w:cs="Arial" w:eastAsia="Arial"/>
          <w:sz w:val="20"/>
          <w:szCs w:val="20"/>
          <w:rtl/>
        </w:rPr>
        <w:t xml:space="preserve">   </w:t>
      </w:r>
      <w:r>
        <w:rPr>
          <w:rFonts w:ascii="Arial" w:hAnsi="Arial" w:cs="Arial" w:eastAsia="Arial"/>
          <w:b/>
          <w:bCs/>
          <w:color w:val="1F2430"/>
          <w:sz w:val="20"/>
          <w:szCs w:val="20"/>
          <w:rtl/>
        </w:rPr>
        <w:t>189-ג</w:t>
      </w:r>
      <w:r>
        <w:rPr>
          <w:rFonts w:ascii="Arial" w:hAnsi="Arial" w:cs="Arial" w:eastAsia="Arial"/>
          <w:sz w:val="20"/>
          <w:szCs w:val="20"/>
          <w:rtl/>
        </w:rPr>
        <w:t xml:space="preserve">   </w:t>
      </w:r>
      <w:r>
        <w:rPr>
          <w:rFonts w:ascii="Arial" w:hAnsi="Arial" w:cs="Arial" w:eastAsia="Arial"/>
          <w:b/>
          <w:bCs/>
          <w:color w:val="1F2430"/>
          <w:sz w:val="20"/>
          <w:szCs w:val="20"/>
          <w:rtl/>
        </w:rPr>
        <w:t>190-א</w:t>
      </w:r>
      <w:r>
        <w:rPr>
          <w:rFonts w:ascii="Arial" w:hAnsi="Arial" w:cs="Arial" w:eastAsia="Arial"/>
          <w:sz w:val="20"/>
          <w:szCs w:val="20"/>
          <w:rtl/>
        </w:rPr>
        <w:t xml:space="preserve">   </w:t>
      </w:r>
      <w:r>
        <w:rPr>
          <w:rFonts w:ascii="Arial" w:hAnsi="Arial" w:cs="Arial" w:eastAsia="Arial"/>
          <w:b/>
          <w:bCs/>
          <w:color w:val="1F2430"/>
          <w:sz w:val="20"/>
          <w:szCs w:val="20"/>
          <w:rtl/>
        </w:rPr>
        <w:t>191-ד</w:t>
      </w:r>
      <w:r>
        <w:rPr>
          <w:rFonts w:ascii="Arial" w:hAnsi="Arial" w:cs="Arial" w:eastAsia="Arial"/>
          <w:sz w:val="20"/>
          <w:szCs w:val="20"/>
          <w:rtl/>
        </w:rPr>
        <w:t xml:space="preserve">   </w:t>
      </w:r>
      <w:r>
        <w:rPr>
          <w:rFonts w:ascii="Arial" w:hAnsi="Arial" w:cs="Arial" w:eastAsia="Arial"/>
          <w:b/>
          <w:bCs/>
          <w:color w:val="1F2430"/>
          <w:sz w:val="20"/>
          <w:szCs w:val="20"/>
          <w:rtl/>
        </w:rPr>
        <w:t>192-ב</w:t>
      </w:r>
      <w:r>
        <w:rPr>
          <w:rFonts w:ascii="Arial" w:hAnsi="Arial" w:cs="Arial" w:eastAsia="Arial"/>
          <w:sz w:val="20"/>
          <w:szCs w:val="20"/>
          <w:rtl/>
        </w:rPr>
        <w:t xml:space="preserve">   </w:t>
      </w:r>
      <w:r>
        <w:rPr>
          <w:rFonts w:ascii="Arial" w:hAnsi="Arial" w:cs="Arial" w:eastAsia="Arial"/>
          <w:b/>
          <w:bCs/>
          <w:color w:val="1F2430"/>
          <w:sz w:val="20"/>
          <w:szCs w:val="20"/>
          <w:rtl/>
        </w:rPr>
        <w:t>193-א</w:t>
      </w:r>
      <w:r>
        <w:rPr>
          <w:rFonts w:ascii="Arial" w:hAnsi="Arial" w:cs="Arial" w:eastAsia="Arial"/>
          <w:sz w:val="20"/>
          <w:szCs w:val="20"/>
          <w:rtl/>
        </w:rPr>
        <w:t xml:space="preserve">   </w:t>
      </w:r>
      <w:r>
        <w:rPr>
          <w:rFonts w:ascii="Arial" w:hAnsi="Arial" w:cs="Arial" w:eastAsia="Arial"/>
          <w:b/>
          <w:bCs/>
          <w:color w:val="1F2430"/>
          <w:sz w:val="20"/>
          <w:szCs w:val="20"/>
          <w:rtl/>
        </w:rPr>
        <w:t>194-ג</w:t>
      </w:r>
      <w:r>
        <w:rPr>
          <w:rFonts w:ascii="Arial" w:hAnsi="Arial" w:cs="Arial" w:eastAsia="Arial"/>
          <w:sz w:val="20"/>
          <w:szCs w:val="20"/>
          <w:rtl/>
        </w:rPr>
        <w:t xml:space="preserve">   </w:t>
      </w:r>
      <w:r>
        <w:rPr>
          <w:rFonts w:ascii="Arial" w:hAnsi="Arial" w:cs="Arial" w:eastAsia="Arial"/>
          <w:b/>
          <w:bCs/>
          <w:color w:val="1F2430"/>
          <w:sz w:val="20"/>
          <w:szCs w:val="20"/>
          <w:rtl/>
        </w:rPr>
        <w:t>195-ב</w:t>
      </w:r>
      <w:r>
        <w:rPr>
          <w:rFonts w:ascii="Arial" w:hAnsi="Arial" w:cs="Arial" w:eastAsia="Arial"/>
          <w:sz w:val="20"/>
          <w:szCs w:val="20"/>
          <w:rtl/>
        </w:rPr>
        <w:t xml:space="preserve">   </w:t>
      </w:r>
      <w:r>
        <w:rPr>
          <w:rFonts w:ascii="Arial" w:hAnsi="Arial" w:cs="Arial" w:eastAsia="Arial"/>
          <w:b/>
          <w:bCs/>
          <w:color w:val="1F2430"/>
          <w:sz w:val="20"/>
          <w:szCs w:val="20"/>
          <w:rtl/>
        </w:rPr>
        <w:t>196-ד</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169 — התשובה הנכונה: ב</w:t>
            </w:r>
          </w:p>
          <w:p>
            <w:pPr>
              <w:bidi/>
              <w:spacing w:before="0" w:after="0" w:line="288" w:lineRule="auto"/>
              <w:jc w:val="both"/>
            </w:pPr>
            <w:r>
              <w:rPr>
                <w:rFonts w:ascii="Arial" w:hAnsi="Arial" w:cs="Arial" w:eastAsia="Arial"/>
                <w:color w:val="1F2430"/>
                <w:sz w:val="19"/>
                <w:szCs w:val="19"/>
                <w:rtl/>
              </w:rPr>
              <w:t>שלוש דרכי הקידושין הן כסף, שטר וביאה. חכמים אסרו קידושי ביאה בגלל פריצות, אך האיסור אינו מבטל את התוקף – ומכאן הספק בנישואין אזרחיים. בקידושי כסף די בשווה פרוטה, לא דווקא טבעת. טפסי קפריסין הם מסמך דקלרטיבי, ולא שטר קונסטיטוטיבי שנמסר לאישה.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170 — התשובה הנכונה: ד</w:t>
            </w:r>
          </w:p>
          <w:p>
            <w:pPr>
              <w:bidi/>
              <w:spacing w:before="0" w:after="0" w:line="288" w:lineRule="auto"/>
              <w:jc w:val="both"/>
            </w:pPr>
            <w:r>
              <w:rPr>
                <w:rFonts w:ascii="Arial" w:hAnsi="Arial" w:cs="Arial" w:eastAsia="Arial"/>
                <w:color w:val="1F2430"/>
                <w:sz w:val="19"/>
                <w:szCs w:val="19"/>
                <w:rtl/>
              </w:rPr>
              <w:t>העדים הם עדי קיום (קידושין ב ע״א): קיומם מקים את הקידושין, והם חשובים אף מהרב, שאינו יוצר את הקידושין. קרוב של החתן או הכלה פסול לעדות, ודי שאחד העדים קרוב.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171 — התשובה הנכונה: א</w:t>
            </w:r>
          </w:p>
          <w:p>
            <w:pPr>
              <w:bidi/>
              <w:spacing w:before="0" w:after="0" w:line="288" w:lineRule="auto"/>
              <w:jc w:val="both"/>
            </w:pPr>
            <w:r>
              <w:rPr>
                <w:rFonts w:ascii="Arial" w:hAnsi="Arial" w:cs="Arial" w:eastAsia="Arial"/>
                <w:color w:val="1F2430"/>
                <w:sz w:val="19"/>
                <w:szCs w:val="19"/>
                <w:rtl/>
              </w:rPr>
              <w:t>מדין תורה די בכסף (שווה פרוטה), בכוונה ובשני עדים כשרים. ארבעת התנאים של תקנות תש״י (רב, חופה, מניין ורשות רושמת) הם תוספת של זהירות שאינה מבטלת את דין התורה. לכן הקידושין תופסים, אף שלא יירשמו והם ייחשבו נישואין פרטיים.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172 — התשובה הנכונה: ג</w:t>
            </w:r>
          </w:p>
          <w:p>
            <w:pPr>
              <w:bidi/>
              <w:spacing w:before="0" w:after="0" w:line="288" w:lineRule="auto"/>
              <w:jc w:val="both"/>
            </w:pPr>
            <w:r>
              <w:rPr>
                <w:rFonts w:ascii="Arial" w:hAnsi="Arial" w:cs="Arial" w:eastAsia="Arial"/>
                <w:color w:val="1F2430"/>
                <w:sz w:val="19"/>
                <w:szCs w:val="19"/>
                <w:rtl/>
              </w:rPr>
              <w:t>ארבעת התנאים המצטברים הם: רב, בשעת חופה, מניין ומעבר דרך רשות רושמת. הסכמת ההורים אינה תנאי; ההפך הוא הנכון – מגיל 12 וחצי אי אפשר לחתן בת בניגוד לדעתה.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173 — התשובה הנכונה: ג</w:t>
            </w:r>
          </w:p>
          <w:p>
            <w:pPr>
              <w:bidi/>
              <w:spacing w:before="0" w:after="0" w:line="288" w:lineRule="auto"/>
              <w:jc w:val="both"/>
            </w:pPr>
            <w:r>
              <w:rPr>
                <w:rFonts w:ascii="Arial" w:hAnsi="Arial" w:cs="Arial" w:eastAsia="Arial"/>
                <w:color w:val="1F2430"/>
                <w:sz w:val="19"/>
                <w:szCs w:val="19"/>
                <w:rtl/>
              </w:rPr>
              <w:t>לא מספיק שהעד מודה שחילל שבת. צריך שני עדים שומרי שבת שיעידו בפניו, כדי שתהיה לו הזדמנות להסביר. ככלל, בתי הדין אינם ממהרים לבטל נישואין, ויש פוסקים הסבורים שגם כשהעדים שנבחרו פסולים, יש בקהל עדים כשרים.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174 — התשובה הנכונה: א</w:t>
            </w:r>
          </w:p>
          <w:p>
            <w:pPr>
              <w:bidi/>
              <w:spacing w:before="0" w:after="0" w:line="288" w:lineRule="auto"/>
              <w:jc w:val="both"/>
            </w:pPr>
            <w:r>
              <w:rPr>
                <w:rFonts w:ascii="Arial" w:hAnsi="Arial" w:cs="Arial" w:eastAsia="Arial"/>
                <w:color w:val="1F2430"/>
                <w:sz w:val="19"/>
                <w:szCs w:val="19"/>
                <w:rtl/>
              </w:rPr>
              <w:t>לפי ההלכה המגרש את אשתו וחזר ובעלה, הואיל ואשתו הייתה, מניחים שבעל לשם קידושין – שאין אדם עושה בעילתו בעילת זנות – והיא צריכה גט שני. זה החריג שגם בתיק 1178079/1 נקבע לגבי ידועים בציבור: לגרושים שחזרו לחיות יחד ייתכן גט לחומרא.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175 — התשובה הנכונה: ד</w:t>
            </w:r>
          </w:p>
          <w:p>
            <w:pPr>
              <w:bidi/>
              <w:spacing w:before="0" w:after="0" w:line="288" w:lineRule="auto"/>
              <w:jc w:val="both"/>
            </w:pPr>
            <w:r>
              <w:rPr>
                <w:rFonts w:ascii="Arial" w:hAnsi="Arial" w:cs="Arial" w:eastAsia="Arial"/>
                <w:color w:val="1F2430"/>
                <w:sz w:val="19"/>
                <w:szCs w:val="19"/>
                <w:rtl/>
              </w:rPr>
              <w:t>בתיק 1178079/1 (בית הדין הרבני ירושלים) נקבע שאין מכירים בידועים בציבור כנשואים, אפילו לא לחומרא: הם בחרו מלכתחילה לא להינשא, ואין ראיה לכוונת קידושין. החריג הוא גרושים שחזרו לחיות יחד. החזקה אאעבב״ז כמעט אינה מופעלת על ידועים בציבור.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176 — התשובה הנכונה: ב</w:t>
            </w:r>
          </w:p>
          <w:p>
            <w:pPr>
              <w:bidi/>
              <w:spacing w:before="0" w:after="0" w:line="288" w:lineRule="auto"/>
              <w:jc w:val="both"/>
            </w:pPr>
            <w:r>
              <w:rPr>
                <w:rFonts w:ascii="Arial" w:hAnsi="Arial" w:cs="Arial" w:eastAsia="Arial"/>
                <w:color w:val="1F2430"/>
                <w:sz w:val="19"/>
                <w:szCs w:val="19"/>
                <w:rtl/>
              </w:rPr>
              <w:t>באיסור והיתר מחמירים ומסדרים גט לחומרא; בממון הכלל הפוך – אין מוציאין ממון מספק. מנישואין בספק אין כתובה ואין מזונות אישה בדין הדתי. זכויות ממוניות אפשריות רק בבית המשפט האזרחי.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177 — התשובה הנכונה: א</w:t>
            </w:r>
          </w:p>
          <w:p>
            <w:pPr>
              <w:bidi/>
              <w:spacing w:before="0" w:after="0" w:line="288" w:lineRule="auto"/>
              <w:jc w:val="both"/>
            </w:pPr>
            <w:r>
              <w:rPr>
                <w:rFonts w:ascii="Arial" w:hAnsi="Arial" w:cs="Arial" w:eastAsia="Arial"/>
                <w:color w:val="1F2430"/>
                <w:sz w:val="19"/>
                <w:szCs w:val="19"/>
                <w:rtl/>
              </w:rPr>
              <w:t>מדין תורה בן 13 בגיר לכל דבר, גם לחתונה, וכך גם בת 12 וחצי. כינוס הרבנות בתש״י העלה את גיל האישה ל-16 בלבד, מחשש לסכנה לאם ולעובר, ולא את גיל הגבר. התקנה באה להוסיף ואינה יכולה לעקור דין תורה.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178 — התשובה הנכונה: ב</w:t>
            </w:r>
          </w:p>
          <w:p>
            <w:pPr>
              <w:bidi/>
              <w:spacing w:before="0" w:after="0" w:line="288" w:lineRule="auto"/>
              <w:jc w:val="both"/>
            </w:pPr>
            <w:r>
              <w:rPr>
                <w:rFonts w:ascii="Arial" w:hAnsi="Arial" w:cs="Arial" w:eastAsia="Arial"/>
                <w:color w:val="1F2430"/>
                <w:sz w:val="19"/>
                <w:szCs w:val="19"/>
                <w:rtl/>
              </w:rPr>
              <w:t>לפי סעיף 1, ״נישואין״ כוללים קידושין, ו״קטין״ מוגדר בהפניה לסעיף 3 לחוק הכשרות המשפטית (מתחת ל-18), בלי לנקוב בגיל. סעיף 2 מטיל עונש של מאסר שנתיים או קנס על הנושא, על מי שערך או סייע ועל ההורה שהשיא. חמש שנות מאסר הן עונש ריבוי נישואין (סעיף 176 לחוק העונשין).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179 — התשובה הנכונה: ג</w:t>
            </w:r>
          </w:p>
          <w:p>
            <w:pPr>
              <w:bidi/>
              <w:spacing w:before="0" w:after="0" w:line="288" w:lineRule="auto"/>
              <w:jc w:val="both"/>
            </w:pPr>
            <w:r>
              <w:rPr>
                <w:rFonts w:ascii="Arial" w:hAnsi="Arial" w:cs="Arial" w:eastAsia="Arial"/>
                <w:color w:val="1F2430"/>
                <w:sz w:val="19"/>
                <w:szCs w:val="19"/>
                <w:rtl/>
              </w:rPr>
              <w:t>החוק האזרחי אינו יכול לעקור את הדין הדתי, שהרי לפי סעיף 2 לחוק השיפוט הנישואין נערכים לפי דין תורה. סעיף 3א הופך את ההפרה לעילת תביעה, אך ״הכל לפי הוראות החוק החל על ענייני המעמד האישי״, וההלכה אינה רואה בגיל 13 עילה. בלשון הקורס: יכול להיות שיכניסו אותם לכלא, אבל בנישואין לא יכולים לגעת.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180 — התשובה הנכונה: ד</w:t>
            </w:r>
          </w:p>
          <w:p>
            <w:pPr>
              <w:bidi/>
              <w:spacing w:before="0" w:after="0" w:line="288" w:lineRule="auto"/>
              <w:jc w:val="both"/>
            </w:pPr>
            <w:r>
              <w:rPr>
                <w:rFonts w:ascii="Arial" w:hAnsi="Arial" w:cs="Arial" w:eastAsia="Arial"/>
                <w:color w:val="1F2430"/>
                <w:sz w:val="19"/>
                <w:szCs w:val="19"/>
                <w:rtl/>
              </w:rPr>
              <w:t>סעיף 5א מאפשר לבית המשפט לענייני משפחה להתיר מגיל 16 בנסיבות מיוחדות. אחרי התיקון היריון כשלעצמו אינו נסיבה מיוחדת (צמ״ש 58933-12-18), ואירוסין, הכנות לחתונה והשתייכות למגזר אינם מצדיקים היתר (ע״א 501/81).</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181 — התשובה הנכונה: ד</w:t>
            </w:r>
          </w:p>
          <w:p>
            <w:pPr>
              <w:bidi/>
              <w:spacing w:before="0" w:after="0" w:line="288" w:lineRule="auto"/>
              <w:jc w:val="both"/>
            </w:pPr>
            <w:r>
              <w:rPr>
                <w:rFonts w:ascii="Arial" w:hAnsi="Arial" w:cs="Arial" w:eastAsia="Arial"/>
                <w:color w:val="1F2430"/>
                <w:sz w:val="19"/>
                <w:szCs w:val="19"/>
                <w:rtl/>
              </w:rPr>
              <w:t>לפי סעיף 5א ההיתר נתון לבית המשפט לענייני משפחה, משום שהאיסור הוא יצירה של המשפט האזרחי, ולבית הדין אין בעיה הלכתית עם נישואין בגיל 13. התנאים: גיל 16, נסיבות מיוחדות לטובת הקטין ושמיעתו. נוסח ״נערה שילדה או בהריון״ בבית המשפט המחוזי הוא הנוסח הישן שבוטל.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182 — התשובה הנכונה: ג</w:t>
            </w:r>
          </w:p>
          <w:p>
            <w:pPr>
              <w:bidi/>
              <w:spacing w:before="0" w:after="0" w:line="288" w:lineRule="auto"/>
              <w:jc w:val="both"/>
            </w:pPr>
            <w:r>
              <w:rPr>
                <w:rFonts w:ascii="Arial" w:hAnsi="Arial" w:cs="Arial" w:eastAsia="Arial"/>
                <w:color w:val="1F2430"/>
                <w:sz w:val="19"/>
                <w:szCs w:val="19"/>
                <w:rtl/>
              </w:rPr>
              <w:t>עריות (אח ואחות, הורה וילד) ואשת איש הם חייבי כריתות. בהם הקידושין אינם תופסים כלל, אפילו עם רב וחופה, ולכן אין צורך בגט. ילדים מקשר כזה ממזרים. לעומת זאת, באיסורי לאו הקידושין תופסים.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183 — התשובה הנכונה: ב</w:t>
            </w:r>
          </w:p>
          <w:p>
            <w:pPr>
              <w:bidi/>
              <w:spacing w:before="0" w:after="0" w:line="288" w:lineRule="auto"/>
              <w:jc w:val="both"/>
            </w:pPr>
            <w:r>
              <w:rPr>
                <w:rFonts w:ascii="Arial" w:hAnsi="Arial" w:cs="Arial" w:eastAsia="Arial"/>
                <w:color w:val="1F2430"/>
                <w:sz w:val="19"/>
                <w:szCs w:val="19"/>
                <w:rtl/>
              </w:rPr>
              <w:t>הפנקס סגור, ורשאים לעיין בו היועמ״ש, רושם נישואין (לצורך תפקידו) ועובד סוציאלי ראשי. מאומץ שמלאו לו 18 רשאי לעיין ברישום שלו רק בהיתר עובד סוציאלי, ואם סירב – בהיתר בית המשפט לאחר תסקיר. המטרה היא למנוע נישואי עריות, שכן המרשם אינו מציין אימוץ.</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184 — התשובה הנכונה: א</w:t>
            </w:r>
          </w:p>
          <w:p>
            <w:pPr>
              <w:bidi/>
              <w:spacing w:before="0" w:after="0" w:line="288" w:lineRule="auto"/>
              <w:jc w:val="both"/>
            </w:pPr>
            <w:r>
              <w:rPr>
                <w:rFonts w:ascii="Arial" w:hAnsi="Arial" w:cs="Arial" w:eastAsia="Arial"/>
                <w:color w:val="1F2430"/>
                <w:sz w:val="19"/>
                <w:szCs w:val="19"/>
                <w:rtl/>
              </w:rPr>
              <w:t>הבת היא שתוקי. לפי הרב פיינשטיין, ממזרות נוצרת רק בדרך אישות ולא בטכנולוגיה; לפי הרב עובדיה, רוב בני העיר ורוב התורמים אינם ממזרים – ספק ספיקא. אחרי ארבעה חודשים תוקן הפסק: תורם אחד עשוי לתרום לכמה נשים, ולכן יש חשש נישואי אחים.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185 — התשובה הנכונה: ב</w:t>
            </w:r>
          </w:p>
          <w:p>
            <w:pPr>
              <w:bidi/>
              <w:spacing w:before="0" w:after="0" w:line="288" w:lineRule="auto"/>
              <w:jc w:val="both"/>
            </w:pPr>
            <w:r>
              <w:rPr>
                <w:rFonts w:ascii="Arial" w:hAnsi="Arial" w:cs="Arial" w:eastAsia="Arial"/>
                <w:color w:val="1F2430"/>
                <w:sz w:val="19"/>
                <w:szCs w:val="19"/>
                <w:rtl/>
              </w:rPr>
              <w:t>לפי רוב הפוסקים הפונדקאית היא האם ההלכתית, משום שהיא נותנת לעובר חיות ודם. לכן סעיף 12(ב) מבהיר שצו ההורות אינו משנה את דיני איסור והיתר, וסעיף 16 מורה על רישום בפנקס כדי שהיילוד יוכל לבדוק שאינו נישא לאחותו ההלכתית.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186 — התשובה הנכונה: ד</w:t>
            </w:r>
          </w:p>
          <w:p>
            <w:pPr>
              <w:bidi/>
              <w:spacing w:before="0" w:after="0" w:line="288" w:lineRule="auto"/>
              <w:jc w:val="both"/>
            </w:pPr>
            <w:r>
              <w:rPr>
                <w:rFonts w:ascii="Arial" w:hAnsi="Arial" w:cs="Arial" w:eastAsia="Arial"/>
                <w:color w:val="1F2430"/>
                <w:sz w:val="19"/>
                <w:szCs w:val="19"/>
                <w:rtl/>
              </w:rPr>
              <w:t>סעיף 13(א) מתיר חזרה רק בשינוי נסיבות ובלי פגיעה בטובת הילד. האם הנושאת צריכה להיות לא נשואה, מחשש ממזרות (סעיף 5). עד צו ההורות ההורים המיועדים הם משמורנים בלבד, ועובד סוציאלי הוא האפוטרופוס (סעיף 10). הבקשה מוגשת תוך 7 ימים (סעיף 11).</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187 — התשובה הנכונה: א</w:t>
            </w:r>
          </w:p>
          <w:p>
            <w:pPr>
              <w:bidi/>
              <w:spacing w:before="0" w:after="0" w:line="288" w:lineRule="auto"/>
              <w:jc w:val="both"/>
            </w:pPr>
            <w:r>
              <w:rPr>
                <w:rFonts w:ascii="Arial" w:hAnsi="Arial" w:cs="Arial" w:eastAsia="Arial"/>
                <w:color w:val="1F2430"/>
                <w:sz w:val="19"/>
                <w:szCs w:val="19"/>
                <w:rtl/>
              </w:rPr>
              <w:t>כהן וגרושה וממזר ויהודייה הם חייבי לאוין: הנישואין אסורים, אך אם נערך טקס תקף הם תופסים ונדרש גט, ובית הדין ישתדל לכפות. נישואי ממזר ויהודייה אינם איסור כרת; הכרת נוגע לעריות ולאשת איש.</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188 — התשובה הנכונה: ג</w:t>
            </w:r>
          </w:p>
          <w:p>
            <w:pPr>
              <w:bidi/>
              <w:spacing w:before="0" w:after="0" w:line="288" w:lineRule="auto"/>
              <w:jc w:val="both"/>
            </w:pPr>
            <w:r>
              <w:rPr>
                <w:rFonts w:ascii="Arial" w:hAnsi="Arial" w:cs="Arial" w:eastAsia="Arial"/>
                <w:color w:val="1F2430"/>
                <w:sz w:val="19"/>
                <w:szCs w:val="19"/>
                <w:rtl/>
              </w:rPr>
              <w:t>ילדי כהן וגרושה אינם ממזרים, אך הם חללים: הבן אינו ממשיך את מעמד הכהונה ורשאי להינשא לכל מי שירצה, והבת חללה ואסורה לכהן. החללות נובעת מזהות ההורים והאיסור ההלכתי, לא מצורת הטקס ולא מהרישום.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189 — התשובה הנכונה: ג</w:t>
            </w:r>
          </w:p>
          <w:p>
            <w:pPr>
              <w:bidi/>
              <w:spacing w:before="0" w:after="0" w:line="288" w:lineRule="auto"/>
              <w:jc w:val="both"/>
            </w:pPr>
            <w:r>
              <w:rPr>
                <w:rFonts w:ascii="Arial" w:hAnsi="Arial" w:cs="Arial" w:eastAsia="Arial"/>
                <w:color w:val="1F2430"/>
                <w:sz w:val="19"/>
                <w:szCs w:val="19"/>
                <w:rtl/>
              </w:rPr>
              <w:t>בדרך כלל נישואי לאוין, כמו כהן וגרושה וממזר ויהודייה, תופסים וצריכים גט לחומרא. אבל גם נישואי תערובת הם איסור לאו (״לא תתחתן בם״), ולהם אין תוקף ביהדות ואין צורך בגט כלל.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190 — התשובה הנכונה: א</w:t>
            </w:r>
          </w:p>
          <w:p>
            <w:pPr>
              <w:bidi/>
              <w:spacing w:before="0" w:after="0" w:line="288" w:lineRule="auto"/>
              <w:jc w:val="both"/>
            </w:pPr>
            <w:r>
              <w:rPr>
                <w:rFonts w:ascii="Arial" w:hAnsi="Arial" w:cs="Arial" w:eastAsia="Arial"/>
                <w:color w:val="1F2430"/>
                <w:sz w:val="19"/>
                <w:szCs w:val="19"/>
                <w:rtl/>
              </w:rPr>
              <w:t>מבחינת היהדות הנישואין אסורים ובטלים; מבחינת האסלאם גבר מוסלמי רשאי לשאת יהודייה. ביהדות הדת נקבעת לפי האם ובאסלאם לפי האב, ולכן הילד כפול דת. אין זכויות ממוניות בדין הדתי, אך יש בדין האזרחי. האישה תהיה אסורה לכהן.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191 — התשובה הנכונה: ד</w:t>
            </w:r>
          </w:p>
          <w:p>
            <w:pPr>
              <w:bidi/>
              <w:spacing w:before="0" w:after="0" w:line="288" w:lineRule="auto"/>
              <w:jc w:val="both"/>
            </w:pPr>
            <w:r>
              <w:rPr>
                <w:rFonts w:ascii="Arial" w:hAnsi="Arial" w:cs="Arial" w:eastAsia="Arial"/>
                <w:color w:val="1F2430"/>
                <w:sz w:val="19"/>
                <w:szCs w:val="19"/>
                <w:rtl/>
              </w:rPr>
              <w:t>סעיף 176 לחוק העונשין אוסר על נשוי לשאת אישה אחרת (5 שנות מאסר); חיים משותפים כידועים בציבור אינם עבירה. סעיף 178 קובע שאין נפקא מינה אם הנישואין החדשים תקפים או בטלים, ואם נערכו מחוץ לישראל, כשהנושא אזרח או תושב ישראל.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192 — התשובה הנכונה: ב</w:t>
            </w:r>
          </w:p>
          <w:p>
            <w:pPr>
              <w:bidi/>
              <w:spacing w:before="0" w:after="0" w:line="288" w:lineRule="auto"/>
              <w:jc w:val="both"/>
            </w:pPr>
            <w:r>
              <w:rPr>
                <w:rFonts w:ascii="Arial" w:hAnsi="Arial" w:cs="Arial" w:eastAsia="Arial"/>
                <w:color w:val="1F2430"/>
                <w:sz w:val="19"/>
                <w:szCs w:val="19"/>
                <w:rtl/>
              </w:rPr>
              <w:t>סעיף 179 הוא החריג לביגמיה: היתר נישואין של בית דין רבני, בפסק דין סופי שאושר בידי נשיא בית הדין הגדול. זה נגזר מחרם דרבנו גרשום, שחל בעיקר באישה כשרה, ולכן בחריגים (מורדת, חולה) ניתן היתר. לאישה אין היתר מקביל.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193 — התשובה הנכונה: א</w:t>
            </w:r>
          </w:p>
          <w:p>
            <w:pPr>
              <w:bidi/>
              <w:spacing w:before="0" w:after="0" w:line="288" w:lineRule="auto"/>
              <w:jc w:val="both"/>
            </w:pPr>
            <w:r>
              <w:rPr>
                <w:rFonts w:ascii="Arial" w:hAnsi="Arial" w:cs="Arial" w:eastAsia="Arial"/>
                <w:color w:val="1F2430"/>
                <w:sz w:val="19"/>
                <w:szCs w:val="19"/>
                <w:rtl/>
              </w:rPr>
              <w:t>אשת איש שבגדה אסורה לבעלה ולבועלה, גם אחרי הגירושין. ההפך אינו נכון: גבר שבגד אינו נאסר. כדי שבית הדין יידע על כך בעתיד, הבגידה נרשמת בעת הגירושין (הנחיות שנדונו בבג״ץ 5676/12). מכאן שבני זוג כאלה פונים לעיתים לנישואין פרטיים.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194 — התשובה הנכונה: ג</w:t>
            </w:r>
          </w:p>
          <w:p>
            <w:pPr>
              <w:bidi/>
              <w:spacing w:before="0" w:after="0" w:line="288" w:lineRule="auto"/>
              <w:jc w:val="both"/>
            </w:pPr>
            <w:r>
              <w:rPr>
                <w:rFonts w:ascii="Arial" w:hAnsi="Arial" w:cs="Arial" w:eastAsia="Arial"/>
                <w:color w:val="1F2430"/>
                <w:sz w:val="19"/>
                <w:szCs w:val="19"/>
                <w:rtl/>
              </w:rPr>
              <w:t>הדעה המקלה, של רוב הפוסקים, מקובלת בעיקר בכשירי חיתון, שבחרו שלא להינשא ברבנות. הדעה המחמירה מקובלת כשהייתה מניעה להינשא כדמו״י (פסולי חיתון), וגם אצל עולים שנישאו אזרחית בחו״ל: ייתכן שרצו נישואין דתיים ולא יכלו.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195 — התשובה הנכונה: ב</w:t>
            </w:r>
          </w:p>
          <w:p>
            <w:pPr>
              <w:bidi/>
              <w:spacing w:before="0" w:after="0" w:line="288" w:lineRule="auto"/>
              <w:jc w:val="both"/>
            </w:pPr>
            <w:r>
              <w:rPr>
                <w:rFonts w:ascii="Arial" w:hAnsi="Arial" w:cs="Arial" w:eastAsia="Arial"/>
                <w:color w:val="1F2430"/>
                <w:sz w:val="19"/>
                <w:szCs w:val="19"/>
                <w:rtl/>
              </w:rPr>
              <w:t>הטקס האזרחי עצמו אינו מקדש (לפי רוב הפוסקים הטפסים אינם קידושי שטר). הספק נוצר בגלל יחסי האישות, יחד עם החזקה שאדם אינו מתכוון לעבור עבירה אלא לקדש. קביעה של גט מספק גוררת השלכות של ביגמיה, ממזרות ועגינות.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196 — התשובה הנכונה: ד</w:t>
            </w:r>
          </w:p>
          <w:p>
            <w:pPr>
              <w:bidi/>
              <w:spacing w:before="0" w:after="0" w:line="288" w:lineRule="auto"/>
              <w:jc w:val="both"/>
            </w:pPr>
            <w:r>
              <w:rPr>
                <w:rFonts w:ascii="Arial" w:hAnsi="Arial" w:cs="Arial" w:eastAsia="Arial"/>
                <w:color w:val="1F2430"/>
                <w:sz w:val="19"/>
                <w:szCs w:val="19"/>
                <w:rtl/>
              </w:rPr>
              <w:t>בית הדין קבע שהיהודים לא חדלו להיות בני נח, ולכן לנישואין אזרחיים יש ערך של דרג ב׳. בכובע הדתי – גט מספק; בכובע האזרחי – פסק דין התרה בעילת תום הקשר. זכויות ממוניות בית הדין אינו פוסק (אין מוציאין ממון מספק), ולכן רכוש ומזונות יתבררו בבית המשפט האזרחי. בית הדין בטבריה (80581-21-1) הביע נכונות לפסוק מזונות חוזיים מכוח מנהג המדינה.</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9C2F7E"/>
            <w:tcBorders>
              <w:top w:val="single" w:sz="4" w:space="0" w:color="9C2F7E"/>
              <w:left w:val="single" w:sz="4" w:space="0" w:color="9C2F7E"/>
              <w:bottom w:val="single" w:sz="4" w:space="0" w:color="9C2F7E"/>
              <w:right w:val="single" w:sz="4" w:space="0" w:color="9C2F7E"/>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8</w:t>
            </w:r>
          </w:p>
          <w:p>
            <w:pPr>
              <w:bidi/>
              <w:spacing w:before="0" w:after="0" w:line="264" w:lineRule="auto"/>
              <w:outlineLvl w:val="0"/>
            </w:pPr>
            <w:r>
              <w:rPr>
                <w:rFonts w:ascii="Arial" w:hAnsi="Arial" w:cs="Arial" w:eastAsia="Arial"/>
                <w:b/>
                <w:bCs/>
                <w:color w:val="FFFFFF"/>
                <w:sz w:val="42"/>
                <w:szCs w:val="42"/>
                <w:rtl/>
              </w:rPr>
              <w:t>נישואין פרטיים ונישואין אזרחיים – תוקפם והתרתם</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197 </w:t>
            </w:r>
            <w:r>
              <w:rPr>
                <w:rFonts w:ascii="Arial" w:hAnsi="Arial" w:cs="Arial" w:eastAsia="Arial"/>
                <w:sz w:val="20"/>
                <w:szCs w:val="20"/>
                <w:rtl/>
              </w:rPr>
              <w:t xml:space="preserve">  </w:t>
            </w:r>
            <w:r>
              <w:rPr>
                <w:rFonts w:ascii="Arial" w:hAnsi="Arial" w:cs="Arial" w:eastAsia="Arial"/>
                <w:b/>
                <w:bCs/>
                <w:color w:val="111827"/>
                <w:sz w:val="20"/>
                <w:szCs w:val="20"/>
                <w:rtl/>
              </w:rPr>
              <w:t>אילו מהזוגות הבאים אינו נכלל בקבוצות שנוהגות להינשא בנישואין פרטיים, כפי שנלמד בקורס?</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קטינים שאינם יכולים להינשא ברבנות</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יהודי ונוצרייה שטסו לקפריסין ונישאו שם בטקס אזרחי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זוג רפורמי שנישא אצל רב שאינו מוסמך כרושם נישואין</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כהן וגרושה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198 </w:t>
            </w:r>
            <w:r>
              <w:rPr>
                <w:rFonts w:ascii="Arial" w:hAnsi="Arial" w:cs="Arial" w:eastAsia="Arial"/>
                <w:sz w:val="20"/>
                <w:szCs w:val="20"/>
                <w:rtl/>
              </w:rPr>
              <w:t xml:space="preserve">  </w:t>
            </w:r>
            <w:r>
              <w:rPr>
                <w:rFonts w:ascii="Arial" w:hAnsi="Arial" w:cs="Arial" w:eastAsia="Arial"/>
                <w:b/>
                <w:bCs/>
                <w:color w:val="111827"/>
                <w:sz w:val="20"/>
                <w:szCs w:val="20"/>
                <w:rtl/>
              </w:rPr>
              <w:t>מה קובע סעיף 7 לפקודת הנישואין והגירושין (רישום)?</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רק בני הזוג שלא נרשמו עוברים עבירה, ודינם מאסר חמש שנים</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רק מי שסידר את הנישואין עובר עבירה, ודינו מאסר שנה</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אין עבירה, משום שנישואין פרטיים עשויים לתפוס הלכתית</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מי שאינו דואג לרישום נישואיו או גירושיו, או לרישום נישואין שסידר לאחר, דינו מאסר שנתיים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199 </w:t>
            </w:r>
            <w:r>
              <w:rPr>
                <w:rFonts w:ascii="Arial" w:hAnsi="Arial" w:cs="Arial" w:eastAsia="Arial"/>
                <w:sz w:val="20"/>
                <w:szCs w:val="20"/>
                <w:rtl/>
              </w:rPr>
              <w:t xml:space="preserve">  </w:t>
            </w:r>
            <w:r>
              <w:rPr>
                <w:rFonts w:ascii="Arial" w:hAnsi="Arial" w:cs="Arial" w:eastAsia="Arial"/>
                <w:b/>
                <w:bCs/>
                <w:color w:val="111827"/>
                <w:sz w:val="20"/>
                <w:szCs w:val="20"/>
                <w:rtl/>
              </w:rPr>
              <w:t>משה, תושב ארה״ב, לא המציא לרבנות אישור על גירושיו הקודמים, ולכן ערך עם סילביה טקס קידושין פרטי מלא. כעבור שנים נפרדו, וסילביה תבעה מזונות בבית המשפט האזרחי. משה טוען שלא התכוון באמת להינשא. מה הדין לפי פס״ד צונן נ׳ שטל?</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סילביה לא תקבל מזונות: נישואין פרטיים של כשירי חיתון יוצרים קידושין נסתרים ופוגעים בתקנת הציבור</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סילביה תקבל מזונות מכוח הסכם משתמע, כפי שפסק בית המשפט המחוזי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סילביה תקבל מזונות לפי הדין הדתי, משום שהקידושין תופסים הלכתית</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בית המשפט יעביר את התביעה לבית הדין הרבני בסמכות ייחודית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200 </w:t>
            </w:r>
            <w:r>
              <w:rPr>
                <w:rFonts w:ascii="Arial" w:hAnsi="Arial" w:cs="Arial" w:eastAsia="Arial"/>
                <w:sz w:val="20"/>
                <w:szCs w:val="20"/>
                <w:rtl/>
              </w:rPr>
              <w:t xml:space="preserve">  </w:t>
            </w:r>
            <w:r>
              <w:rPr>
                <w:rFonts w:ascii="Arial" w:hAnsi="Arial" w:cs="Arial" w:eastAsia="Arial"/>
                <w:b/>
                <w:bCs/>
                <w:color w:val="111827"/>
                <w:sz w:val="20"/>
                <w:szCs w:val="20"/>
                <w:rtl/>
              </w:rPr>
              <w:t>כהן וגרושה ערכו טקס קידושין פרטי. בית הדין הרבני כתב שיש חששות בלבד, ופקיד המרשם סירב לרשום אותם כנשואים. מה קבע בג״ץ בפרשת רודניצקי?</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העתירה נדחתה, כי הצהרה על חששות אינה תעודה ציבורית</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בני הזוג יירשמו כנשואים רק אם יינשאו בנוסף בנישואין אזרחיים</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מחמת הספק בני הזוג אסורים להינשא לאחרים בלי גט פיטורין, ולכן יש לרשום אותם כנשואים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הנישואין בטלים, משום שכהן וגרושה הם איסור כרת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201 </w:t>
            </w:r>
            <w:r>
              <w:rPr>
                <w:rFonts w:ascii="Arial" w:hAnsi="Arial" w:cs="Arial" w:eastAsia="Arial"/>
                <w:sz w:val="20"/>
                <w:szCs w:val="20"/>
                <w:rtl/>
              </w:rPr>
              <w:t xml:space="preserve">  </w:t>
            </w:r>
            <w:r>
              <w:rPr>
                <w:rFonts w:ascii="Arial" w:hAnsi="Arial" w:cs="Arial" w:eastAsia="Arial"/>
                <w:b/>
                <w:bCs/>
                <w:color w:val="111827"/>
                <w:sz w:val="20"/>
                <w:szCs w:val="20"/>
                <w:rtl/>
              </w:rPr>
              <w:t>בעקבות פסק דין בנוסח רודניצקי נרשמו בני זוג כנשואים. כעבור שנים פנו לבית הדין הרבני, והאישה טענה שבית הדין כבול לקביעת בג״ץ שהם נשואים. מהו הדין?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האישה צודקת: פסק דין של בג״ץ מחייב את כל הערכאות בכל עניין</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האישה צודקת, משום שהרישום במרשם הוא ראיה מכרעת למצב האישי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האישה טועה: ההכרעה ניתנה בסמכות נגררת לפי סעיף 76 לחוק בתי המשפט ותקפה רק לצורך אותו עניין (הרישום)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האישה טועה, משום שבג״ץ אינו מוסמך לדון בענייני רישום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202 </w:t>
            </w:r>
            <w:r>
              <w:rPr>
                <w:rFonts w:ascii="Arial" w:hAnsi="Arial" w:cs="Arial" w:eastAsia="Arial"/>
                <w:sz w:val="20"/>
                <w:szCs w:val="20"/>
                <w:rtl/>
              </w:rPr>
              <w:t xml:space="preserve">  </w:t>
            </w:r>
            <w:r>
              <w:rPr>
                <w:rFonts w:ascii="Arial" w:hAnsi="Arial" w:cs="Arial" w:eastAsia="Arial"/>
                <w:b/>
                <w:bCs/>
                <w:color w:val="111827"/>
                <w:sz w:val="20"/>
                <w:szCs w:val="20"/>
                <w:rtl/>
              </w:rPr>
              <w:t>דוד, יהודי, וקתרין, נוצרייה, ערכו בקיבוץ טקס יהודי פרטי (הרי את מקודשת לי, טבעת ועדים) וביקשו להירשם כנשואים, בטענה שהם פסולי חיתון כמו רודניצקי. מה הדין?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לא יירשמו: בנישואי יהודי ונוצרייה הקידושין אינם תופסים כלל לפי הדין היהודי, ולכן אין לטקס משמעות (טפר)</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יירשמו, כי גם הם פסולי חיתון ובית המשפט נוטה לעזור לפסולי חיתון</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יירשמו, כי אין אי נכונות גלויה לעין</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לא יירשמו עד שבית הדין הרבני יסדר להם גט לחומרא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203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ברוגוזינסקי נקבע שזוג שאינו מאמין אינו נחשב יהודי לעניין חוק שיפוט בתי דין רבניים</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בגורפינקל הורה בג״ץ לרשום מיד כהן וגרושה שהציגו תצהירי עדים ותמונות מהחתונה</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פקיד המרשם רשאי לרשום שינוי ממצב רווק לנשוי על סמך הצהרה פרטית של בני הזוג</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בגורפינקל נקבע שעל בני הזוג לפנות תחילה לבית הדין הרבני, ורק אם יסרב יוכלו לשוב לבג״ץ</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204 </w:t>
            </w:r>
            <w:r>
              <w:rPr>
                <w:rFonts w:ascii="Arial" w:hAnsi="Arial" w:cs="Arial" w:eastAsia="Arial"/>
                <w:sz w:val="20"/>
                <w:szCs w:val="20"/>
                <w:rtl/>
              </w:rPr>
              <w:t xml:space="preserve">  </w:t>
            </w:r>
            <w:r>
              <w:rPr>
                <w:rFonts w:ascii="Arial" w:hAnsi="Arial" w:cs="Arial" w:eastAsia="Arial"/>
                <w:b/>
                <w:bCs/>
                <w:color w:val="111827"/>
                <w:sz w:val="20"/>
                <w:szCs w:val="20"/>
                <w:rtl/>
              </w:rPr>
              <w:t>כהן וגרושה שנישאו בטקס פרטי ביקשו לאשר הסכם לחיי משפחה לפי חוק יחסי ממון. בית הדין הרבני הגדול קבע שלא יוכלו להינשא לאחרים בלי גט מספק או מחומרא. מה פסק העליון בע״א 640/82 כהן?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ההסכם לא יאושר, משום שבתעודות הזהות הם רשומים רווק וגרושה</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בני הזוג יותר נשואים מרווקים, ולכן ניתן להכיר בזכויותיהם הממוניות</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ההסכם יאושר רק לאחר שיינשאו בנישואין אזרחיים בחו״ל</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חוק יחסי ממון אינו חל אלא על מי שנישא ברבנות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205 </w:t>
            </w:r>
            <w:r>
              <w:rPr>
                <w:rFonts w:ascii="Arial" w:hAnsi="Arial" w:cs="Arial" w:eastAsia="Arial"/>
                <w:sz w:val="20"/>
                <w:szCs w:val="20"/>
                <w:rtl/>
              </w:rPr>
              <w:t xml:space="preserve">  </w:t>
            </w:r>
            <w:r>
              <w:rPr>
                <w:rFonts w:ascii="Arial" w:hAnsi="Arial" w:cs="Arial" w:eastAsia="Arial"/>
                <w:b/>
                <w:bCs/>
                <w:color w:val="111827"/>
                <w:sz w:val="20"/>
                <w:szCs w:val="20"/>
                <w:rtl/>
              </w:rPr>
              <w:t>זוג נישא בטקס פרטי וביקש מבית הדין הרבני לאשר את נישואיו. איזה מהבאים אינו חלק מהנוהל שקבע בית הדין (תיק 1093889/1) לאישור נישואין פרטיים?</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על בני הזוג להציג תעודת נישואין אזרחית ממדינה זרה</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על המבקשים למסור את שם עורך הנישואין</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על עורך הנישואין להצהיר שהיה ברור לו שבני הזוג פנויים ורשאים להינשא</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על עורך הנישואין להתחייב שלא לערוך עוד נישואין לבני זוג שלא נרשמו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206 </w:t>
            </w:r>
            <w:r>
              <w:rPr>
                <w:rFonts w:ascii="Arial" w:hAnsi="Arial" w:cs="Arial" w:eastAsia="Arial"/>
                <w:sz w:val="20"/>
                <w:szCs w:val="20"/>
                <w:rtl/>
              </w:rPr>
              <w:t xml:space="preserve">  </w:t>
            </w:r>
            <w:r>
              <w:rPr>
                <w:rFonts w:ascii="Arial" w:hAnsi="Arial" w:cs="Arial" w:eastAsia="Arial"/>
                <w:b/>
                <w:bCs/>
                <w:color w:val="111827"/>
                <w:sz w:val="20"/>
                <w:szCs w:val="20"/>
                <w:rtl/>
              </w:rPr>
              <w:t>בבג״ץ 2232/03 תיקן בית הדין הרבני הגדול את פסק הדין האזורי. במקום אינם נשואים כדמו״י ורשאים להינשא כפנויים נכתב: בית הדין מתיר את הנישואין. מה המשמעות של השינוי?</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אין לו משמעות מהותית, זה שינוי ניסוח בלבד</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בית הדין קבע שבני הזוג נשואים כדת משה וישראל וחייבים בגט</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בית הדין מכיר בקיומו של קשר נישואין אזרחי, ואז מפרק אותו</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בית הדין קבע שהנישואין האזרחיים בטלים מעיקרם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207 </w:t>
            </w:r>
            <w:r>
              <w:rPr>
                <w:rFonts w:ascii="Arial" w:hAnsi="Arial" w:cs="Arial" w:eastAsia="Arial"/>
                <w:sz w:val="20"/>
                <w:szCs w:val="20"/>
                <w:rtl/>
              </w:rPr>
              <w:t xml:space="preserve">  </w:t>
            </w:r>
            <w:r>
              <w:rPr>
                <w:rFonts w:ascii="Arial" w:hAnsi="Arial" w:cs="Arial" w:eastAsia="Arial"/>
                <w:b/>
                <w:bCs/>
                <w:color w:val="111827"/>
                <w:sz w:val="20"/>
                <w:szCs w:val="20"/>
                <w:rtl/>
              </w:rPr>
              <w:t>שני יהודים כשירי חיתון נישאו בקפריסין. בעל רוצה להתגרש, ואשתו מסרבת. לאחר בירור הלכתי קבע בית הדין הרבני שאינם נשואים כדמו״י אפילו מספק. מה הדין לפי ההסדר שנקבע בבג״ץ 2232/03?</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בית הדין יסדר גט, ורק בהסכמת האישה</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בית הדין יתיר את הנישואין בפסק דין בעילת תום הקשר, בלי צורך בהסכמת האישה</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בית הדין יעביר את התיק לבית המשפט לענייני משפחה, שיתיר את הנישואין</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לא ניתן לפרק את הנישואין עד שהבעל יוכיח עילת גירושין, כגון בגידה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208 </w:t>
            </w:r>
            <w:r>
              <w:rPr>
                <w:rFonts w:ascii="Arial" w:hAnsi="Arial" w:cs="Arial" w:eastAsia="Arial"/>
                <w:sz w:val="20"/>
                <w:szCs w:val="20"/>
                <w:rtl/>
              </w:rPr>
              <w:t xml:space="preserve">  </w:t>
            </w:r>
            <w:r>
              <w:rPr>
                <w:rFonts w:ascii="Arial" w:hAnsi="Arial" w:cs="Arial" w:eastAsia="Arial"/>
                <w:b/>
                <w:bCs/>
                <w:color w:val="111827"/>
                <w:sz w:val="20"/>
                <w:szCs w:val="20"/>
                <w:rtl/>
              </w:rPr>
              <w:t>זוג יהודי שנישא אזרחית מתגרש בבית הדין הרבני לפי המסלול שנקבע בבג״ץ 2232/03. האישה מעוניינת במזונות ובחלוקת רכוש. היכן יידונו עניינים אלה?</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בבית הדין הרבני, בכובע האזרחי, אגב הגירושין</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בבית הדין הרבני, אך רק אם נקבע שהם נשואים מספק</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בבית המשפט לענייני משפחה רק לגבי רכוש; מזונות אישה בבית הדין הרבני</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בבית המשפט האזרחי בלבד, שכן בית הדין הרבני אינו נותן זכויות ממוניות מכוח נישואין אזרחיים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209 </w:t>
            </w:r>
            <w:r>
              <w:rPr>
                <w:rFonts w:ascii="Arial" w:hAnsi="Arial" w:cs="Arial" w:eastAsia="Arial"/>
                <w:sz w:val="20"/>
                <w:szCs w:val="20"/>
                <w:rtl/>
              </w:rPr>
              <w:t xml:space="preserve">  </w:t>
            </w:r>
            <w:r>
              <w:rPr>
                <w:rFonts w:ascii="Arial" w:hAnsi="Arial" w:cs="Arial" w:eastAsia="Arial"/>
                <w:b/>
                <w:bCs/>
                <w:color w:val="111827"/>
                <w:sz w:val="20"/>
                <w:szCs w:val="20"/>
                <w:rtl/>
              </w:rPr>
              <w:t>רון ותמי, יהודים, נישאו בקפריסין. רון הקדים והגיש לבית הדין הרבני תביעת גירושין, וכרך אליה את מזונות תמי. תמי הגישה אחריו תביעת מזונות לבית המשפט לענייני משפחה. מה הדין?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הסמכות לבית הדין הרבני, כי רון הקדים וכרך כדין</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הסמכות לבית הדין הרבני, אך הוא ידון לפי הדין האזרחי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אין סמכות לאף ערכאה עד שיוכרע אם נשואים מספק</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הכריכה של רון אינה כנה, כי בית הדין אינו פוסק מזונות בנישואין אזרחיים, ולכן בית המשפט מוסמך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210 </w:t>
            </w:r>
            <w:r>
              <w:rPr>
                <w:rFonts w:ascii="Arial" w:hAnsi="Arial" w:cs="Arial" w:eastAsia="Arial"/>
                <w:sz w:val="20"/>
                <w:szCs w:val="20"/>
                <w:rtl/>
              </w:rPr>
              <w:t xml:space="preserve">  </w:t>
            </w:r>
            <w:r>
              <w:rPr>
                <w:rFonts w:ascii="Arial" w:hAnsi="Arial" w:cs="Arial" w:eastAsia="Arial"/>
                <w:b/>
                <w:bCs/>
                <w:color w:val="111827"/>
                <w:sz w:val="20"/>
                <w:szCs w:val="20"/>
                <w:rtl/>
              </w:rPr>
              <w:t>ברק שאל את בית הדין הרבני הגדול אם לנישואין אזרחיים של יהודים יש תוקף. מה השיב בית הדין?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אין להם כל ערך, והצדדים פנויים לגמרי</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יש להם ערך כנישואין לפי דיני בני נח, מעין נישואין דרג ב׳, ולכן הצדדים אינם יכולים להינשא לאחר כפנויים</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הם תקפים כנישואין כדת משה וישראל לכל דבר</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תוקפם נקבע לפי דין המדינה שבה נערכו בלבד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211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תושבי פולין, נישאו שם בנישואין אזרחיים ועלו לישראל. כעבור שנים תבעה האישה מזונות, והבעל טען שבחר במכוון שלא להינשא דתית. מה נקבע בע״א 191/51 סקורניק?</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אין מזונות, כי לפי הדעה המקלה הנישואין אינם תופסים</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מזונות חוזיים בלבד מכוח חוזה משתמע</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מעמד הנישואין שנרכש בחו״ל מוכר ואינו אובד עם שינוי מקום המושב, ועליו מוחלים מזונות לפי הדין האישי</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הסמכות לבית הדין הרבני, שיפסוק גט מספק בלי 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212 </w:t>
            </w:r>
            <w:r>
              <w:rPr>
                <w:rFonts w:ascii="Arial" w:hAnsi="Arial" w:cs="Arial" w:eastAsia="Arial"/>
                <w:sz w:val="20"/>
                <w:szCs w:val="20"/>
                <w:rtl/>
              </w:rPr>
              <w:t xml:space="preserve">  </w:t>
            </w:r>
            <w:r>
              <w:rPr>
                <w:rFonts w:ascii="Arial" w:hAnsi="Arial" w:cs="Arial" w:eastAsia="Arial"/>
                <w:b/>
                <w:bCs/>
                <w:color w:val="111827"/>
                <w:sz w:val="20"/>
                <w:szCs w:val="20"/>
                <w:rtl/>
              </w:rPr>
              <w:t>במה נבדלו העובדות ברע״א 8256/99 פלונית מאלו שבסקורניק?</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בפלונית מדובר ביהודים תושבי ישראל כשירי חיתון שנישאו בפרגוואי באמצעות שליח, ולכן לא היה סטטוס זר להכיר בו</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בפלונית מדובר בזוג מעורב שנישא בקפריסין</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בפלונית מדובר בכהן וגרושה שנישאו בטקס פרטי</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בפלונית מדובר בזוג חד־מיני שנישא בקנדה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213 </w:t>
            </w:r>
            <w:r>
              <w:rPr>
                <w:rFonts w:ascii="Arial" w:hAnsi="Arial" w:cs="Arial" w:eastAsia="Arial"/>
                <w:sz w:val="20"/>
                <w:szCs w:val="20"/>
                <w:rtl/>
              </w:rPr>
              <w:t xml:space="preserve">  </w:t>
            </w:r>
            <w:r>
              <w:rPr>
                <w:rFonts w:ascii="Arial" w:hAnsi="Arial" w:cs="Arial" w:eastAsia="Arial"/>
                <w:b/>
                <w:bCs/>
                <w:color w:val="111827"/>
                <w:sz w:val="20"/>
                <w:szCs w:val="20"/>
                <w:rtl/>
              </w:rPr>
              <w:t>ברק אמר בהלכת פלונית: בני הזוג אינם עוברי אורח שתאונת דרכים אקראית הפגישה ביניהם. איזה עיקרון מבטא המשפט?</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מזונות ניתנים רק למי שנפגע מעוולה בנזיקין</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אין קשר בין שאלת הסטטוס לבין שאלת החיובים, ומהחיים המשותפים נלמד חוזה משתמע</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רק נישואין דתיים יוצרים חובות הדדיות</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מזונות נפסקים לפי מידת האשם בפירוק הקשר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214 </w:t>
            </w:r>
            <w:r>
              <w:rPr>
                <w:rFonts w:ascii="Arial" w:hAnsi="Arial" w:cs="Arial" w:eastAsia="Arial"/>
                <w:sz w:val="20"/>
                <w:szCs w:val="20"/>
                <w:rtl/>
              </w:rPr>
              <w:t xml:space="preserve">  </w:t>
            </w:r>
            <w:r>
              <w:rPr>
                <w:rFonts w:ascii="Arial" w:hAnsi="Arial" w:cs="Arial" w:eastAsia="Arial"/>
                <w:b/>
                <w:bCs/>
                <w:color w:val="111827"/>
                <w:sz w:val="20"/>
                <w:szCs w:val="20"/>
                <w:rtl/>
              </w:rPr>
              <w:t>מדוע קבע ברק בפלונית שחוזה המזונות המשתמע אינו נוגד את תקנת הציבור, אף שבני הזוג עקפו את סעיף 2 לחוק שיפוט בתי דין רבניים?</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תקנת הציבור משקפת את האני מאמין החברתי של שיטת המשפט, והגשמת ההסכם מקדמת שוויון, צדק והגינות</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סעיף 2 אינו חל על יהודים תושבי ישראל</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בית הדין הרבני אישר את החוזה מראש</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תקנת הציבור אינה חלה בדיני משפחה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215 </w:t>
            </w:r>
            <w:r>
              <w:rPr>
                <w:rFonts w:ascii="Arial" w:hAnsi="Arial" w:cs="Arial" w:eastAsia="Arial"/>
                <w:sz w:val="20"/>
                <w:szCs w:val="20"/>
                <w:rtl/>
              </w:rPr>
              <w:t xml:space="preserve">  </w:t>
            </w:r>
            <w:r>
              <w:rPr>
                <w:rFonts w:ascii="Arial" w:hAnsi="Arial" w:cs="Arial" w:eastAsia="Arial"/>
                <w:b/>
                <w:bCs/>
                <w:color w:val="111827"/>
                <w:sz w:val="20"/>
                <w:szCs w:val="20"/>
                <w:rtl/>
              </w:rPr>
              <w:t>על מי מהבאים לא תחול הלכת המזונות החוזיים של פלונית?</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על ידועים בציבור</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על בני זוג מאותו מין שנישאו אזרחית</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על אישה שנישאה כדמו״י ושבית הדין הרבני שלל את מזונותיה בשל בגידה, והיא פונה לבית המשפט בתביעת מזונות חוזיים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על יהודי ולא־יהודייה שנישאו אזרחית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216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על מזונות חוזיים/משקמים לעומת מזונות אישה לפי הדין הדתי נכונה?</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מזונות משקמים ניתנים רק לאישה ורק עד מתן הגט</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בגידה שוללת אוטומטית מזונות משקמים, כמו בדין הדתי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מזונות משקמים נקבעים לפי סעיף 2(א) לחוק לתיקון דיני משפחה (מזונות)</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מזונות משקמים יכולים להינתן גם לאחר הפרידה וגם לגבר, ותוכנם נקבע לפי עקרון תום הלב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217 </w:t>
            </w:r>
            <w:r>
              <w:rPr>
                <w:rFonts w:ascii="Arial" w:hAnsi="Arial" w:cs="Arial" w:eastAsia="Arial"/>
                <w:sz w:val="20"/>
                <w:szCs w:val="20"/>
                <w:rtl/>
              </w:rPr>
              <w:t xml:space="preserve">  </w:t>
            </w:r>
            <w:r>
              <w:rPr>
                <w:rFonts w:ascii="Arial" w:hAnsi="Arial" w:cs="Arial" w:eastAsia="Arial"/>
                <w:b/>
                <w:bCs/>
                <w:color w:val="111827"/>
                <w:sz w:val="20"/>
                <w:szCs w:val="20"/>
                <w:rtl/>
              </w:rPr>
              <w:t>ניר והגר נישאו אזרחית. הם רוצים למנוע מראש חיוב מזונות חוזיים אם ייפרדו. מה עליהם לעשות לפי הלכת פלונית?</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לערוך הסכם ממון שקובע במפורש שאין חיוב מזונות, ולאשרו בפני שופט</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די בהסכם הפרדה רכושית רגיל</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אין דרך לצאת מהחוזה המשתמע</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להירשם כרווקים במרשם האוכלוסין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218 </w:t>
            </w:r>
            <w:r>
              <w:rPr>
                <w:rFonts w:ascii="Arial" w:hAnsi="Arial" w:cs="Arial" w:eastAsia="Arial"/>
                <w:sz w:val="20"/>
                <w:szCs w:val="20"/>
                <w:rtl/>
              </w:rPr>
              <w:t xml:space="preserve">  </w:t>
            </w:r>
            <w:r>
              <w:rPr>
                <w:rFonts w:ascii="Arial" w:hAnsi="Arial" w:cs="Arial" w:eastAsia="Arial"/>
                <w:b/>
                <w:bCs/>
                <w:color w:val="111827"/>
                <w:sz w:val="20"/>
                <w:szCs w:val="20"/>
                <w:rtl/>
              </w:rPr>
              <w:t>בתמ״ש 67910/00 פסקה שופטת לאישה שנישאה אזרחית מזונות של 5,000 ש״ח לחודש עד הגט (2001). התיק חזר אליה בעקבות הלכת פלונית. מה פסקה?</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ביטלה את המזונות, כי לאחר הגט אין חיוב</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העבירה את התיק לבית הדין הרבני</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הגדילה את מזונות הילדה בלבד</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פסקה לאישה מזונות משקמים לחמש שנים נוספות לאחר הגירושין, מכוח תום הלב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219 </w:t>
            </w:r>
            <w:r>
              <w:rPr>
                <w:rFonts w:ascii="Arial" w:hAnsi="Arial" w:cs="Arial" w:eastAsia="Arial"/>
                <w:sz w:val="20"/>
                <w:szCs w:val="20"/>
                <w:rtl/>
              </w:rPr>
              <w:t xml:space="preserve">  </w:t>
            </w:r>
            <w:r>
              <w:rPr>
                <w:rFonts w:ascii="Arial" w:hAnsi="Arial" w:cs="Arial" w:eastAsia="Arial"/>
                <w:b/>
                <w:bCs/>
                <w:color w:val="111827"/>
                <w:sz w:val="20"/>
                <w:szCs w:val="20"/>
                <w:rtl/>
              </w:rPr>
              <w:t>אורטל, הנשואה כדמו״י, מעכבת את הגט מחשש להישאר ללא פרנסה, ותובעת מזונות משקמים לאחר הגירושין. מה מצב הדין לפי מה שנלמד בקורס?</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בבע״מ 3151/14 נקבעה הלכה מחייבת שנשואים כדמו״י זכאים למזונות משקמים</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בבע״מ 3151/14 נאמר באמרת אגב שאין לשלול זאת במצבי קיצון, אך לפי המרצה זה נשאר בגדר מיעוט וטרם בוצע</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הלכת פלונית חלה במפורש על נשואים כדמו״י</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מזונות משקמים ניתנים לנשואים כדמו״י רק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220 </w:t>
            </w:r>
            <w:r>
              <w:rPr>
                <w:rFonts w:ascii="Arial" w:hAnsi="Arial" w:cs="Arial" w:eastAsia="Arial"/>
                <w:sz w:val="20"/>
                <w:szCs w:val="20"/>
                <w:rtl/>
              </w:rPr>
              <w:t xml:space="preserve">  </w:t>
            </w:r>
            <w:r>
              <w:rPr>
                <w:rFonts w:ascii="Arial" w:hAnsi="Arial" w:cs="Arial" w:eastAsia="Arial"/>
                <w:b/>
                <w:bCs/>
                <w:color w:val="111827"/>
                <w:sz w:val="20"/>
                <w:szCs w:val="20"/>
                <w:rtl/>
              </w:rPr>
              <w:t>אלה ודני, שאינם שומרי מצוות, חיו יחד 11 שנים ונולדו להם שני ילדים, בלי טקס נישואין כלשהו. אלה פנתה לבית הדין הרבני וביקשה גט לחומרא. מה הדין לפי תיק 1178079/1?</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בית הדין יסדר גט לחומרא, כי אין אדם עושה בעילתו בעילת זנות</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בית הדין יסדר גט מספק רק אם יש ילדים משותפים</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אין צורך בגט, אפילו לא לחומרא. גט מסדרים לגרושים שחזרו לחיות יחד ולבני זוג שנישאו בנישואין אזרחיים או פרטיים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בית הדין אינו מוסמך לדון בעניינם של ידועים בציבור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221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על רע״א 3323/23 שלמה חברה לביטוח נ׳ פלוני נכונה?</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די במגורים משותפים של שנה וחצי ובמשק בית משותף כדי להכיר בבני זוג כידועים בציבור</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יש לעמוד בכל שש האינדיקציות במצטבר</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יש לבחון אם היה אומד דעת של שני בני הזוג ליצור קשר זוגי מחייב הדומה לנישואין. שש האינדיקציות הן רשימה פתוחה ולא תנאים מצטברים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פסק הדין ביטל את דרישת משק הבית המשותף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222 </w:t>
            </w:r>
            <w:r>
              <w:rPr>
                <w:rFonts w:ascii="Arial" w:hAnsi="Arial" w:cs="Arial" w:eastAsia="Arial"/>
                <w:sz w:val="20"/>
                <w:szCs w:val="20"/>
                <w:rtl/>
              </w:rPr>
              <w:t xml:space="preserve">  </w:t>
            </w:r>
            <w:r>
              <w:rPr>
                <w:rFonts w:ascii="Arial" w:hAnsi="Arial" w:cs="Arial" w:eastAsia="Arial"/>
                <w:b/>
                <w:bCs/>
                <w:color w:val="111827"/>
                <w:sz w:val="20"/>
                <w:szCs w:val="20"/>
                <w:rtl/>
              </w:rPr>
              <w:t>מהם ידועים בציבור לפי מה שנלמד?</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רק פנויים המתגוררים פיזית באותה דירה ומקיימים חיי משפחה</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רק פסולי חיתון שאינם יכולים להינשא</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בני זוג שהציבור סבור שהם נשואים, ועל הטוען להביא עדויות של שכנים</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בני זוג המקיימים חיי משפחה ומשק בית משותף. אין חובה לגור תחת קורת גג אחת, וגם מי שעדיין נשוי לאחר יכול להיות ידוע בציבור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223 </w:t>
            </w:r>
            <w:r>
              <w:rPr>
                <w:rFonts w:ascii="Arial" w:hAnsi="Arial" w:cs="Arial" w:eastAsia="Arial"/>
                <w:sz w:val="20"/>
                <w:szCs w:val="20"/>
                <w:rtl/>
              </w:rPr>
              <w:t xml:space="preserve">  </w:t>
            </w:r>
            <w:r>
              <w:rPr>
                <w:rFonts w:ascii="Arial" w:hAnsi="Arial" w:cs="Arial" w:eastAsia="Arial"/>
                <w:b/>
                <w:bCs/>
                <w:color w:val="111827"/>
                <w:sz w:val="20"/>
                <w:szCs w:val="20"/>
                <w:rtl/>
              </w:rPr>
              <w:t>רפי ורחל, ידועים בציבור, חתמו בביתם על הסכם ממון ולא הביאו אותו לאישור של שופט או דיין. מה תוקף ההסכם?</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ההסכם תקף: ידועים בציבור אינם חייבים לאשר הסכם ממון, ומספיק לחתום בבית</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ההסכם בטל, כי כל הסכם ממון טעון אישור לפי חוק יחסי ממון</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ההסכם תקף רק אם נחתם בפני נוטריון</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ההסכם תקף רק לגבי רכוש ולא לגבי 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2A1C4"/>
              <w:left w:val="single" w:sz="8" w:space="0" w:color="D2A1C4"/>
              <w:bottom w:val="single" w:sz="8" w:space="0" w:color="D2A1C4"/>
              <w:right w:val="single" w:sz="8" w:space="0" w:color="D2A1C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C2F7E"/>
              </w:rPr>
              <w:t xml:space="preserve"> 224 </w:t>
            </w:r>
            <w:r>
              <w:rPr>
                <w:rFonts w:ascii="Arial" w:hAnsi="Arial" w:cs="Arial" w:eastAsia="Arial"/>
                <w:sz w:val="20"/>
                <w:szCs w:val="20"/>
                <w:rtl/>
              </w:rPr>
              <w:t xml:space="preserve">  </w:t>
            </w:r>
            <w:r>
              <w:rPr>
                <w:rFonts w:ascii="Arial" w:hAnsi="Arial" w:cs="Arial" w:eastAsia="Arial"/>
                <w:b/>
                <w:bCs/>
                <w:color w:val="111827"/>
                <w:sz w:val="20"/>
                <w:szCs w:val="20"/>
                <w:rtl/>
              </w:rPr>
              <w:t>יוסי נשוי כדמו״י לשרה. איזו מהטענות הבאות נכונה לפי חוק העונשין?</w:t>
            </w:r>
          </w:p>
          <w:p>
            <w:pPr>
              <w:bidi/>
              <w:spacing w:before="0" w:after="20" w:line="276" w:lineRule="auto"/>
              <w:ind w:right="400" w:hanging="300"/>
            </w:pPr>
            <w:r>
              <w:rPr>
                <w:rFonts w:ascii="Arial" w:hAnsi="Arial" w:cs="Arial" w:eastAsia="Arial"/>
                <w:b/>
                <w:bCs/>
                <w:color w:val="9C2F7E"/>
                <w:sz w:val="20"/>
                <w:szCs w:val="20"/>
                <w:rtl/>
              </w:rPr>
              <w:t xml:space="preserve">(א)  </w:t>
            </w:r>
            <w:r>
              <w:rPr>
                <w:rFonts w:ascii="Arial" w:hAnsi="Arial" w:cs="Arial" w:eastAsia="Arial"/>
                <w:color w:val="1F2430"/>
                <w:sz w:val="20"/>
                <w:szCs w:val="20"/>
                <w:rtl/>
              </w:rPr>
              <w:t>אם יחיה עם מירב כידועה בציבור, יעבור עבירת ריבוי נישואין</w:t>
            </w:r>
          </w:p>
          <w:p>
            <w:pPr>
              <w:bidi/>
              <w:spacing w:before="0" w:after="20" w:line="276" w:lineRule="auto"/>
              <w:ind w:right="400" w:hanging="300"/>
            </w:pPr>
            <w:r>
              <w:rPr>
                <w:rFonts w:ascii="Arial" w:hAnsi="Arial" w:cs="Arial" w:eastAsia="Arial"/>
                <w:b/>
                <w:bCs/>
                <w:color w:val="9C2F7E"/>
                <w:sz w:val="20"/>
                <w:szCs w:val="20"/>
                <w:rtl/>
              </w:rPr>
              <w:t xml:space="preserve">(ב)  </w:t>
            </w:r>
            <w:r>
              <w:rPr>
                <w:rFonts w:ascii="Arial" w:hAnsi="Arial" w:cs="Arial" w:eastAsia="Arial"/>
                <w:color w:val="1F2430"/>
                <w:sz w:val="20"/>
                <w:szCs w:val="20"/>
                <w:rtl/>
              </w:rPr>
              <w:t>אם יינשא למירב בנישואין אזרחיים בקפריסין, יעבור עבירה גם אם הנישואין החדשים בטלים, ובלבד שבשעת הנישואין היה אזרח או תושב ישראל</w:t>
            </w:r>
          </w:p>
          <w:p>
            <w:pPr>
              <w:bidi/>
              <w:spacing w:before="0" w:after="20" w:line="276" w:lineRule="auto"/>
              <w:ind w:right="400" w:hanging="300"/>
            </w:pPr>
            <w:r>
              <w:rPr>
                <w:rFonts w:ascii="Arial" w:hAnsi="Arial" w:cs="Arial" w:eastAsia="Arial"/>
                <w:b/>
                <w:bCs/>
                <w:color w:val="9C2F7E"/>
                <w:sz w:val="20"/>
                <w:szCs w:val="20"/>
                <w:rtl/>
              </w:rPr>
              <w:t xml:space="preserve">(ג)  </w:t>
            </w:r>
            <w:r>
              <w:rPr>
                <w:rFonts w:ascii="Arial" w:hAnsi="Arial" w:cs="Arial" w:eastAsia="Arial"/>
                <w:color w:val="1F2430"/>
                <w:sz w:val="20"/>
                <w:szCs w:val="20"/>
                <w:rtl/>
              </w:rPr>
              <w:t>אם יינשא למירב בחו״ל לא יעבור עבירה, כי העבירה חלה רק על נישואין בישראל</w:t>
            </w:r>
          </w:p>
          <w:p>
            <w:pPr>
              <w:bidi/>
              <w:spacing w:before="0" w:after="20" w:line="276" w:lineRule="auto"/>
              <w:ind w:right="400" w:hanging="300"/>
            </w:pPr>
            <w:r>
              <w:rPr>
                <w:rFonts w:ascii="Arial" w:hAnsi="Arial" w:cs="Arial" w:eastAsia="Arial"/>
                <w:b/>
                <w:bCs/>
                <w:color w:val="9C2F7E"/>
                <w:sz w:val="20"/>
                <w:szCs w:val="20"/>
                <w:rtl/>
              </w:rPr>
              <w:t xml:space="preserve">(ד)  </w:t>
            </w:r>
            <w:r>
              <w:rPr>
                <w:rFonts w:ascii="Arial" w:hAnsi="Arial" w:cs="Arial" w:eastAsia="Arial"/>
                <w:color w:val="1F2430"/>
                <w:sz w:val="20"/>
                <w:szCs w:val="20"/>
                <w:rtl/>
              </w:rPr>
              <w:t>אם יקבל היתר נישואין מבית דין רבני אזורי, ללא אישור נשיא בית הדין הגדול, לא יורשע</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8</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197-ב</w:t>
      </w:r>
      <w:r>
        <w:rPr>
          <w:rFonts w:ascii="Arial" w:hAnsi="Arial" w:cs="Arial" w:eastAsia="Arial"/>
          <w:sz w:val="20"/>
          <w:szCs w:val="20"/>
          <w:rtl/>
        </w:rPr>
        <w:t xml:space="preserve">   </w:t>
      </w:r>
      <w:r>
        <w:rPr>
          <w:rFonts w:ascii="Arial" w:hAnsi="Arial" w:cs="Arial" w:eastAsia="Arial"/>
          <w:b/>
          <w:bCs/>
          <w:color w:val="1F2430"/>
          <w:sz w:val="20"/>
          <w:szCs w:val="20"/>
          <w:rtl/>
        </w:rPr>
        <w:t>198-ד</w:t>
      </w:r>
      <w:r>
        <w:rPr>
          <w:rFonts w:ascii="Arial" w:hAnsi="Arial" w:cs="Arial" w:eastAsia="Arial"/>
          <w:sz w:val="20"/>
          <w:szCs w:val="20"/>
          <w:rtl/>
        </w:rPr>
        <w:t xml:space="preserve">   </w:t>
      </w:r>
      <w:r>
        <w:rPr>
          <w:rFonts w:ascii="Arial" w:hAnsi="Arial" w:cs="Arial" w:eastAsia="Arial"/>
          <w:b/>
          <w:bCs/>
          <w:color w:val="1F2430"/>
          <w:sz w:val="20"/>
          <w:szCs w:val="20"/>
          <w:rtl/>
        </w:rPr>
        <w:t>199-א</w:t>
      </w:r>
      <w:r>
        <w:rPr>
          <w:rFonts w:ascii="Arial" w:hAnsi="Arial" w:cs="Arial" w:eastAsia="Arial"/>
          <w:sz w:val="20"/>
          <w:szCs w:val="20"/>
          <w:rtl/>
        </w:rPr>
        <w:t xml:space="preserve">   </w:t>
      </w:r>
      <w:r>
        <w:rPr>
          <w:rFonts w:ascii="Arial" w:hAnsi="Arial" w:cs="Arial" w:eastAsia="Arial"/>
          <w:b/>
          <w:bCs/>
          <w:color w:val="1F2430"/>
          <w:sz w:val="20"/>
          <w:szCs w:val="20"/>
          <w:rtl/>
        </w:rPr>
        <w:t>200-ג</w:t>
      </w:r>
      <w:r>
        <w:rPr>
          <w:rFonts w:ascii="Arial" w:hAnsi="Arial" w:cs="Arial" w:eastAsia="Arial"/>
          <w:sz w:val="20"/>
          <w:szCs w:val="20"/>
          <w:rtl/>
        </w:rPr>
        <w:t xml:space="preserve">   </w:t>
      </w:r>
      <w:r>
        <w:rPr>
          <w:rFonts w:ascii="Arial" w:hAnsi="Arial" w:cs="Arial" w:eastAsia="Arial"/>
          <w:b/>
          <w:bCs/>
          <w:color w:val="1F2430"/>
          <w:sz w:val="20"/>
          <w:szCs w:val="20"/>
          <w:rtl/>
        </w:rPr>
        <w:t>201-ג</w:t>
      </w:r>
      <w:r>
        <w:rPr>
          <w:rFonts w:ascii="Arial" w:hAnsi="Arial" w:cs="Arial" w:eastAsia="Arial"/>
          <w:sz w:val="20"/>
          <w:szCs w:val="20"/>
          <w:rtl/>
        </w:rPr>
        <w:t xml:space="preserve">   </w:t>
      </w:r>
      <w:r>
        <w:rPr>
          <w:rFonts w:ascii="Arial" w:hAnsi="Arial" w:cs="Arial" w:eastAsia="Arial"/>
          <w:b/>
          <w:bCs/>
          <w:color w:val="1F2430"/>
          <w:sz w:val="20"/>
          <w:szCs w:val="20"/>
          <w:rtl/>
        </w:rPr>
        <w:t>202-א</w:t>
      </w:r>
      <w:r>
        <w:rPr>
          <w:rFonts w:ascii="Arial" w:hAnsi="Arial" w:cs="Arial" w:eastAsia="Arial"/>
          <w:sz w:val="20"/>
          <w:szCs w:val="20"/>
          <w:rtl/>
        </w:rPr>
        <w:t xml:space="preserve">   </w:t>
      </w:r>
      <w:r>
        <w:rPr>
          <w:rFonts w:ascii="Arial" w:hAnsi="Arial" w:cs="Arial" w:eastAsia="Arial"/>
          <w:b/>
          <w:bCs/>
          <w:color w:val="1F2430"/>
          <w:sz w:val="20"/>
          <w:szCs w:val="20"/>
          <w:rtl/>
        </w:rPr>
        <w:t>203-ד</w:t>
      </w:r>
      <w:r>
        <w:rPr>
          <w:rFonts w:ascii="Arial" w:hAnsi="Arial" w:cs="Arial" w:eastAsia="Arial"/>
          <w:sz w:val="20"/>
          <w:szCs w:val="20"/>
          <w:rtl/>
        </w:rPr>
        <w:t xml:space="preserve">   </w:t>
      </w:r>
      <w:r>
        <w:rPr>
          <w:rFonts w:ascii="Arial" w:hAnsi="Arial" w:cs="Arial" w:eastAsia="Arial"/>
          <w:b/>
          <w:bCs/>
          <w:color w:val="1F2430"/>
          <w:sz w:val="20"/>
          <w:szCs w:val="20"/>
          <w:rtl/>
        </w:rPr>
        <w:t>204-ב</w:t>
      </w:r>
      <w:r>
        <w:rPr>
          <w:rFonts w:ascii="Arial" w:hAnsi="Arial" w:cs="Arial" w:eastAsia="Arial"/>
          <w:sz w:val="20"/>
          <w:szCs w:val="20"/>
          <w:rtl/>
        </w:rPr>
        <w:t xml:space="preserve">   </w:t>
      </w:r>
      <w:r>
        <w:rPr>
          <w:rFonts w:ascii="Arial" w:hAnsi="Arial" w:cs="Arial" w:eastAsia="Arial"/>
          <w:b/>
          <w:bCs/>
          <w:color w:val="1F2430"/>
          <w:sz w:val="20"/>
          <w:szCs w:val="20"/>
          <w:rtl/>
        </w:rPr>
        <w:t>205-א</w:t>
      </w:r>
      <w:r>
        <w:rPr>
          <w:rFonts w:ascii="Arial" w:hAnsi="Arial" w:cs="Arial" w:eastAsia="Arial"/>
          <w:sz w:val="20"/>
          <w:szCs w:val="20"/>
          <w:rtl/>
        </w:rPr>
        <w:t xml:space="preserve">   </w:t>
      </w:r>
      <w:r>
        <w:rPr>
          <w:rFonts w:ascii="Arial" w:hAnsi="Arial" w:cs="Arial" w:eastAsia="Arial"/>
          <w:b/>
          <w:bCs/>
          <w:color w:val="1F2430"/>
          <w:sz w:val="20"/>
          <w:szCs w:val="20"/>
          <w:rtl/>
        </w:rPr>
        <w:t>206-ג</w:t>
      </w:r>
      <w:r>
        <w:rPr>
          <w:rFonts w:ascii="Arial" w:hAnsi="Arial" w:cs="Arial" w:eastAsia="Arial"/>
          <w:sz w:val="20"/>
          <w:szCs w:val="20"/>
          <w:rtl/>
        </w:rPr>
        <w:t xml:space="preserve">   </w:t>
      </w:r>
      <w:r>
        <w:rPr>
          <w:rFonts w:ascii="Arial" w:hAnsi="Arial" w:cs="Arial" w:eastAsia="Arial"/>
          <w:b/>
          <w:bCs/>
          <w:color w:val="1F2430"/>
          <w:sz w:val="20"/>
          <w:szCs w:val="20"/>
          <w:rtl/>
        </w:rPr>
        <w:t>207-ב</w:t>
      </w:r>
      <w:r>
        <w:rPr>
          <w:rFonts w:ascii="Arial" w:hAnsi="Arial" w:cs="Arial" w:eastAsia="Arial"/>
          <w:sz w:val="20"/>
          <w:szCs w:val="20"/>
          <w:rtl/>
        </w:rPr>
        <w:t xml:space="preserve">   </w:t>
      </w:r>
      <w:r>
        <w:rPr>
          <w:rFonts w:ascii="Arial" w:hAnsi="Arial" w:cs="Arial" w:eastAsia="Arial"/>
          <w:b/>
          <w:bCs/>
          <w:color w:val="1F2430"/>
          <w:sz w:val="20"/>
          <w:szCs w:val="20"/>
          <w:rtl/>
        </w:rPr>
        <w:t>208-ד</w:t>
      </w:r>
      <w:r>
        <w:rPr>
          <w:rFonts w:ascii="Arial" w:hAnsi="Arial" w:cs="Arial" w:eastAsia="Arial"/>
          <w:sz w:val="20"/>
          <w:szCs w:val="20"/>
          <w:rtl/>
        </w:rPr>
        <w:t xml:space="preserve">   </w:t>
      </w:r>
      <w:r>
        <w:rPr>
          <w:rFonts w:ascii="Arial" w:hAnsi="Arial" w:cs="Arial" w:eastAsia="Arial"/>
          <w:b/>
          <w:bCs/>
          <w:color w:val="1F2430"/>
          <w:sz w:val="20"/>
          <w:szCs w:val="20"/>
          <w:rtl/>
        </w:rPr>
        <w:t>209-ד</w:t>
      </w:r>
      <w:r>
        <w:rPr>
          <w:rFonts w:ascii="Arial" w:hAnsi="Arial" w:cs="Arial" w:eastAsia="Arial"/>
          <w:sz w:val="20"/>
          <w:szCs w:val="20"/>
          <w:rtl/>
        </w:rPr>
        <w:t xml:space="preserve">   </w:t>
      </w:r>
      <w:r>
        <w:rPr>
          <w:rFonts w:ascii="Arial" w:hAnsi="Arial" w:cs="Arial" w:eastAsia="Arial"/>
          <w:b/>
          <w:bCs/>
          <w:color w:val="1F2430"/>
          <w:sz w:val="20"/>
          <w:szCs w:val="20"/>
          <w:rtl/>
        </w:rPr>
        <w:t>210-ב</w:t>
      </w:r>
      <w:r>
        <w:rPr>
          <w:rFonts w:ascii="Arial" w:hAnsi="Arial" w:cs="Arial" w:eastAsia="Arial"/>
          <w:sz w:val="20"/>
          <w:szCs w:val="20"/>
          <w:rtl/>
        </w:rPr>
        <w:t xml:space="preserve">   </w:t>
      </w:r>
      <w:r>
        <w:rPr>
          <w:rFonts w:ascii="Arial" w:hAnsi="Arial" w:cs="Arial" w:eastAsia="Arial"/>
          <w:b/>
          <w:bCs/>
          <w:color w:val="1F2430"/>
          <w:sz w:val="20"/>
          <w:szCs w:val="20"/>
          <w:rtl/>
        </w:rPr>
        <w:t>211-ג</w:t>
      </w:r>
      <w:r>
        <w:rPr>
          <w:rFonts w:ascii="Arial" w:hAnsi="Arial" w:cs="Arial" w:eastAsia="Arial"/>
          <w:sz w:val="20"/>
          <w:szCs w:val="20"/>
          <w:rtl/>
        </w:rPr>
        <w:t xml:space="preserve">   </w:t>
      </w:r>
      <w:r>
        <w:rPr>
          <w:rFonts w:ascii="Arial" w:hAnsi="Arial" w:cs="Arial" w:eastAsia="Arial"/>
          <w:b/>
          <w:bCs/>
          <w:color w:val="1F2430"/>
          <w:sz w:val="20"/>
          <w:szCs w:val="20"/>
          <w:rtl/>
        </w:rPr>
        <w:t>212-א</w:t>
      </w:r>
      <w:r>
        <w:rPr>
          <w:rFonts w:ascii="Arial" w:hAnsi="Arial" w:cs="Arial" w:eastAsia="Arial"/>
          <w:sz w:val="20"/>
          <w:szCs w:val="20"/>
          <w:rtl/>
        </w:rPr>
        <w:t xml:space="preserve">   </w:t>
      </w:r>
      <w:r>
        <w:rPr>
          <w:rFonts w:ascii="Arial" w:hAnsi="Arial" w:cs="Arial" w:eastAsia="Arial"/>
          <w:b/>
          <w:bCs/>
          <w:color w:val="1F2430"/>
          <w:sz w:val="20"/>
          <w:szCs w:val="20"/>
          <w:rtl/>
        </w:rPr>
        <w:t>213-ב</w:t>
      </w:r>
      <w:r>
        <w:rPr>
          <w:rFonts w:ascii="Arial" w:hAnsi="Arial" w:cs="Arial" w:eastAsia="Arial"/>
          <w:sz w:val="20"/>
          <w:szCs w:val="20"/>
          <w:rtl/>
        </w:rPr>
        <w:t xml:space="preserve">   </w:t>
      </w:r>
      <w:r>
        <w:rPr>
          <w:rFonts w:ascii="Arial" w:hAnsi="Arial" w:cs="Arial" w:eastAsia="Arial"/>
          <w:b/>
          <w:bCs/>
          <w:color w:val="1F2430"/>
          <w:sz w:val="20"/>
          <w:szCs w:val="20"/>
          <w:rtl/>
        </w:rPr>
        <w:t>214-א</w:t>
      </w:r>
      <w:r>
        <w:rPr>
          <w:rFonts w:ascii="Arial" w:hAnsi="Arial" w:cs="Arial" w:eastAsia="Arial"/>
          <w:sz w:val="20"/>
          <w:szCs w:val="20"/>
          <w:rtl/>
        </w:rPr>
        <w:t xml:space="preserve">   </w:t>
      </w:r>
      <w:r>
        <w:rPr>
          <w:rFonts w:ascii="Arial" w:hAnsi="Arial" w:cs="Arial" w:eastAsia="Arial"/>
          <w:b/>
          <w:bCs/>
          <w:color w:val="1F2430"/>
          <w:sz w:val="20"/>
          <w:szCs w:val="20"/>
          <w:rtl/>
        </w:rPr>
        <w:t>215-ג</w:t>
      </w:r>
      <w:r>
        <w:rPr>
          <w:rFonts w:ascii="Arial" w:hAnsi="Arial" w:cs="Arial" w:eastAsia="Arial"/>
          <w:sz w:val="20"/>
          <w:szCs w:val="20"/>
          <w:rtl/>
        </w:rPr>
        <w:t xml:space="preserve">   </w:t>
      </w:r>
      <w:r>
        <w:rPr>
          <w:rFonts w:ascii="Arial" w:hAnsi="Arial" w:cs="Arial" w:eastAsia="Arial"/>
          <w:b/>
          <w:bCs/>
          <w:color w:val="1F2430"/>
          <w:sz w:val="20"/>
          <w:szCs w:val="20"/>
          <w:rtl/>
        </w:rPr>
        <w:t>216-ד</w:t>
      </w:r>
      <w:r>
        <w:rPr>
          <w:rFonts w:ascii="Arial" w:hAnsi="Arial" w:cs="Arial" w:eastAsia="Arial"/>
          <w:sz w:val="20"/>
          <w:szCs w:val="20"/>
          <w:rtl/>
        </w:rPr>
        <w:t xml:space="preserve">   </w:t>
      </w:r>
      <w:r>
        <w:rPr>
          <w:rFonts w:ascii="Arial" w:hAnsi="Arial" w:cs="Arial" w:eastAsia="Arial"/>
          <w:b/>
          <w:bCs/>
          <w:color w:val="1F2430"/>
          <w:sz w:val="20"/>
          <w:szCs w:val="20"/>
          <w:rtl/>
        </w:rPr>
        <w:t>217-א</w:t>
      </w:r>
      <w:r>
        <w:rPr>
          <w:rFonts w:ascii="Arial" w:hAnsi="Arial" w:cs="Arial" w:eastAsia="Arial"/>
          <w:sz w:val="20"/>
          <w:szCs w:val="20"/>
          <w:rtl/>
        </w:rPr>
        <w:t xml:space="preserve">   </w:t>
      </w:r>
      <w:r>
        <w:rPr>
          <w:rFonts w:ascii="Arial" w:hAnsi="Arial" w:cs="Arial" w:eastAsia="Arial"/>
          <w:b/>
          <w:bCs/>
          <w:color w:val="1F2430"/>
          <w:sz w:val="20"/>
          <w:szCs w:val="20"/>
          <w:rtl/>
        </w:rPr>
        <w:t>218-ד</w:t>
      </w:r>
      <w:r>
        <w:rPr>
          <w:rFonts w:ascii="Arial" w:hAnsi="Arial" w:cs="Arial" w:eastAsia="Arial"/>
          <w:sz w:val="20"/>
          <w:szCs w:val="20"/>
          <w:rtl/>
        </w:rPr>
        <w:t xml:space="preserve">   </w:t>
      </w:r>
      <w:r>
        <w:rPr>
          <w:rFonts w:ascii="Arial" w:hAnsi="Arial" w:cs="Arial" w:eastAsia="Arial"/>
          <w:b/>
          <w:bCs/>
          <w:color w:val="1F2430"/>
          <w:sz w:val="20"/>
          <w:szCs w:val="20"/>
          <w:rtl/>
        </w:rPr>
        <w:t>219-ב</w:t>
      </w:r>
      <w:r>
        <w:rPr>
          <w:rFonts w:ascii="Arial" w:hAnsi="Arial" w:cs="Arial" w:eastAsia="Arial"/>
          <w:sz w:val="20"/>
          <w:szCs w:val="20"/>
          <w:rtl/>
        </w:rPr>
        <w:t xml:space="preserve">   </w:t>
      </w:r>
      <w:r>
        <w:rPr>
          <w:rFonts w:ascii="Arial" w:hAnsi="Arial" w:cs="Arial" w:eastAsia="Arial"/>
          <w:b/>
          <w:bCs/>
          <w:color w:val="1F2430"/>
          <w:sz w:val="20"/>
          <w:szCs w:val="20"/>
          <w:rtl/>
        </w:rPr>
        <w:t>220-ג</w:t>
      </w:r>
      <w:r>
        <w:rPr>
          <w:rFonts w:ascii="Arial" w:hAnsi="Arial" w:cs="Arial" w:eastAsia="Arial"/>
          <w:sz w:val="20"/>
          <w:szCs w:val="20"/>
          <w:rtl/>
        </w:rPr>
        <w:t xml:space="preserve">   </w:t>
      </w:r>
      <w:r>
        <w:rPr>
          <w:rFonts w:ascii="Arial" w:hAnsi="Arial" w:cs="Arial" w:eastAsia="Arial"/>
          <w:b/>
          <w:bCs/>
          <w:color w:val="1F2430"/>
          <w:sz w:val="20"/>
          <w:szCs w:val="20"/>
          <w:rtl/>
        </w:rPr>
        <w:t>221-ג</w:t>
      </w:r>
      <w:r>
        <w:rPr>
          <w:rFonts w:ascii="Arial" w:hAnsi="Arial" w:cs="Arial" w:eastAsia="Arial"/>
          <w:sz w:val="20"/>
          <w:szCs w:val="20"/>
          <w:rtl/>
        </w:rPr>
        <w:t xml:space="preserve">   </w:t>
      </w:r>
      <w:r>
        <w:rPr>
          <w:rFonts w:ascii="Arial" w:hAnsi="Arial" w:cs="Arial" w:eastAsia="Arial"/>
          <w:b/>
          <w:bCs/>
          <w:color w:val="1F2430"/>
          <w:sz w:val="20"/>
          <w:szCs w:val="20"/>
          <w:rtl/>
        </w:rPr>
        <w:t>222-ד</w:t>
      </w:r>
      <w:r>
        <w:rPr>
          <w:rFonts w:ascii="Arial" w:hAnsi="Arial" w:cs="Arial" w:eastAsia="Arial"/>
          <w:sz w:val="20"/>
          <w:szCs w:val="20"/>
          <w:rtl/>
        </w:rPr>
        <w:t xml:space="preserve">   </w:t>
      </w:r>
      <w:r>
        <w:rPr>
          <w:rFonts w:ascii="Arial" w:hAnsi="Arial" w:cs="Arial" w:eastAsia="Arial"/>
          <w:b/>
          <w:bCs/>
          <w:color w:val="1F2430"/>
          <w:sz w:val="20"/>
          <w:szCs w:val="20"/>
          <w:rtl/>
        </w:rPr>
        <w:t>223-א</w:t>
      </w:r>
      <w:r>
        <w:rPr>
          <w:rFonts w:ascii="Arial" w:hAnsi="Arial" w:cs="Arial" w:eastAsia="Arial"/>
          <w:sz w:val="20"/>
          <w:szCs w:val="20"/>
          <w:rtl/>
        </w:rPr>
        <w:t xml:space="preserve">   </w:t>
      </w:r>
      <w:r>
        <w:rPr>
          <w:rFonts w:ascii="Arial" w:hAnsi="Arial" w:cs="Arial" w:eastAsia="Arial"/>
          <w:b/>
          <w:bCs/>
          <w:color w:val="1F2430"/>
          <w:sz w:val="20"/>
          <w:szCs w:val="20"/>
          <w:rtl/>
        </w:rPr>
        <w:t>224-ב</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197 — התשובה הנכונה: ב</w:t>
            </w:r>
          </w:p>
          <w:p>
            <w:pPr>
              <w:bidi/>
              <w:spacing w:before="0" w:after="0" w:line="288" w:lineRule="auto"/>
              <w:jc w:val="both"/>
            </w:pPr>
            <w:r>
              <w:rPr>
                <w:rFonts w:ascii="Arial" w:hAnsi="Arial" w:cs="Arial" w:eastAsia="Arial"/>
                <w:color w:val="1F2430"/>
                <w:sz w:val="19"/>
                <w:szCs w:val="19"/>
                <w:rtl/>
              </w:rPr>
              <w:t>נישואין בקפריסין הם נישואין אזרחיים ולא פרטיים. נישואין פרטיים הם טקס, בדרך כלל דתי, שנערך בלי לעבור דרך רשות הנישואין ובלי רישום. בקבוצות שנלמדו: קטינים, רפורמים וקונסרבטיבים, פסולי חיתון, מי שרוצים להישאר יחידים מול הרשויות ומי שרוצים להקל על הפרידה.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198 — התשובה הנכונה: ד</w:t>
            </w:r>
          </w:p>
          <w:p>
            <w:pPr>
              <w:bidi/>
              <w:spacing w:before="0" w:after="0" w:line="288" w:lineRule="auto"/>
              <w:jc w:val="both"/>
            </w:pPr>
            <w:r>
              <w:rPr>
                <w:rFonts w:ascii="Arial" w:hAnsi="Arial" w:cs="Arial" w:eastAsia="Arial"/>
                <w:color w:val="1F2430"/>
                <w:sz w:val="19"/>
                <w:szCs w:val="19"/>
                <w:rtl/>
              </w:rPr>
              <w:t>סעיף 7 מבטא את רצון המדינה להילחם בנישואין פרטיים. העבירה חלה גם על מי שסידר נישואין לאחר, והעונש הוא מאסר שנתיים. העובדה שהנישואין עשויים לתפוס הלכתית אינה מבטלת את העבירה. חמש שנות מאסר הן העונש על ריבוי נישואין (סעיף 176 לחוק העונשין).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199 — התשובה הנכונה: א</w:t>
            </w:r>
          </w:p>
          <w:p>
            <w:pPr>
              <w:bidi/>
              <w:spacing w:before="0" w:after="0" w:line="288" w:lineRule="auto"/>
              <w:jc w:val="both"/>
            </w:pPr>
            <w:r>
              <w:rPr>
                <w:rFonts w:ascii="Arial" w:hAnsi="Arial" w:cs="Arial" w:eastAsia="Arial"/>
                <w:color w:val="1F2430"/>
                <w:sz w:val="19"/>
                <w:szCs w:val="19"/>
                <w:rtl/>
              </w:rPr>
              <w:t>בצונן קיבל העליון (השופט אלון) את ערעור הבעל ושלל את המזונות שפסק המחוזי מכוח הסכם משתמע. הנימוק: נישואין פרטיים של כשירי חיתון יוצרים קידושין נסתרים ופוגעים בתקנת הציבור, ולכן המשפט שולל זכויות כדי להרתיע. השופט שמגר הוסיף שבלי נישואין אין גמירות דעת להתחייב. בפלונית הדגיש ברק שהמזונות החוזיים אינם חלים על מקרה כזה.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200 — התשובה הנכונה: ג</w:t>
            </w:r>
          </w:p>
          <w:p>
            <w:pPr>
              <w:bidi/>
              <w:spacing w:before="0" w:after="0" w:line="288" w:lineRule="auto"/>
              <w:jc w:val="both"/>
            </w:pPr>
            <w:r>
              <w:rPr>
                <w:rFonts w:ascii="Arial" w:hAnsi="Arial" w:cs="Arial" w:eastAsia="Arial"/>
                <w:color w:val="1F2430"/>
                <w:sz w:val="19"/>
                <w:szCs w:val="19"/>
                <w:rtl/>
              </w:rPr>
              <w:t>ברודניצקי שאל בג״ץ אם האישה קרובה יותר לנשואה או לרווקה, וקבע שמחמת הספק הם אסורים להינשא לאחרים בלי גט, ולכן יש לרשום אותם. בג״ץ אינו רוצה לשלוח פסולי חיתון לחו״ל. כהן וגרושה הם איסור לאו ולא כרת, ולכן הקידושין תופסים לחומרא.</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201 — התשובה הנכונה: ג</w:t>
            </w:r>
          </w:p>
          <w:p>
            <w:pPr>
              <w:bidi/>
              <w:spacing w:before="0" w:after="0" w:line="288" w:lineRule="auto"/>
              <w:jc w:val="both"/>
            </w:pPr>
            <w:r>
              <w:rPr>
                <w:rFonts w:ascii="Arial" w:hAnsi="Arial" w:cs="Arial" w:eastAsia="Arial"/>
                <w:color w:val="1F2430"/>
                <w:sz w:val="19"/>
                <w:szCs w:val="19"/>
                <w:rtl/>
              </w:rPr>
              <w:t>סעיף 76 לחוק בתי המשפט מתיר להכריע דרך אגב בשאלה שבסמכות ייחודית של ערכאה אחרת, אך רק לצורך אותו עניין. לכן קביעת בג״ץ טובה לצורך הרישום בלבד, ובית הדין הרבני אינו כבול לה בשאלת הגט.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202 — התשובה הנכונה: א</w:t>
            </w:r>
          </w:p>
          <w:p>
            <w:pPr>
              <w:bidi/>
              <w:spacing w:before="0" w:after="0" w:line="288" w:lineRule="auto"/>
              <w:jc w:val="both"/>
            </w:pPr>
            <w:r>
              <w:rPr>
                <w:rFonts w:ascii="Arial" w:hAnsi="Arial" w:cs="Arial" w:eastAsia="Arial"/>
                <w:color w:val="1F2430"/>
                <w:sz w:val="19"/>
                <w:szCs w:val="19"/>
                <w:rtl/>
              </w:rPr>
              <w:t>בטפר (ע״א 373/72) הבחין בית המשפט מרודניצקי. אצל כהן וגרושה יש סיכוי שהקידושין תפסו לפחות מספק, ואילו בין יהודי לנוצרייה הקידושין אינם תופסים כלל. לכן העזרה לפסולי חיתון אינה חלה עליהם. הם יכולים להינשא אזרחית בחו״ל או לחיות כידועים בציבור.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203 — התשובה הנכונה: ד</w:t>
            </w:r>
          </w:p>
          <w:p>
            <w:pPr>
              <w:bidi/>
              <w:spacing w:before="0" w:after="0" w:line="288" w:lineRule="auto"/>
              <w:jc w:val="both"/>
            </w:pPr>
            <w:r>
              <w:rPr>
                <w:rFonts w:ascii="Arial" w:hAnsi="Arial" w:cs="Arial" w:eastAsia="Arial"/>
                <w:color w:val="1F2430"/>
                <w:sz w:val="19"/>
                <w:szCs w:val="19"/>
                <w:rtl/>
              </w:rPr>
              <w:t>בגורפינקל דרש בג״ץ למצות קודם את ההליך בבית הדין הרבני. בג״ץ מתערב כמפקח על הרישום, ואינו תחליף לבית הדין. ברוגוזינסקי נקבע שהמונח יהודי מתפרש לפי המבחן ההלכתי ולא לפי אמונתם של בני הזוג. הפקיד אינו מקבל הצהרות פרטיות.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204 — התשובה הנכונה: ב</w:t>
            </w:r>
          </w:p>
          <w:p>
            <w:pPr>
              <w:bidi/>
              <w:spacing w:before="0" w:after="0" w:line="288" w:lineRule="auto"/>
              <w:jc w:val="both"/>
            </w:pPr>
            <w:r>
              <w:rPr>
                <w:rFonts w:ascii="Arial" w:hAnsi="Arial" w:cs="Arial" w:eastAsia="Arial"/>
                <w:color w:val="1F2430"/>
                <w:sz w:val="19"/>
                <w:szCs w:val="19"/>
                <w:rtl/>
              </w:rPr>
              <w:t>בעניין כהן קבע ברק שבני הזוג אולי אינם נשואים מושלמים, אך הם קרובים יותר לנישואין מאשר לרווקות, ולכן הכיר בזכויותיהם הממוניות. זה ביטוי לנטייה לעזור לפסולי חיתון. הרישום במרשם אינו מכריע את המעמד.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205 — התשובה הנכונה: א</w:t>
            </w:r>
          </w:p>
          <w:p>
            <w:pPr>
              <w:bidi/>
              <w:spacing w:before="0" w:after="0" w:line="288" w:lineRule="auto"/>
              <w:jc w:val="both"/>
            </w:pPr>
            <w:r>
              <w:rPr>
                <w:rFonts w:ascii="Arial" w:hAnsi="Arial" w:cs="Arial" w:eastAsia="Arial"/>
                <w:color w:val="1F2430"/>
                <w:sz w:val="19"/>
                <w:szCs w:val="19"/>
                <w:rtl/>
              </w:rPr>
              <w:t>הנוהל דורש לפרט את זהות עורך הנישואין, לקבל ממנו הצהרה שהזוג פנוי ולקבל התחייבות שלא יחתן שוב בלי רישום. אין דרישה לתעודה אזרחית. בתיק עצמו העורך סירב להתחייב, ובית הדין רשם את בני הזוג ברשימת מעוכבי הנישואין. בג״ץ 2102/18 דחה את העתירה נגד ההחלטה.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206 — התשובה הנכונה: ג</w:t>
            </w:r>
          </w:p>
          <w:p>
            <w:pPr>
              <w:bidi/>
              <w:spacing w:before="0" w:after="0" w:line="288" w:lineRule="auto"/>
              <w:jc w:val="both"/>
            </w:pPr>
            <w:r>
              <w:rPr>
                <w:rFonts w:ascii="Arial" w:hAnsi="Arial" w:cs="Arial" w:eastAsia="Arial"/>
                <w:color w:val="1F2430"/>
                <w:sz w:val="19"/>
                <w:szCs w:val="19"/>
                <w:rtl/>
              </w:rPr>
              <w:t>הניסוח אינם נשואים פירושו שבית הדין אינו מכיר בנישואין האזרחיים כלל. הניסוח מתיר את הנישואין פירושו הכרה בקשר אזרחי קיים ופירוקו. כך נענתה טענת האישה, שאם אינם נשואים דתית, אין לבית הדין סמכות לגעת בנישואין האזרחיים.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207 — התשובה הנכונה: ב</w:t>
            </w:r>
          </w:p>
          <w:p>
            <w:pPr>
              <w:bidi/>
              <w:spacing w:before="0" w:after="0" w:line="288" w:lineRule="auto"/>
              <w:jc w:val="both"/>
            </w:pPr>
            <w:r>
              <w:rPr>
                <w:rFonts w:ascii="Arial" w:hAnsi="Arial" w:cs="Arial" w:eastAsia="Arial"/>
                <w:color w:val="1F2430"/>
                <w:sz w:val="19"/>
                <w:szCs w:val="19"/>
                <w:rtl/>
              </w:rPr>
              <w:t>כשאין נישואין דתיים, בית הדין מוריד את הכובע הדתי, חובש כובע אזרחי ומתיר את הנישואין בפסק דין. העילה היא תום הקשר, די שאחד הצדדים אינו רוצה להמשיך, ואין צורך בהסכמה. העברה לבית המשפט הייתה מגרשת כל זוג פעמיים, ובית הדין ביקש שכל הזוגות יעברו דרכו.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208 — התשובה הנכונה: ד</w:t>
            </w:r>
          </w:p>
          <w:p>
            <w:pPr>
              <w:bidi/>
              <w:spacing w:before="0" w:after="0" w:line="288" w:lineRule="auto"/>
              <w:jc w:val="both"/>
            </w:pPr>
            <w:r>
              <w:rPr>
                <w:rFonts w:ascii="Arial" w:hAnsi="Arial" w:cs="Arial" w:eastAsia="Arial"/>
                <w:color w:val="1F2430"/>
                <w:sz w:val="19"/>
                <w:szCs w:val="19"/>
                <w:rtl/>
              </w:rPr>
              <w:t>בית הדין הרבני הגדול השיב לברק שלא ייתן זכויות ממוניות מכוח נישואין אזרחיים, גם בכובע האזרחי, ובספק אין מוציאין ממון. לכן ברק פיצל: פירוק הנישואין בבית הדין, ורכוש ומזונות אישה רק בבית המשפט האזרחי.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209 — התשובה הנכונה: ד</w:t>
            </w:r>
          </w:p>
          <w:p>
            <w:pPr>
              <w:bidi/>
              <w:spacing w:before="0" w:after="0" w:line="288" w:lineRule="auto"/>
              <w:jc w:val="both"/>
            </w:pPr>
            <w:r>
              <w:rPr>
                <w:rFonts w:ascii="Arial" w:hAnsi="Arial" w:cs="Arial" w:eastAsia="Arial"/>
                <w:color w:val="1F2430"/>
                <w:sz w:val="19"/>
                <w:szCs w:val="19"/>
                <w:rtl/>
              </w:rPr>
              <w:t>לאחר בג״ץ 2232/03 בית הדין הרבני אינו פוסק מזונות מכוח נישואין אזרחיים. לכן כריכת מזונות האישה בידי הבעל נועדה לחסום אותם, והיא כריכה לא כנה. אם האישה עצמה הייתה כורכת, אולי זה לא היה מהלך חכם, אך לא נקבע שהכריכה אינה כנה.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210 — התשובה הנכונה: ב</w:t>
            </w:r>
          </w:p>
          <w:p>
            <w:pPr>
              <w:bidi/>
              <w:spacing w:before="0" w:after="0" w:line="288" w:lineRule="auto"/>
              <w:jc w:val="both"/>
            </w:pPr>
            <w:r>
              <w:rPr>
                <w:rFonts w:ascii="Arial" w:hAnsi="Arial" w:cs="Arial" w:eastAsia="Arial"/>
                <w:color w:val="1F2430"/>
                <w:sz w:val="19"/>
                <w:szCs w:val="19"/>
                <w:rtl/>
              </w:rPr>
              <w:t>בית הדין בנה קונסטרוקציה של שני רבדים: נישואין כדמו״י, ונישואין אזרחיים שערכם כדיני בני נח. העם היהודי לא חדל להיות בני נח כשקיבל תורה, ולכן מי שנישא אזרחית הוא מעין חצי נשוי. אי אפשר להתייחס לבני הזוג כאילו אין ביניהם קשר.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211 — התשובה הנכונה: ג</w:t>
            </w:r>
          </w:p>
          <w:p>
            <w:pPr>
              <w:bidi/>
              <w:spacing w:before="0" w:after="0" w:line="288" w:lineRule="auto"/>
              <w:jc w:val="both"/>
            </w:pPr>
            <w:r>
              <w:rPr>
                <w:rFonts w:ascii="Arial" w:hAnsi="Arial" w:cs="Arial" w:eastAsia="Arial"/>
                <w:color w:val="1F2430"/>
                <w:sz w:val="19"/>
                <w:szCs w:val="19"/>
                <w:rtl/>
              </w:rPr>
              <w:t>בסקורניק נקבע שכשרות המעמד נקבעת לפי החוק שחל בשעת רכישתו. מי שהגיע לישראל נשוי נשאר נשוי, ועל נתון זה מלבישים מזונות לפי הדין האישי (דתיים ולא חוזיים), בלי לבדוק אם הנישואין תפסו הלכתית. בשנות החמישים המזונות החוזיים עוד לא פותחו.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212 — התשובה הנכונה: א</w:t>
            </w:r>
          </w:p>
          <w:p>
            <w:pPr>
              <w:bidi/>
              <w:spacing w:before="0" w:after="0" w:line="288" w:lineRule="auto"/>
              <w:jc w:val="both"/>
            </w:pPr>
            <w:r>
              <w:rPr>
                <w:rFonts w:ascii="Arial" w:hAnsi="Arial" w:cs="Arial" w:eastAsia="Arial"/>
                <w:color w:val="1F2430"/>
                <w:sz w:val="19"/>
                <w:szCs w:val="19"/>
                <w:rtl/>
              </w:rPr>
              <w:t>בסקורניק בני הזוג היו תושבי חו״ל והגיעו כזוג נשוי. בפלונית אלה תושבי ישראל וכשירי חיתון שבחרו שלא להינשא ברבנות ונישאו בשליח בפרגוואי. הערכאות הנמוכות לא הכירו בסטטוס זר ודחו את התביעה, וברק פיתח את מסלול המזונות החוזיים.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213 — התשובה הנכונה: ב</w:t>
            </w:r>
          </w:p>
          <w:p>
            <w:pPr>
              <w:bidi/>
              <w:spacing w:before="0" w:after="0" w:line="288" w:lineRule="auto"/>
              <w:jc w:val="both"/>
            </w:pPr>
            <w:r>
              <w:rPr>
                <w:rFonts w:ascii="Arial" w:hAnsi="Arial" w:cs="Arial" w:eastAsia="Arial"/>
                <w:color w:val="1F2430"/>
                <w:sz w:val="19"/>
                <w:szCs w:val="19"/>
                <w:rtl/>
              </w:rPr>
              <w:t>ברק קבע שכדי לקבוע חובת מזונות אין צורך להכריע אם בני הזוג נשואים. בני הזוג יצרו מסגרת חיים משותפת, ומהתנהגותם נלמד חוזה משתמע הכולל חובות הדדיות. הטקס הוא החוזה.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214 — התשובה הנכונה: א</w:t>
            </w:r>
          </w:p>
          <w:p>
            <w:pPr>
              <w:bidi/>
              <w:spacing w:before="0" w:after="0" w:line="288" w:lineRule="auto"/>
              <w:jc w:val="both"/>
            </w:pPr>
            <w:r>
              <w:rPr>
                <w:rFonts w:ascii="Arial" w:hAnsi="Arial" w:cs="Arial" w:eastAsia="Arial"/>
                <w:color w:val="1F2430"/>
                <w:sz w:val="19"/>
                <w:szCs w:val="19"/>
                <w:rtl/>
              </w:rPr>
              <w:t>ברק שאל אם החוזה נוגד את תקנת הציבור והשיב שלא. תקנת הציבור משקפת את האני מאמין החברתי, וההכרה בחובות החוזיות היא הוגנת ומקדמת ערכי שוויון וצדק. לעומת זאת, בצונן שימשה תקנת הציבור דווקא לשלילת מזונות מנישואין פרטיים של כשירי חיתון.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215 — התשובה הנכונה: ג</w:t>
            </w:r>
          </w:p>
          <w:p>
            <w:pPr>
              <w:bidi/>
              <w:spacing w:before="0" w:after="0" w:line="288" w:lineRule="auto"/>
              <w:jc w:val="both"/>
            </w:pPr>
            <w:r>
              <w:rPr>
                <w:rFonts w:ascii="Arial" w:hAnsi="Arial" w:cs="Arial" w:eastAsia="Arial"/>
                <w:color w:val="1F2430"/>
                <w:sz w:val="19"/>
                <w:szCs w:val="19"/>
                <w:rtl/>
              </w:rPr>
              <w:t>ברק הדגיש שאינו פוגע במסלול הדתי. נשואים כדמו״י ממשיכים במזונות לפי הדין האישי, ומי שהתחיל במסלול אחד נשאר בו ואינו יכול לזגזג בין הערכאות. המזונות החוזיים חלים על נישואין אזרחיים, ידועים בציבור, זוגות מעורבים, בני אותו מין ופסולי חיתון. החוזה עיוור לדת, גזע ומין.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216 — התשובה הנכונה: ד</w:t>
            </w:r>
          </w:p>
          <w:p>
            <w:pPr>
              <w:bidi/>
              <w:spacing w:before="0" w:after="0" w:line="288" w:lineRule="auto"/>
              <w:jc w:val="both"/>
            </w:pPr>
            <w:r>
              <w:rPr>
                <w:rFonts w:ascii="Arial" w:hAnsi="Arial" w:cs="Arial" w:eastAsia="Arial"/>
                <w:color w:val="1F2430"/>
                <w:sz w:val="19"/>
                <w:szCs w:val="19"/>
                <w:rtl/>
              </w:rPr>
              <w:t>מזונות דתיים ניתנים בעיקר בזמן הנישואין, עד הגט, ולאישה. מזונות משקמים מכוח דיני החוזים יכולים להינתן גם לאחר הפרידה, כדי לאפשר הסתגלות, וגם לגבר אם האישה היא החזקה. בגידה אינה שוללת אותם באופן אוטומטי, והשופט בוחן את הנסיבות לפי תום הלב. סעיף 2(א) הוא מקור המזונות לפי הדין האישי.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217 — התשובה הנכונה: א</w:t>
            </w:r>
          </w:p>
          <w:p>
            <w:pPr>
              <w:bidi/>
              <w:spacing w:before="0" w:after="0" w:line="288" w:lineRule="auto"/>
              <w:jc w:val="both"/>
            </w:pPr>
            <w:r>
              <w:rPr>
                <w:rFonts w:ascii="Arial" w:hAnsi="Arial" w:cs="Arial" w:eastAsia="Arial"/>
                <w:color w:val="1F2430"/>
                <w:sz w:val="19"/>
                <w:szCs w:val="19"/>
                <w:rtl/>
              </w:rPr>
              <w:t>הדרך לצאת מהחוזה המשתמע היא הסכם ממון מפורש לעניין המזונות. אצל נשואים ההסכם טעון אישור שופט, שמוודא שהצדדים מבינים את משמעותו. הסכם הפרדה רכושית לבד אינו מספיק, כי לרוב אינו מתייחס למזונות. עורכי דין רבים אינם שמים לב לכך.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218 — התשובה הנכונה: ד</w:t>
            </w:r>
          </w:p>
          <w:p>
            <w:pPr>
              <w:bidi/>
              <w:spacing w:before="0" w:after="0" w:line="288" w:lineRule="auto"/>
              <w:jc w:val="both"/>
            </w:pPr>
            <w:r>
              <w:rPr>
                <w:rFonts w:ascii="Arial" w:hAnsi="Arial" w:cs="Arial" w:eastAsia="Arial"/>
                <w:color w:val="1F2430"/>
                <w:sz w:val="19"/>
                <w:szCs w:val="19"/>
                <w:rtl/>
              </w:rPr>
              <w:t>לאחר פלונית הורה המחוזי לשופטת לשקול מזונות גם לאחר מועד הגט. השופטת כתבה שבזמנו נתנה מזונות עד הפרידה כמקובל, אך לאור הלכת ברק פסקה חמש שנים נוספות של מזונות משקמים מכוח עקרון תום הלב.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219 — התשובה הנכונה: ב</w:t>
            </w:r>
          </w:p>
          <w:p>
            <w:pPr>
              <w:bidi/>
              <w:spacing w:before="0" w:after="0" w:line="288" w:lineRule="auto"/>
              <w:jc w:val="both"/>
            </w:pPr>
            <w:r>
              <w:rPr>
                <w:rFonts w:ascii="Arial" w:hAnsi="Arial" w:cs="Arial" w:eastAsia="Arial"/>
                <w:color w:val="1F2430"/>
                <w:sz w:val="19"/>
                <w:szCs w:val="19"/>
                <w:rtl/>
              </w:rPr>
              <w:t>נשואים כדמו״י מקבלים מזונות לפי הדין האישי. בבע״מ 3151/14 (סרבנות גט מטעמים כלכליים) נאמר רק באמרת אגב שאין לשלול מזונות משקמים במצבי קיצון. לפי תשובת המרצה זה נשאר בגדר מיעוט ולמיטב ידיעתו טרם בוצע. ברק עצמו הגביל את פלונית ולא החיל אותה על נשואים כדמו״י.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220 — התשובה הנכונה: ג</w:t>
            </w:r>
          </w:p>
          <w:p>
            <w:pPr>
              <w:bidi/>
              <w:spacing w:before="0" w:after="0" w:line="288" w:lineRule="auto"/>
              <w:jc w:val="both"/>
            </w:pPr>
            <w:r>
              <w:rPr>
                <w:rFonts w:ascii="Arial" w:hAnsi="Arial" w:cs="Arial" w:eastAsia="Arial"/>
                <w:color w:val="1F2430"/>
                <w:sz w:val="19"/>
                <w:szCs w:val="19"/>
                <w:rtl/>
              </w:rPr>
              <w:t>בית הדין קבע שידועים בציבור לא רצו להינשא מלכתחילה, ולכן אין צורך בגט, גם לא לחומרא. גט לחומרא מסודר לבני זוג שהתגרשו וחזרו לחיות יחד (חשש לקידושי ביאה), ובנישואין אזרחיים ופרטיים. התביעה נדחתה ללא הוצאות, כי האישה פנתה בתום לב.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221 — התשובה הנכונה: ג</w:t>
            </w:r>
          </w:p>
          <w:p>
            <w:pPr>
              <w:bidi/>
              <w:spacing w:before="0" w:after="0" w:line="288" w:lineRule="auto"/>
              <w:jc w:val="both"/>
            </w:pPr>
            <w:r>
              <w:rPr>
                <w:rFonts w:ascii="Arial" w:hAnsi="Arial" w:cs="Arial" w:eastAsia="Arial"/>
                <w:color w:val="1F2430"/>
                <w:sz w:val="19"/>
                <w:szCs w:val="19"/>
                <w:rtl/>
              </w:rPr>
              <w:t>העליון החמיר את המבחן: מגורים ומשק בית משותף חשובים, אך לא תמיד מספיקים, ויש לבחון אומד דעת הדדי לקשר מחייב. האינדיקציות: שיתוף נכסים, כתובת רשומה משותפת, חשבון בנק משותף, ילדים, רישום כמוטב בפוליסה וטקס מיסוד. אלה אינדיקציות בלבד ולא תנאים מצטברים.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222 — התשובה הנכונה: ד</w:t>
            </w:r>
          </w:p>
          <w:p>
            <w:pPr>
              <w:bidi/>
              <w:spacing w:before="0" w:after="0" w:line="288" w:lineRule="auto"/>
              <w:jc w:val="both"/>
            </w:pPr>
            <w:r>
              <w:rPr>
                <w:rFonts w:ascii="Arial" w:hAnsi="Arial" w:cs="Arial" w:eastAsia="Arial"/>
                <w:color w:val="1F2430"/>
                <w:sz w:val="19"/>
                <w:szCs w:val="19"/>
                <w:rtl/>
              </w:rPr>
              <w:t>התנאים הם חיי משפחה ומשק בית משותף, וכיום בודקים את אומד דעת הצדדים ולא את ידיעת הציבור. הפסיקה הכירה גם בבני זוג שגרו לסירוגין בשתי דירות. אדם נשוי יכול לחיות כידוע בציבור עם אחרת בלי לעבור עבירת ביגמיה.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223 — התשובה הנכונה: א</w:t>
            </w:r>
          </w:p>
          <w:p>
            <w:pPr>
              <w:bidi/>
              <w:spacing w:before="0" w:after="0" w:line="288" w:lineRule="auto"/>
              <w:jc w:val="both"/>
            </w:pPr>
            <w:r>
              <w:rPr>
                <w:rFonts w:ascii="Arial" w:hAnsi="Arial" w:cs="Arial" w:eastAsia="Arial"/>
                <w:color w:val="1F2430"/>
                <w:sz w:val="19"/>
                <w:szCs w:val="19"/>
                <w:rtl/>
              </w:rPr>
              <w:t>חוק יחסי ממון, שמחייב אישור הסכם ממון, אינו חל על ידועים בציבור. לפי תשובת המרצה מספיק לחתום בבית. אם ירצו, הם יכולים לאשר את ההסכם מכוח חוק בית המשפט לענייני משפחה, שהגדרת בן משפחה בו כוללת את הידועה בציבור כאשתו.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224 — התשובה הנכונה: ב</w:t>
            </w:r>
          </w:p>
          <w:p>
            <w:pPr>
              <w:bidi/>
              <w:spacing w:before="0" w:after="0" w:line="288" w:lineRule="auto"/>
              <w:jc w:val="both"/>
            </w:pPr>
            <w:r>
              <w:rPr>
                <w:rFonts w:ascii="Arial" w:hAnsi="Arial" w:cs="Arial" w:eastAsia="Arial"/>
                <w:color w:val="1F2430"/>
                <w:sz w:val="19"/>
                <w:szCs w:val="19"/>
                <w:rtl/>
              </w:rPr>
              <w:t>סעיף 178 לחוק העונשין קובע שלעניין סעיף 176 אין נפקא מינה אם הנישואין החדשים תקפים או בטלים, או אם נערכו מחוץ לישראל, כשהנושא אזרח או תושב. חיים כידועים בציבור אינם עבירה. היתר נישואין פוטר לפי סעיף 179 רק אם אושר בידי נשיא בית הדין הרבני הגדול.</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9A6B00"/>
            <w:tcBorders>
              <w:top w:val="single" w:sz="4" w:space="0" w:color="9A6B00"/>
              <w:left w:val="single" w:sz="4" w:space="0" w:color="9A6B00"/>
              <w:bottom w:val="single" w:sz="4" w:space="0" w:color="9A6B00"/>
              <w:right w:val="single" w:sz="4" w:space="0" w:color="9A6B0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9</w:t>
            </w:r>
          </w:p>
          <w:p>
            <w:pPr>
              <w:bidi/>
              <w:spacing w:before="0" w:after="0" w:line="264" w:lineRule="auto"/>
              <w:outlineLvl w:val="0"/>
            </w:pPr>
            <w:r>
              <w:rPr>
                <w:rFonts w:ascii="Arial" w:hAnsi="Arial" w:cs="Arial" w:eastAsia="Arial"/>
                <w:b/>
                <w:bCs/>
                <w:color w:val="FFFFFF"/>
                <w:sz w:val="42"/>
                <w:szCs w:val="42"/>
                <w:rtl/>
              </w:rPr>
              <w:t>רישום נישואין ועריכת נישואין וגירושין</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225 </w:t>
            </w:r>
            <w:r>
              <w:rPr>
                <w:rFonts w:ascii="Arial" w:hAnsi="Arial" w:cs="Arial" w:eastAsia="Arial"/>
                <w:sz w:val="20"/>
                <w:szCs w:val="20"/>
                <w:rtl/>
              </w:rPr>
              <w:t xml:space="preserve">  </w:t>
            </w:r>
            <w:r>
              <w:rPr>
                <w:rFonts w:ascii="Arial" w:hAnsi="Arial" w:cs="Arial" w:eastAsia="Arial"/>
                <w:b/>
                <w:bCs/>
                <w:color w:val="111827"/>
                <w:sz w:val="20"/>
                <w:szCs w:val="20"/>
                <w:rtl/>
              </w:rPr>
              <w:t>יהודי ישראלי ונוצרייה נתינת בלגיה נישאו בנישואין אזרחיים בקפריסין. האישה הציגה לפקיד המרשם את תעודת הנישואין הקפריסאית וביקשה להירשם כנשואה, והפקיד סירב. מה נקבע בבג״ץ פונק שלזינגר?</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הפקיד צדק, שכן לפי דיני ישראל בני הזוג אינם נשואים ובתעודת הזהות נכתב ”נשוי“ ולא ”עבר טקס נישואין“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על הפקיד לרשום אותם כנשואים, שכן הוצגה תעודה ציבורית תקינה והפקיד אינו מוסמך להכריע בתוקף הנישואין</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יש לרשום אותם רק לאחר שבית הדין הרבני יחווה דעתו על תוקף הנישואין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יש לרשום במרשם ”עבר טקס נישואין בחו״ל“ במקום ”נשוי“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226 </w:t>
            </w:r>
            <w:r>
              <w:rPr>
                <w:rFonts w:ascii="Arial" w:hAnsi="Arial" w:cs="Arial" w:eastAsia="Arial"/>
                <w:sz w:val="20"/>
                <w:szCs w:val="20"/>
                <w:rtl/>
              </w:rPr>
              <w:t xml:space="preserve">  </w:t>
            </w:r>
            <w:r>
              <w:rPr>
                <w:rFonts w:ascii="Arial" w:hAnsi="Arial" w:cs="Arial" w:eastAsia="Arial"/>
                <w:b/>
                <w:bCs/>
                <w:color w:val="111827"/>
                <w:sz w:val="20"/>
                <w:szCs w:val="20"/>
                <w:rtl/>
              </w:rPr>
              <w:t>מי מהשופטים הבאים כתב את דעת המיעוט בבג״ץ 143/64 פונק שלזינגר, וסבר שאין לרשום את בני הזוג כנשואים?</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השופט ברק</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השופט רובינשטיין</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השופט זוסמן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השופט זילברג</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227 </w:t>
            </w:r>
            <w:r>
              <w:rPr>
                <w:rFonts w:ascii="Arial" w:hAnsi="Arial" w:cs="Arial" w:eastAsia="Arial"/>
                <w:sz w:val="20"/>
                <w:szCs w:val="20"/>
                <w:rtl/>
              </w:rPr>
              <w:t xml:space="preserve">  </w:t>
            </w:r>
            <w:r>
              <w:rPr>
                <w:rFonts w:ascii="Arial" w:hAnsi="Arial" w:cs="Arial" w:eastAsia="Arial"/>
                <w:b/>
                <w:bCs/>
                <w:color w:val="111827"/>
                <w:sz w:val="20"/>
                <w:szCs w:val="20"/>
                <w:rtl/>
              </w:rPr>
              <w:t>לפי הלכת פונק שלזינגר, באיזה מהמקרים הבאים רשאי פקיד הרישום לסרב לרשום פרט המופיע בתעודה ציבורית זרה?</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אדם שנראה בגיר (כבן 20) מציג תעודה זרה שלפיה הוא בן 5</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שני גברים מציגים תעודת נישואין קנדית</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בני זוג מציגים תעודת נישואין מיוטה שנערכה בטקס בזום כשהם בישראל</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יהודי ונוצרייה מציגים תעודת נישואין מקפריסין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228 </w:t>
            </w:r>
            <w:r>
              <w:rPr>
                <w:rFonts w:ascii="Arial" w:hAnsi="Arial" w:cs="Arial" w:eastAsia="Arial"/>
                <w:sz w:val="20"/>
                <w:szCs w:val="20"/>
                <w:rtl/>
              </w:rPr>
              <w:t xml:space="preserve">  </w:t>
            </w:r>
            <w:r>
              <w:rPr>
                <w:rFonts w:ascii="Arial" w:hAnsi="Arial" w:cs="Arial" w:eastAsia="Arial"/>
                <w:b/>
                <w:bCs/>
                <w:color w:val="111827"/>
                <w:sz w:val="20"/>
                <w:szCs w:val="20"/>
                <w:rtl/>
              </w:rPr>
              <w:t>לפי סעיף 3 לחוק מרשם האוכלוסין, אילו מפרטי הרישום אינם ראיה לכאורה לנכונותם?</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שם המשפחה, שמות ההורים, תאריך הלידה והמין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שמות הילדים, האזרחות והמען</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הלאום, הדת, המצב האישי ושם בן הזוג</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כל פרטי הרישום הם ראיה לכאורה לנכונותם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229 </w:t>
            </w:r>
            <w:r>
              <w:rPr>
                <w:rFonts w:ascii="Arial" w:hAnsi="Arial" w:cs="Arial" w:eastAsia="Arial"/>
                <w:sz w:val="20"/>
                <w:szCs w:val="20"/>
                <w:rtl/>
              </w:rPr>
              <w:t xml:space="preserve">  </w:t>
            </w:r>
            <w:r>
              <w:rPr>
                <w:rFonts w:ascii="Arial" w:hAnsi="Arial" w:cs="Arial" w:eastAsia="Arial"/>
                <w:b/>
                <w:bCs/>
                <w:color w:val="111827"/>
                <w:sz w:val="20"/>
                <w:szCs w:val="20"/>
                <w:rtl/>
              </w:rPr>
              <w:t>דנה רשומה במרשם האוכלוסין כ”יהודייה“. כשנרשמה לנישואין, הרבנות דרשה ממנה להוכיח את יהדותה. מה הדין?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הרבנות אינה רשאית לדרוש זאת, שכן הרישום במרשם הוא ראיה לכאורה וכל עוד לא נסתר — מחייב</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הרבנות רשאית לדרוש זאת רק אם פקיד הרישום ישנה קודם את הרישום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הרבנות רשאית לדרוש הוכחה, שכן פרט הדת אינו בגדר ראיה לכאורה לפי סעיף 3 לחוק מרשם האוכלוסין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הרבנות רשאית לדרוש הוכחה רק אם דנה נרשמה לראשונה על סמך הצהרה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230 </w:t>
            </w:r>
            <w:r>
              <w:rPr>
                <w:rFonts w:ascii="Arial" w:hAnsi="Arial" w:cs="Arial" w:eastAsia="Arial"/>
                <w:sz w:val="20"/>
                <w:szCs w:val="20"/>
                <w:rtl/>
              </w:rPr>
              <w:t xml:space="preserve">  </w:t>
            </w:r>
            <w:r>
              <w:rPr>
                <w:rFonts w:ascii="Arial" w:hAnsi="Arial" w:cs="Arial" w:eastAsia="Arial"/>
                <w:b/>
                <w:bCs/>
                <w:color w:val="111827"/>
                <w:sz w:val="20"/>
                <w:szCs w:val="20"/>
                <w:rtl/>
              </w:rPr>
              <w:t>רון ומאיה, אזרחים ותושבים ישראלים, נישאו בנישואין אזרחיים בקפריסין וחזרו ארצה. לפי חוק מרשם האוכלוסין, מי חייב להודיע לפקיד הרישום על השינוי במצבם האישי ותוך כמה זמן?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בני הזוג עצמם, תוך 30 יום (סעיף 17)</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הרשות הקפריסאית שערכה את הנישואין, תוך 14 יום (סעיף 15)</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הרבנות הראשית, תוך 14 יום (סעיף 15)</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בני הזוג עצמם, תוך 14 יום (סעיף 16)</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231 </w:t>
            </w:r>
            <w:r>
              <w:rPr>
                <w:rFonts w:ascii="Arial" w:hAnsi="Arial" w:cs="Arial" w:eastAsia="Arial"/>
                <w:sz w:val="20"/>
                <w:szCs w:val="20"/>
                <w:rtl/>
              </w:rPr>
              <w:t xml:space="preserve">  </w:t>
            </w:r>
            <w:r>
              <w:rPr>
                <w:rFonts w:ascii="Arial" w:hAnsi="Arial" w:cs="Arial" w:eastAsia="Arial"/>
                <w:b/>
                <w:bCs/>
                <w:color w:val="111827"/>
                <w:sz w:val="20"/>
                <w:szCs w:val="20"/>
                <w:rtl/>
              </w:rPr>
              <w:t>משה נשוי כדמו״י. אשתו מסרבת לקבל גט, והוא עבר לגור עם רינה ומנהל עמה משק בית משותף כבני זוג, בלי שנערך ביניהם טקס נישואין כלשהו. האם משה עובר עבירה לפי סעיף 176 לחוק העונשין?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כן, כל קשר זוגי של אדם נשוי עם אחרת הוא ריבוי נישואין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כן, אך רק אם רינה תירשם במרשם כבת זוגו</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לא, אבל הוא עובר עבירה לפי סעיף 7 לפקודת הנישואין והגירושין (רישום)</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לא, סעיף 176 דורש ביצוע נישואין נוספים, ומגורים כידועים בציבור אינם 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232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סעיף 16 לחוק מרשם האוכלוסין?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החובה חלה רק על בית משפט אזרחי ולא על בית דין דתי</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בית משפט או בית דין דתי שנתן החלטה המשנה פרט רישום של אדם ימסור העתק ממנה לפקיד הרישום הראשי, וכך גם לגבי צו אימוץ, תעודת גירושין והצהרת מוות</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על בעלי הדין להמציא את ההחלטה לפקיד הרישום תוך 30 יום, ולערכאה אין כל חובה</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הסעיף חל רק על פסקי דין לגירושין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233 </w:t>
            </w:r>
            <w:r>
              <w:rPr>
                <w:rFonts w:ascii="Arial" w:hAnsi="Arial" w:cs="Arial" w:eastAsia="Arial"/>
                <w:sz w:val="20"/>
                <w:szCs w:val="20"/>
                <w:rtl/>
              </w:rPr>
              <w:t xml:space="preserve">  </w:t>
            </w:r>
            <w:r>
              <w:rPr>
                <w:rFonts w:ascii="Arial" w:hAnsi="Arial" w:cs="Arial" w:eastAsia="Arial"/>
                <w:b/>
                <w:bCs/>
                <w:color w:val="111827"/>
                <w:sz w:val="20"/>
                <w:szCs w:val="20"/>
                <w:rtl/>
              </w:rPr>
              <w:t>יוסי רשום במרשם כרווק. הוא הגיע לפקיד הרישום ומסר תצהיר חתום על ידו ועל ידי אשתו, שלפיו נישאו בטקס פרטי לפני חודש, וביקש להירשם כנשוי. מה הדין לפי סעיף 19ג לחוק מרשם האוכלוסין?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הוא לא יירשם: שינוי רישום נעשה רק לפי מסמך של רשות, החלטה שיפוטית, או הודעה בצירוף תעודה ציבורית — והצהרה בלבד אינה מספיקה</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הוא יירשם, שכן סעיף 19ג מאפשר רישום על פי הצהרה באין תעודה</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הוא יירשם, שכן לפי פונק שלזינגר הפקיד אינו בודק תוקף נישואין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הוא יירשם אם יצרף תצהירים של שני עדים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234 </w:t>
            </w:r>
            <w:r>
              <w:rPr>
                <w:rFonts w:ascii="Arial" w:hAnsi="Arial" w:cs="Arial" w:eastAsia="Arial"/>
                <w:sz w:val="20"/>
                <w:szCs w:val="20"/>
                <w:rtl/>
              </w:rPr>
              <w:t xml:space="preserve">  </w:t>
            </w:r>
            <w:r>
              <w:rPr>
                <w:rFonts w:ascii="Arial" w:hAnsi="Arial" w:cs="Arial" w:eastAsia="Arial"/>
                <w:b/>
                <w:bCs/>
                <w:color w:val="111827"/>
                <w:sz w:val="20"/>
                <w:szCs w:val="20"/>
                <w:rtl/>
              </w:rPr>
              <w:t>ולדימיר עלה לישראל ונרשם לראשונה במרשם האוכלוסין. לטענתו, כל מסמכיו אבדו בשריפה. מה הדין?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לא ניתן לרשום אותו כלל עד שיציג תעודה ציבורית</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ניתן לרשום את פרטיו על פי הודעה שימסור, שכן ברישום ראשון ובאין תעודה ציבורית ניתן להסתמך על הודעה לפי סעיפים 5 עד 14</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ניתן לרשום אותו רק על פי פסק דין של בית המשפט לענייני משפחה</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ניתן לרשום אותו רק לאחר שהרבנות תאשר את פרטי דתו ומצבו האישי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235 </w:t>
            </w:r>
            <w:r>
              <w:rPr>
                <w:rFonts w:ascii="Arial" w:hAnsi="Arial" w:cs="Arial" w:eastAsia="Arial"/>
                <w:sz w:val="20"/>
                <w:szCs w:val="20"/>
                <w:rtl/>
              </w:rPr>
              <w:t xml:space="preserve">  </w:t>
            </w:r>
            <w:r>
              <w:rPr>
                <w:rFonts w:ascii="Arial" w:hAnsi="Arial" w:cs="Arial" w:eastAsia="Arial"/>
                <w:b/>
                <w:bCs/>
                <w:color w:val="111827"/>
                <w:sz w:val="20"/>
                <w:szCs w:val="20"/>
                <w:rtl/>
              </w:rPr>
              <w:t>שמעון נשוי. אשתו חולה ואינה מסוגלת לקבל גט, והוא מבקש לשאת אישה נוספת. באיזה מצב לא יורשע בעבירה לפי סעיף 176 לחוק העונשין?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אם משפחת אשתו הראשונה תסכים בכתב לנישואין הנוספים</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אם יישא את האישה הנוספת בנישואין אזרחיים בחו״ל</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אם הדין החל על הנישואין החדשים הוא דין תורה, והם נערכו לאחר שניתן לו היתר נישואין בפסק דין סופי של בית דין רבני שאושר בידי נשיא בית הדין הרבני הגדול</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אם בית הדין הרבני האזורי נתן לו היתר נישואין, גם ללא אישור נוסף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236 </w:t>
            </w:r>
            <w:r>
              <w:rPr>
                <w:rFonts w:ascii="Arial" w:hAnsi="Arial" w:cs="Arial" w:eastAsia="Arial"/>
                <w:sz w:val="20"/>
                <w:szCs w:val="20"/>
                <w:rtl/>
              </w:rPr>
              <w:t xml:space="preserve">  </w:t>
            </w:r>
            <w:r>
              <w:rPr>
                <w:rFonts w:ascii="Arial" w:hAnsi="Arial" w:cs="Arial" w:eastAsia="Arial"/>
                <w:b/>
                <w:bCs/>
                <w:color w:val="111827"/>
                <w:sz w:val="20"/>
                <w:szCs w:val="20"/>
                <w:rtl/>
              </w:rPr>
              <w:t>לפי השופט זוסמן בפונק שלזינגר, מדוע סעיף 2 לחוק שיפוט בתי דין רבניים (”נישואין וגירושין של יהודים ייערכו בישראל על פי דין תורה“) אינו מונע את רישום הנישואין?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כי הסעיף חל רק על זוגות שבהם שני בני הזוג יהודים, ואילו כאן הזוג מעורב</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כי הסעיף בוטל בעקבות חוק מרשם האוכלוסין</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כי סעיף 2 עוסק רק בגירושין ולא בנישואין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כי הסעיף מתייחס רק לנישואין הנערכים בישראל, ונישואין שנערכו בחו״ל אינם חייבים להיערך לפי דין תורה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237 </w:t>
            </w:r>
            <w:r>
              <w:rPr>
                <w:rFonts w:ascii="Arial" w:hAnsi="Arial" w:cs="Arial" w:eastAsia="Arial"/>
                <w:sz w:val="20"/>
                <w:szCs w:val="20"/>
                <w:rtl/>
              </w:rPr>
              <w:t xml:space="preserve">  </w:t>
            </w:r>
            <w:r>
              <w:rPr>
                <w:rFonts w:ascii="Arial" w:hAnsi="Arial" w:cs="Arial" w:eastAsia="Arial"/>
                <w:b/>
                <w:bCs/>
                <w:color w:val="111827"/>
                <w:sz w:val="20"/>
                <w:szCs w:val="20"/>
                <w:rtl/>
              </w:rPr>
              <w:t>מה היה הרכב השופטים ומה הייתה התוצאה בבג״ץ 3045/05 בן ארי?</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חמישה שופטים, פה אחד, נגד רישום</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שבעה שופטים, ברוב של 4 נגד 3, בעד רישום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תשעה שופטים, ברוב של 6 נגד 3, בעד רישום</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שבעה שופטים, ברוב של 6 נגד 1 (דעת הרוב — הנשיא ברק; המיעוט — השופט רובינשטיין), בעד רישום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אינה מטענותיו של השופט רובינשטיין (דעת המיעוט) בבן ארי?</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רישום זוג מאותו מין כנשוי נכנס לחריג של אי נכונות גלויה לעין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לא מדובר בהגנה על זכויות כלכליות אלא בסמל חברתי-ציבורי, ולכן ראוי להשאיר את ההכרעה לכנסת</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חזקה על רשויות המדינה שהן מודעות לאופי המוגבל של הרישום, ואם אינן מבינות — יש ללמד אותן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אדם מן היישוב אינו מבחין בין רישום במרשם לבין הכרה משפטית בסטטוס</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239 </w:t>
            </w:r>
            <w:r>
              <w:rPr>
                <w:rFonts w:ascii="Arial" w:hAnsi="Arial" w:cs="Arial" w:eastAsia="Arial"/>
                <w:sz w:val="20"/>
                <w:szCs w:val="20"/>
                <w:rtl/>
              </w:rPr>
              <w:t xml:space="preserve">  </w:t>
            </w:r>
            <w:r>
              <w:rPr>
                <w:rFonts w:ascii="Arial" w:hAnsi="Arial" w:cs="Arial" w:eastAsia="Arial"/>
                <w:b/>
                <w:bCs/>
                <w:color w:val="111827"/>
                <w:sz w:val="20"/>
                <w:szCs w:val="20"/>
                <w:rtl/>
              </w:rPr>
              <w:t>מה פירוש טיעון ”ההסדר הראשוני“ שהעלה הנשיא ברק בבן ארי?</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תחילה רושמים את הזוג, ורק לאחר מכן בית המשפט מכריע בתוקף הנישואין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שאלות יסוד של החברה הישראלית בעניין מעמד אישי צריכות להיות מוכרעות בידי הכנסת, ולא בידי שר הפנים או פקיד הרישום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יש לפנות תחילה לבית הדין הרבני, ורק אחר כך לבג״ץ</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על בני הזוג למצות תחילה את ההליכים במדינה שבה נישאו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240 </w:t>
            </w:r>
            <w:r>
              <w:rPr>
                <w:rFonts w:ascii="Arial" w:hAnsi="Arial" w:cs="Arial" w:eastAsia="Arial"/>
                <w:sz w:val="20"/>
                <w:szCs w:val="20"/>
                <w:rtl/>
              </w:rPr>
              <w:t xml:space="preserve">  </w:t>
            </w:r>
            <w:r>
              <w:rPr>
                <w:rFonts w:ascii="Arial" w:hAnsi="Arial" w:cs="Arial" w:eastAsia="Arial"/>
                <w:b/>
                <w:bCs/>
                <w:color w:val="111827"/>
                <w:sz w:val="20"/>
                <w:szCs w:val="20"/>
                <w:rtl/>
              </w:rPr>
              <w:t>אבי ודן, שני גברים יהודים אזרחי ישראל, נישאו בקנדה ונרשמו כנשואים בעקבות הלכת בן ארי. כעת הם רוצים להיפרד. בית הדין הרבני סירב לפתוח את התיק. מה הדין?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בית המשפט לענייני משפחה רשאי להתיר את הקשר: בסירובו ובהשתהותו הפקיע בית הדין את סמכותו, ותכלית שליחת יהודים לבית הדין (בירור ספק נישואין דתיים) אינה מתקיימת כאן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אין צורך בהליך כלשהו: די שיודיעו לפקיד הרישום שנפרדו</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עליהם להתגרש בקנדה בלבד, שם נערכו הנישואין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בג״ץ יורה לבית הדין הרבני לסדר להם גט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241 </w:t>
            </w:r>
            <w:r>
              <w:rPr>
                <w:rFonts w:ascii="Arial" w:hAnsi="Arial" w:cs="Arial" w:eastAsia="Arial"/>
                <w:sz w:val="20"/>
                <w:szCs w:val="20"/>
                <w:rtl/>
              </w:rPr>
              <w:t xml:space="preserve">  </w:t>
            </w:r>
            <w:r>
              <w:rPr>
                <w:rFonts w:ascii="Arial" w:hAnsi="Arial" w:cs="Arial" w:eastAsia="Arial"/>
                <w:b/>
                <w:bCs/>
                <w:color w:val="111827"/>
                <w:sz w:val="20"/>
                <w:szCs w:val="20"/>
                <w:rtl/>
              </w:rPr>
              <w:t>מדוע זוג מאותו מין שנרשם כנשוי בעקבות בן ארי זקוק להליך פורמלי כדי להיפרד, אף שבית המשפט הדגיש שהנישואין אינם מוכרים מהותית?</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משום שבן ארי קבע שנישואין אלה תקפים בישראל לכל דבר ועניין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משום שכל עוד הם רשומים כנשואים, אינם יכולים להינשא לאחרים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משום שבלי גירושין כל קשר חדש שלהם כידועים בציבור ייחשב עבירה לפי סעיף 176 לחוק העונשין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משום שבית הדין הרבני דורש מהם גט לחומרא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242 </w:t>
            </w:r>
            <w:r>
              <w:rPr>
                <w:rFonts w:ascii="Arial" w:hAnsi="Arial" w:cs="Arial" w:eastAsia="Arial"/>
                <w:sz w:val="20"/>
                <w:szCs w:val="20"/>
                <w:rtl/>
              </w:rPr>
              <w:t xml:space="preserve">  </w:t>
            </w:r>
            <w:r>
              <w:rPr>
                <w:rFonts w:ascii="Arial" w:hAnsi="Arial" w:cs="Arial" w:eastAsia="Arial"/>
                <w:b/>
                <w:bCs/>
                <w:color w:val="111827"/>
                <w:sz w:val="20"/>
                <w:szCs w:val="20"/>
                <w:rtl/>
              </w:rPr>
              <w:t>בעע״מ 7368/22 משרד הפנים נ' בריל, מה הייתה הטענה המרכזית של המדינה נגד רישום נישואי יוטה?</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תעודות הנישואין שהנפיקה יוטה מזויפות</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מדינת יוטה אינה מכירה בנישואין של אזרחים זרים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בני הזוג היו זוגות מעורבים שאינם יכולים להינשא בישראל</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הנישואין נערכו בפועל בישראל, שבה שהו בני הזוג בזמן הטקס, ורישומם מרוקן מתוכן את הכרעת המחוקק שלא לאפשר נישואין אזרחיים בישראל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243 </w:t>
            </w:r>
            <w:r>
              <w:rPr>
                <w:rFonts w:ascii="Arial" w:hAnsi="Arial" w:cs="Arial" w:eastAsia="Arial"/>
                <w:sz w:val="20"/>
                <w:szCs w:val="20"/>
                <w:rtl/>
              </w:rPr>
              <w:t xml:space="preserve">  </w:t>
            </w:r>
            <w:r>
              <w:rPr>
                <w:rFonts w:ascii="Arial" w:hAnsi="Arial" w:cs="Arial" w:eastAsia="Arial"/>
                <w:b/>
                <w:bCs/>
                <w:color w:val="111827"/>
                <w:sz w:val="20"/>
                <w:szCs w:val="20"/>
                <w:rtl/>
              </w:rPr>
              <w:t>מה קבע בית המשפט העליון בעניין בריל?</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יש לרשום את הזוגות כנשואים: עורך הטקס נמצא ביוטה ומוסמך לפי דינה, ולצורך המרשם אין הבדל משמעותי בין זוג שטס לחו״ל לבין זוג שנישא מרחוק</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אין לרשום, שכן מירב הזיקות של הטקס הן לישראל</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יש לרשום רק זוגות שאינם יכולים להינשא בישראל, כגון זוגות מעורבים</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יש לרשום רק לאחר שבית הדין הרבני יבחן אם יש ספק 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244 </w:t>
            </w:r>
            <w:r>
              <w:rPr>
                <w:rFonts w:ascii="Arial" w:hAnsi="Arial" w:cs="Arial" w:eastAsia="Arial"/>
                <w:sz w:val="20"/>
                <w:szCs w:val="20"/>
                <w:rtl/>
              </w:rPr>
              <w:t xml:space="preserve">  </w:t>
            </w:r>
            <w:r>
              <w:rPr>
                <w:rFonts w:ascii="Arial" w:hAnsi="Arial" w:cs="Arial" w:eastAsia="Arial"/>
                <w:b/>
                <w:bCs/>
                <w:color w:val="111827"/>
                <w:sz w:val="20"/>
                <w:szCs w:val="20"/>
                <w:rtl/>
              </w:rPr>
              <w:t>”לרישום הנישואין יש חשיבות מעשית, אך...“ — איזו מהטענות הבאות משקפת נכון את הקביעה בבריל?</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רישום נישואי יוטה הוא הוכחה חלוטה לתוקפם בישראל</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רישום הנישואין הוא ראיה לכאורה לתוקפם, וכל הטוען אחרת נושא בנטל</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הרישום אינו מצביע על תוקף הנישואין לפי הדין המהותי ואף אינו ראיה לכאורה לנכונותו, אך בפועל הוא מקנה לזוג זכויות רבות</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הרישום מחייב את בית הדין הרבני לסדר לבני הזוג גט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245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בטקס פרטי פנו לבית הדין הרבני האזורי בירושלים וביקשו לאשר את נישואיהם. עורך הנישואין סירב להתחייב שלא לערוך עוד נישואין לזוגות שלא נרשמו. מה נקבע?</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בית הדין הורה לצדדים להסדיר את נישואיהם כדמו״י דרך הרבנות ולרשום אותם ברשימת מעוכבי הנישואין, ובג״ץ (2102/18) דחה את העתירה נגד ההחלטה</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בית הדין אישר את הנישואין והורה למרשם לרשום אותם כנשואים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בג״ץ ביטל את החלטת בית הדין משום שחרג מסמכותו</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בית הדין הצהיר שהצדדים אינם נשואים כלל ורשאים להינשא כפנויים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246 </w:t>
            </w:r>
            <w:r>
              <w:rPr>
                <w:rFonts w:ascii="Arial" w:hAnsi="Arial" w:cs="Arial" w:eastAsia="Arial"/>
                <w:sz w:val="20"/>
                <w:szCs w:val="20"/>
                <w:rtl/>
              </w:rPr>
              <w:t xml:space="preserve">  </w:t>
            </w:r>
            <w:r>
              <w:rPr>
                <w:rFonts w:ascii="Arial" w:hAnsi="Arial" w:cs="Arial" w:eastAsia="Arial"/>
                <w:b/>
                <w:bCs/>
                <w:color w:val="111827"/>
                <w:sz w:val="20"/>
                <w:szCs w:val="20"/>
                <w:rtl/>
              </w:rPr>
              <w:t>מה נקבע בפרשת נעמת, שאליה חזר הנשיא ברק בבן ארי?</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בג״ץ סירב לרשום מתגייר רפורמי כיהודי, משום שהרישום ייראה כהכרה של המדינה</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בג״ץ הורה לרשום את המתגייר כיהודי, בצירוף ציון ”התגייר“</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בג״ץ הורה לרשום את המתגייר כיהודי, משום שהרישום הוא עניין רישומי ואינו הכרעה בשאלת המעמד הדתי</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בג״ץ העביר את ההכרעה לבית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247 </w:t>
            </w:r>
            <w:r>
              <w:rPr>
                <w:rFonts w:ascii="Arial" w:hAnsi="Arial" w:cs="Arial" w:eastAsia="Arial"/>
                <w:sz w:val="20"/>
                <w:szCs w:val="20"/>
                <w:rtl/>
              </w:rPr>
              <w:t xml:space="preserve">  </w:t>
            </w:r>
            <w:r>
              <w:rPr>
                <w:rFonts w:ascii="Arial" w:hAnsi="Arial" w:cs="Arial" w:eastAsia="Arial"/>
                <w:b/>
                <w:bCs/>
                <w:color w:val="111827"/>
                <w:sz w:val="20"/>
                <w:szCs w:val="20"/>
                <w:rtl/>
              </w:rPr>
              <w:t>כהן וגרושה נישאו בטקס פרטי ונולד להם ילד. בית הדין הרבני כתב שיש ”חששות“ ולא קבע ”נישואין מספק“, ולכן פקיד המרשם סירב לרשום אותם. מה פסק בג״ץ רודניצקי?</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בג״ץ דחה את העתירה, שכן הפקיד אינו רשאי לרשום ללא קביעה ברורה של בית הדין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בג״ץ הורה לרשום אותם כרווקים עד שבית הדין יכריע</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בג״ץ הורה לבית הדין הרבני לכתוב שהם נשואים מספק</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בג״ץ קבע שמחמת הספק הם אסורים להינשא לאחרים בלי גט פיטורין, והורה לרשום אותם כנשואים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248 </w:t>
            </w:r>
            <w:r>
              <w:rPr>
                <w:rFonts w:ascii="Arial" w:hAnsi="Arial" w:cs="Arial" w:eastAsia="Arial"/>
                <w:sz w:val="20"/>
                <w:szCs w:val="20"/>
                <w:rtl/>
              </w:rPr>
              <w:t xml:space="preserve">  </w:t>
            </w:r>
            <w:r>
              <w:rPr>
                <w:rFonts w:ascii="Arial" w:hAnsi="Arial" w:cs="Arial" w:eastAsia="Arial"/>
                <w:b/>
                <w:bCs/>
                <w:color w:val="111827"/>
                <w:sz w:val="20"/>
                <w:szCs w:val="20"/>
                <w:rtl/>
              </w:rPr>
              <w:t>כהן שנישא בטקס פרטי לגרושה הגיע ישירות לפקיד המרשם עם תצהירי העדים ותמונות מהחתונה וביקש להירשם כנשוי. הפקיד סירב והוא עתר לבג״ץ. מה נקבע בבג״ץ גורפינקל?</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על הפקיד לרשום אותו לפי הלכת פונק שלזינגר</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הפקיד צדק כשלא קיבל מסמכים פרטיים; בג״ץ הפנה את העותר לפנות תחילה לבית הדין הרבני, ורק אם יסרב — לחזור לבג״ץ</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בג״ץ הורה על רישום מיידי, כמו ברודניצקי</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בג״ץ דחה את העתירה סופית, משום שנישואין פרטיים הם עבירה פלילית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249 </w:t>
            </w:r>
            <w:r>
              <w:rPr>
                <w:rFonts w:ascii="Arial" w:hAnsi="Arial" w:cs="Arial" w:eastAsia="Arial"/>
                <w:sz w:val="20"/>
                <w:szCs w:val="20"/>
                <w:rtl/>
              </w:rPr>
              <w:t xml:space="preserve">  </w:t>
            </w:r>
            <w:r>
              <w:rPr>
                <w:rFonts w:ascii="Arial" w:hAnsi="Arial" w:cs="Arial" w:eastAsia="Arial"/>
                <w:b/>
                <w:bCs/>
                <w:color w:val="111827"/>
                <w:sz w:val="20"/>
                <w:szCs w:val="20"/>
                <w:rtl/>
              </w:rPr>
              <w:t>קורל, יהודייה, נישאה לסרג'י, קתולי, בטקס יהודי פרטי בישראל. כעת הם מבקשים להירשם כנשואים במרשם האוכלוסין. מה הדין?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על הפקיד לרשום אותם, שכן אין אי נכונות גלויה לעין</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יירשמו, משום שמצבם קרוב יותר לנשואים מאשר לרווקים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לא יירשמו, שכן מדובר בזוג מעורב שנישא באופן פרטי, וקידושי יהודייה לנוכרי אינם תופסים כלל לפי הדין הדתי</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יירשמו לאחר שיוכיחו שהם פסולי חיתון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250 </w:t>
            </w:r>
            <w:r>
              <w:rPr>
                <w:rFonts w:ascii="Arial" w:hAnsi="Arial" w:cs="Arial" w:eastAsia="Arial"/>
                <w:sz w:val="20"/>
                <w:szCs w:val="20"/>
                <w:rtl/>
              </w:rPr>
              <w:t xml:space="preserve">  </w:t>
            </w:r>
            <w:r>
              <w:rPr>
                <w:rFonts w:ascii="Arial" w:hAnsi="Arial" w:cs="Arial" w:eastAsia="Arial"/>
                <w:b/>
                <w:bCs/>
                <w:color w:val="111827"/>
                <w:sz w:val="20"/>
                <w:szCs w:val="20"/>
                <w:rtl/>
              </w:rPr>
              <w:t>מה קובע סעיף 7 לפקודת הנישואין והגירושין (רישום)?</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מי שאינו דואג לרישום הנישואין או הגירושין שלו, או לרישום נישואין או גירושין שסידר לאחר — דינו מאסר שנתיים</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רק בני זוג שלא רשמו את נישואיהם צפויים לעונש של מאסר חמש שנים</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רק עורך נישואין שלא רשם נישואין צפוי לקנס</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מי שאינו דואג לרישום גירושיו בלבד — דינו מאסר שנתיים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251 </w:t>
            </w:r>
            <w:r>
              <w:rPr>
                <w:rFonts w:ascii="Arial" w:hAnsi="Arial" w:cs="Arial" w:eastAsia="Arial"/>
                <w:sz w:val="20"/>
                <w:szCs w:val="20"/>
                <w:rtl/>
              </w:rPr>
              <w:t xml:space="preserve">  </w:t>
            </w:r>
            <w:r>
              <w:rPr>
                <w:rFonts w:ascii="Arial" w:hAnsi="Arial" w:cs="Arial" w:eastAsia="Arial"/>
                <w:b/>
                <w:bCs/>
                <w:color w:val="111827"/>
                <w:sz w:val="20"/>
                <w:szCs w:val="20"/>
                <w:rtl/>
              </w:rPr>
              <w:t>לפי סעיף 2א לפקודת הנישואין והגירושין (רישום), שנוסף בעקבות פעילות ארגון ”צוהר“, היכן רשאים בני זוג יהודים להירשם לנישואין?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רק בלשכת הרבנות שבאזור מגוריהם</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אצל כל רב שמונה כרושם נישואין לפי סעיף 2(6) לחוק הרבנות הראשית לישראל, בלא קשר למקום מגוריהם או למקום עריכת הנישואין</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אצל כל רב אורתודוקסי, גם אם לא מונה כרושם נישואין</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רק בארגון ”צוהר“ או בלשכת הרבנות במקום עריכת הנישואין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1BC8C"/>
              <w:left w:val="single" w:sz="8" w:space="0" w:color="D1BC8C"/>
              <w:bottom w:val="single" w:sz="8" w:space="0" w:color="D1BC8C"/>
              <w:right w:val="single" w:sz="8" w:space="0" w:color="D1BC8C"/>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9A6B00"/>
              </w:rPr>
              <w:t xml:space="preserve"> 252 </w:t>
            </w:r>
            <w:r>
              <w:rPr>
                <w:rFonts w:ascii="Arial" w:hAnsi="Arial" w:cs="Arial" w:eastAsia="Arial"/>
                <w:sz w:val="20"/>
                <w:szCs w:val="20"/>
                <w:rtl/>
              </w:rPr>
              <w:t xml:space="preserve">  </w:t>
            </w:r>
            <w:r>
              <w:rPr>
                <w:rFonts w:ascii="Arial" w:hAnsi="Arial" w:cs="Arial" w:eastAsia="Arial"/>
                <w:b/>
                <w:bCs/>
                <w:color w:val="111827"/>
                <w:sz w:val="20"/>
                <w:szCs w:val="20"/>
                <w:rtl/>
              </w:rPr>
              <w:t>אבי, אזרח ישראלי הנשוי כדמו״י, טס לקפריסין ונישא שם בנישואין אזרחיים לאישה אחרת. בחקירתו טען שהנישואין השניים ממילא בטלים, ושנערכו מחוץ לישראל. מה הדין?</w:t>
            </w:r>
          </w:p>
          <w:p>
            <w:pPr>
              <w:bidi/>
              <w:spacing w:before="0" w:after="20" w:line="276" w:lineRule="auto"/>
              <w:ind w:right="400" w:hanging="300"/>
            </w:pPr>
            <w:r>
              <w:rPr>
                <w:rFonts w:ascii="Arial" w:hAnsi="Arial" w:cs="Arial" w:eastAsia="Arial"/>
                <w:b/>
                <w:bCs/>
                <w:color w:val="9A6B00"/>
                <w:sz w:val="20"/>
                <w:szCs w:val="20"/>
                <w:rtl/>
              </w:rPr>
              <w:t xml:space="preserve">(א)  </w:t>
            </w:r>
            <w:r>
              <w:rPr>
                <w:rFonts w:ascii="Arial" w:hAnsi="Arial" w:cs="Arial" w:eastAsia="Arial"/>
                <w:color w:val="1F2430"/>
                <w:sz w:val="20"/>
                <w:szCs w:val="20"/>
                <w:rtl/>
              </w:rPr>
              <w:t>אבי לא עבר עבירה, משום שהנישואין השניים בטלים</w:t>
            </w:r>
          </w:p>
          <w:p>
            <w:pPr>
              <w:bidi/>
              <w:spacing w:before="0" w:after="20" w:line="276" w:lineRule="auto"/>
              <w:ind w:right="400" w:hanging="300"/>
            </w:pPr>
            <w:r>
              <w:rPr>
                <w:rFonts w:ascii="Arial" w:hAnsi="Arial" w:cs="Arial" w:eastAsia="Arial"/>
                <w:b/>
                <w:bCs/>
                <w:color w:val="9A6B00"/>
                <w:sz w:val="20"/>
                <w:szCs w:val="20"/>
                <w:rtl/>
              </w:rPr>
              <w:t xml:space="preserve">(ב)  </w:t>
            </w:r>
            <w:r>
              <w:rPr>
                <w:rFonts w:ascii="Arial" w:hAnsi="Arial" w:cs="Arial" w:eastAsia="Arial"/>
                <w:color w:val="1F2430"/>
                <w:sz w:val="20"/>
                <w:szCs w:val="20"/>
                <w:rtl/>
              </w:rPr>
              <w:t>אבי לא עבר עבירה, משום שהנישואין נערכו מחוץ לישראל</w:t>
            </w:r>
          </w:p>
          <w:p>
            <w:pPr>
              <w:bidi/>
              <w:spacing w:before="0" w:after="20" w:line="276" w:lineRule="auto"/>
              <w:ind w:right="400" w:hanging="300"/>
            </w:pPr>
            <w:r>
              <w:rPr>
                <w:rFonts w:ascii="Arial" w:hAnsi="Arial" w:cs="Arial" w:eastAsia="Arial"/>
                <w:b/>
                <w:bCs/>
                <w:color w:val="9A6B00"/>
                <w:sz w:val="20"/>
                <w:szCs w:val="20"/>
                <w:rtl/>
              </w:rPr>
              <w:t xml:space="preserve">(ג)  </w:t>
            </w:r>
            <w:r>
              <w:rPr>
                <w:rFonts w:ascii="Arial" w:hAnsi="Arial" w:cs="Arial" w:eastAsia="Arial"/>
                <w:color w:val="1F2430"/>
                <w:sz w:val="20"/>
                <w:szCs w:val="20"/>
                <w:rtl/>
              </w:rPr>
              <w:t>אבי עבר עבירה רק אם יירשם במרשם כנשוי לאישה השנייה</w:t>
            </w:r>
          </w:p>
          <w:p>
            <w:pPr>
              <w:bidi/>
              <w:spacing w:before="0" w:after="20" w:line="276" w:lineRule="auto"/>
              <w:ind w:right="400" w:hanging="300"/>
            </w:pPr>
            <w:r>
              <w:rPr>
                <w:rFonts w:ascii="Arial" w:hAnsi="Arial" w:cs="Arial" w:eastAsia="Arial"/>
                <w:b/>
                <w:bCs/>
                <w:color w:val="9A6B00"/>
                <w:sz w:val="20"/>
                <w:szCs w:val="20"/>
                <w:rtl/>
              </w:rPr>
              <w:t xml:space="preserve">(ד)  </w:t>
            </w:r>
            <w:r>
              <w:rPr>
                <w:rFonts w:ascii="Arial" w:hAnsi="Arial" w:cs="Arial" w:eastAsia="Arial"/>
                <w:color w:val="1F2430"/>
                <w:sz w:val="20"/>
                <w:szCs w:val="20"/>
                <w:rtl/>
              </w:rPr>
              <w:t>אבי עבר עבירה לפי סעיף 176, שכן לפי סעיף 178 אין נפקא מינה אם הנישואין החדשים תקפים או בטלים, או אם נערכו מחוץ לישראל כשהנושא אזרח או תושב ישראל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9</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225-ב</w:t>
      </w:r>
      <w:r>
        <w:rPr>
          <w:rFonts w:ascii="Arial" w:hAnsi="Arial" w:cs="Arial" w:eastAsia="Arial"/>
          <w:sz w:val="20"/>
          <w:szCs w:val="20"/>
          <w:rtl/>
        </w:rPr>
        <w:t xml:space="preserve">   </w:t>
      </w:r>
      <w:r>
        <w:rPr>
          <w:rFonts w:ascii="Arial" w:hAnsi="Arial" w:cs="Arial" w:eastAsia="Arial"/>
          <w:b/>
          <w:bCs/>
          <w:color w:val="1F2430"/>
          <w:sz w:val="20"/>
          <w:szCs w:val="20"/>
          <w:rtl/>
        </w:rPr>
        <w:t>226-ד</w:t>
      </w:r>
      <w:r>
        <w:rPr>
          <w:rFonts w:ascii="Arial" w:hAnsi="Arial" w:cs="Arial" w:eastAsia="Arial"/>
          <w:sz w:val="20"/>
          <w:szCs w:val="20"/>
          <w:rtl/>
        </w:rPr>
        <w:t xml:space="preserve">   </w:t>
      </w:r>
      <w:r>
        <w:rPr>
          <w:rFonts w:ascii="Arial" w:hAnsi="Arial" w:cs="Arial" w:eastAsia="Arial"/>
          <w:b/>
          <w:bCs/>
          <w:color w:val="1F2430"/>
          <w:sz w:val="20"/>
          <w:szCs w:val="20"/>
          <w:rtl/>
        </w:rPr>
        <w:t>227-א</w:t>
      </w:r>
      <w:r>
        <w:rPr>
          <w:rFonts w:ascii="Arial" w:hAnsi="Arial" w:cs="Arial" w:eastAsia="Arial"/>
          <w:sz w:val="20"/>
          <w:szCs w:val="20"/>
          <w:rtl/>
        </w:rPr>
        <w:t xml:space="preserve">   </w:t>
      </w:r>
      <w:r>
        <w:rPr>
          <w:rFonts w:ascii="Arial" w:hAnsi="Arial" w:cs="Arial" w:eastAsia="Arial"/>
          <w:b/>
          <w:bCs/>
          <w:color w:val="1F2430"/>
          <w:sz w:val="20"/>
          <w:szCs w:val="20"/>
          <w:rtl/>
        </w:rPr>
        <w:t>228-ג</w:t>
      </w:r>
      <w:r>
        <w:rPr>
          <w:rFonts w:ascii="Arial" w:hAnsi="Arial" w:cs="Arial" w:eastAsia="Arial"/>
          <w:sz w:val="20"/>
          <w:szCs w:val="20"/>
          <w:rtl/>
        </w:rPr>
        <w:t xml:space="preserve">   </w:t>
      </w:r>
      <w:r>
        <w:rPr>
          <w:rFonts w:ascii="Arial" w:hAnsi="Arial" w:cs="Arial" w:eastAsia="Arial"/>
          <w:b/>
          <w:bCs/>
          <w:color w:val="1F2430"/>
          <w:sz w:val="20"/>
          <w:szCs w:val="20"/>
          <w:rtl/>
        </w:rPr>
        <w:t>229-ג</w:t>
      </w:r>
      <w:r>
        <w:rPr>
          <w:rFonts w:ascii="Arial" w:hAnsi="Arial" w:cs="Arial" w:eastAsia="Arial"/>
          <w:sz w:val="20"/>
          <w:szCs w:val="20"/>
          <w:rtl/>
        </w:rPr>
        <w:t xml:space="preserve">   </w:t>
      </w:r>
      <w:r>
        <w:rPr>
          <w:rFonts w:ascii="Arial" w:hAnsi="Arial" w:cs="Arial" w:eastAsia="Arial"/>
          <w:b/>
          <w:bCs/>
          <w:color w:val="1F2430"/>
          <w:sz w:val="20"/>
          <w:szCs w:val="20"/>
          <w:rtl/>
        </w:rPr>
        <w:t>230-א</w:t>
      </w:r>
      <w:r>
        <w:rPr>
          <w:rFonts w:ascii="Arial" w:hAnsi="Arial" w:cs="Arial" w:eastAsia="Arial"/>
          <w:sz w:val="20"/>
          <w:szCs w:val="20"/>
          <w:rtl/>
        </w:rPr>
        <w:t xml:space="preserve">   </w:t>
      </w:r>
      <w:r>
        <w:rPr>
          <w:rFonts w:ascii="Arial" w:hAnsi="Arial" w:cs="Arial" w:eastAsia="Arial"/>
          <w:b/>
          <w:bCs/>
          <w:color w:val="1F2430"/>
          <w:sz w:val="20"/>
          <w:szCs w:val="20"/>
          <w:rtl/>
        </w:rPr>
        <w:t>231-ד</w:t>
      </w:r>
      <w:r>
        <w:rPr>
          <w:rFonts w:ascii="Arial" w:hAnsi="Arial" w:cs="Arial" w:eastAsia="Arial"/>
          <w:sz w:val="20"/>
          <w:szCs w:val="20"/>
          <w:rtl/>
        </w:rPr>
        <w:t xml:space="preserve">   </w:t>
      </w:r>
      <w:r>
        <w:rPr>
          <w:rFonts w:ascii="Arial" w:hAnsi="Arial" w:cs="Arial" w:eastAsia="Arial"/>
          <w:b/>
          <w:bCs/>
          <w:color w:val="1F2430"/>
          <w:sz w:val="20"/>
          <w:szCs w:val="20"/>
          <w:rtl/>
        </w:rPr>
        <w:t>232-ב</w:t>
      </w:r>
      <w:r>
        <w:rPr>
          <w:rFonts w:ascii="Arial" w:hAnsi="Arial" w:cs="Arial" w:eastAsia="Arial"/>
          <w:sz w:val="20"/>
          <w:szCs w:val="20"/>
          <w:rtl/>
        </w:rPr>
        <w:t xml:space="preserve">   </w:t>
      </w:r>
      <w:r>
        <w:rPr>
          <w:rFonts w:ascii="Arial" w:hAnsi="Arial" w:cs="Arial" w:eastAsia="Arial"/>
          <w:b/>
          <w:bCs/>
          <w:color w:val="1F2430"/>
          <w:sz w:val="20"/>
          <w:szCs w:val="20"/>
          <w:rtl/>
        </w:rPr>
        <w:t>233-א</w:t>
      </w:r>
      <w:r>
        <w:rPr>
          <w:rFonts w:ascii="Arial" w:hAnsi="Arial" w:cs="Arial" w:eastAsia="Arial"/>
          <w:sz w:val="20"/>
          <w:szCs w:val="20"/>
          <w:rtl/>
        </w:rPr>
        <w:t xml:space="preserve">   </w:t>
      </w:r>
      <w:r>
        <w:rPr>
          <w:rFonts w:ascii="Arial" w:hAnsi="Arial" w:cs="Arial" w:eastAsia="Arial"/>
          <w:b/>
          <w:bCs/>
          <w:color w:val="1F2430"/>
          <w:sz w:val="20"/>
          <w:szCs w:val="20"/>
          <w:rtl/>
        </w:rPr>
        <w:t>234-ב</w:t>
      </w:r>
      <w:r>
        <w:rPr>
          <w:rFonts w:ascii="Arial" w:hAnsi="Arial" w:cs="Arial" w:eastAsia="Arial"/>
          <w:sz w:val="20"/>
          <w:szCs w:val="20"/>
          <w:rtl/>
        </w:rPr>
        <w:t xml:space="preserve">   </w:t>
      </w:r>
      <w:r>
        <w:rPr>
          <w:rFonts w:ascii="Arial" w:hAnsi="Arial" w:cs="Arial" w:eastAsia="Arial"/>
          <w:b/>
          <w:bCs/>
          <w:color w:val="1F2430"/>
          <w:sz w:val="20"/>
          <w:szCs w:val="20"/>
          <w:rtl/>
        </w:rPr>
        <w:t>235-ג</w:t>
      </w:r>
      <w:r>
        <w:rPr>
          <w:rFonts w:ascii="Arial" w:hAnsi="Arial" w:cs="Arial" w:eastAsia="Arial"/>
          <w:sz w:val="20"/>
          <w:szCs w:val="20"/>
          <w:rtl/>
        </w:rPr>
        <w:t xml:space="preserve">   </w:t>
      </w:r>
      <w:r>
        <w:rPr>
          <w:rFonts w:ascii="Arial" w:hAnsi="Arial" w:cs="Arial" w:eastAsia="Arial"/>
          <w:b/>
          <w:bCs/>
          <w:color w:val="1F2430"/>
          <w:sz w:val="20"/>
          <w:szCs w:val="20"/>
          <w:rtl/>
        </w:rPr>
        <w:t>236-ד</w:t>
      </w:r>
      <w:r>
        <w:rPr>
          <w:rFonts w:ascii="Arial" w:hAnsi="Arial" w:cs="Arial" w:eastAsia="Arial"/>
          <w:sz w:val="20"/>
          <w:szCs w:val="20"/>
          <w:rtl/>
        </w:rPr>
        <w:t xml:space="preserve">   </w:t>
      </w:r>
      <w:r>
        <w:rPr>
          <w:rFonts w:ascii="Arial" w:hAnsi="Arial" w:cs="Arial" w:eastAsia="Arial"/>
          <w:b/>
          <w:bCs/>
          <w:color w:val="1F2430"/>
          <w:sz w:val="20"/>
          <w:szCs w:val="20"/>
          <w:rtl/>
        </w:rPr>
        <w:t>237-ד</w:t>
      </w:r>
      <w:r>
        <w:rPr>
          <w:rFonts w:ascii="Arial" w:hAnsi="Arial" w:cs="Arial" w:eastAsia="Arial"/>
          <w:sz w:val="20"/>
          <w:szCs w:val="20"/>
          <w:rtl/>
        </w:rPr>
        <w:t xml:space="preserve">   </w:t>
      </w:r>
      <w:r>
        <w:rPr>
          <w:rFonts w:ascii="Arial" w:hAnsi="Arial" w:cs="Arial" w:eastAsia="Arial"/>
          <w:b/>
          <w:bCs/>
          <w:color w:val="1F2430"/>
          <w:sz w:val="20"/>
          <w:szCs w:val="20"/>
          <w:rtl/>
        </w:rPr>
        <w:t>238-ג</w:t>
      </w:r>
      <w:r>
        <w:rPr>
          <w:rFonts w:ascii="Arial" w:hAnsi="Arial" w:cs="Arial" w:eastAsia="Arial"/>
          <w:sz w:val="20"/>
          <w:szCs w:val="20"/>
          <w:rtl/>
        </w:rPr>
        <w:t xml:space="preserve">   </w:t>
      </w:r>
      <w:r>
        <w:rPr>
          <w:rFonts w:ascii="Arial" w:hAnsi="Arial" w:cs="Arial" w:eastAsia="Arial"/>
          <w:b/>
          <w:bCs/>
          <w:color w:val="1F2430"/>
          <w:sz w:val="20"/>
          <w:szCs w:val="20"/>
          <w:rtl/>
        </w:rPr>
        <w:t>239-ב</w:t>
      </w:r>
      <w:r>
        <w:rPr>
          <w:rFonts w:ascii="Arial" w:hAnsi="Arial" w:cs="Arial" w:eastAsia="Arial"/>
          <w:sz w:val="20"/>
          <w:szCs w:val="20"/>
          <w:rtl/>
        </w:rPr>
        <w:t xml:space="preserve">   </w:t>
      </w:r>
      <w:r>
        <w:rPr>
          <w:rFonts w:ascii="Arial" w:hAnsi="Arial" w:cs="Arial" w:eastAsia="Arial"/>
          <w:b/>
          <w:bCs/>
          <w:color w:val="1F2430"/>
          <w:sz w:val="20"/>
          <w:szCs w:val="20"/>
          <w:rtl/>
        </w:rPr>
        <w:t>240-א</w:t>
      </w:r>
      <w:r>
        <w:rPr>
          <w:rFonts w:ascii="Arial" w:hAnsi="Arial" w:cs="Arial" w:eastAsia="Arial"/>
          <w:sz w:val="20"/>
          <w:szCs w:val="20"/>
          <w:rtl/>
        </w:rPr>
        <w:t xml:space="preserve">   </w:t>
      </w:r>
      <w:r>
        <w:rPr>
          <w:rFonts w:ascii="Arial" w:hAnsi="Arial" w:cs="Arial" w:eastAsia="Arial"/>
          <w:b/>
          <w:bCs/>
          <w:color w:val="1F2430"/>
          <w:sz w:val="20"/>
          <w:szCs w:val="20"/>
          <w:rtl/>
        </w:rPr>
        <w:t>241-ב</w:t>
      </w:r>
      <w:r>
        <w:rPr>
          <w:rFonts w:ascii="Arial" w:hAnsi="Arial" w:cs="Arial" w:eastAsia="Arial"/>
          <w:sz w:val="20"/>
          <w:szCs w:val="20"/>
          <w:rtl/>
        </w:rPr>
        <w:t xml:space="preserve">   </w:t>
      </w:r>
      <w:r>
        <w:rPr>
          <w:rFonts w:ascii="Arial" w:hAnsi="Arial" w:cs="Arial" w:eastAsia="Arial"/>
          <w:b/>
          <w:bCs/>
          <w:color w:val="1F2430"/>
          <w:sz w:val="20"/>
          <w:szCs w:val="20"/>
          <w:rtl/>
        </w:rPr>
        <w:t>242-ד</w:t>
      </w:r>
      <w:r>
        <w:rPr>
          <w:rFonts w:ascii="Arial" w:hAnsi="Arial" w:cs="Arial" w:eastAsia="Arial"/>
          <w:sz w:val="20"/>
          <w:szCs w:val="20"/>
          <w:rtl/>
        </w:rPr>
        <w:t xml:space="preserve">   </w:t>
      </w:r>
      <w:r>
        <w:rPr>
          <w:rFonts w:ascii="Arial" w:hAnsi="Arial" w:cs="Arial" w:eastAsia="Arial"/>
          <w:b/>
          <w:bCs/>
          <w:color w:val="1F2430"/>
          <w:sz w:val="20"/>
          <w:szCs w:val="20"/>
          <w:rtl/>
        </w:rPr>
        <w:t>243-א</w:t>
      </w:r>
      <w:r>
        <w:rPr>
          <w:rFonts w:ascii="Arial" w:hAnsi="Arial" w:cs="Arial" w:eastAsia="Arial"/>
          <w:sz w:val="20"/>
          <w:szCs w:val="20"/>
          <w:rtl/>
        </w:rPr>
        <w:t xml:space="preserve">   </w:t>
      </w:r>
      <w:r>
        <w:rPr>
          <w:rFonts w:ascii="Arial" w:hAnsi="Arial" w:cs="Arial" w:eastAsia="Arial"/>
          <w:b/>
          <w:bCs/>
          <w:color w:val="1F2430"/>
          <w:sz w:val="20"/>
          <w:szCs w:val="20"/>
          <w:rtl/>
        </w:rPr>
        <w:t>244-ג</w:t>
      </w:r>
      <w:r>
        <w:rPr>
          <w:rFonts w:ascii="Arial" w:hAnsi="Arial" w:cs="Arial" w:eastAsia="Arial"/>
          <w:sz w:val="20"/>
          <w:szCs w:val="20"/>
          <w:rtl/>
        </w:rPr>
        <w:t xml:space="preserve">   </w:t>
      </w:r>
      <w:r>
        <w:rPr>
          <w:rFonts w:ascii="Arial" w:hAnsi="Arial" w:cs="Arial" w:eastAsia="Arial"/>
          <w:b/>
          <w:bCs/>
          <w:color w:val="1F2430"/>
          <w:sz w:val="20"/>
          <w:szCs w:val="20"/>
          <w:rtl/>
        </w:rPr>
        <w:t>245-א</w:t>
      </w:r>
      <w:r>
        <w:rPr>
          <w:rFonts w:ascii="Arial" w:hAnsi="Arial" w:cs="Arial" w:eastAsia="Arial"/>
          <w:sz w:val="20"/>
          <w:szCs w:val="20"/>
          <w:rtl/>
        </w:rPr>
        <w:t xml:space="preserve">   </w:t>
      </w:r>
      <w:r>
        <w:rPr>
          <w:rFonts w:ascii="Arial" w:hAnsi="Arial" w:cs="Arial" w:eastAsia="Arial"/>
          <w:b/>
          <w:bCs/>
          <w:color w:val="1F2430"/>
          <w:sz w:val="20"/>
          <w:szCs w:val="20"/>
          <w:rtl/>
        </w:rPr>
        <w:t>246-ג</w:t>
      </w:r>
      <w:r>
        <w:rPr>
          <w:rFonts w:ascii="Arial" w:hAnsi="Arial" w:cs="Arial" w:eastAsia="Arial"/>
          <w:sz w:val="20"/>
          <w:szCs w:val="20"/>
          <w:rtl/>
        </w:rPr>
        <w:t xml:space="preserve">   </w:t>
      </w:r>
      <w:r>
        <w:rPr>
          <w:rFonts w:ascii="Arial" w:hAnsi="Arial" w:cs="Arial" w:eastAsia="Arial"/>
          <w:b/>
          <w:bCs/>
          <w:color w:val="1F2430"/>
          <w:sz w:val="20"/>
          <w:szCs w:val="20"/>
          <w:rtl/>
        </w:rPr>
        <w:t>247-ד</w:t>
      </w:r>
      <w:r>
        <w:rPr>
          <w:rFonts w:ascii="Arial" w:hAnsi="Arial" w:cs="Arial" w:eastAsia="Arial"/>
          <w:sz w:val="20"/>
          <w:szCs w:val="20"/>
          <w:rtl/>
        </w:rPr>
        <w:t xml:space="preserve">   </w:t>
      </w:r>
      <w:r>
        <w:rPr>
          <w:rFonts w:ascii="Arial" w:hAnsi="Arial" w:cs="Arial" w:eastAsia="Arial"/>
          <w:b/>
          <w:bCs/>
          <w:color w:val="1F2430"/>
          <w:sz w:val="20"/>
          <w:szCs w:val="20"/>
          <w:rtl/>
        </w:rPr>
        <w:t>248-ב</w:t>
      </w:r>
      <w:r>
        <w:rPr>
          <w:rFonts w:ascii="Arial" w:hAnsi="Arial" w:cs="Arial" w:eastAsia="Arial"/>
          <w:sz w:val="20"/>
          <w:szCs w:val="20"/>
          <w:rtl/>
        </w:rPr>
        <w:t xml:space="preserve">   </w:t>
      </w:r>
      <w:r>
        <w:rPr>
          <w:rFonts w:ascii="Arial" w:hAnsi="Arial" w:cs="Arial" w:eastAsia="Arial"/>
          <w:b/>
          <w:bCs/>
          <w:color w:val="1F2430"/>
          <w:sz w:val="20"/>
          <w:szCs w:val="20"/>
          <w:rtl/>
        </w:rPr>
        <w:t>249-ג</w:t>
      </w:r>
      <w:r>
        <w:rPr>
          <w:rFonts w:ascii="Arial" w:hAnsi="Arial" w:cs="Arial" w:eastAsia="Arial"/>
          <w:sz w:val="20"/>
          <w:szCs w:val="20"/>
          <w:rtl/>
        </w:rPr>
        <w:t xml:space="preserve">   </w:t>
      </w:r>
      <w:r>
        <w:rPr>
          <w:rFonts w:ascii="Arial" w:hAnsi="Arial" w:cs="Arial" w:eastAsia="Arial"/>
          <w:b/>
          <w:bCs/>
          <w:color w:val="1F2430"/>
          <w:sz w:val="20"/>
          <w:szCs w:val="20"/>
          <w:rtl/>
        </w:rPr>
        <w:t>250-א</w:t>
      </w:r>
      <w:r>
        <w:rPr>
          <w:rFonts w:ascii="Arial" w:hAnsi="Arial" w:cs="Arial" w:eastAsia="Arial"/>
          <w:sz w:val="20"/>
          <w:szCs w:val="20"/>
          <w:rtl/>
        </w:rPr>
        <w:t xml:space="preserve">   </w:t>
      </w:r>
      <w:r>
        <w:rPr>
          <w:rFonts w:ascii="Arial" w:hAnsi="Arial" w:cs="Arial" w:eastAsia="Arial"/>
          <w:b/>
          <w:bCs/>
          <w:color w:val="1F2430"/>
          <w:sz w:val="20"/>
          <w:szCs w:val="20"/>
          <w:rtl/>
        </w:rPr>
        <w:t>251-ב</w:t>
      </w:r>
      <w:r>
        <w:rPr>
          <w:rFonts w:ascii="Arial" w:hAnsi="Arial" w:cs="Arial" w:eastAsia="Arial"/>
          <w:sz w:val="20"/>
          <w:szCs w:val="20"/>
          <w:rtl/>
        </w:rPr>
        <w:t xml:space="preserve">   </w:t>
      </w:r>
      <w:r>
        <w:rPr>
          <w:rFonts w:ascii="Arial" w:hAnsi="Arial" w:cs="Arial" w:eastAsia="Arial"/>
          <w:b/>
          <w:bCs/>
          <w:color w:val="1F2430"/>
          <w:sz w:val="20"/>
          <w:szCs w:val="20"/>
          <w:rtl/>
        </w:rPr>
        <w:t>252-ד</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225 — התשובה הנכונה: ב</w:t>
            </w:r>
          </w:p>
          <w:p>
            <w:pPr>
              <w:bidi/>
              <w:spacing w:before="0" w:after="0" w:line="288" w:lineRule="auto"/>
              <w:jc w:val="both"/>
            </w:pPr>
            <w:r>
              <w:rPr>
                <w:rFonts w:ascii="Arial" w:hAnsi="Arial" w:cs="Arial" w:eastAsia="Arial"/>
                <w:color w:val="1F2430"/>
                <w:sz w:val="19"/>
                <w:szCs w:val="19"/>
                <w:rtl/>
              </w:rPr>
              <w:t>דעת הרוב (השופט זוסמן) קבעה שהשאלה מנהלית — ”לא בתוקף הנישואין אלא בצידוק סירוב הפקיד“. פקיד הרישום הוא מאסף סטטיסטי ואינו שופט, ולכן עליו לרשום לפי תעודה ציבורית תקינה. תשובה 1 היא עמדת המיעוט של השופט זילברג, שלא התקבלה.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226 — התשובה הנכונה: ד</w:t>
            </w:r>
          </w:p>
          <w:p>
            <w:pPr>
              <w:bidi/>
              <w:spacing w:before="0" w:after="0" w:line="288" w:lineRule="auto"/>
              <w:jc w:val="both"/>
            </w:pPr>
            <w:r>
              <w:rPr>
                <w:rFonts w:ascii="Arial" w:hAnsi="Arial" w:cs="Arial" w:eastAsia="Arial"/>
                <w:color w:val="1F2430"/>
                <w:sz w:val="19"/>
                <w:szCs w:val="19"/>
                <w:rtl/>
              </w:rPr>
              <w:t>השופט זילברג הסכים עם עמדת הפקיד והיה דוחה את העתירה. השופט זוסמן כתב את דעת הרוב. ברק ורובינשטיין הם שופטי הרוב והמיעוט בבן ארי, שניתן עשרות שנים מאוחר יותר.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227 — התשובה הנכונה: א</w:t>
            </w:r>
          </w:p>
          <w:p>
            <w:pPr>
              <w:bidi/>
              <w:spacing w:before="0" w:after="0" w:line="288" w:lineRule="auto"/>
              <w:jc w:val="both"/>
            </w:pPr>
            <w:r>
              <w:rPr>
                <w:rFonts w:ascii="Arial" w:hAnsi="Arial" w:cs="Arial" w:eastAsia="Arial"/>
                <w:color w:val="1F2430"/>
                <w:sz w:val="19"/>
                <w:szCs w:val="19"/>
                <w:rtl/>
              </w:rPr>
              <w:t>החריג היחיד לחובת הרישום (מלבד זיוף) הוא ”אי נכונות גלויה לעין“ — טעות עובדתית בולטת, כמו בדוגמה של זוסמן. זוג מאותו מין אינו נכנס לחריג (בן ארי — הפקיד ניסה לטעון זאת ונדחה), נישואי זום נרשמים (בריל) וזוג מעורב נרשם (פונק שלזינגר עצמו).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228 — התשובה הנכונה: ג</w:t>
            </w:r>
          </w:p>
          <w:p>
            <w:pPr>
              <w:bidi/>
              <w:spacing w:before="0" w:after="0" w:line="288" w:lineRule="auto"/>
              <w:jc w:val="both"/>
            </w:pPr>
            <w:r>
              <w:rPr>
                <w:rFonts w:ascii="Arial" w:hAnsi="Arial" w:cs="Arial" w:eastAsia="Arial"/>
                <w:color w:val="1F2430"/>
                <w:sz w:val="19"/>
                <w:szCs w:val="19"/>
                <w:rtl/>
              </w:rPr>
              <w:t>סעיף 3 קובע שהרישום הוא ראיה לכאורה רק לפרטים שבפסקאות (1)–(4) ו-(9)–(13) לסעיף 2(א). פסקאות (5)–(8) — לאום, דת, מצב אישי ושם בן הזוג — הוצאו, ולגביהן הרישום סטטיסטי בלבד. לכן תשובה 4 שגויה, ותשובות 1–2 מתארות דווקא פרטים שהם ראיה לכאורה.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229 — התשובה הנכונה: ג</w:t>
            </w:r>
          </w:p>
          <w:p>
            <w:pPr>
              <w:bidi/>
              <w:spacing w:before="0" w:after="0" w:line="288" w:lineRule="auto"/>
              <w:jc w:val="both"/>
            </w:pPr>
            <w:r>
              <w:rPr>
                <w:rFonts w:ascii="Arial" w:hAnsi="Arial" w:cs="Arial" w:eastAsia="Arial"/>
                <w:color w:val="1F2430"/>
                <w:sz w:val="19"/>
                <w:szCs w:val="19"/>
                <w:rtl/>
              </w:rPr>
              <w:t>הדת אינה נכללת בפסקאות שסעיף 3 מעניק להן מעמד של ראיה לכאורה, ולכן מי שטוען שהוא יהודי צריך להוכיח זאת, ולא די לו להצביע על הרישום. זו בדיוק התכלית שהוסברה בשיעור: המדינה מנהלת מרשם בלי שהרישום יחייב את הרבנות. תשובה 1 נכונה רק לגבי פרטים כמו גיל ומין.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230 — התשובה הנכונה: א</w:t>
            </w:r>
          </w:p>
          <w:p>
            <w:pPr>
              <w:bidi/>
              <w:spacing w:before="0" w:after="0" w:line="288" w:lineRule="auto"/>
              <w:jc w:val="both"/>
            </w:pPr>
            <w:r>
              <w:rPr>
                <w:rFonts w:ascii="Arial" w:hAnsi="Arial" w:cs="Arial" w:eastAsia="Arial"/>
                <w:color w:val="1F2430"/>
                <w:sz w:val="19"/>
                <w:szCs w:val="19"/>
                <w:rtl/>
              </w:rPr>
              <w:t>סעיף 17 חל על שינוי שלא נעשה דרך רשות או ערכאה בישראל — והדוגמה הנפוצה היא נישואין אזרחיים בחו״ל — ומחייב את התושב עצמו להודיע תוך 30 יום. סעיף 15 (14 יום) מחייב את הרשות שערכה פעולה בישראל, כגון נישואין שנרשמו לפי פקודת הנישואין והגירושין (רישום), ואינו חל על רשות זרה.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231 — התשובה הנכונה: ד</w:t>
            </w:r>
          </w:p>
          <w:p>
            <w:pPr>
              <w:bidi/>
              <w:spacing w:before="0" w:after="0" w:line="288" w:lineRule="auto"/>
              <w:jc w:val="both"/>
            </w:pPr>
            <w:r>
              <w:rPr>
                <w:rFonts w:ascii="Arial" w:hAnsi="Arial" w:cs="Arial" w:eastAsia="Arial"/>
                <w:color w:val="1F2430"/>
                <w:sz w:val="19"/>
                <w:szCs w:val="19"/>
                <w:rtl/>
              </w:rPr>
              <w:t>סעיף 176 אוסר על נשוי ”לשאת“ אישה אחרת, כלומר לבצע אקט נישואין נוסף. הסעיף אינו אוסר על נשוי לחיות עם אחרת כידועה בציבור, וכך נאמר במפורש בשיעור ובשאלות החידוד. סעיף 7 לפקודה עוסק באי-רישום נישואין או גירושין, ואין כאן נישואין שלא נרשמו.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232 — התשובה הנכונה: ב</w:t>
            </w:r>
          </w:p>
          <w:p>
            <w:pPr>
              <w:bidi/>
              <w:spacing w:before="0" w:after="0" w:line="288" w:lineRule="auto"/>
              <w:jc w:val="both"/>
            </w:pPr>
            <w:r>
              <w:rPr>
                <w:rFonts w:ascii="Arial" w:hAnsi="Arial" w:cs="Arial" w:eastAsia="Arial"/>
                <w:color w:val="1F2430"/>
                <w:sz w:val="19"/>
                <w:szCs w:val="19"/>
                <w:rtl/>
              </w:rPr>
              <w:t>סעיף 16 מטיל את החובה על הערכאה עצמה — בית משפט או בית דין דתי — ומפרט גם צו אימוץ, תעודת גירושין והצהרת מוות. ההיגיון: ערכאה שעוסקת בסטטוס לא סומכת על הצדדים שיעדכנו את המרשם. תשובה 3 מערבבת עם סעיף 17, שבו האדם עצמו מודיע תוך 30 יום.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233 — התשובה הנכונה: א</w:t>
            </w:r>
          </w:p>
          <w:p>
            <w:pPr>
              <w:bidi/>
              <w:spacing w:before="0" w:after="0" w:line="288" w:lineRule="auto"/>
              <w:jc w:val="both"/>
            </w:pPr>
            <w:r>
              <w:rPr>
                <w:rFonts w:ascii="Arial" w:hAnsi="Arial" w:cs="Arial" w:eastAsia="Arial"/>
                <w:color w:val="1F2430"/>
                <w:sz w:val="19"/>
                <w:szCs w:val="19"/>
                <w:rtl/>
              </w:rPr>
              <w:t>סעיף 19ג(א) מאפשר שינוי רק על פי מסמך לפי סעיפים 15 או 16, או הודעה לפי סעיף 17 יחד עם תעודה ציבורית המעידה על השינוי. האפשרות להסתפק בהודעה בלבד קיימת ברישום ראשון (19ב), לא בשינוי. פונק שלזינגר אינו עוזר כאן, כי הוא מניח קיומה של תעודה ציבורית, וגם תצהירי עדים הם מסמכים פרטיים (ראו גורפינקל).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234 — התשובה הנכונה: ב</w:t>
            </w:r>
          </w:p>
          <w:p>
            <w:pPr>
              <w:bidi/>
              <w:spacing w:before="0" w:after="0" w:line="288" w:lineRule="auto"/>
              <w:jc w:val="both"/>
            </w:pPr>
            <w:r>
              <w:rPr>
                <w:rFonts w:ascii="Arial" w:hAnsi="Arial" w:cs="Arial" w:eastAsia="Arial"/>
                <w:color w:val="1F2430"/>
                <w:sz w:val="19"/>
                <w:szCs w:val="19"/>
                <w:rtl/>
              </w:rPr>
              <w:t>סעיף 19ב(א) קובע שרישום ראשון ייעשה על פי תעודה ציבורית, ”ובאין תעודה כזאת – על פי הודעה“. כך הפקידים מוכנים לקבל הצהרה מעולה חדש. זה לא מטעה את הציבור משום שהרישום (למשל של דת) הוא סטטיסטי, ולרבנות שמורה הזכות לדרוש הוכחה.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235 — התשובה הנכונה: ג</w:t>
            </w:r>
          </w:p>
          <w:p>
            <w:pPr>
              <w:bidi/>
              <w:spacing w:before="0" w:after="0" w:line="288" w:lineRule="auto"/>
              <w:jc w:val="both"/>
            </w:pPr>
            <w:r>
              <w:rPr>
                <w:rFonts w:ascii="Arial" w:hAnsi="Arial" w:cs="Arial" w:eastAsia="Arial"/>
                <w:color w:val="1F2430"/>
                <w:sz w:val="19"/>
                <w:szCs w:val="19"/>
                <w:rtl/>
              </w:rPr>
              <w:t>סעיף 179 קובע את ההגנה בתנאים מצטברים: דין תורה חל על הנישואין החדשים, ניתן היתר נישואין בפסק דין סופי של בית דין רבני, ופסק הדין אושר בידי נשיא בית הדין הרבני הגדול. היתר של בית הדין האזורי בלבד אינו מספיק. נישואין בחו״ל אינם מועילים, שכן לפי סעיף 178(3) אין נפקא מינה אם נערכו מחוץ לישראל כשהנושא אזרח או תושב.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236 — התשובה הנכונה: ד</w:t>
            </w:r>
          </w:p>
          <w:p>
            <w:pPr>
              <w:bidi/>
              <w:spacing w:before="0" w:after="0" w:line="288" w:lineRule="auto"/>
              <w:jc w:val="both"/>
            </w:pPr>
            <w:r>
              <w:rPr>
                <w:rFonts w:ascii="Arial" w:hAnsi="Arial" w:cs="Arial" w:eastAsia="Arial"/>
                <w:color w:val="1F2430"/>
                <w:sz w:val="19"/>
                <w:szCs w:val="19"/>
                <w:rtl/>
              </w:rPr>
              <w:t>זוסמן פירש את סעיף 2 כחל רק על נישואין שנערכים בישראל, ולכן נישואין שנערכו בחו״ל אינם כפופים לו והפקיד חייב לרשום. זו אחת הסיבות שנישואין אזרחיים בחו״ל יצרו לאורך השנים מסלול רישום מוכר. הסעיף עוסק בנישואין וגם בגירושין, ולא בוטל.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237 — התשובה הנכונה: ד</w:t>
            </w:r>
          </w:p>
          <w:p>
            <w:pPr>
              <w:bidi/>
              <w:spacing w:before="0" w:after="0" w:line="288" w:lineRule="auto"/>
              <w:jc w:val="both"/>
            </w:pPr>
            <w:r>
              <w:rPr>
                <w:rFonts w:ascii="Arial" w:hAnsi="Arial" w:cs="Arial" w:eastAsia="Arial"/>
                <w:color w:val="1F2430"/>
                <w:sz w:val="19"/>
                <w:szCs w:val="19"/>
                <w:rtl/>
              </w:rPr>
              <w:t>בן ארי נדון בהרכב של שבעה שופטים והוכרע ברוב של 6 נגד 1. ברק כתב את דעת הרוב, שלפיה הלכת פונק שלזינגר חלה גם על זוגות מאותו מין, והשופט רובינשטיין היה במיעוט. הרכב של חמישה שופטים היה בפונק שלזינגר.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238 — התשובה הנכונה: ג</w:t>
            </w:r>
          </w:p>
          <w:p>
            <w:pPr>
              <w:bidi/>
              <w:spacing w:before="0" w:after="0" w:line="288" w:lineRule="auto"/>
              <w:jc w:val="both"/>
            </w:pPr>
            <w:r>
              <w:rPr>
                <w:rFonts w:ascii="Arial" w:hAnsi="Arial" w:cs="Arial" w:eastAsia="Arial"/>
                <w:color w:val="1F2430"/>
                <w:sz w:val="19"/>
                <w:szCs w:val="19"/>
                <w:rtl/>
              </w:rPr>
              <w:t>תשובה 3 היא תשובתו של ברק (דעת הרוב) לטענת המדינה שהרשויות והציבור מסתמכים על הרישום. רובינשטיין טען דווקא את ההפך: הציבור אינו מבחין בין רישום להכרה. כמו כן טען שזוג מאותו מין נכנס לחריג של אי נכונות גלויה לעין, ושמדובר ב”דגל“ ולא בזכויות כלכליות.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239 — התשובה הנכונה: ב</w:t>
            </w:r>
          </w:p>
          <w:p>
            <w:pPr>
              <w:bidi/>
              <w:spacing w:before="0" w:after="0" w:line="288" w:lineRule="auto"/>
              <w:jc w:val="both"/>
            </w:pPr>
            <w:r>
              <w:rPr>
                <w:rFonts w:ascii="Arial" w:hAnsi="Arial" w:cs="Arial" w:eastAsia="Arial"/>
                <w:color w:val="1F2430"/>
                <w:sz w:val="19"/>
                <w:szCs w:val="19"/>
                <w:rtl/>
              </w:rPr>
              <w:t>לפי ברק, שר הפנים הוא הזרוע המבצעת; ההכרעה בשאלות עקרוניות של נישואין ומעמד אישי שמורה לכנסת. כל עוד הכנסת לא אמרה את דברה, ההכרעות לא ייעשו במסגרת המרשם. תשובה 3 מתארת את מה שנקבע בגורפינקל (מיצוי הליכים), ולא את טיעון ההסדר הראשוני.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240 — התשובה הנכונה: א</w:t>
            </w:r>
          </w:p>
          <w:p>
            <w:pPr>
              <w:bidi/>
              <w:spacing w:before="0" w:after="0" w:line="288" w:lineRule="auto"/>
              <w:jc w:val="both"/>
            </w:pPr>
            <w:r>
              <w:rPr>
                <w:rFonts w:ascii="Arial" w:hAnsi="Arial" w:cs="Arial" w:eastAsia="Arial"/>
                <w:color w:val="1F2430"/>
                <w:sz w:val="19"/>
                <w:szCs w:val="19"/>
                <w:rtl/>
              </w:rPr>
              <w:t>כך נקבע בתמ״ש 11264-09-12: ”בהשתהותו של בית הדין לפתוח התיק ולקבל אגרה הפקיע בית הדין את סמכותו“, ובפרשנות תכליתית — אצל זוג מאותו מין אין ספק נישואין דתיים שיש לברר. תשובה 2 שגויה, כי שינוי סטטוס אינו נעשה בהצהרה פרטית; תשובה 3 שגויה, כי קנדה אינה מגרשת את מי שאינם תושביה.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241 — התשובה הנכונה: ב</w:t>
            </w:r>
          </w:p>
          <w:p>
            <w:pPr>
              <w:bidi/>
              <w:spacing w:before="0" w:after="0" w:line="288" w:lineRule="auto"/>
              <w:jc w:val="both"/>
            </w:pPr>
            <w:r>
              <w:rPr>
                <w:rFonts w:ascii="Arial" w:hAnsi="Arial" w:cs="Arial" w:eastAsia="Arial"/>
                <w:color w:val="1F2430"/>
                <w:sz w:val="19"/>
                <w:szCs w:val="19"/>
                <w:rtl/>
              </w:rPr>
              <w:t>זה הנימוק שהובא בשיעור: מבחינה מהותית הנישואין אינם תופסים, אך הרישום כנשואים מונע מהם להינשא לאחרים — ושינוי המצב האישי דורש החלטה של ערכאה. בן ארי הדגיש שאין בו הכרה מהותית (תשובה 1 שגויה), ומגורים כידועים בציבור אינם עבירה לפי סעיף 176 (תשובה 3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242 — התשובה הנכונה: ד</w:t>
            </w:r>
          </w:p>
          <w:p>
            <w:pPr>
              <w:bidi/>
              <w:spacing w:before="0" w:after="0" w:line="288" w:lineRule="auto"/>
              <w:jc w:val="both"/>
            </w:pPr>
            <w:r>
              <w:rPr>
                <w:rFonts w:ascii="Arial" w:hAnsi="Arial" w:cs="Arial" w:eastAsia="Arial"/>
                <w:color w:val="1F2430"/>
                <w:sz w:val="19"/>
                <w:szCs w:val="19"/>
                <w:rtl/>
              </w:rPr>
              <w:t>המדינה (והפקיד) טענו ש”מירב הזיקות“ של הטקס הן לישראל, ולכן הנישואין נערכו בישראל וחל עליהם הדין הישראלי ולא ההלכות על נישואין בחו״ל. לא נטען זיוף ולא נטען שהתעודה אינה תקפה ביוטה.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243 — התשובה הנכונה: א</w:t>
            </w:r>
          </w:p>
          <w:p>
            <w:pPr>
              <w:bidi/>
              <w:spacing w:before="0" w:after="0" w:line="288" w:lineRule="auto"/>
              <w:jc w:val="both"/>
            </w:pPr>
            <w:r>
              <w:rPr>
                <w:rFonts w:ascii="Arial" w:hAnsi="Arial" w:cs="Arial" w:eastAsia="Arial"/>
                <w:color w:val="1F2430"/>
                <w:sz w:val="19"/>
                <w:szCs w:val="19"/>
                <w:rtl/>
              </w:rPr>
              <w:t>בית המשפט החיל את הלכת פונק שלזינגר: הפקיד בודק רק אם קיימת תעודה ציבורית תקינה שניתנה בידי הגורם המוסמך. לצורך המרשם אין הבדל בין טקס בנוכחות פיזית לטקס מקוון, וערעור המדינה נדחה. בפסק הדין גם נסקרו פרשות קודמות שבהן הוחלה ההלכה: נישואי קונסול זר בישראל, בן ארי ונישואין במיופה כוח (אל סלבדור).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244 — התשובה הנכונה: ג</w:t>
            </w:r>
          </w:p>
          <w:p>
            <w:pPr>
              <w:bidi/>
              <w:spacing w:before="0" w:after="0" w:line="288" w:lineRule="auto"/>
              <w:jc w:val="both"/>
            </w:pPr>
            <w:r>
              <w:rPr>
                <w:rFonts w:ascii="Arial" w:hAnsi="Arial" w:cs="Arial" w:eastAsia="Arial"/>
                <w:color w:val="1F2430"/>
                <w:sz w:val="19"/>
                <w:szCs w:val="19"/>
                <w:rtl/>
              </w:rPr>
              <w:t>הציטוט המלא: ”לרישום הנישואין יש חשיבות מעשית, אך אין הוא מצביע על תוקפם של נישואין בישראל על פי הדין המהותי והוא אף לא משמש כראיה לכאורה לנכונותו“. זה מתיישב עם סעיף 3, שאינו כולל את המצב האישי. עם זאת, בפועל הרישום מקנה זכויות רבות.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245 — התשובה הנכונה: א</w:t>
            </w:r>
          </w:p>
          <w:p>
            <w:pPr>
              <w:bidi/>
              <w:spacing w:before="0" w:after="0" w:line="288" w:lineRule="auto"/>
              <w:jc w:val="both"/>
            </w:pPr>
            <w:r>
              <w:rPr>
                <w:rFonts w:ascii="Arial" w:hAnsi="Arial" w:cs="Arial" w:eastAsia="Arial"/>
                <w:color w:val="1F2430"/>
                <w:sz w:val="19"/>
                <w:szCs w:val="19"/>
                <w:rtl/>
              </w:rPr>
              <w:t>לפי הנוהל, על המבקשים למסור את שם עורך הנישואין, שיצהיר שבני הזוג פנויים ויתחייב שלא לערוך עוד נישואין לזוגות שלא נרשמו. משסירב, קבע בית הדין שהטקס נערך בידי מי שאינו מוסמך ושההתנהלות חסרת תום לב, והורה על הסדרה ועל רישום ברשימת מעוכבי הנישואין. בג״ץ קבע שבית הדין לא חרג מסמכותו, בייחוד נוכח ספקות רציניים בתוקף הטקס.</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246 — התשובה הנכונה: ג</w:t>
            </w:r>
          </w:p>
          <w:p>
            <w:pPr>
              <w:bidi/>
              <w:spacing w:before="0" w:after="0" w:line="288" w:lineRule="auto"/>
              <w:jc w:val="both"/>
            </w:pPr>
            <w:r>
              <w:rPr>
                <w:rFonts w:ascii="Arial" w:hAnsi="Arial" w:cs="Arial" w:eastAsia="Arial"/>
                <w:color w:val="1F2430"/>
                <w:sz w:val="19"/>
                <w:szCs w:val="19"/>
                <w:rtl/>
              </w:rPr>
              <w:t>בנעמת קבע בג״ץ שאפשר לרשום מתגייר רפורמי כיהודי, כי הרישום אינו הכרעה מלאה במעמד הדתי. ברק הזכיר זאת בבן ארי כדי להראות שגם לגבי זוגות מאותו מין, רישום אינו שווה הכרה מהותית. ציון ”התגייר“ הוא מה שביקש שר הפנים בפרשת שושנה מילר, ולא הותר לו.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247 — התשובה הנכונה: ד</w:t>
            </w:r>
          </w:p>
          <w:p>
            <w:pPr>
              <w:bidi/>
              <w:spacing w:before="0" w:after="0" w:line="288" w:lineRule="auto"/>
              <w:jc w:val="both"/>
            </w:pPr>
            <w:r>
              <w:rPr>
                <w:rFonts w:ascii="Arial" w:hAnsi="Arial" w:cs="Arial" w:eastAsia="Arial"/>
                <w:color w:val="1F2430"/>
                <w:sz w:val="19"/>
                <w:szCs w:val="19"/>
                <w:rtl/>
              </w:rPr>
              <w:t>בג״ץ לא רצה להשאיר פסולי חיתון ללא פתרון ולשלוח אותם לחו״ל (”איזה פתרון הוא זה... לשלוח את תושבי המדינה אל מחוץ לגבולותיה“), ולכן קבע — כהכרעה אגבית לצורך המרשם בלבד — שהם אסורים לאחרים בלי גט, והורה לרשום אותם כנשואים. בג״ץ לא הורה לבית הדין מה לכתוב, וקביעתו אינה מחייבת את בית הדין הרבני.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248 — התשובה הנכונה: ב</w:t>
            </w:r>
          </w:p>
          <w:p>
            <w:pPr>
              <w:bidi/>
              <w:spacing w:before="0" w:after="0" w:line="288" w:lineRule="auto"/>
              <w:jc w:val="both"/>
            </w:pPr>
            <w:r>
              <w:rPr>
                <w:rFonts w:ascii="Arial" w:hAnsi="Arial" w:cs="Arial" w:eastAsia="Arial"/>
                <w:color w:val="1F2430"/>
                <w:sz w:val="19"/>
                <w:szCs w:val="19"/>
                <w:rtl/>
              </w:rPr>
              <w:t>בגורפינקל דרש בג״ץ מיצוי הליכים: קודם פונים לבית הדין הרבני. תצהירים ותמונות הם מסמכים פרטיים ולא תעודה ציבורית, ולכן פונק שלזינגר אינו חל. בניגוד לרודניצקי, שם בני הזוג כבר מיצו את ההליך בבית הדין הרבני ובבית הדין הגדול.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249 — התשובה הנכונה: ג</w:t>
            </w:r>
          </w:p>
          <w:p>
            <w:pPr>
              <w:bidi/>
              <w:spacing w:before="0" w:after="0" w:line="288" w:lineRule="auto"/>
              <w:jc w:val="both"/>
            </w:pPr>
            <w:r>
              <w:rPr>
                <w:rFonts w:ascii="Arial" w:hAnsi="Arial" w:cs="Arial" w:eastAsia="Arial"/>
                <w:color w:val="1F2430"/>
                <w:sz w:val="19"/>
                <w:szCs w:val="19"/>
                <w:rtl/>
              </w:rPr>
              <w:t>כך נקבע בע״א 373/72 טפר: אצל כהן וגרושה הקידושין יכולים לתפוס לפחות מספק, ולכן אפשר לעזור להם (רודניצקי); אצל זוג מעורב הקידושין אינם תופסים כלל, ואין ממה לגזור הכרה או רישום. הלכת פונק שלזינגר אינה רלוונטית, כי אין תעודה ציבורית של רשות מוסמכת. תשובה 2 מתארת את היגיון הלכת כהן לגבי פסולי חיתון יהודים.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250 — התשובה הנכונה: א</w:t>
            </w:r>
          </w:p>
          <w:p>
            <w:pPr>
              <w:bidi/>
              <w:spacing w:before="0" w:after="0" w:line="288" w:lineRule="auto"/>
              <w:jc w:val="both"/>
            </w:pPr>
            <w:r>
              <w:rPr>
                <w:rFonts w:ascii="Arial" w:hAnsi="Arial" w:cs="Arial" w:eastAsia="Arial"/>
                <w:color w:val="1F2430"/>
                <w:sz w:val="19"/>
                <w:szCs w:val="19"/>
                <w:rtl/>
              </w:rPr>
              <w:t>סעיף 7 (בתיקון תשע״ד) חל על שני מעגלים: בני הזוג עצמם, ומי שסידר את הנישואין או הגירושין לאחר. העונש הוא שנתיים מאסר, והוא חל גם על נישואין וגם על גירושין. חמש שנות מאסר הן העונש על ריבוי נישואין לפי סעיף 176 לחוק העונשין. בפועל העבירה כמעט אינה נאכפת.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251 — התשובה הנכונה: ב</w:t>
            </w:r>
          </w:p>
          <w:p>
            <w:pPr>
              <w:bidi/>
              <w:spacing w:before="0" w:after="0" w:line="288" w:lineRule="auto"/>
              <w:jc w:val="both"/>
            </w:pPr>
            <w:r>
              <w:rPr>
                <w:rFonts w:ascii="Arial" w:hAnsi="Arial" w:cs="Arial" w:eastAsia="Arial"/>
                <w:color w:val="1F2430"/>
                <w:sz w:val="19"/>
                <w:szCs w:val="19"/>
                <w:rtl/>
              </w:rPr>
              <w:t>סעיף 2א מאפשר לבני זוג יהודים להירשם אצל כל רב שמונה כרושם נישואין, בלי תלות במקום המגורים או במקום הטקס. התנאי הוא שהרב מונה כרושם נישואין — רב שאינו מוסמך אינו ”רשות רושמת“, ונישואין שערך הם נישואין פרטיים.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252 — התשובה הנכונה: ד</w:t>
            </w:r>
          </w:p>
          <w:p>
            <w:pPr>
              <w:bidi/>
              <w:spacing w:before="0" w:after="0" w:line="288" w:lineRule="auto"/>
              <w:jc w:val="both"/>
            </w:pPr>
            <w:r>
              <w:rPr>
                <w:rFonts w:ascii="Arial" w:hAnsi="Arial" w:cs="Arial" w:eastAsia="Arial"/>
                <w:color w:val="1F2430"/>
                <w:sz w:val="19"/>
                <w:szCs w:val="19"/>
                <w:rtl/>
              </w:rPr>
              <w:t>סעיף 178 סוגר את שני פתחי המילוט: לפי ס״ק (2) אין נפקא מינה אם הנישואין החדשים תקפים או בטלים, ולפי ס״ק (3) אין נפקא מינה אם נערכו מחוץ לישראל, בתנאי שבשעת הנישואין הנושא היה אזרח או תושב ישראל. כל אקט של נישואין נוספים הוא עבירה, ודינה לפי סעיף 176 — מאסר חמש שנים. הרישום אינו תנאי לעבירה.</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0B7FA0"/>
            <w:tcBorders>
              <w:top w:val="single" w:sz="4" w:space="0" w:color="0B7FA0"/>
              <w:left w:val="single" w:sz="4" w:space="0" w:color="0B7FA0"/>
              <w:bottom w:val="single" w:sz="4" w:space="0" w:color="0B7FA0"/>
              <w:right w:val="single" w:sz="4" w:space="0" w:color="0B7FA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10</w:t>
            </w:r>
          </w:p>
          <w:p>
            <w:pPr>
              <w:bidi/>
              <w:spacing w:before="0" w:after="0" w:line="264" w:lineRule="auto"/>
              <w:outlineLvl w:val="0"/>
            </w:pPr>
            <w:r>
              <w:rPr>
                <w:rFonts w:ascii="Arial" w:hAnsi="Arial" w:cs="Arial" w:eastAsia="Arial"/>
                <w:b/>
                <w:bCs/>
                <w:color w:val="FFFFFF"/>
                <w:sz w:val="42"/>
                <w:szCs w:val="42"/>
                <w:rtl/>
              </w:rPr>
              <w:t>מזונות ילדים ומשמורת</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253 </w:t>
            </w:r>
            <w:r>
              <w:rPr>
                <w:rFonts w:ascii="Arial" w:hAnsi="Arial" w:cs="Arial" w:eastAsia="Arial"/>
                <w:sz w:val="20"/>
                <w:szCs w:val="20"/>
                <w:rtl/>
              </w:rPr>
              <w:t xml:space="preserve">  </w:t>
            </w:r>
            <w:r>
              <w:rPr>
                <w:rFonts w:ascii="Arial" w:hAnsi="Arial" w:cs="Arial" w:eastAsia="Arial"/>
                <w:b/>
                <w:bCs/>
                <w:color w:val="111827"/>
                <w:sz w:val="20"/>
                <w:szCs w:val="20"/>
                <w:rtl/>
              </w:rPr>
              <w:t>דוד ורחל, יהודים, נישאו בנישואין אזרחיים בקפריסין ונולדה להם בת. לפי איזה דין ייקבעו מזונות הבת?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לפי ההסדר האזרחי של סעיף 3א, כי בני הזוג נישאו בנישואין אזרחיים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לפי הדין האישי של דוד, הדין העברי, מכוח סעיף 3(א) לחוק לתיקון דיני המשפחה (מזונות)</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לפי הדין האישי, אבל רק אם התביעה מוגשת לבית הדין הרבני</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בית המשפט רשאי לבחור את הדין שנראה לו צודק יותר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254 </w:t>
            </w:r>
            <w:r>
              <w:rPr>
                <w:rFonts w:ascii="Arial" w:hAnsi="Arial" w:cs="Arial" w:eastAsia="Arial"/>
                <w:sz w:val="20"/>
                <w:szCs w:val="20"/>
                <w:rtl/>
              </w:rPr>
              <w:t xml:space="preserve">  </w:t>
            </w:r>
            <w:r>
              <w:rPr>
                <w:rFonts w:ascii="Arial" w:hAnsi="Arial" w:cs="Arial" w:eastAsia="Arial"/>
                <w:b/>
                <w:bCs/>
                <w:color w:val="111827"/>
                <w:sz w:val="20"/>
                <w:szCs w:val="20"/>
                <w:rtl/>
              </w:rPr>
              <w:t>יוסי, יהודי, ניהל קשר עם ג׳ני שאינה יהודייה ונולד להם בן. לפי ההלכה הבן אינו יהודי ויוסי אינו חייב במזונותיו. מה הדין?</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יוסי פטור ממזונות, כי הדין האישי שלו לא מחייב אותו</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יוסי חייב לבדו במזונות הבן לפי הדין העברי, כמו כל אב יהודי</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רק ג׳ני חייבת במזונות, כי הבן הולך אחר אמו</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יוסי וג׳ני חייבים במזונות הבן מכוח סעיפים 3(ב) ו-3א לחוק, בשיעור יחסי להכנסותיהם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255 </w:t>
            </w:r>
            <w:r>
              <w:rPr>
                <w:rFonts w:ascii="Arial" w:hAnsi="Arial" w:cs="Arial" w:eastAsia="Arial"/>
                <w:sz w:val="20"/>
                <w:szCs w:val="20"/>
                <w:rtl/>
              </w:rPr>
              <w:t xml:space="preserve">  </w:t>
            </w:r>
            <w:r>
              <w:rPr>
                <w:rFonts w:ascii="Arial" w:hAnsi="Arial" w:cs="Arial" w:eastAsia="Arial"/>
                <w:b/>
                <w:bCs/>
                <w:color w:val="111827"/>
                <w:sz w:val="20"/>
                <w:szCs w:val="20"/>
                <w:rtl/>
              </w:rPr>
              <w:t>לפי סעיף 3א(ב) לחוק לתיקון דיני המשפחה (מזונות), כיצד מתחלק החיוב בין ההורים?</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בשיעור יחסי להכנסותיהם מכל מקור שהוא, בלי להתחשב בשאלה בידי מי מוחזק הקטין</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חצי-חצי, בכל מקרה</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לפי זמני השהות בלבד</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על ההורה שאינו משמורן בלבד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256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היקף החיוב לפי סעיף 3(א) והדין העברי?</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אב חייב במזונות ילדיו רק אם נולדו במסגרת נישואין כדת משה וישראל</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תורם זרע לעולם לא יחויב במזונות, כי החוק פוטר אותו במפורש</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הדין הדתי מחיל מבחן ביולוגי, ולכן אב חייב גם בילד שנולד מחוץ לנישואין או בגניבת זרע, ואם זהות תורם זרע תתגלה הוא עלול להיות מחויב</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כל אדם חייב לפי הדין העברי גם במזונות ילדיו הקטינים של בן זוגו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257 </w:t>
            </w:r>
            <w:r>
              <w:rPr>
                <w:rFonts w:ascii="Arial" w:hAnsi="Arial" w:cs="Arial" w:eastAsia="Arial"/>
                <w:sz w:val="20"/>
                <w:szCs w:val="20"/>
                <w:rtl/>
              </w:rPr>
              <w:t xml:space="preserve">  </w:t>
            </w:r>
            <w:r>
              <w:rPr>
                <w:rFonts w:ascii="Arial" w:hAnsi="Arial" w:cs="Arial" w:eastAsia="Arial"/>
                <w:b/>
                <w:bCs/>
                <w:color w:val="111827"/>
                <w:sz w:val="20"/>
                <w:szCs w:val="20"/>
                <w:rtl/>
              </w:rPr>
              <w:t>לשרה ולמשה, יהודים גרושים, ילד בן 4. הכנסת שרה גבוהה פי שלושה מהכנסת משה, ולילד יש חיסכון גדול מירושה. מי חייב במזונות ההכרחיים של הילד לפי הדין העברי?</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שרה ומשה, באופן יחסי להכנסותיהם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שרה, כי היא העשירה מבין השניים</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משה לבדו, כי עד גיל 6 זו חובה מוחלטת של האב גם אם האם עשירה וגם אם לילד יש מקורות</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משה, רק אם הוא אמיד והילד נצרך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258 </w:t>
            </w:r>
            <w:r>
              <w:rPr>
                <w:rFonts w:ascii="Arial" w:hAnsi="Arial" w:cs="Arial" w:eastAsia="Arial"/>
                <w:sz w:val="20"/>
                <w:szCs w:val="20"/>
                <w:rtl/>
              </w:rPr>
              <w:t xml:space="preserve">  </w:t>
            </w:r>
            <w:r>
              <w:rPr>
                <w:rFonts w:ascii="Arial" w:hAnsi="Arial" w:cs="Arial" w:eastAsia="Arial"/>
                <w:b/>
                <w:bCs/>
                <w:color w:val="111827"/>
                <w:sz w:val="20"/>
                <w:szCs w:val="20"/>
                <w:rtl/>
              </w:rPr>
              <w:t>לפי תקנת אושא, באילו תנאים נאכף חיוב האב במזונות ילדיו מגיל 6 ועד גיל מצוות?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כשהאב אמיד וגם הילדים נצרכים ואין להם מקורות חלופיים, בשני תנאים מצטברים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בכל מקרה, כחובה מוחלטת כמו עד גיל 6</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רק כשהאם אינה עובדת</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רק אם האב התחייב לכך בכתובה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259 </w:t>
            </w:r>
            <w:r>
              <w:rPr>
                <w:rFonts w:ascii="Arial" w:hAnsi="Arial" w:cs="Arial" w:eastAsia="Arial"/>
                <w:sz w:val="20"/>
                <w:szCs w:val="20"/>
                <w:rtl/>
              </w:rPr>
              <w:t xml:space="preserve">  </w:t>
            </w:r>
            <w:r>
              <w:rPr>
                <w:rFonts w:ascii="Arial" w:hAnsi="Arial" w:cs="Arial" w:eastAsia="Arial"/>
                <w:b/>
                <w:bCs/>
                <w:color w:val="111827"/>
                <w:sz w:val="20"/>
                <w:szCs w:val="20"/>
                <w:rtl/>
              </w:rPr>
              <w:t>מה קבעה תקנת הרבנות הראשית משנת תש״ד (1944)?</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ביטלה את החיוב לפני גיל 6 והעבירה אותו לאם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הורתה ששני ההורים נושאים במזונות בחלקים שווים מלידה</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קבעה שהחיוב מעל גיל 6 הוא מדין צדקה בלבד</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הרחיבה את כוח בית הדין לחייב ולכפות על האב לפרנס את ילדיו עד גיל 15, כפי שהיה עד גיל 6</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260 </w:t>
            </w:r>
            <w:r>
              <w:rPr>
                <w:rFonts w:ascii="Arial" w:hAnsi="Arial" w:cs="Arial" w:eastAsia="Arial"/>
                <w:sz w:val="20"/>
                <w:szCs w:val="20"/>
                <w:rtl/>
              </w:rPr>
              <w:t xml:space="preserve">  </w:t>
            </w:r>
            <w:r>
              <w:rPr>
                <w:rFonts w:ascii="Arial" w:hAnsi="Arial" w:cs="Arial" w:eastAsia="Arial"/>
                <w:b/>
                <w:bCs/>
                <w:color w:val="111827"/>
                <w:sz w:val="20"/>
                <w:szCs w:val="20"/>
                <w:rtl/>
              </w:rPr>
              <w:t>מדוע לסיווג החיוב במזונות כחיוב ״מדין צדקה״ יש חשיבות מכרעת?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כי חיוב מדין צדקה פוטר את האב לחלוטין</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כי בחיוב מדין צדקה בודקים את יכולת שני ההורים, ולכן אפשר לשתף גם את האם לפי יכולתה</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כי חיוב מדין צדקה נידון רק בבית הדין הרבני</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כי חיוב מדין צדקה חל רק מעל גיל 18</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261 </w:t>
            </w:r>
            <w:r>
              <w:rPr>
                <w:rFonts w:ascii="Arial" w:hAnsi="Arial" w:cs="Arial" w:eastAsia="Arial"/>
                <w:sz w:val="20"/>
                <w:szCs w:val="20"/>
                <w:rtl/>
              </w:rPr>
              <w:t xml:space="preserve">  </w:t>
            </w:r>
            <w:r>
              <w:rPr>
                <w:rFonts w:ascii="Arial" w:hAnsi="Arial" w:cs="Arial" w:eastAsia="Arial"/>
                <w:b/>
                <w:bCs/>
                <w:color w:val="111827"/>
                <w:sz w:val="20"/>
                <w:szCs w:val="20"/>
                <w:rtl/>
              </w:rPr>
              <w:t>מה הייתה עמדת מועצת הרבנות הראשית בשאלת טיב החיוב בגילאי 6–15?</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היא ציינה שרוב הפוסקים סברו שמדובר בחיוב מדין צדקה, אך לא הכריעה והותירה את ההכרעה לשיקול דעתו של כל דיין</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היא אימצה את פרשנות 1947 וקבעה שזה חיוב מוחלט לכל דבר</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היא הורתה לבתי הדין לחלק את החיוב חצי-חצי בין ההורים</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היא קבעה שאין כל חיוב מעל גיל 6</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262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לגבי גילאי 15–18 בדין העברי?</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החיוב בהם תמיד היה חובה מוחלטת של האב מעיקר הדין</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במקור החיוב היה מדין צדקה על שני ההורים לפי יכולותיהם, ותקנת תשמ״א הפכה אותו לחובה מוחלטת של האב</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אין כל חיוב במזונות מגיל 15</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החיוב בהם נקבע בתקנת אושא</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263 </w:t>
            </w:r>
            <w:r>
              <w:rPr>
                <w:rFonts w:ascii="Arial" w:hAnsi="Arial" w:cs="Arial" w:eastAsia="Arial"/>
                <w:sz w:val="20"/>
                <w:szCs w:val="20"/>
                <w:rtl/>
              </w:rPr>
              <w:t xml:space="preserve">  </w:t>
            </w:r>
            <w:r>
              <w:rPr>
                <w:rFonts w:ascii="Arial" w:hAnsi="Arial" w:cs="Arial" w:eastAsia="Arial"/>
                <w:b/>
                <w:bCs/>
                <w:color w:val="111827"/>
                <w:sz w:val="20"/>
                <w:szCs w:val="20"/>
                <w:rtl/>
              </w:rPr>
              <w:t>גלית גרה עם שני ילדיה בדירה שכורה ב-4,000 ₪ לחודש. לפי המוסכמות שנלמדו, מה חלקם של הילדים במדור?</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כ-2,667 ₪, שליש לכל ילד</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כ-1,333 ₪, שליש לשני הילדים יחד</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כ-1,600 ₪, כ-40% לשני הילדים יחד</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כ-2,000 ₪, מחצית, כמו בכל מקרה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264 </w:t>
            </w:r>
            <w:r>
              <w:rPr>
                <w:rFonts w:ascii="Arial" w:hAnsi="Arial" w:cs="Arial" w:eastAsia="Arial"/>
                <w:sz w:val="20"/>
                <w:szCs w:val="20"/>
                <w:rtl/>
              </w:rPr>
              <w:t xml:space="preserve">  </w:t>
            </w:r>
            <w:r>
              <w:rPr>
                <w:rFonts w:ascii="Arial" w:hAnsi="Arial" w:cs="Arial" w:eastAsia="Arial"/>
                <w:b/>
                <w:bCs/>
                <w:color w:val="111827"/>
                <w:sz w:val="20"/>
                <w:szCs w:val="20"/>
                <w:rtl/>
              </w:rPr>
              <w:t>עופר, מהנדס שהרוויח 20,000 ₪ בחודש, התפטר עם פתיחת הליך הגירושין וטוען שהכנסתו אפס. מה יעשה בית המשפט לענייני משפחה בקביעת יכולתו?</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יקבע מזונות לפי הכנסה אפס, לפי התלוש</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יחייב רק את האם עד שעופר ימצא עבודה</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יעביר את התיק לבית הדין הרבני</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יבחן את ההכנסה הפנויה בראייה רחבה, כולל פוטנציאל ההשתכרות, נכסים וחסכונות, לפי בע״מ 3432/09</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265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לגבי הצרכים ההכרחיים של קטין?</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הם נקבעים לפי רמת ההכנסה של האב</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יש להוכיח כל רכיב בקבלות, אחרת לא ייפסק דבר</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לשלושה ילדים פוסקים בדיוק פי שלושה מסכום הבסיס לילד אחד</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המזונות הבסיסיים אינם טעונים הוכחה ומצויים בידיעה השיפוטית, ובפסיקה המחוזית הוצע להעלות את הרף ל-1,600–1,700 ₪</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266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בע״מ 919/15?</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ניתן בהרכב של שלושה שופטים ברוב דעות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קבע שמגיל 0 שני ההורים חבים בשווה במזונות ההכרחיים</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ניתן בהרכב של שבעה שופטים פה אחד, ולפי השופט פוגלמן בגילאי 6–15 שני ההורים חבים מדין צדקה לפי יכולותיהם היחסיות ובהתחשב בחלוקת המשמורת בפועל</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קבע שהאם משתתפת רק במה שמעבר לצרכים ההכרחיים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267 </w:t>
            </w:r>
            <w:r>
              <w:rPr>
                <w:rFonts w:ascii="Arial" w:hAnsi="Arial" w:cs="Arial" w:eastAsia="Arial"/>
                <w:sz w:val="20"/>
                <w:szCs w:val="20"/>
                <w:rtl/>
              </w:rPr>
              <w:t xml:space="preserve">  </w:t>
            </w:r>
            <w:r>
              <w:rPr>
                <w:rFonts w:ascii="Arial" w:hAnsi="Arial" w:cs="Arial" w:eastAsia="Arial"/>
                <w:b/>
                <w:bCs/>
                <w:color w:val="111827"/>
                <w:sz w:val="20"/>
                <w:szCs w:val="20"/>
                <w:rtl/>
              </w:rPr>
              <w:t>לאחר בע״מ 919/15 ילד בן 4 שוהה 40% מהזמן אצל אביו. האם מרוויחה פי שניים מהאב. מה נכון לגבי המזונות ההכרחיים?</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האם תישא בשני שלישים מהם, לפי יחס ההכנסות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האב נושא בהם לבדו לפי הדין האישי, אך יש לקזז את מה שהוא מוציא ישירות כשהילד אצלו</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האב פטור לחלוטין, כי מדובר כמעט במשמורת משותפת</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כל הורה נושא בחצי, כי 919/15 קבע שוויון מלידה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268 </w:t>
            </w:r>
            <w:r>
              <w:rPr>
                <w:rFonts w:ascii="Arial" w:hAnsi="Arial" w:cs="Arial" w:eastAsia="Arial"/>
                <w:sz w:val="20"/>
                <w:szCs w:val="20"/>
                <w:rtl/>
              </w:rPr>
              <w:t xml:space="preserve">  </w:t>
            </w:r>
            <w:r>
              <w:rPr>
                <w:rFonts w:ascii="Arial" w:hAnsi="Arial" w:cs="Arial" w:eastAsia="Arial"/>
                <w:b/>
                <w:bCs/>
                <w:color w:val="111827"/>
                <w:sz w:val="20"/>
                <w:szCs w:val="20"/>
                <w:rtl/>
              </w:rPr>
              <w:t>לפי השופטת ברק-ארז בבע״מ 919/15, כיצד יש לטפל בהוצאה על נעלי התעמלות חדשות לילד במשמורת משותפת?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זו הוצאה שאינה תלויית שהות, ויש לנהל אותה באמצעות מנגנון מרכז, כמו הורה מרכז וחשבון משותף, לפי יחס היכולות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זו הוצאה תלויית שהות, וההורה שהילד אצלו באותו יום משלם</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הילד יבקש בכל פעם מהורה אחר, לסירוגין</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ההוצאה מוטלת תמיד על האב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269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לגבי ״ההורה המרכז״?</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ההורה המרכז הוא תמיד ההורה שמרוויח יותר, והוא משלם את כל ההוצאות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ההורה המרכז מנהל את ההוצאות שאינן תלויות שהות ואינו משלם בהכרח יותר. שני ההורים משתתפים לפי יחס ההכנסות, למשל באמצעות חשבון משותף</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ההורה המרכז נבחר בהגרלה</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ההורה המרכז מנהל רק את ההוצאות החריגות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270 </w:t>
            </w:r>
            <w:r>
              <w:rPr>
                <w:rFonts w:ascii="Arial" w:hAnsi="Arial" w:cs="Arial" w:eastAsia="Arial"/>
                <w:sz w:val="20"/>
                <w:szCs w:val="20"/>
                <w:rtl/>
              </w:rPr>
              <w:t xml:space="preserve">  </w:t>
            </w:r>
            <w:r>
              <w:rPr>
                <w:rFonts w:ascii="Arial" w:hAnsi="Arial" w:cs="Arial" w:eastAsia="Arial"/>
                <w:b/>
                <w:bCs/>
                <w:color w:val="111827"/>
                <w:sz w:val="20"/>
                <w:szCs w:val="20"/>
                <w:rtl/>
              </w:rPr>
              <w:t>ילדה בת 8. נקבע יחס יכולות של 40% לאב ו-60% לאם. הצרכים תלויי השהות הם 3,000 ₪ לחודש, והאב מוציא עליה ישירות כ-700 ₪ בזמן שהיא אצלו. כמה יעביר האב לאם בגין צרכים אלה?</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500 ₪</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1,200 ₪</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700 ₪</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1,800 ₪</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271 </w:t>
            </w:r>
            <w:r>
              <w:rPr>
                <w:rFonts w:ascii="Arial" w:hAnsi="Arial" w:cs="Arial" w:eastAsia="Arial"/>
                <w:sz w:val="20"/>
                <w:szCs w:val="20"/>
                <w:rtl/>
              </w:rPr>
              <w:t xml:space="preserve">  </w:t>
            </w:r>
            <w:r>
              <w:rPr>
                <w:rFonts w:ascii="Arial" w:hAnsi="Arial" w:cs="Arial" w:eastAsia="Arial"/>
                <w:b/>
                <w:bCs/>
                <w:color w:val="111827"/>
                <w:sz w:val="20"/>
                <w:szCs w:val="20"/>
                <w:rtl/>
              </w:rPr>
              <w:t>אב טוען שהלכת 919/15 חלה רק כשיש משמורת משותפת והכנסות שוות. מה נקבע בעמ״ש (ת״א) 38647-09-17?</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הטענה נכונה, וההלכה חלה רק במשמורת משותפת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ההלכה חלה רק כשהאם מרוויחה יותר מהאב</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ההלכה חלה רק על ילדים מעל גיל 15</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ההלכה אינה מצומצמת למשמורת משותפת, והמוסד של מזונות הכרחיים מגיל 6 בוטל בפועל, כך שחיוב האב והאם זהה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272 </w:t>
            </w:r>
            <w:r>
              <w:rPr>
                <w:rFonts w:ascii="Arial" w:hAnsi="Arial" w:cs="Arial" w:eastAsia="Arial"/>
                <w:sz w:val="20"/>
                <w:szCs w:val="20"/>
                <w:rtl/>
              </w:rPr>
              <w:t xml:space="preserve">  </w:t>
            </w:r>
            <w:r>
              <w:rPr>
                <w:rFonts w:ascii="Arial" w:hAnsi="Arial" w:cs="Arial" w:eastAsia="Arial"/>
                <w:b/>
                <w:bCs/>
                <w:color w:val="111827"/>
                <w:sz w:val="20"/>
                <w:szCs w:val="20"/>
                <w:rtl/>
              </w:rPr>
              <w:t>אבי ומירב התגרשו ב-2014 בהסכם שאושר. אבי משלם 4,000 ₪ לשני ילדיהם, בני 10 ו-12, ולא חל שינוי בהסדרי השהות או בהכנסות. אבי תובע הפחתה בטענה שהלכת 919/15 משנה את התמונה. מה הדין לפי הכרעת העליון?</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התביעה תתקבל, כי 919/15 חלה למפרע על כל פסקי הדין</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התביעה תתקבל רק אם מירב מרוויחה יותר ממנו</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התביעה תידחה: 919/15 כשלעצמה אינה שינוי נסיבות מהותי. רק שינוי עובדתי מהותי יאפשר לבחון את הרכיב שהשתנה לפי עקרונות 919/15</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התביעה תועבר לבית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273 </w:t>
            </w:r>
            <w:r>
              <w:rPr>
                <w:rFonts w:ascii="Arial" w:hAnsi="Arial" w:cs="Arial" w:eastAsia="Arial"/>
                <w:sz w:val="20"/>
                <w:szCs w:val="20"/>
                <w:rtl/>
              </w:rPr>
              <w:t xml:space="preserve">  </w:t>
            </w:r>
            <w:r>
              <w:rPr>
                <w:rFonts w:ascii="Arial" w:hAnsi="Arial" w:cs="Arial" w:eastAsia="Arial"/>
                <w:b/>
                <w:bCs/>
                <w:color w:val="111827"/>
                <w:sz w:val="20"/>
                <w:szCs w:val="20"/>
                <w:rtl/>
              </w:rPr>
              <w:t>הורים נפרדים הסכימו ביניהם שהילד יגור אצל האב ושהאם תראה אותו פעם בחודש. מה מעמד ההסכם לפי סעיף 24 לחוק הכשרות המשפטית והאפוטרופסות?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ההסכם תקף מיד עם חתימתו, כי ההורים הם האפוטרופסים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ההסכם בטל, כי ילדים עד גיל 6 חייבים להיות אצל האם</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ההסכם טעון אישור בית המשפט, והוא יאושר רק אם בית המשפט נוכח שהוא לטובת הקטין. לאחר אישורו דינו כדין החלטת בית המשפט</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הסכם כזה תקף רק אם נחתם בפני נוטריון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274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נכונה לגבי חזקת הגיל הרך בסעיף 25 לחוק הכשרות המשפטית והאפוטרופסות?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זה כלל מוחלט: ילד עד גיל 6 יהיה תמיד אצל אמו</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החזקה חלה גם כשההורים הסכימו אחרת, ומבטלת את הסכמתם</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החזקה פוקעת בגיל 6, ואין לה כל השפעה מעבר לגיל זה</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זו חזקה הניתנת לסתירה (״אם אין סיבות מיוחדות להורות אחרת״), היא חלה בהיעדר הסכמה, ובפועל השפעתה נמשכת מעבר לגיל 6 כי בתי המשפט נמנעים מלהפריד בין אחים ושומרים על רציפות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275 </w:t>
            </w:r>
            <w:r>
              <w:rPr>
                <w:rFonts w:ascii="Arial" w:hAnsi="Arial" w:cs="Arial" w:eastAsia="Arial"/>
                <w:sz w:val="20"/>
                <w:szCs w:val="20"/>
                <w:rtl/>
              </w:rPr>
              <w:t xml:space="preserve">  </w:t>
            </w:r>
            <w:r>
              <w:rPr>
                <w:rFonts w:ascii="Arial" w:hAnsi="Arial" w:cs="Arial" w:eastAsia="Arial"/>
                <w:b/>
                <w:bCs/>
                <w:color w:val="111827"/>
                <w:sz w:val="20"/>
                <w:szCs w:val="20"/>
                <w:rtl/>
              </w:rPr>
              <w:t>בת ה-5 של רונית ואלי נמצאת במשמורת רונית. השניים חלוקים בשאלה אם הבת תלמד בבית ספר ממלכתי-דתי או ממלכתי. האם לרונית יש עדיפות בהכרעה בזכות חזקת הגיל הרך?</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לא. חזקת הגיל הרך נוגעת למשמורת הפיזית בלבד, ושני ההורים הם אפוטרופסים טבעיים שווים, בלי עדיפות לאחד מהם</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כן, חזקת הגיל הרך מקנה לאם עדיפות בכל ענייני הילד עד גיל 6</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כן, כי היא האם</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כן, אבל רק אם רונית פנתה ראשונה לבית המשפט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276 </w:t>
            </w:r>
            <w:r>
              <w:rPr>
                <w:rFonts w:ascii="Arial" w:hAnsi="Arial" w:cs="Arial" w:eastAsia="Arial"/>
                <w:sz w:val="20"/>
                <w:szCs w:val="20"/>
                <w:rtl/>
              </w:rPr>
              <w:t xml:space="preserve">  </w:t>
            </w:r>
            <w:r>
              <w:rPr>
                <w:rFonts w:ascii="Arial" w:hAnsi="Arial" w:cs="Arial" w:eastAsia="Arial"/>
                <w:b/>
                <w:bCs/>
                <w:color w:val="111827"/>
                <w:sz w:val="20"/>
                <w:szCs w:val="20"/>
                <w:rtl/>
              </w:rPr>
              <w:t>אם העבירה באופן חד-צדדי ילד בן 4 לעיר רחוקה בלי לעדכן את האב. חוות דעת קבעה שלאב מסוגלות הורית טובה יותר, ובית המשפט לענייני משפחה העביר את הילד לאב. מה נקבע בערעור, כפי שנלמד בבע״מ 1858/14?</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ההעברה לאב אושרה, כי כל התנהגות פסולה סותרת את החזקה</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התנהגות האם פסולה אבל אינה ״סיבות מיוחדות״ שסותרות את חזקת הגיל הרך. הילד נשאר אצל האם, ובית המשפט לא יכול ליצור דרך עוקפת לחזקה</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נקבעה משמורת משותפת באופן אוטומטי</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הילד הועבר לצד ג׳ לפי חוק הנוער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277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התגרשו בבית הדין הרבני, ובית הדין דן גם במשמורת על ילדיהם. לפי איזה דין יכריע בית הדין במשמורת?</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לפי הדין העברי בלבד, כי משמורת היא עניין של מעמד אישי</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לפי מה שיבחר בית הדין</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לפי הדין העברי, אלא אם ההורים ביקשו את הדין האזרחי</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לפי חוק הכשרות המשפטית והאפוטרופסות, כי סעיף 79 מחיל את הוראות החוק גם על בית דין דתי מוסמך</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278 </w:t>
            </w:r>
            <w:r>
              <w:rPr>
                <w:rFonts w:ascii="Arial" w:hAnsi="Arial" w:cs="Arial" w:eastAsia="Arial"/>
                <w:sz w:val="20"/>
                <w:szCs w:val="20"/>
                <w:rtl/>
              </w:rPr>
              <w:t xml:space="preserve">  </w:t>
            </w:r>
            <w:r>
              <w:rPr>
                <w:rFonts w:ascii="Arial" w:hAnsi="Arial" w:cs="Arial" w:eastAsia="Arial"/>
                <w:b/>
                <w:bCs/>
                <w:color w:val="111827"/>
                <w:sz w:val="20"/>
                <w:szCs w:val="20"/>
                <w:rtl/>
              </w:rPr>
              <w:t>איזו התאמה בין הוועדה להמלצתה נכונה?</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ועדת שניט: דין מזונות אזרחי אחיד. ועדת שיפמן: ביטול חזקת הגיל הרך</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ועדת שניט (2010): ביטול חזקת הגיל הרך ובחינת כל מקרה לגופו. ועדת שיפמן (2012): ביטול התלות בדין האישי במזונות ומעבר לדין אזרחי אחיד לפי הכנסות וימי הורות</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שתי הוועדות המליצו להשאיר את המצב הקיים</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המלצות שתי הוועדות התקבלו במלואן בחקיקה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279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מתארת נכון את ההבדל בין בית המשפט לענייני משפחה לבין בית הדין הרבני בקביעת מזונות ילדים אחרי בע״מ 919/15?</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בית הדין הרבני מתחשב בפוטנציאל השתכרות, ובית המשפט אינו מתחשב בו</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בשתי הערכאות האם משתתפת מהשקל הראשון מעל גיל 6</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בית הדין הרבני מקפיד להשאיר לאב די סיפוקו למחייתו, מחיל את ״הצרכים ההכרחיים״ בכל הגילאים ולא מתחשב בפוטנציאל השתכרות, ובית המשפט האזרחי מחלק מגיל 6 בין ההורים לפי יכולות יחסיות ומתחשב בפוטנציאל השתכרות</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שתי הערכאות אינן מקזזות את זמני השהות אצל האב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91C5D4"/>
              <w:left w:val="single" w:sz="8" w:space="0" w:color="91C5D4"/>
              <w:bottom w:val="single" w:sz="8" w:space="0" w:color="91C5D4"/>
              <w:right w:val="single" w:sz="8" w:space="0" w:color="91C5D4"/>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0B7FA0"/>
              </w:rPr>
              <w:t xml:space="preserve"> 280 </w:t>
            </w:r>
            <w:r>
              <w:rPr>
                <w:rFonts w:ascii="Arial" w:hAnsi="Arial" w:cs="Arial" w:eastAsia="Arial"/>
                <w:sz w:val="20"/>
                <w:szCs w:val="20"/>
                <w:rtl/>
              </w:rPr>
              <w:t xml:space="preserve">  </w:t>
            </w:r>
            <w:r>
              <w:rPr>
                <w:rFonts w:ascii="Arial" w:hAnsi="Arial" w:cs="Arial" w:eastAsia="Arial"/>
                <w:b/>
                <w:bCs/>
                <w:color w:val="111827"/>
                <w:sz w:val="20"/>
                <w:szCs w:val="20"/>
                <w:rtl/>
              </w:rPr>
              <w:t>אחרי בע״מ 919/15 הועלה חשש שאבות יבקשו משמורת משותפת רק כדי להפחית את המזונות. איך התמודדה הפסיקה עם החשש?</w:t>
            </w:r>
          </w:p>
          <w:p>
            <w:pPr>
              <w:bidi/>
              <w:spacing w:before="0" w:after="20" w:line="276" w:lineRule="auto"/>
              <w:ind w:right="400" w:hanging="300"/>
            </w:pPr>
            <w:r>
              <w:rPr>
                <w:rFonts w:ascii="Arial" w:hAnsi="Arial" w:cs="Arial" w:eastAsia="Arial"/>
                <w:b/>
                <w:bCs/>
                <w:color w:val="0B7FA0"/>
                <w:sz w:val="20"/>
                <w:szCs w:val="20"/>
                <w:rtl/>
              </w:rPr>
              <w:t xml:space="preserve">(א)  </w:t>
            </w:r>
            <w:r>
              <w:rPr>
                <w:rFonts w:ascii="Arial" w:hAnsi="Arial" w:cs="Arial" w:eastAsia="Arial"/>
                <w:color w:val="1F2430"/>
                <w:sz w:val="20"/>
                <w:szCs w:val="20"/>
                <w:rtl/>
              </w:rPr>
              <w:t>נקבע שהמענה נמצא בשלב ההכרעה במשמורת (סעיפים 24 ו-25), באמצעות חוות דעת מומחים ובחינת כנות הכוונות והמסוגלות. אב שמניעיו כספיים יגלה ש״העסקה״ אינה משתלמת</w:t>
            </w:r>
          </w:p>
          <w:p>
            <w:pPr>
              <w:bidi/>
              <w:spacing w:before="0" w:after="20" w:line="276" w:lineRule="auto"/>
              <w:ind w:right="400" w:hanging="300"/>
            </w:pPr>
            <w:r>
              <w:rPr>
                <w:rFonts w:ascii="Arial" w:hAnsi="Arial" w:cs="Arial" w:eastAsia="Arial"/>
                <w:b/>
                <w:bCs/>
                <w:color w:val="0B7FA0"/>
                <w:sz w:val="20"/>
                <w:szCs w:val="20"/>
                <w:rtl/>
              </w:rPr>
              <w:t xml:space="preserve">(ב)  </w:t>
            </w:r>
            <w:r>
              <w:rPr>
                <w:rFonts w:ascii="Arial" w:hAnsi="Arial" w:cs="Arial" w:eastAsia="Arial"/>
                <w:color w:val="1F2430"/>
                <w:sz w:val="20"/>
                <w:szCs w:val="20"/>
                <w:rtl/>
              </w:rPr>
              <w:t>נקבע שאב שמבקש משמורת משותפת ישלם קנס</w:t>
            </w:r>
          </w:p>
          <w:p>
            <w:pPr>
              <w:bidi/>
              <w:spacing w:before="0" w:after="20" w:line="276" w:lineRule="auto"/>
              <w:ind w:right="400" w:hanging="300"/>
            </w:pPr>
            <w:r>
              <w:rPr>
                <w:rFonts w:ascii="Arial" w:hAnsi="Arial" w:cs="Arial" w:eastAsia="Arial"/>
                <w:b/>
                <w:bCs/>
                <w:color w:val="0B7FA0"/>
                <w:sz w:val="20"/>
                <w:szCs w:val="20"/>
                <w:rtl/>
              </w:rPr>
              <w:t xml:space="preserve">(ג)  </w:t>
            </w:r>
            <w:r>
              <w:rPr>
                <w:rFonts w:ascii="Arial" w:hAnsi="Arial" w:cs="Arial" w:eastAsia="Arial"/>
                <w:color w:val="1F2430"/>
                <w:sz w:val="20"/>
                <w:szCs w:val="20"/>
                <w:rtl/>
              </w:rPr>
              <w:t>נקבע שבמשמורת משותפת אין לקזז את זמני השהות</w:t>
            </w:r>
          </w:p>
          <w:p>
            <w:pPr>
              <w:bidi/>
              <w:spacing w:before="0" w:after="20" w:line="276" w:lineRule="auto"/>
              <w:ind w:right="400" w:hanging="300"/>
            </w:pPr>
            <w:r>
              <w:rPr>
                <w:rFonts w:ascii="Arial" w:hAnsi="Arial" w:cs="Arial" w:eastAsia="Arial"/>
                <w:b/>
                <w:bCs/>
                <w:color w:val="0B7FA0"/>
                <w:sz w:val="20"/>
                <w:szCs w:val="20"/>
                <w:rtl/>
              </w:rPr>
              <w:t xml:space="preserve">(ד)  </w:t>
            </w:r>
            <w:r>
              <w:rPr>
                <w:rFonts w:ascii="Arial" w:hAnsi="Arial" w:cs="Arial" w:eastAsia="Arial"/>
                <w:color w:val="1F2430"/>
                <w:sz w:val="20"/>
                <w:szCs w:val="20"/>
                <w:rtl/>
              </w:rPr>
              <w:t>נקבע שבקשת משמורת משותפת תידון רק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10</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253-ב</w:t>
      </w:r>
      <w:r>
        <w:rPr>
          <w:rFonts w:ascii="Arial" w:hAnsi="Arial" w:cs="Arial" w:eastAsia="Arial"/>
          <w:sz w:val="20"/>
          <w:szCs w:val="20"/>
          <w:rtl/>
        </w:rPr>
        <w:t xml:space="preserve">   </w:t>
      </w:r>
      <w:r>
        <w:rPr>
          <w:rFonts w:ascii="Arial" w:hAnsi="Arial" w:cs="Arial" w:eastAsia="Arial"/>
          <w:b/>
          <w:bCs/>
          <w:color w:val="1F2430"/>
          <w:sz w:val="20"/>
          <w:szCs w:val="20"/>
          <w:rtl/>
        </w:rPr>
        <w:t>254-ד</w:t>
      </w:r>
      <w:r>
        <w:rPr>
          <w:rFonts w:ascii="Arial" w:hAnsi="Arial" w:cs="Arial" w:eastAsia="Arial"/>
          <w:sz w:val="20"/>
          <w:szCs w:val="20"/>
          <w:rtl/>
        </w:rPr>
        <w:t xml:space="preserve">   </w:t>
      </w:r>
      <w:r>
        <w:rPr>
          <w:rFonts w:ascii="Arial" w:hAnsi="Arial" w:cs="Arial" w:eastAsia="Arial"/>
          <w:b/>
          <w:bCs/>
          <w:color w:val="1F2430"/>
          <w:sz w:val="20"/>
          <w:szCs w:val="20"/>
          <w:rtl/>
        </w:rPr>
        <w:t>255-א</w:t>
      </w:r>
      <w:r>
        <w:rPr>
          <w:rFonts w:ascii="Arial" w:hAnsi="Arial" w:cs="Arial" w:eastAsia="Arial"/>
          <w:sz w:val="20"/>
          <w:szCs w:val="20"/>
          <w:rtl/>
        </w:rPr>
        <w:t xml:space="preserve">   </w:t>
      </w:r>
      <w:r>
        <w:rPr>
          <w:rFonts w:ascii="Arial" w:hAnsi="Arial" w:cs="Arial" w:eastAsia="Arial"/>
          <w:b/>
          <w:bCs/>
          <w:color w:val="1F2430"/>
          <w:sz w:val="20"/>
          <w:szCs w:val="20"/>
          <w:rtl/>
        </w:rPr>
        <w:t>256-ג</w:t>
      </w:r>
      <w:r>
        <w:rPr>
          <w:rFonts w:ascii="Arial" w:hAnsi="Arial" w:cs="Arial" w:eastAsia="Arial"/>
          <w:sz w:val="20"/>
          <w:szCs w:val="20"/>
          <w:rtl/>
        </w:rPr>
        <w:t xml:space="preserve">   </w:t>
      </w:r>
      <w:r>
        <w:rPr>
          <w:rFonts w:ascii="Arial" w:hAnsi="Arial" w:cs="Arial" w:eastAsia="Arial"/>
          <w:b/>
          <w:bCs/>
          <w:color w:val="1F2430"/>
          <w:sz w:val="20"/>
          <w:szCs w:val="20"/>
          <w:rtl/>
        </w:rPr>
        <w:t>257-ג</w:t>
      </w:r>
      <w:r>
        <w:rPr>
          <w:rFonts w:ascii="Arial" w:hAnsi="Arial" w:cs="Arial" w:eastAsia="Arial"/>
          <w:sz w:val="20"/>
          <w:szCs w:val="20"/>
          <w:rtl/>
        </w:rPr>
        <w:t xml:space="preserve">   </w:t>
      </w:r>
      <w:r>
        <w:rPr>
          <w:rFonts w:ascii="Arial" w:hAnsi="Arial" w:cs="Arial" w:eastAsia="Arial"/>
          <w:b/>
          <w:bCs/>
          <w:color w:val="1F2430"/>
          <w:sz w:val="20"/>
          <w:szCs w:val="20"/>
          <w:rtl/>
        </w:rPr>
        <w:t>258-א</w:t>
      </w:r>
      <w:r>
        <w:rPr>
          <w:rFonts w:ascii="Arial" w:hAnsi="Arial" w:cs="Arial" w:eastAsia="Arial"/>
          <w:sz w:val="20"/>
          <w:szCs w:val="20"/>
          <w:rtl/>
        </w:rPr>
        <w:t xml:space="preserve">   </w:t>
      </w:r>
      <w:r>
        <w:rPr>
          <w:rFonts w:ascii="Arial" w:hAnsi="Arial" w:cs="Arial" w:eastAsia="Arial"/>
          <w:b/>
          <w:bCs/>
          <w:color w:val="1F2430"/>
          <w:sz w:val="20"/>
          <w:szCs w:val="20"/>
          <w:rtl/>
        </w:rPr>
        <w:t>259-ד</w:t>
      </w:r>
      <w:r>
        <w:rPr>
          <w:rFonts w:ascii="Arial" w:hAnsi="Arial" w:cs="Arial" w:eastAsia="Arial"/>
          <w:sz w:val="20"/>
          <w:szCs w:val="20"/>
          <w:rtl/>
        </w:rPr>
        <w:t xml:space="preserve">   </w:t>
      </w:r>
      <w:r>
        <w:rPr>
          <w:rFonts w:ascii="Arial" w:hAnsi="Arial" w:cs="Arial" w:eastAsia="Arial"/>
          <w:b/>
          <w:bCs/>
          <w:color w:val="1F2430"/>
          <w:sz w:val="20"/>
          <w:szCs w:val="20"/>
          <w:rtl/>
        </w:rPr>
        <w:t>260-ב</w:t>
      </w:r>
      <w:r>
        <w:rPr>
          <w:rFonts w:ascii="Arial" w:hAnsi="Arial" w:cs="Arial" w:eastAsia="Arial"/>
          <w:sz w:val="20"/>
          <w:szCs w:val="20"/>
          <w:rtl/>
        </w:rPr>
        <w:t xml:space="preserve">   </w:t>
      </w:r>
      <w:r>
        <w:rPr>
          <w:rFonts w:ascii="Arial" w:hAnsi="Arial" w:cs="Arial" w:eastAsia="Arial"/>
          <w:b/>
          <w:bCs/>
          <w:color w:val="1F2430"/>
          <w:sz w:val="20"/>
          <w:szCs w:val="20"/>
          <w:rtl/>
        </w:rPr>
        <w:t>261-א</w:t>
      </w:r>
      <w:r>
        <w:rPr>
          <w:rFonts w:ascii="Arial" w:hAnsi="Arial" w:cs="Arial" w:eastAsia="Arial"/>
          <w:sz w:val="20"/>
          <w:szCs w:val="20"/>
          <w:rtl/>
        </w:rPr>
        <w:t xml:space="preserve">   </w:t>
      </w:r>
      <w:r>
        <w:rPr>
          <w:rFonts w:ascii="Arial" w:hAnsi="Arial" w:cs="Arial" w:eastAsia="Arial"/>
          <w:b/>
          <w:bCs/>
          <w:color w:val="1F2430"/>
          <w:sz w:val="20"/>
          <w:szCs w:val="20"/>
          <w:rtl/>
        </w:rPr>
        <w:t>262-ב</w:t>
      </w:r>
      <w:r>
        <w:rPr>
          <w:rFonts w:ascii="Arial" w:hAnsi="Arial" w:cs="Arial" w:eastAsia="Arial"/>
          <w:sz w:val="20"/>
          <w:szCs w:val="20"/>
          <w:rtl/>
        </w:rPr>
        <w:t xml:space="preserve">   </w:t>
      </w:r>
      <w:r>
        <w:rPr>
          <w:rFonts w:ascii="Arial" w:hAnsi="Arial" w:cs="Arial" w:eastAsia="Arial"/>
          <w:b/>
          <w:bCs/>
          <w:color w:val="1F2430"/>
          <w:sz w:val="20"/>
          <w:szCs w:val="20"/>
          <w:rtl/>
        </w:rPr>
        <w:t>263-ג</w:t>
      </w:r>
      <w:r>
        <w:rPr>
          <w:rFonts w:ascii="Arial" w:hAnsi="Arial" w:cs="Arial" w:eastAsia="Arial"/>
          <w:sz w:val="20"/>
          <w:szCs w:val="20"/>
          <w:rtl/>
        </w:rPr>
        <w:t xml:space="preserve">   </w:t>
      </w:r>
      <w:r>
        <w:rPr>
          <w:rFonts w:ascii="Arial" w:hAnsi="Arial" w:cs="Arial" w:eastAsia="Arial"/>
          <w:b/>
          <w:bCs/>
          <w:color w:val="1F2430"/>
          <w:sz w:val="20"/>
          <w:szCs w:val="20"/>
          <w:rtl/>
        </w:rPr>
        <w:t>264-ד</w:t>
      </w:r>
      <w:r>
        <w:rPr>
          <w:rFonts w:ascii="Arial" w:hAnsi="Arial" w:cs="Arial" w:eastAsia="Arial"/>
          <w:sz w:val="20"/>
          <w:szCs w:val="20"/>
          <w:rtl/>
        </w:rPr>
        <w:t xml:space="preserve">   </w:t>
      </w:r>
      <w:r>
        <w:rPr>
          <w:rFonts w:ascii="Arial" w:hAnsi="Arial" w:cs="Arial" w:eastAsia="Arial"/>
          <w:b/>
          <w:bCs/>
          <w:color w:val="1F2430"/>
          <w:sz w:val="20"/>
          <w:szCs w:val="20"/>
          <w:rtl/>
        </w:rPr>
        <w:t>265-ד</w:t>
      </w:r>
      <w:r>
        <w:rPr>
          <w:rFonts w:ascii="Arial" w:hAnsi="Arial" w:cs="Arial" w:eastAsia="Arial"/>
          <w:sz w:val="20"/>
          <w:szCs w:val="20"/>
          <w:rtl/>
        </w:rPr>
        <w:t xml:space="preserve">   </w:t>
      </w:r>
      <w:r>
        <w:rPr>
          <w:rFonts w:ascii="Arial" w:hAnsi="Arial" w:cs="Arial" w:eastAsia="Arial"/>
          <w:b/>
          <w:bCs/>
          <w:color w:val="1F2430"/>
          <w:sz w:val="20"/>
          <w:szCs w:val="20"/>
          <w:rtl/>
        </w:rPr>
        <w:t>266-ג</w:t>
      </w:r>
      <w:r>
        <w:rPr>
          <w:rFonts w:ascii="Arial" w:hAnsi="Arial" w:cs="Arial" w:eastAsia="Arial"/>
          <w:sz w:val="20"/>
          <w:szCs w:val="20"/>
          <w:rtl/>
        </w:rPr>
        <w:t xml:space="preserve">   </w:t>
      </w:r>
      <w:r>
        <w:rPr>
          <w:rFonts w:ascii="Arial" w:hAnsi="Arial" w:cs="Arial" w:eastAsia="Arial"/>
          <w:b/>
          <w:bCs/>
          <w:color w:val="1F2430"/>
          <w:sz w:val="20"/>
          <w:szCs w:val="20"/>
          <w:rtl/>
        </w:rPr>
        <w:t>267-ב</w:t>
      </w:r>
      <w:r>
        <w:rPr>
          <w:rFonts w:ascii="Arial" w:hAnsi="Arial" w:cs="Arial" w:eastAsia="Arial"/>
          <w:sz w:val="20"/>
          <w:szCs w:val="20"/>
          <w:rtl/>
        </w:rPr>
        <w:t xml:space="preserve">   </w:t>
      </w:r>
      <w:r>
        <w:rPr>
          <w:rFonts w:ascii="Arial" w:hAnsi="Arial" w:cs="Arial" w:eastAsia="Arial"/>
          <w:b/>
          <w:bCs/>
          <w:color w:val="1F2430"/>
          <w:sz w:val="20"/>
          <w:szCs w:val="20"/>
          <w:rtl/>
        </w:rPr>
        <w:t>268-א</w:t>
      </w:r>
      <w:r>
        <w:rPr>
          <w:rFonts w:ascii="Arial" w:hAnsi="Arial" w:cs="Arial" w:eastAsia="Arial"/>
          <w:sz w:val="20"/>
          <w:szCs w:val="20"/>
          <w:rtl/>
        </w:rPr>
        <w:t xml:space="preserve">   </w:t>
      </w:r>
      <w:r>
        <w:rPr>
          <w:rFonts w:ascii="Arial" w:hAnsi="Arial" w:cs="Arial" w:eastAsia="Arial"/>
          <w:b/>
          <w:bCs/>
          <w:color w:val="1F2430"/>
          <w:sz w:val="20"/>
          <w:szCs w:val="20"/>
          <w:rtl/>
        </w:rPr>
        <w:t>269-ב</w:t>
      </w:r>
      <w:r>
        <w:rPr>
          <w:rFonts w:ascii="Arial" w:hAnsi="Arial" w:cs="Arial" w:eastAsia="Arial"/>
          <w:sz w:val="20"/>
          <w:szCs w:val="20"/>
          <w:rtl/>
        </w:rPr>
        <w:t xml:space="preserve">   </w:t>
      </w:r>
      <w:r>
        <w:rPr>
          <w:rFonts w:ascii="Arial" w:hAnsi="Arial" w:cs="Arial" w:eastAsia="Arial"/>
          <w:b/>
          <w:bCs/>
          <w:color w:val="1F2430"/>
          <w:sz w:val="20"/>
          <w:szCs w:val="20"/>
          <w:rtl/>
        </w:rPr>
        <w:t>270-א</w:t>
      </w:r>
      <w:r>
        <w:rPr>
          <w:rFonts w:ascii="Arial" w:hAnsi="Arial" w:cs="Arial" w:eastAsia="Arial"/>
          <w:sz w:val="20"/>
          <w:szCs w:val="20"/>
          <w:rtl/>
        </w:rPr>
        <w:t xml:space="preserve">   </w:t>
      </w:r>
      <w:r>
        <w:rPr>
          <w:rFonts w:ascii="Arial" w:hAnsi="Arial" w:cs="Arial" w:eastAsia="Arial"/>
          <w:b/>
          <w:bCs/>
          <w:color w:val="1F2430"/>
          <w:sz w:val="20"/>
          <w:szCs w:val="20"/>
          <w:rtl/>
        </w:rPr>
        <w:t>271-ד</w:t>
      </w:r>
      <w:r>
        <w:rPr>
          <w:rFonts w:ascii="Arial" w:hAnsi="Arial" w:cs="Arial" w:eastAsia="Arial"/>
          <w:sz w:val="20"/>
          <w:szCs w:val="20"/>
          <w:rtl/>
        </w:rPr>
        <w:t xml:space="preserve">   </w:t>
      </w:r>
      <w:r>
        <w:rPr>
          <w:rFonts w:ascii="Arial" w:hAnsi="Arial" w:cs="Arial" w:eastAsia="Arial"/>
          <w:b/>
          <w:bCs/>
          <w:color w:val="1F2430"/>
          <w:sz w:val="20"/>
          <w:szCs w:val="20"/>
          <w:rtl/>
        </w:rPr>
        <w:t>272-ג</w:t>
      </w:r>
      <w:r>
        <w:rPr>
          <w:rFonts w:ascii="Arial" w:hAnsi="Arial" w:cs="Arial" w:eastAsia="Arial"/>
          <w:sz w:val="20"/>
          <w:szCs w:val="20"/>
          <w:rtl/>
        </w:rPr>
        <w:t xml:space="preserve">   </w:t>
      </w:r>
      <w:r>
        <w:rPr>
          <w:rFonts w:ascii="Arial" w:hAnsi="Arial" w:cs="Arial" w:eastAsia="Arial"/>
          <w:b/>
          <w:bCs/>
          <w:color w:val="1F2430"/>
          <w:sz w:val="20"/>
          <w:szCs w:val="20"/>
          <w:rtl/>
        </w:rPr>
        <w:t>273-ג</w:t>
      </w:r>
      <w:r>
        <w:rPr>
          <w:rFonts w:ascii="Arial" w:hAnsi="Arial" w:cs="Arial" w:eastAsia="Arial"/>
          <w:sz w:val="20"/>
          <w:szCs w:val="20"/>
          <w:rtl/>
        </w:rPr>
        <w:t xml:space="preserve">   </w:t>
      </w:r>
      <w:r>
        <w:rPr>
          <w:rFonts w:ascii="Arial" w:hAnsi="Arial" w:cs="Arial" w:eastAsia="Arial"/>
          <w:b/>
          <w:bCs/>
          <w:color w:val="1F2430"/>
          <w:sz w:val="20"/>
          <w:szCs w:val="20"/>
          <w:rtl/>
        </w:rPr>
        <w:t>274-ד</w:t>
      </w:r>
      <w:r>
        <w:rPr>
          <w:rFonts w:ascii="Arial" w:hAnsi="Arial" w:cs="Arial" w:eastAsia="Arial"/>
          <w:sz w:val="20"/>
          <w:szCs w:val="20"/>
          <w:rtl/>
        </w:rPr>
        <w:t xml:space="preserve">   </w:t>
      </w:r>
      <w:r>
        <w:rPr>
          <w:rFonts w:ascii="Arial" w:hAnsi="Arial" w:cs="Arial" w:eastAsia="Arial"/>
          <w:b/>
          <w:bCs/>
          <w:color w:val="1F2430"/>
          <w:sz w:val="20"/>
          <w:szCs w:val="20"/>
          <w:rtl/>
        </w:rPr>
        <w:t>275-א</w:t>
      </w:r>
      <w:r>
        <w:rPr>
          <w:rFonts w:ascii="Arial" w:hAnsi="Arial" w:cs="Arial" w:eastAsia="Arial"/>
          <w:sz w:val="20"/>
          <w:szCs w:val="20"/>
          <w:rtl/>
        </w:rPr>
        <w:t xml:space="preserve">   </w:t>
      </w:r>
      <w:r>
        <w:rPr>
          <w:rFonts w:ascii="Arial" w:hAnsi="Arial" w:cs="Arial" w:eastAsia="Arial"/>
          <w:b/>
          <w:bCs/>
          <w:color w:val="1F2430"/>
          <w:sz w:val="20"/>
          <w:szCs w:val="20"/>
          <w:rtl/>
        </w:rPr>
        <w:t>276-ב</w:t>
      </w:r>
      <w:r>
        <w:rPr>
          <w:rFonts w:ascii="Arial" w:hAnsi="Arial" w:cs="Arial" w:eastAsia="Arial"/>
          <w:sz w:val="20"/>
          <w:szCs w:val="20"/>
          <w:rtl/>
        </w:rPr>
        <w:t xml:space="preserve">   </w:t>
      </w:r>
      <w:r>
        <w:rPr>
          <w:rFonts w:ascii="Arial" w:hAnsi="Arial" w:cs="Arial" w:eastAsia="Arial"/>
          <w:b/>
          <w:bCs/>
          <w:color w:val="1F2430"/>
          <w:sz w:val="20"/>
          <w:szCs w:val="20"/>
          <w:rtl/>
        </w:rPr>
        <w:t>277-ד</w:t>
      </w:r>
      <w:r>
        <w:rPr>
          <w:rFonts w:ascii="Arial" w:hAnsi="Arial" w:cs="Arial" w:eastAsia="Arial"/>
          <w:sz w:val="20"/>
          <w:szCs w:val="20"/>
          <w:rtl/>
        </w:rPr>
        <w:t xml:space="preserve">   </w:t>
      </w:r>
      <w:r>
        <w:rPr>
          <w:rFonts w:ascii="Arial" w:hAnsi="Arial" w:cs="Arial" w:eastAsia="Arial"/>
          <w:b/>
          <w:bCs/>
          <w:color w:val="1F2430"/>
          <w:sz w:val="20"/>
          <w:szCs w:val="20"/>
          <w:rtl/>
        </w:rPr>
        <w:t>278-ב</w:t>
      </w:r>
      <w:r>
        <w:rPr>
          <w:rFonts w:ascii="Arial" w:hAnsi="Arial" w:cs="Arial" w:eastAsia="Arial"/>
          <w:sz w:val="20"/>
          <w:szCs w:val="20"/>
          <w:rtl/>
        </w:rPr>
        <w:t xml:space="preserve">   </w:t>
      </w:r>
      <w:r>
        <w:rPr>
          <w:rFonts w:ascii="Arial" w:hAnsi="Arial" w:cs="Arial" w:eastAsia="Arial"/>
          <w:b/>
          <w:bCs/>
          <w:color w:val="1F2430"/>
          <w:sz w:val="20"/>
          <w:szCs w:val="20"/>
          <w:rtl/>
        </w:rPr>
        <w:t>279-ג</w:t>
      </w:r>
      <w:r>
        <w:rPr>
          <w:rFonts w:ascii="Arial" w:hAnsi="Arial" w:cs="Arial" w:eastAsia="Arial"/>
          <w:sz w:val="20"/>
          <w:szCs w:val="20"/>
          <w:rtl/>
        </w:rPr>
        <w:t xml:space="preserve">   </w:t>
      </w:r>
      <w:r>
        <w:rPr>
          <w:rFonts w:ascii="Arial" w:hAnsi="Arial" w:cs="Arial" w:eastAsia="Arial"/>
          <w:b/>
          <w:bCs/>
          <w:color w:val="1F2430"/>
          <w:sz w:val="20"/>
          <w:szCs w:val="20"/>
          <w:rtl/>
        </w:rPr>
        <w:t>280-א</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253 — התשובה הנכונה: ב</w:t>
            </w:r>
          </w:p>
          <w:p>
            <w:pPr>
              <w:bidi/>
              <w:spacing w:before="0" w:after="0" w:line="288" w:lineRule="auto"/>
              <w:jc w:val="both"/>
            </w:pPr>
            <w:r>
              <w:rPr>
                <w:rFonts w:ascii="Arial" w:hAnsi="Arial" w:cs="Arial" w:eastAsia="Arial"/>
                <w:color w:val="1F2430"/>
                <w:sz w:val="19"/>
                <w:szCs w:val="19"/>
                <w:rtl/>
              </w:rPr>
              <w:t>לפי סעיף 3(א), אדם חייב במזונות ילדיו הקטינים לפי הדין האישי החל עליו. צורת הנישואין אינה קובעת אם יש דין אישי, ומזונות ילדים לא תלויים בצורת הנישואין או בתוקפם. המסיח הראשון שגוי, כי נישואין אזרחיים לא מבטלים את הדין האישי של יהודי.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254 — התשובה הנכונה: ד</w:t>
            </w:r>
          </w:p>
          <w:p>
            <w:pPr>
              <w:bidi/>
              <w:spacing w:before="0" w:after="0" w:line="288" w:lineRule="auto"/>
              <w:jc w:val="both"/>
            </w:pPr>
            <w:r>
              <w:rPr>
                <w:rFonts w:ascii="Arial" w:hAnsi="Arial" w:cs="Arial" w:eastAsia="Arial"/>
                <w:color w:val="1F2430"/>
                <w:sz w:val="19"/>
                <w:szCs w:val="19"/>
                <w:rtl/>
              </w:rPr>
              <w:t>סעיף 3(ב) הוא רשת ביטחון: מי שהדין האישי לא מחייב אותו חייב לפי הוראות החוק (״אבהות אזרחית״). לפי סעיף 3א שני ההורים חייבים, בשיעור יחסי להכנסותיהם מכל מקור. התשובה הראשונה היא המלכודת המרכזית, כי 3(ב) אינו פטור.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255 — התשובה הנכונה: א</w:t>
            </w:r>
          </w:p>
          <w:p>
            <w:pPr>
              <w:bidi/>
              <w:spacing w:before="0" w:after="0" w:line="288" w:lineRule="auto"/>
              <w:jc w:val="both"/>
            </w:pPr>
            <w:r>
              <w:rPr>
                <w:rFonts w:ascii="Arial" w:hAnsi="Arial" w:cs="Arial" w:eastAsia="Arial"/>
                <w:color w:val="1F2430"/>
                <w:sz w:val="19"/>
                <w:szCs w:val="19"/>
                <w:rtl/>
              </w:rPr>
              <w:t>סעיף 3א(ב): ״בלי להתחשב בעובדה בידי מי מוחזק קטין יחולו המזונות על הוריו בשיעור יחסי להכנסותיהם מכל מקור שהוא״. ההסדר שוויוני אבל לא בהכרח חצי-חצי: מי שמרוויח יותר משלם יותר.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256 — התשובה הנכונה: ג</w:t>
            </w:r>
          </w:p>
          <w:p>
            <w:pPr>
              <w:bidi/>
              <w:spacing w:before="0" w:after="0" w:line="288" w:lineRule="auto"/>
              <w:jc w:val="both"/>
            </w:pPr>
            <w:r>
              <w:rPr>
                <w:rFonts w:ascii="Arial" w:hAnsi="Arial" w:cs="Arial" w:eastAsia="Arial"/>
                <w:color w:val="1F2430"/>
                <w:sz w:val="19"/>
                <w:szCs w:val="19"/>
                <w:rtl/>
              </w:rPr>
              <w:t>לפי מה שנלמד, הדין האישי-דתי בוחן חיוב במבחן ביולוגי, ולכן החיוב חל גם בילד מחוץ לנישואין ובגניבת זרע. לתורם זרע ההגנה היחידה היא החיסיון, ואין הוראה שפוטרת אותו. לגבי ילדי בן הזוג, הדין האישי לא מחייב אלא אם התחייב, למשל בכתובה.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257 — התשובה הנכונה: ג</w:t>
            </w:r>
          </w:p>
          <w:p>
            <w:pPr>
              <w:bidi/>
              <w:spacing w:before="0" w:after="0" w:line="288" w:lineRule="auto"/>
              <w:jc w:val="both"/>
            </w:pPr>
            <w:r>
              <w:rPr>
                <w:rFonts w:ascii="Arial" w:hAnsi="Arial" w:cs="Arial" w:eastAsia="Arial"/>
                <w:color w:val="1F2430"/>
                <w:sz w:val="19"/>
                <w:szCs w:val="19"/>
                <w:rtl/>
              </w:rPr>
              <w:t>לפי הרמב״ם (הלכות אישות י״ב, י״ד), עד גיל 6 האב לבדו חייב במזונות ההכרחיים, בחובה מוחלטת מעיקר הדין: גם אם אינו אמיד, גם אם לאם יש וגם אם לילד יש. בע״מ 919/15 לא שינה את העיקרון בגילאים אלה. תנאי האב האמיד והילד הנצרך שייכים לתקנת אושא, לגילאי 6–15.</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258 — התשובה הנכונה: א</w:t>
            </w:r>
          </w:p>
          <w:p>
            <w:pPr>
              <w:bidi/>
              <w:spacing w:before="0" w:after="0" w:line="288" w:lineRule="auto"/>
              <w:jc w:val="both"/>
            </w:pPr>
            <w:r>
              <w:rPr>
                <w:rFonts w:ascii="Arial" w:hAnsi="Arial" w:cs="Arial" w:eastAsia="Arial"/>
                <w:color w:val="1F2430"/>
                <w:sz w:val="19"/>
                <w:szCs w:val="19"/>
                <w:rtl/>
              </w:rPr>
              <w:t>תקנת אושא האריכה את החיוב מגיל 6 עד גיל מצוות (12 לבת ו-13 לבן), אבל הגמרא הבחינה בין אב אמיד לשאינו אמיד. לפי דיני כפיית צדקה החיוב נאכף רק כשהאב אמיד והילדים נצרכים. רק פרשנות בית הדין הרבני הגדול משנת 1947 לתקנת תש״ד הפכה את החיוב למוחלט.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259 — התשובה הנכונה: ד</w:t>
            </w:r>
          </w:p>
          <w:p>
            <w:pPr>
              <w:bidi/>
              <w:spacing w:before="0" w:after="0" w:line="288" w:lineRule="auto"/>
              <w:jc w:val="both"/>
            </w:pPr>
            <w:r>
              <w:rPr>
                <w:rFonts w:ascii="Arial" w:hAnsi="Arial" w:cs="Arial" w:eastAsia="Arial"/>
                <w:color w:val="1F2430"/>
                <w:sz w:val="19"/>
                <w:szCs w:val="19"/>
                <w:rtl/>
              </w:rPr>
              <w:t>תקנת תש״ד קבעה שכשם שבית הדין יכול לחייב ולכוף את האב עד גיל 6, כך יוכל לעשות עד גיל 15. השאלה אם זה חיוב מוחלט או מדין צדקה נשארה פתוחה. בית הדין הגדול פירש אותו ב-1947 כחיוב מוחלט, ורוב הפוסקים ראו בו חיוב מדין צדקה.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260 — התשובה הנכונה: ב</w:t>
            </w:r>
          </w:p>
          <w:p>
            <w:pPr>
              <w:bidi/>
              <w:spacing w:before="0" w:after="0" w:line="288" w:lineRule="auto"/>
              <w:jc w:val="both"/>
            </w:pPr>
            <w:r>
              <w:rPr>
                <w:rFonts w:ascii="Arial" w:hAnsi="Arial" w:cs="Arial" w:eastAsia="Arial"/>
                <w:color w:val="1F2430"/>
                <w:sz w:val="19"/>
                <w:szCs w:val="19"/>
                <w:rtl/>
              </w:rPr>
              <w:t>חיוב מוחלט מוטל על האב בלבד. חיוב מדין צדקה בוחן כמה כל הורה מסוגל לשלם, ולכן מאפשר לחלק את החיוב ביניהם. זה הבסיס ההלכתי שעליו נשען בע״מ 919/15 כששיתף את האם בגילאי 6–15.</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261 — התשובה הנכונה: א</w:t>
            </w:r>
          </w:p>
          <w:p>
            <w:pPr>
              <w:bidi/>
              <w:spacing w:before="0" w:after="0" w:line="288" w:lineRule="auto"/>
              <w:jc w:val="both"/>
            </w:pPr>
            <w:r>
              <w:rPr>
                <w:rFonts w:ascii="Arial" w:hAnsi="Arial" w:cs="Arial" w:eastAsia="Arial"/>
                <w:color w:val="1F2430"/>
                <w:sz w:val="19"/>
                <w:szCs w:val="19"/>
                <w:rtl/>
              </w:rPr>
              <w:t>המועצה ציינה שרוב הפוסקים, בניגוד לבית הדין הגדול ב-1947, ראו בחיוב בגילאי 6–15 חיוב מדין צדקה. היא קבעה שאין ביכולתה להכריע בין גדולי הפוסקים והשאירה את ההכרעה לכל דיין. העליון ״תפס״ את נקודת הרוב הזו כדי לשתף את האם.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262 — התשובה הנכונה: ב</w:t>
            </w:r>
          </w:p>
          <w:p>
            <w:pPr>
              <w:bidi/>
              <w:spacing w:before="0" w:after="0" w:line="288" w:lineRule="auto"/>
              <w:jc w:val="both"/>
            </w:pPr>
            <w:r>
              <w:rPr>
                <w:rFonts w:ascii="Arial" w:hAnsi="Arial" w:cs="Arial" w:eastAsia="Arial"/>
                <w:color w:val="1F2430"/>
                <w:sz w:val="19"/>
                <w:szCs w:val="19"/>
                <w:rtl/>
              </w:rPr>
              <w:t>במקור אין מחלוקת שהחיוב בגילאי 15–18 הוא מדין צדקה, באופן שווה לפי יכולות ההורים. תקנת תשמ״א של הרבנות הראשית הפכה אותו לחובה מוחלטת של האב. כך התרחב חיוב שחל במקור רק עד גיל 6 לחיוב גורף עד גיל 18.</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263 — התשובה הנכונה: ג</w:t>
            </w:r>
          </w:p>
          <w:p>
            <w:pPr>
              <w:bidi/>
              <w:spacing w:before="0" w:after="0" w:line="288" w:lineRule="auto"/>
              <w:jc w:val="both"/>
            </w:pPr>
            <w:r>
              <w:rPr>
                <w:rFonts w:ascii="Arial" w:hAnsi="Arial" w:cs="Arial" w:eastAsia="Arial"/>
                <w:color w:val="1F2430"/>
                <w:sz w:val="19"/>
                <w:szCs w:val="19"/>
                <w:rtl/>
              </w:rPr>
              <w:t>לפי המוסכמות שנלמדו: לילד אחד כשליש, לשני ילדים כ-40% לשניהם יחד, ולשלושה ומעלה כ-50%. האחוז לא עולה בשליש לכל ילד, כי הוצאות הבית משותפות. 40% מ-4,000 הם 1,600 ₪.</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264 — התשובה הנכונה: ד</w:t>
            </w:r>
          </w:p>
          <w:p>
            <w:pPr>
              <w:bidi/>
              <w:spacing w:before="0" w:after="0" w:line="288" w:lineRule="auto"/>
              <w:jc w:val="both"/>
            </w:pPr>
            <w:r>
              <w:rPr>
                <w:rFonts w:ascii="Arial" w:hAnsi="Arial" w:cs="Arial" w:eastAsia="Arial"/>
                <w:color w:val="1F2430"/>
                <w:sz w:val="19"/>
                <w:szCs w:val="19"/>
                <w:rtl/>
              </w:rPr>
              <w:t>לפי בע״מ 3432/09 יכולת ההורה נבחנת בראייה רחבה: לא רק נטו בתלוש, אלא כל המקורות, כולל נכסים, חסכונות, שכירות ופוטנציאל השתכרות. לעומת זאת, בית הדין הרבני אינו מתחשב בפוטנציאל השתכרות, ולכן המסיח השלישי אינו פתרון.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265 — התשובה הנכונה: ד</w:t>
            </w:r>
          </w:p>
          <w:p>
            <w:pPr>
              <w:bidi/>
              <w:spacing w:before="0" w:after="0" w:line="288" w:lineRule="auto"/>
              <w:jc w:val="both"/>
            </w:pPr>
            <w:r>
              <w:rPr>
                <w:rFonts w:ascii="Arial" w:hAnsi="Arial" w:cs="Arial" w:eastAsia="Arial"/>
                <w:color w:val="1F2430"/>
                <w:sz w:val="19"/>
                <w:szCs w:val="19"/>
                <w:rtl/>
              </w:rPr>
              <w:t>בעמ״ש (חי׳) 32385-11-18 נקבע שהמזונות הבסיסיים אינם דורשים הוכחה, והפסיקה הציעה להעלות את הרף מכ-1,400 ₪ (ע״א 552/87 ורד) ל-1,600–1,700 ₪. ההכרחיים נקבעים לפי צורכי הילד ולא לפי עושר האב. לכמה ילדים לא מכפילים, כי יש חפיפה בהוצאות.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266 — התשובה הנכונה: ג</w:t>
            </w:r>
          </w:p>
          <w:p>
            <w:pPr>
              <w:bidi/>
              <w:spacing w:before="0" w:after="0" w:line="288" w:lineRule="auto"/>
              <w:jc w:val="both"/>
            </w:pPr>
            <w:r>
              <w:rPr>
                <w:rFonts w:ascii="Arial" w:hAnsi="Arial" w:cs="Arial" w:eastAsia="Arial"/>
                <w:color w:val="1F2430"/>
                <w:sz w:val="19"/>
                <w:szCs w:val="19"/>
                <w:rtl/>
              </w:rPr>
              <w:t>בע״מ 919/15 (2017) ניתן בהרכב של שבעה שופטים, וההכרעה העקרונית התקבלה פה אחד. פוגלמן קבע שבגילאי 6–15 שני ההורים חבים מדין צדקה מהשקל הראשון, לפי יכולתם מכל המקורות וזמני השהות. גילאי 0–6 לא שונו.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267 — התשובה הנכונה: ב</w:t>
            </w:r>
          </w:p>
          <w:p>
            <w:pPr>
              <w:bidi/>
              <w:spacing w:before="0" w:after="0" w:line="288" w:lineRule="auto"/>
              <w:jc w:val="both"/>
            </w:pPr>
            <w:r>
              <w:rPr>
                <w:rFonts w:ascii="Arial" w:hAnsi="Arial" w:cs="Arial" w:eastAsia="Arial"/>
                <w:color w:val="1F2430"/>
                <w:sz w:val="19"/>
                <w:szCs w:val="19"/>
                <w:rtl/>
              </w:rPr>
              <w:t>בע״מ 919/15 לא שינה את העיקרון בגילאי 0–6: המזונות ההכרחיים על האב לבדו לפי הדין האישי. בחישוב המעשי מתחשבים בהוצאות שהאב כבר נושא בהן כשהילד אצלו. לכן אצל ילד מתחת לגיל 6 לא בודקים את הכנסת האם לצורך ההכרחיים.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268 — התשובה הנכונה: א</w:t>
            </w:r>
          </w:p>
          <w:p>
            <w:pPr>
              <w:bidi/>
              <w:spacing w:before="0" w:after="0" w:line="288" w:lineRule="auto"/>
              <w:jc w:val="both"/>
            </w:pPr>
            <w:r>
              <w:rPr>
                <w:rFonts w:ascii="Arial" w:hAnsi="Arial" w:cs="Arial" w:eastAsia="Arial"/>
                <w:color w:val="1F2430"/>
                <w:sz w:val="19"/>
                <w:szCs w:val="19"/>
                <w:rtl/>
              </w:rPr>
              <w:t>ברק-ארז הבחינה בין הוצאות תלויות שהות (מזון, מים, חשמל, הסעות, מדור), שמתקזזות בעין, לבין הוצאות שאינן תלויות שהות (ביגוד, נעליים, ספרים, טיפול רפואי לא צפוי), שדורשות מנגנון מרכז. כך הילד לא ״ייקרע״ בין ההורים. הוצאות חריגות מוסדרות לפי כושר ההשתכרות.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269 — התשובה הנכונה: ב</w:t>
            </w:r>
          </w:p>
          <w:p>
            <w:pPr>
              <w:bidi/>
              <w:spacing w:before="0" w:after="0" w:line="288" w:lineRule="auto"/>
              <w:jc w:val="both"/>
            </w:pPr>
            <w:r>
              <w:rPr>
                <w:rFonts w:ascii="Arial" w:hAnsi="Arial" w:cs="Arial" w:eastAsia="Arial"/>
                <w:color w:val="1F2430"/>
                <w:sz w:val="19"/>
                <w:szCs w:val="19"/>
                <w:rtl/>
              </w:rPr>
              <w:t>לפי ברק-ארז, ההורה המרכז מנהל את ההוצאות שאינן תלויות שהות. שני ההורים מפקידים לחשבון משותף לפי יחס היכולות, או שההורה המרכז מודיע על הוצאה והיא מתחלקת. בדוגמה שנלמדה האם נקבעה כהורה מרכז כי הייתה ההורה הדומיננטי, ולא משום שהרוויחה יותר.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270 — התשובה הנכונה: א</w:t>
            </w:r>
          </w:p>
          <w:p>
            <w:pPr>
              <w:bidi/>
              <w:spacing w:before="0" w:after="0" w:line="288" w:lineRule="auto"/>
              <w:jc w:val="both"/>
            </w:pPr>
            <w:r>
              <w:rPr>
                <w:rFonts w:ascii="Arial" w:hAnsi="Arial" w:cs="Arial" w:eastAsia="Arial"/>
                <w:color w:val="1F2430"/>
                <w:sz w:val="19"/>
                <w:szCs w:val="19"/>
                <w:rtl/>
              </w:rPr>
              <w:t>חלקו של האב הוא 40% מ-3,000, כלומר 1,200 ₪. הוא כבר נושא ישירות ב-700 ₪, ולכן מעביר רק את ההפרש: 500 ₪. זה החידוש של החישוב אחרי 919/15, כמו בדוגמה שנלמדה (800 פחות 500, ולכן 300). 1,200 ₪ היה הסכום אילו הילדה שהתה רק אצל האם.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271 — התשובה הנכונה: ד</w:t>
            </w:r>
          </w:p>
          <w:p>
            <w:pPr>
              <w:bidi/>
              <w:spacing w:before="0" w:after="0" w:line="288" w:lineRule="auto"/>
              <w:jc w:val="both"/>
            </w:pPr>
            <w:r>
              <w:rPr>
                <w:rFonts w:ascii="Arial" w:hAnsi="Arial" w:cs="Arial" w:eastAsia="Arial"/>
                <w:color w:val="1F2430"/>
                <w:sz w:val="19"/>
                <w:szCs w:val="19"/>
                <w:rtl/>
              </w:rPr>
              <w:t>בעמ״ש 38647-09-17 נקבע שההלכה אינה מצומצמת למקרי משמורת משותפת, כפי שטענו ארגוני הנשים. בפועל בוטל ״המוסד״ של מזונות הכרחיים מגיל 6, חיוב האב והאם זהה, ואין חיוב יתר על האב מדין צדקה.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272 — התשובה הנכונה: ג</w:t>
            </w:r>
          </w:p>
          <w:p>
            <w:pPr>
              <w:bidi/>
              <w:spacing w:before="0" w:after="0" w:line="288" w:lineRule="auto"/>
              <w:jc w:val="both"/>
            </w:pPr>
            <w:r>
              <w:rPr>
                <w:rFonts w:ascii="Arial" w:hAnsi="Arial" w:cs="Arial" w:eastAsia="Arial"/>
                <w:color w:val="1F2430"/>
                <w:sz w:val="19"/>
                <w:szCs w:val="19"/>
                <w:rtl/>
              </w:rPr>
              <w:t>העליון קבע ש-919/15 כשלעצמה אינה שינוי נסיבות מהותי, בין בפסק דין שאישר הסכם ובין בפסק דין שניתן אחרי הליך, כדי לשמור על סופיות הדיון ויציבות חיי הקטינים. רק שינוי עובדתי מהותי, כמו מעבר הילדים לשהות יותר אצל האב, מאפשר לבחון את הרכיב שהשתנה לפי ההלכה החדשה. גישת זגורי, שהבחינה בין פסק דין להסכם, לא התקבלה.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273 — התשובה הנכונה: ג</w:t>
            </w:r>
          </w:p>
          <w:p>
            <w:pPr>
              <w:bidi/>
              <w:spacing w:before="0" w:after="0" w:line="288" w:lineRule="auto"/>
              <w:jc w:val="both"/>
            </w:pPr>
            <w:r>
              <w:rPr>
                <w:rFonts w:ascii="Arial" w:hAnsi="Arial" w:cs="Arial" w:eastAsia="Arial"/>
                <w:color w:val="1F2430"/>
                <w:sz w:val="19"/>
                <w:szCs w:val="19"/>
                <w:rtl/>
              </w:rPr>
              <w:t>סעיף 24 מתיר להורים חיים בנפרד להסכים על האפוטרופסות, על החזקה ועל זכויות המגע, אבל ההסכם טעון אישור בית המשפט, שיאשרו רק אם הוא לטובת הקטין. חזקת הגיל הרך (סעיף 25) חלה רק כשאין הסכמה, ולכן המסיח השני שגוי.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274 — התשובה הנכונה: ד</w:t>
            </w:r>
          </w:p>
          <w:p>
            <w:pPr>
              <w:bidi/>
              <w:spacing w:before="0" w:after="0" w:line="288" w:lineRule="auto"/>
              <w:jc w:val="both"/>
            </w:pPr>
            <w:r>
              <w:rPr>
                <w:rFonts w:ascii="Arial" w:hAnsi="Arial" w:cs="Arial" w:eastAsia="Arial"/>
                <w:color w:val="1F2430"/>
                <w:sz w:val="19"/>
                <w:szCs w:val="19"/>
                <w:rtl/>
              </w:rPr>
              <w:t>סעיף 25 קובע שילדים עד גיל 6 יהיו אצל אמם ״אם אין סיבות מיוחדות להורות אחרת״, כלומר זו חזקה ולא כלל. היא רלוונטית כשאין הסכם או שההסכם לא בוצע. בפועל השפעתה נמשכת כמעט עד גיל 18, כי לא מפרידים בין אחים ולא משנים מצב קיים.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275 — התשובה הנכונה: א</w:t>
            </w:r>
          </w:p>
          <w:p>
            <w:pPr>
              <w:bidi/>
              <w:spacing w:before="0" w:after="0" w:line="288" w:lineRule="auto"/>
              <w:jc w:val="both"/>
            </w:pPr>
            <w:r>
              <w:rPr>
                <w:rFonts w:ascii="Arial" w:hAnsi="Arial" w:cs="Arial" w:eastAsia="Arial"/>
                <w:color w:val="1F2430"/>
                <w:sz w:val="19"/>
                <w:szCs w:val="19"/>
                <w:rtl/>
              </w:rPr>
              <w:t>חזקת הגיל הרך רלוונטית רק למשמורת הפיזית (היכן הילד גר). בכל הנוגע לאפוטרופסות, כמו בחירת זרם החינוך, שני ההורים הם האפוטרופסים הטבעיים באופן שווה (סעיף 14 לחוק הכשרות וחוק שיווי זכויות האישה), ואין לאחד מהם עדיפות. כך גם בשאלות החידוד בקורס.</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276 — התשובה הנכונה: ב</w:t>
            </w:r>
          </w:p>
          <w:p>
            <w:pPr>
              <w:bidi/>
              <w:spacing w:before="0" w:after="0" w:line="288" w:lineRule="auto"/>
              <w:jc w:val="both"/>
            </w:pPr>
            <w:r>
              <w:rPr>
                <w:rFonts w:ascii="Arial" w:hAnsi="Arial" w:cs="Arial" w:eastAsia="Arial"/>
                <w:color w:val="1F2430"/>
                <w:sz w:val="19"/>
                <w:szCs w:val="19"/>
                <w:rtl/>
              </w:rPr>
              <w:t>לפי מה שנלמד בתרגול, התנהגות האם אינה תקינה, אבל אין בה סיבות מיוחדות שמצדיקות לסתור את חזקת הגיל הרך, והילד נשאר אצלה עם הסדרי קשר לאב. כל עוד הכנסת לא צמצמה את החזקה, בית המשפט אינו יכול לעקוף אותה.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277 — התשובה הנכונה: ד</w:t>
            </w:r>
          </w:p>
          <w:p>
            <w:pPr>
              <w:bidi/>
              <w:spacing w:before="0" w:after="0" w:line="288" w:lineRule="auto"/>
              <w:jc w:val="both"/>
            </w:pPr>
            <w:r>
              <w:rPr>
                <w:rFonts w:ascii="Arial" w:hAnsi="Arial" w:cs="Arial" w:eastAsia="Arial"/>
                <w:color w:val="1F2430"/>
                <w:sz w:val="19"/>
                <w:szCs w:val="19"/>
                <w:rtl/>
              </w:rPr>
              <w:t>סעיף 79 קובע שמקום שבית דין דתי מוסמך לשפוט, יראו כל הוראה בחוק (פרט לסעיף 75) שמדובר בה בבית משפט כאילו מדובר בבית דין דתי. לכן גם בית הדין הרבני כפוף לעקרונות האזרחיים, כמו טובת הילד וסעיפים 24 ו-25. כך אפוטרופסות, אף שהיא מענייני המעמד האישי, כפופה לדין טריטוריאלי.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278 — התשובה הנכונה: ב</w:t>
            </w:r>
          </w:p>
          <w:p>
            <w:pPr>
              <w:bidi/>
              <w:spacing w:before="0" w:after="0" w:line="288" w:lineRule="auto"/>
              <w:jc w:val="both"/>
            </w:pPr>
            <w:r>
              <w:rPr>
                <w:rFonts w:ascii="Arial" w:hAnsi="Arial" w:cs="Arial" w:eastAsia="Arial"/>
                <w:color w:val="1F2430"/>
                <w:sz w:val="19"/>
                <w:szCs w:val="19"/>
                <w:rtl/>
              </w:rPr>
              <w:t>ועדת שניט, בראשות פרופסור לעבודה סוציאלית, עסקה במשמורת והמליצה לבטל את חזקת הגיל הרך. ועדת שיפמן, בראשות פרופסור למשפטים, עסקה במזונות והמליצה על דין אזרחי אחיד עם מערכת מנהלית ונוסחאות. אף אחת מההמלצות לא נחקקה, אבל שתיהן השפיעו על הפסיקה.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279 — התשובה הנכונה: ג</w:t>
            </w:r>
          </w:p>
          <w:p>
            <w:pPr>
              <w:bidi/>
              <w:spacing w:before="0" w:after="0" w:line="288" w:lineRule="auto"/>
              <w:jc w:val="both"/>
            </w:pPr>
            <w:r>
              <w:rPr>
                <w:rFonts w:ascii="Arial" w:hAnsi="Arial" w:cs="Arial" w:eastAsia="Arial"/>
                <w:color w:val="1F2430"/>
                <w:sz w:val="19"/>
                <w:szCs w:val="19"/>
                <w:rtl/>
              </w:rPr>
              <w:t>לפי טבלת ההשוואה ותיק 1140557/4 (באר שבע): בית הדין משאיר לאב כדי צרכו, לא מתחשב בפוטנציאל השתכרות ומשאיר ״צרכים הכרחיים״ על האב בכל הגילאים. בית המשפט מגיל 6 מחלק לפי יכולות יחסיות ובוחן פוטנציאל (3432/09). קיזוז הוצאות תלויות שהות רלוונטי בשתי הערכאות. לכן אישה שמרוויחה יותר מעדיפה היום את בית הדין.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280 — התשובה הנכונה: א</w:t>
            </w:r>
          </w:p>
          <w:p>
            <w:pPr>
              <w:bidi/>
              <w:spacing w:before="0" w:after="0" w:line="288" w:lineRule="auto"/>
              <w:jc w:val="both"/>
            </w:pPr>
            <w:r>
              <w:rPr>
                <w:rFonts w:ascii="Arial" w:hAnsi="Arial" w:cs="Arial" w:eastAsia="Arial"/>
                <w:color w:val="1F2430"/>
                <w:sz w:val="19"/>
                <w:szCs w:val="19"/>
                <w:rtl/>
              </w:rPr>
              <w:t>הפסיקה קבעה שהמענה לחשש מפני מניע פסול נמצא בשלב ההכרעה במשמורת ולא בשלב קביעת המזונות. בית המשפט נעזר במומחים שמתרשמים ישירות מההורים, מכוונותיהם ומהמסוגלות שלהם. בנוסף, משמורת דורשת קיצור שעות עבודה וזמינות קבועה, ולכן ״העסקה שרקם אינה משתלמת״.</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B83227"/>
            <w:tcBorders>
              <w:top w:val="single" w:sz="4" w:space="0" w:color="B83227"/>
              <w:left w:val="single" w:sz="4" w:space="0" w:color="B83227"/>
              <w:bottom w:val="single" w:sz="4" w:space="0" w:color="B83227"/>
              <w:right w:val="single" w:sz="4" w:space="0" w:color="B83227"/>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11</w:t>
            </w:r>
          </w:p>
          <w:p>
            <w:pPr>
              <w:bidi/>
              <w:spacing w:before="0" w:after="0" w:line="264" w:lineRule="auto"/>
              <w:outlineLvl w:val="0"/>
            </w:pPr>
            <w:r>
              <w:rPr>
                <w:rFonts w:ascii="Arial" w:hAnsi="Arial" w:cs="Arial" w:eastAsia="Arial"/>
                <w:b/>
                <w:bCs/>
                <w:color w:val="FFFFFF"/>
                <w:sz w:val="42"/>
                <w:szCs w:val="42"/>
                <w:rtl/>
              </w:rPr>
              <w:t>הלכת השיתוף</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281 </w:t>
            </w:r>
            <w:r>
              <w:rPr>
                <w:rFonts w:ascii="Arial" w:hAnsi="Arial" w:cs="Arial" w:eastAsia="Arial"/>
                <w:sz w:val="20"/>
                <w:szCs w:val="20"/>
                <w:rtl/>
              </w:rPr>
              <w:t xml:space="preserve">  </w:t>
            </w:r>
            <w:r>
              <w:rPr>
                <w:rFonts w:ascii="Arial" w:hAnsi="Arial" w:cs="Arial" w:eastAsia="Arial"/>
                <w:b/>
                <w:bCs/>
                <w:color w:val="111827"/>
                <w:sz w:val="20"/>
                <w:szCs w:val="20"/>
                <w:rtl/>
              </w:rPr>
              <w:t>על מי חלה הלכת השיתוף, לפי מה שנלמד בקורס?</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רק על בני זוג שנישאו כדת משה וישראל לפני שנת 1974</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על בני זוג שנישאו לפני 1.1.1974 ועל ידועים בציבור, בלי קשר למועד שבו התחיל הקשר</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על כל בני הזוג שהתגרשו לפני 1.1.1974, בלי קשר למועד הנישואין</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על ידועים בציבור רק אם הקשר ביניהם התחיל לפני 1.1.1974</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282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נישאו בשנת 1970 בגרמניה, עלו לישראל בשנת 1975 ונרשמו במרשם כנשואים. בשנת 1980 התגרשו. איזה משטר רכושי יחול עליהם?</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הסדר איזון המשאבים לפי חוק יחסי ממון, משום שהתגרשו אחרי 1974</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החוק הגרמני, משום שנישאו בגרמניה</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הדין העברי, משום שהם יהודים ונישאו כדת</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הלכת השיתוף, משום שנישאו לפני כניסת חוק יחסי ממון לתוקף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283 </w:t>
            </w:r>
            <w:r>
              <w:rPr>
                <w:rFonts w:ascii="Arial" w:hAnsi="Arial" w:cs="Arial" w:eastAsia="Arial"/>
                <w:sz w:val="20"/>
                <w:szCs w:val="20"/>
                <w:rtl/>
              </w:rPr>
              <w:t xml:space="preserve">  </w:t>
            </w:r>
            <w:r>
              <w:rPr>
                <w:rFonts w:ascii="Arial" w:hAnsi="Arial" w:cs="Arial" w:eastAsia="Arial"/>
                <w:b/>
                <w:bCs/>
                <w:color w:val="111827"/>
                <w:sz w:val="20"/>
                <w:szCs w:val="20"/>
                <w:rtl/>
              </w:rPr>
              <w:t>מה היה הבסיס המשפטי הראשון של הלכת השיתוף, ומה הוביל לנטישתו?</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הסכם מכללא (קונסטרוקציה חוזית), שנסדק במקרים כמו הסתרת נכסים, בעל שמקציב לאישה דמי כיס, ואישה שסברה שהכול שייך לבעלה</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סעיף 9 לחוק המקרקעין, שננטש משום שלא הגן על צדדים שלישיים</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סעיף 4 לחוק יחסי ממון, שננטש לאחר פרשת בבלי</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דיני עשיית עושר ולא במשפט, שננטשו משום שדרשו הוכחת התעשרות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284 </w:t>
            </w:r>
            <w:r>
              <w:rPr>
                <w:rFonts w:ascii="Arial" w:hAnsi="Arial" w:cs="Arial" w:eastAsia="Arial"/>
                <w:sz w:val="20"/>
                <w:szCs w:val="20"/>
                <w:rtl/>
              </w:rPr>
              <w:t xml:space="preserve">  </w:t>
            </w:r>
            <w:r>
              <w:rPr>
                <w:rFonts w:ascii="Arial" w:hAnsi="Arial" w:cs="Arial" w:eastAsia="Arial"/>
                <w:b/>
                <w:bCs/>
                <w:color w:val="111827"/>
                <w:sz w:val="20"/>
                <w:szCs w:val="20"/>
                <w:rtl/>
              </w:rPr>
              <w:t>בפרשת מדג׳ר, אישה סבלה במשך שנים ממחלת נפש, והבעל, שסעד אותה, רכש בית מרקחת ורשם אותו על שמו. המחוזי קבע שהייתה ״תרומה שלילית״ של האישה. מה קבע בית המשפט העליון?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האישה זכאית רק לחלק יחסי לפי תרומתה בפועל</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בית המרקחת של הבעל בלבד, כי אין שיתוף בלי מאמץ משותף</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חיי נישואין הם מסכת אנושית שכוללת גם תקופות מחלה, ולכן יש שיתוף ובית המרקחת מתחלק חצי חצי</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השיתוף חל רק על הנכסים שנרכשו לפני פרוץ המחלה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285 </w:t>
            </w:r>
            <w:r>
              <w:rPr>
                <w:rFonts w:ascii="Arial" w:hAnsi="Arial" w:cs="Arial" w:eastAsia="Arial"/>
                <w:sz w:val="20"/>
                <w:szCs w:val="20"/>
                <w:rtl/>
              </w:rPr>
              <w:t xml:space="preserve">  </w:t>
            </w:r>
            <w:r>
              <w:rPr>
                <w:rFonts w:ascii="Arial" w:hAnsi="Arial" w:cs="Arial" w:eastAsia="Arial"/>
                <w:b/>
                <w:bCs/>
                <w:color w:val="111827"/>
                <w:sz w:val="20"/>
                <w:szCs w:val="20"/>
                <w:rtl/>
              </w:rPr>
              <w:t>מהו התנאי להחלת חזקת השיתוף על נכסים פנימיים בין בני זוג נשואים, לפי ההלכה כיום?</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חיים הרמוניים ומאמץ משותף שווה של שני בני הזוג</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די בחיים משותפים תחת קורת גג אחת; מריבות ויחסים קשים אינם שוללים שיתוף, ורק פירוד של ממש מפסיק אותו</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תרומה כלכלית מוכחת של בן הזוג שאינו רשום</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רישום משותף של לפחות נכס אחד, כראיה לכוונת שיתוף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286 </w:t>
            </w:r>
            <w:r>
              <w:rPr>
                <w:rFonts w:ascii="Arial" w:hAnsi="Arial" w:cs="Arial" w:eastAsia="Arial"/>
                <w:sz w:val="20"/>
                <w:szCs w:val="20"/>
                <w:rtl/>
              </w:rPr>
              <w:t xml:space="preserve">  </w:t>
            </w:r>
            <w:r>
              <w:rPr>
                <w:rFonts w:ascii="Arial" w:hAnsi="Arial" w:cs="Arial" w:eastAsia="Arial"/>
                <w:b/>
                <w:bCs/>
                <w:color w:val="111827"/>
                <w:sz w:val="20"/>
                <w:szCs w:val="20"/>
                <w:rtl/>
              </w:rPr>
              <w:t>בעל נשוי משנת 1965 טוען שמשכורותיו לא היו משותפות, משום שהפקיד אותן תמיד בחשבון נפרד ורשם את כל הנכסים על שמו. מה הדרך היחידה שבה היה יכול למנוע שיתוף בנכסים פנימיים?</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הסכם ממון מפורש, שאצל נשואים צריך להיות מאושר כדין</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התנהלות עקבית של הפרדה בחשבונות בנק</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רישום כל הנכסים על שמו בלבד בטאבו</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הודעה בעל פה לאשתו שאינו מתכוון לשתף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287 </w:t>
            </w:r>
            <w:r>
              <w:rPr>
                <w:rFonts w:ascii="Arial" w:hAnsi="Arial" w:cs="Arial" w:eastAsia="Arial"/>
                <w:sz w:val="20"/>
                <w:szCs w:val="20"/>
                <w:rtl/>
              </w:rPr>
              <w:t xml:space="preserve">  </w:t>
            </w:r>
            <w:r>
              <w:rPr>
                <w:rFonts w:ascii="Arial" w:hAnsi="Arial" w:cs="Arial" w:eastAsia="Arial"/>
                <w:b/>
                <w:bCs/>
                <w:color w:val="111827"/>
                <w:sz w:val="20"/>
                <w:szCs w:val="20"/>
                <w:rtl/>
              </w:rPr>
              <w:t>אישה שנישאה בשנת 1970 תובעת פסק דין הצהרתי שמחצית דירת המגורים, הרשומה על שם בעלה, שייכת לה. בני הזוג טרם התגרשו. הבעל טוען שהתביעה מוקדמת. מה הדין?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הטענה נכונה: בהלכת השיתוף הזכות מתגבשת רק בפקיעת הנישואין</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הטענה נכונה: יש להמתין לקרע של תשעה חודשים</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הטענה נכונה, אלא אם הבעל הסכים בכתב לשיתוף</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הטענה נדחית: בדירה משפחתית זו זכות קניינית מרגע הרכישה, ואפשר לקבל פסק דין הצהרתי בכל שלב</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288 </w:t>
            </w:r>
            <w:r>
              <w:rPr>
                <w:rFonts w:ascii="Arial" w:hAnsi="Arial" w:cs="Arial" w:eastAsia="Arial"/>
                <w:sz w:val="20"/>
                <w:szCs w:val="20"/>
                <w:rtl/>
              </w:rPr>
              <w:t xml:space="preserve">  </w:t>
            </w:r>
            <w:r>
              <w:rPr>
                <w:rFonts w:ascii="Arial" w:hAnsi="Arial" w:cs="Arial" w:eastAsia="Arial"/>
                <w:b/>
                <w:bCs/>
                <w:color w:val="111827"/>
                <w:sz w:val="20"/>
                <w:szCs w:val="20"/>
                <w:rtl/>
              </w:rPr>
              <w:t>בפרשת בבלי חילק בית הדין הרבני את הרכוש לפי הרישום, והכול נפסק לבעל. על מה ביסס השופט ברק את החובה של בית הדין להחיל את הלכת השיתוף?</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על סעיף 9 לחוק שיפוט בתי דין רבניים, שמתנה את הסמכות בהסכמה</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על סעיף 13(ב) לחוק יחסי ממון, שחל על בני הזוג</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על סעיף 1 לחוק שיווי זכויות האישה (״דין אחד יהיה לאשה ולאיש״) ועל הקביעה ש״הלכת השיתוף היא דין בישראל״</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על חוק בית המשפט לענייני משפחה, שהעביר את ענייני הרכוש לבית המשפט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289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בפרשת בבלי טען שהוא נוהג בשוויון, שהרי אילו הנכסים היו רשומים על שם האישה, הכול היה נפסק לה. מדוע דחה ברק את הטענה?</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משום שזהו שוויון פורמלי, שמסתכל על הרישום בלבד, ואילו נדרש שוויון מהותי, שמכיר בתרומת שני בני הזוג לחיים המשותפים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משום שבית הדין לא היה מוסמך כלל לדון ברכוש, כי הכריכה לא הייתה כנה</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משום שהאישה הייתה זכאית גם לכתובה מלאה וגם למחצית הרכוש</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משום שהדין הדתי אוסר על רישום נכסים על שם האישה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290 </w:t>
            </w:r>
            <w:r>
              <w:rPr>
                <w:rFonts w:ascii="Arial" w:hAnsi="Arial" w:cs="Arial" w:eastAsia="Arial"/>
                <w:sz w:val="20"/>
                <w:szCs w:val="20"/>
                <w:rtl/>
              </w:rPr>
              <w:t xml:space="preserve">  </w:t>
            </w:r>
            <w:r>
              <w:rPr>
                <w:rFonts w:ascii="Arial" w:hAnsi="Arial" w:cs="Arial" w:eastAsia="Arial"/>
                <w:b/>
                <w:bCs/>
                <w:color w:val="111827"/>
                <w:sz w:val="20"/>
                <w:szCs w:val="20"/>
                <w:rtl/>
              </w:rPr>
              <w:t>יונית, העומדת בתנאי סעיף 1 לחוק השיפוט, הגישה בשנת 2020 תביעת גירושין נגד עידו, שלו נישאה בשנת 2013, וכרכה בה את הרכוש כדין. שני הצדדים, יראי שמיים, ביקשו במפורש לדון ברכוש לפי הדין האישי, ובית הדין נעתר. האם פעל בית הדין בסמכות?</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לא, לפי הלכת בבלי בית הדין חייב תמיד לדון ברכוש לפי הדין האזרחי</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כן, סעיף 13(ב) לחוק יחסי ממון מאפשר לבית דין דתי לדון לפי הדין הדתי כשבעלי הדין הסכימו לכך במפורש</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כן, משום שרכוש הוא מענייני המעמד האישי, ולכן חל עליו הדין האישי</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לא, משום שרכוש אפשר להביא לבית הדין רק בהסכמה לפי סעיף 9, ולא בכריכה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291 </w:t>
            </w:r>
            <w:r>
              <w:rPr>
                <w:rFonts w:ascii="Arial" w:hAnsi="Arial" w:cs="Arial" w:eastAsia="Arial"/>
                <w:sz w:val="20"/>
                <w:szCs w:val="20"/>
                <w:rtl/>
              </w:rPr>
              <w:t xml:space="preserve">  </w:t>
            </w:r>
            <w:r>
              <w:rPr>
                <w:rFonts w:ascii="Arial" w:hAnsi="Arial" w:cs="Arial" w:eastAsia="Arial"/>
                <w:b/>
                <w:bCs/>
                <w:color w:val="111827"/>
                <w:sz w:val="20"/>
                <w:szCs w:val="20"/>
                <w:rtl/>
              </w:rPr>
              <w:t>מהו המבחן המרכזי להבחנה בין נכס פנימי לנכס חיצוני בהלכת השיתוף?</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על שם מי הנכס רשום במרשם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מי מבני הזוג משתמש בנכס בפועל</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שווי הנכס במועד הפירוד</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מקור המימון של הנכס - האם נרכש מכספי החיים המשותפים, או שמקורו לפני הנישואין, בירושה או במתנה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292 </w:t>
            </w:r>
            <w:r>
              <w:rPr>
                <w:rFonts w:ascii="Arial" w:hAnsi="Arial" w:cs="Arial" w:eastAsia="Arial"/>
                <w:sz w:val="20"/>
                <w:szCs w:val="20"/>
                <w:rtl/>
              </w:rPr>
              <w:t xml:space="preserve">  </w:t>
            </w:r>
            <w:r>
              <w:rPr>
                <w:rFonts w:ascii="Arial" w:hAnsi="Arial" w:cs="Arial" w:eastAsia="Arial"/>
                <w:b/>
                <w:bCs/>
                <w:color w:val="111827"/>
                <w:sz w:val="20"/>
                <w:szCs w:val="20"/>
                <w:rtl/>
              </w:rPr>
              <w:t>על מי מוטל נטל ההוכחה בשאלת השיתוף?</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תמיד על בן הזוג שאינו רשום כבעלים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תמיד על בן הזוג הרשום כבעלים</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בנכס פנימי - על מי שטוען שהנכס אינו משותף; בנכס חיצוני - על מי שמבקש שיתוף</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בנכס פנימי - על מי שמבקש שיתוף; בנכס חיצוני - על מי שטוען שהנכס אינו משותף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293 </w:t>
            </w:r>
            <w:r>
              <w:rPr>
                <w:rFonts w:ascii="Arial" w:hAnsi="Arial" w:cs="Arial" w:eastAsia="Arial"/>
                <w:sz w:val="20"/>
                <w:szCs w:val="20"/>
                <w:rtl/>
              </w:rPr>
              <w:t xml:space="preserve">  </w:t>
            </w:r>
            <w:r>
              <w:rPr>
                <w:rFonts w:ascii="Arial" w:hAnsi="Arial" w:cs="Arial" w:eastAsia="Arial"/>
                <w:b/>
                <w:bCs/>
                <w:color w:val="111827"/>
                <w:sz w:val="20"/>
                <w:szCs w:val="20"/>
                <w:rtl/>
              </w:rPr>
              <w:t>בפרשת בריל נישאו בני הזוג בשנת 1967. היו להם נכסים ממשכורות וגם ממתנות וירושות, החיים היו משבריים לאורך שנים, והאישה פתחה חשבון נפרד. מה נקבע?</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אורח החיים המשברי שולל שיתוף בכל הנכסים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אורח החיים המשברי אינו שולל שיתוף בנכסים הפנימיים, אך מונע שיתוף בנכסים החיצוניים; חשבון נפרד אינו בהכרח ראיה להפרדה</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החשבון הנפרד מוכיח הפרדה רכושית מלאה ממועד פתיחתו</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כל הנכסים, כולל המתנות והירושות, מתחלקים חצי חצי משום שחיו תחת קורת גג אחת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294 </w:t>
            </w:r>
            <w:r>
              <w:rPr>
                <w:rFonts w:ascii="Arial" w:hAnsi="Arial" w:cs="Arial" w:eastAsia="Arial"/>
                <w:sz w:val="20"/>
                <w:szCs w:val="20"/>
                <w:rtl/>
              </w:rPr>
              <w:t xml:space="preserve">  </w:t>
            </w:r>
            <w:r>
              <w:rPr>
                <w:rFonts w:ascii="Arial" w:hAnsi="Arial" w:cs="Arial" w:eastAsia="Arial"/>
                <w:b/>
                <w:bCs/>
                <w:color w:val="111827"/>
                <w:sz w:val="20"/>
                <w:szCs w:val="20"/>
                <w:rtl/>
              </w:rPr>
              <w:t>שמעון, בן 35, קנה דירה לפני נישואיו. הכסף לא הספיק, ורעייתו לעתיד נתנה לו את ההפרש כדי שלא ייקח משכנתא. הדירה נרשמה על שמו בלבד. בני הזוג נישאו בשנת 1964 וחיו בדירה שלושים שנה. מה הדין לפי פרשת הדרי?</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הדירה, שהיא דירת המגורים ו״גולת הכותרת״ של החזקה, הפכה למשותפת, ודי בראיות צנועות כדי שתוטמע; האישה זכאית למחצית</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האישה זכאית רק להחזר הסכום שנתנה, משום שהדירה נכס חיצוני</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הדירה של הבעל בלבד, משום שנרשמה רק על שמו</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האישה זכאית לחלק היחסי של תרומתה בשווי הדירה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295 </w:t>
            </w:r>
            <w:r>
              <w:rPr>
                <w:rFonts w:ascii="Arial" w:hAnsi="Arial" w:cs="Arial" w:eastAsia="Arial"/>
                <w:sz w:val="20"/>
                <w:szCs w:val="20"/>
                <w:rtl/>
              </w:rPr>
              <w:t xml:space="preserve">  </w:t>
            </w:r>
            <w:r>
              <w:rPr>
                <w:rFonts w:ascii="Arial" w:hAnsi="Arial" w:cs="Arial" w:eastAsia="Arial"/>
                <w:b/>
                <w:bCs/>
                <w:color w:val="111827"/>
                <w:sz w:val="20"/>
                <w:szCs w:val="20"/>
                <w:rtl/>
              </w:rPr>
              <w:t>איזה מהבאים אינו אחד הפרמטרים שנקבעו בפסיקה (הדרי ובריל) לבחינת השאלה אם נכס חיצוני הפך למשותף?</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טיב הנכס ומידת השימוש בו לצורכי המשפחה</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האם מדובר בנישואין ראשונים או שניים</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גובה ההכנסה של בן הזוג המבקש שיתוף ביחס לבן הזוג הבעלים</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שיפוצים והשבחה מכספים משותפים, כולל תשלום משכנתא מכספים משותפים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296 </w:t>
            </w:r>
            <w:r>
              <w:rPr>
                <w:rFonts w:ascii="Arial" w:hAnsi="Arial" w:cs="Arial" w:eastAsia="Arial"/>
                <w:sz w:val="20"/>
                <w:szCs w:val="20"/>
                <w:rtl/>
              </w:rPr>
              <w:t xml:space="preserve">  </w:t>
            </w:r>
            <w:r>
              <w:rPr>
                <w:rFonts w:ascii="Arial" w:hAnsi="Arial" w:cs="Arial" w:eastAsia="Arial"/>
                <w:b/>
                <w:bCs/>
                <w:color w:val="111827"/>
                <w:sz w:val="20"/>
                <w:szCs w:val="20"/>
                <w:rtl/>
              </w:rPr>
              <w:t>רונן, שנישא בשנת 1968, ירש מאביו דירה לפני נישואיו. כדי לשמור אותה מחוץ לשיתוף לא גר בה, הפקיד את שכר הדירה בחשבון נפרד ושיפץ אותה רק מכספי השכירות. מה נכון?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התנהגות כזו אינה מועילה בשום מקרה, ורק הסכם ממון מונע שיתוף</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התנהגות כזו מועילה באותה מידה גם לגבי משכורותיו</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הדירה תהפוך למשותפת בכל מקרה אחרי 12 שנות נישואין</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התנהגות של הפרדה יכולה לסייע במניעת שיתוף, אבל רק בנכס חיצוני ולא בנכס פנימי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297 </w:t>
            </w:r>
            <w:r>
              <w:rPr>
                <w:rFonts w:ascii="Arial" w:hAnsi="Arial" w:cs="Arial" w:eastAsia="Arial"/>
                <w:sz w:val="20"/>
                <w:szCs w:val="20"/>
                <w:rtl/>
              </w:rPr>
              <w:t xml:space="preserve">  </w:t>
            </w:r>
            <w:r>
              <w:rPr>
                <w:rFonts w:ascii="Arial" w:hAnsi="Arial" w:cs="Arial" w:eastAsia="Arial"/>
                <w:b/>
                <w:bCs/>
                <w:color w:val="111827"/>
                <w:sz w:val="20"/>
                <w:szCs w:val="20"/>
                <w:rtl/>
              </w:rPr>
              <w:t>אחרי 17 שנות נישואין הודתה אישה בבית הדין הרבני שבגדה בבעלה 12 שנים, ודרשה מחצית מדירת הבעל, שהייתה נכס חיצוני ושבה גרו. לטענתה חיו בהרמוניה, כי הבעל לא ידע. מה נקבע (בג״ץ 3395/00)?</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אין שיתוף בדירה החיצונית, כי ההרמוניה וכוונת השיתוף היו מדומות; אבל הבגידה אינה שוללת את השיתוף בנכסים הפנימיים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הבגידה שוללת את השיתוף בכל הנכסים שנצברו בתקופת הבגידה</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הדירה מתחלקת חצי חצי, כי בגידה אינה רלוונטית לשאלות רכוש</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בג״ץ התערב משום שבית הדין הרבני אינו רשאי להתחשב בבגידה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298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הגדול קבע שבגידת האישה היא ״נסיבה מיוחדת״, ושלל ממנה את מחצית זכויות הפנסיה של בעלה. מה קבע בג״ץ (בג״ץ 8928/06)?</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בגידה היא נסיבה מיוחדת, ולכן בית הדין פעל כדין</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בגידה כשלעצמה אינה מצדיקה שלילת זכויות רכושיות שנצברו; כפי שנקבע כבר בפרשת דרור, אין נענשים על בגידה למפרע בנטילת זכויות ברכוש המשותף</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זכויות פנסיה אינן רכוש משותף, ולכן השאלה אינה מתעוררת</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בגידה שוללת זכויות רק כשנמשכה יותר משנה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299 </w:t>
            </w:r>
            <w:r>
              <w:rPr>
                <w:rFonts w:ascii="Arial" w:hAnsi="Arial" w:cs="Arial" w:eastAsia="Arial"/>
                <w:sz w:val="20"/>
                <w:szCs w:val="20"/>
                <w:rtl/>
              </w:rPr>
              <w:t xml:space="preserve">  </w:t>
            </w:r>
            <w:r>
              <w:rPr>
                <w:rFonts w:ascii="Arial" w:hAnsi="Arial" w:cs="Arial" w:eastAsia="Arial"/>
                <w:b/>
                <w:bCs/>
                <w:color w:val="111827"/>
                <w:sz w:val="20"/>
                <w:szCs w:val="20"/>
                <w:rtl/>
              </w:rPr>
              <w:t>אישה קיבלה דירה במתנה מהוריה, נתנה לבעלה מחצית במתנה ורשמה אותו כבעלים משותף. כשהגיש נגדה תביעת גירושין, ביקשה למחוק את שמו בטענה שהמתנה הייתה מותנית בהמשך הנישואין. מה הדין (זיסרמן)?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המתנה בטלה, כי בכל מתנה בין בני זוג גלום תנאי מכללא של המשך הנישואין</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המתנה בטלה, כי הדירה נכס חיצוני</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המתנה אינה מתבטלת; מי שרוצה לתת מתנה בתנאי צריך לקבוע את התנאי במפורש</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המתנה מתבטלת רק אם הבעל הוא שהגיש את תביעת הגירושין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300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החזקות שנקבעו בבג״ץ 6037/18 ובפסיקה שהוא מפנה אליה?</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העברת כסף ללא תמורה בין קרובים מוחזקת כהלוואה, והטוען למתנה צריך להוכיח זאת</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כספים בחשבון משותף שייכים למי שהפקיד אותם</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חזקת המתנה בין קרובים חלוטה ואינה ניתנת לסתירה</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בין קרובים בדרגה גבוהה קיימת חזקה הפוכה, הניתנת לסתירה, שהעברה ללא תמורה היא מתנה; וכספים בחשבון משותף מוחזקים כשייכים לבעלי החשבון בחלקים שווים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301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בשנת 1965 רכשו חנות מכספים משותפים, והיא נרשמה על שם הבעל בלבד. האישה לא ידעה על חלק מהנכסים העסקיים. מה נקבע בפרשת בסיליאן?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נכס עסקי דורש תמיד הרמוניה מוגברת, ולכן אינו משותף</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אין להבחין בין נכס עסקי פנימי לנכס פנימי אחר; אורח החיים המשותף מבסס שיתוף גם בעסק, והסתרה או אי-ידיעה אינן שוללות אותו</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נכס עסקי משותף רק אם שני בני הזוג עבדו בו בפועל</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נכס עסקי שהוסתר אינו משותף, כי לא הייתה כוונת שיתוף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302 </w:t>
            </w:r>
            <w:r>
              <w:rPr>
                <w:rFonts w:ascii="Arial" w:hAnsi="Arial" w:cs="Arial" w:eastAsia="Arial"/>
                <w:sz w:val="20"/>
                <w:szCs w:val="20"/>
                <w:rtl/>
              </w:rPr>
              <w:t xml:space="preserve">  </w:t>
            </w:r>
            <w:r>
              <w:rPr>
                <w:rFonts w:ascii="Arial" w:hAnsi="Arial" w:cs="Arial" w:eastAsia="Arial"/>
                <w:b/>
                <w:bCs/>
                <w:color w:val="111827"/>
                <w:sz w:val="20"/>
                <w:szCs w:val="20"/>
                <w:rtl/>
              </w:rPr>
              <w:t>אישה הגישה תביעה לחלוקת רכוש, ורק כעבור כשנה עזבה את הבית. בתקופת הביניים קיבל הבעל בונוס גדול. לפי הלכת לידאי, מתי הסתיים השיתוף?</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במועד הגשת התביעה, המוקדם מבין הגשת התביעה ועזיבת הבית, ולכן הבונוס אינו משותף</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במועד עזיבת הבית, ולכן הבונוס משותף</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במועד מתן הגט, כמו במזונות אישה</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במועד פסק הדין בתביעת הרכוש</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303 </w:t>
            </w:r>
            <w:r>
              <w:rPr>
                <w:rFonts w:ascii="Arial" w:hAnsi="Arial" w:cs="Arial" w:eastAsia="Arial"/>
                <w:sz w:val="20"/>
                <w:szCs w:val="20"/>
                <w:rtl/>
              </w:rPr>
              <w:t xml:space="preserve">  </w:t>
            </w:r>
            <w:r>
              <w:rPr>
                <w:rFonts w:ascii="Arial" w:hAnsi="Arial" w:cs="Arial" w:eastAsia="Arial"/>
                <w:b/>
                <w:bCs/>
                <w:color w:val="111827"/>
                <w:sz w:val="20"/>
                <w:szCs w:val="20"/>
                <w:rtl/>
              </w:rPr>
              <w:t>בני זוג נישאו בנישואין אזרחיים. הבעל רכש דירה ורשם אותה על שמו. המימון הגיע מתמורת דירה שירש מאמו (שבינתיים מסר לאשתו כדי שתשקיע במניות), מפיצויי פיטורים ומפנסיה צבאית מהוונת. מה קבע העליון בפרשת אורון?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אין שיתוף, משום שהלכת השיתוף אינה חלה על נישואין אזרחיים</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רק החלק שמומן מפיצויי הפיטורים משותף</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פיצויים ופנסיה הם כספי המעביד ואינם משותפים</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יש לבחון כל מקור מימון בנפרד; הכסף שנמסר לאישה מעיד על כוונת שיתוף, ופיצויי הפיטורים והפנסיה נצברו מעבודה בתקופה המשותפת, ולכן כל הדירה משותפת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304 </w:t>
            </w:r>
            <w:r>
              <w:rPr>
                <w:rFonts w:ascii="Arial" w:hAnsi="Arial" w:cs="Arial" w:eastAsia="Arial"/>
                <w:sz w:val="20"/>
                <w:szCs w:val="20"/>
                <w:rtl/>
              </w:rPr>
              <w:t xml:space="preserve">  </w:t>
            </w:r>
            <w:r>
              <w:rPr>
                <w:rFonts w:ascii="Arial" w:hAnsi="Arial" w:cs="Arial" w:eastAsia="Arial"/>
                <w:b/>
                <w:bCs/>
                <w:color w:val="111827"/>
                <w:sz w:val="20"/>
                <w:szCs w:val="20"/>
                <w:rtl/>
              </w:rPr>
              <w:t>בפרשת חסל נקבע שהשיתוף הסתיים כשבני הזוג נפרדו, והאישה זכאית למחצית שווי החברה של הבעל באותו מועד. היא טענה שקיבלה רק את ״הפירות״, ואילו הבעל נשאר עם ״העץ״. מה השיב בית המשפט?</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האישה זכאית גם למחצית הרווחים העתידיים של החברה, בדיווח שנתי</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האישה זכאית לחלק מהבעלות במניות החברה עצמן</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הערכת שווי החברה כוללת צפי של הכנסות והפסדים, מוניטין ופוטנציאל, ולכן קיבלה גם חלק מהעץ; ובכל מקרה, הסדר שקושר את בני הזוג אחרי הפרידה אינו רצוי</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מוניטין עסקי אינו נכס בר חלוקה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305 </w:t>
            </w:r>
            <w:r>
              <w:rPr>
                <w:rFonts w:ascii="Arial" w:hAnsi="Arial" w:cs="Arial" w:eastAsia="Arial"/>
                <w:sz w:val="20"/>
                <w:szCs w:val="20"/>
                <w:rtl/>
              </w:rPr>
              <w:t xml:space="preserve">  </w:t>
            </w:r>
            <w:r>
              <w:rPr>
                <w:rFonts w:ascii="Arial" w:hAnsi="Arial" w:cs="Arial" w:eastAsia="Arial"/>
                <w:b/>
                <w:bCs/>
                <w:color w:val="111827"/>
                <w:sz w:val="20"/>
                <w:szCs w:val="20"/>
                <w:rtl/>
              </w:rPr>
              <w:t>בפרשת פלוני (בע״מ 4623/04) הבעל, רואה חשבון שהוסמך אחרי הנישואין, חויב בערכאות הדיוניות בתשלום חודשי לסגירת פער ההשתכרות. מה קבע העליון?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נכסי קריירה הם פרי שילוב של מקורות, שתמיכת הנישואין היא אחד מהם, ויש לאזן את הפער שנוצר בעקבות הנישואין; אבל עדיף תשלום חד-פעמי (בשלבים) על תשלום חודשי</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כושר השתכרות הוא נכס חיצוני, ולכן אינו מתחלק</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יש לחלק חצי חצי את כל הפרש ההכנסות בין בני הזוג, בתשלום חודשי לכל החיים</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יש לחלק את כושר ההשתכרות רק אם האישה הוכיחה שעבדה במשרדו של הבעל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306 </w:t>
            </w:r>
            <w:r>
              <w:rPr>
                <w:rFonts w:ascii="Arial" w:hAnsi="Arial" w:cs="Arial" w:eastAsia="Arial"/>
                <w:sz w:val="20"/>
                <w:szCs w:val="20"/>
                <w:rtl/>
              </w:rPr>
              <w:t xml:space="preserve">  </w:t>
            </w:r>
            <w:r>
              <w:rPr>
                <w:rFonts w:ascii="Arial" w:hAnsi="Arial" w:cs="Arial" w:eastAsia="Arial"/>
                <w:b/>
                <w:bCs/>
                <w:color w:val="111827"/>
                <w:sz w:val="20"/>
                <w:szCs w:val="20"/>
                <w:rtl/>
              </w:rPr>
              <w:t>בני זוג נישאו בשנת 1969 וגרו בדירה הרשומה על שם הבעל. בשנת 1986 התחייב הבעל למשכנתא כלפי מלווה פרטי, ובשנת 1987, בהסכם הגירושין, התחייב להעביר לאישה את כל הדירה. איזו טענה נכונה לפי ע״א 3002/93 בן צבי נ׳ סיטין?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הנושה גובר על כל הדירה, משום שהסתמך על הרישום בטאבו</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על הנושה הנטל להוכיח תום לב, והחובה לבדוק מעבר לרישום חלה גם על נושה פרטי; במחצית שמכוח הלכת השיתוף האישה גוברת, ובמחצית שהובטחה בהסכם הגירושין הנושה גובר</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האישה גוברת על כל הדירה, משום שהסכם הגירושין אושר בבית המשפט</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חובת הבדיקה חלה רק על בנקים, ולכן הנושה הפרטי גובר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307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בשנת 1970 רכשו בשנת 1990 דירת מגורים, הרשומה על שם הבעל. בשנת 2000 חזרו צ׳קים שנתן הבעל במסגרת עסק הצעצועים שלו, הרשום על שמו, והנושים ביקשו לעקל את כל הדירה. בני הזוג חיים יחד ביחסים תקינים. מה הדין לפי הלכת שלם?</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האישה שותפה בדירה ולכן גם בחובות העסק, והנושים יכולים לגבות מכל הדירה</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הנושים יכולים לעקל את כל הדירה, כי היא רשומה על שם הבעל</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מחצית הדירה, שהיא נכס משפחתי מובהק, שייכת לאישה כבר עכשיו; השיתוף בעסק ובחובותיו נדחה למועד הקריטי, שטרם הגיע, ולכן הנושים לא יכולים לגבות מחלקה</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האישה פטורה מהחובות רק אם תוכיח שהחוב נוצר בשל הוצאות על מאהבת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DFA29D"/>
              <w:left w:val="single" w:sz="8" w:space="0" w:color="DFA29D"/>
              <w:bottom w:val="single" w:sz="8" w:space="0" w:color="DFA29D"/>
              <w:right w:val="single" w:sz="8" w:space="0" w:color="DFA29D"/>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B83227"/>
              </w:rPr>
              <w:t xml:space="preserve"> 308 </w:t>
            </w:r>
            <w:r>
              <w:rPr>
                <w:rFonts w:ascii="Arial" w:hAnsi="Arial" w:cs="Arial" w:eastAsia="Arial"/>
                <w:sz w:val="20"/>
                <w:szCs w:val="20"/>
                <w:rtl/>
              </w:rPr>
              <w:t xml:space="preserve">  </w:t>
            </w:r>
            <w:r>
              <w:rPr>
                <w:rFonts w:ascii="Arial" w:hAnsi="Arial" w:cs="Arial" w:eastAsia="Arial"/>
                <w:b/>
                <w:bCs/>
                <w:color w:val="111827"/>
                <w:sz w:val="20"/>
                <w:szCs w:val="20"/>
                <w:rtl/>
              </w:rPr>
              <w:t>אברהם ורבקה, שנישאו בשנת 1970 וחיים באושר, רכשו אחרי 15 שנה את דירת השכן מכספים משותפים ומשכירים אותה. היא רשומה על שם הבעל, שלקח לרכישתה משכנתא. הם לא עמדו בהחזרים, והבנק מבקש לממש את הדירה. לפי שאלות החידוד בקורס, מה הדין?</w:t>
            </w:r>
          </w:p>
          <w:p>
            <w:pPr>
              <w:bidi/>
              <w:spacing w:before="0" w:after="20" w:line="276" w:lineRule="auto"/>
              <w:ind w:right="400" w:hanging="300"/>
            </w:pPr>
            <w:r>
              <w:rPr>
                <w:rFonts w:ascii="Arial" w:hAnsi="Arial" w:cs="Arial" w:eastAsia="Arial"/>
                <w:b/>
                <w:bCs/>
                <w:color w:val="B83227"/>
                <w:sz w:val="20"/>
                <w:szCs w:val="20"/>
                <w:rtl/>
              </w:rPr>
              <w:t xml:space="preserve">(א)  </w:t>
            </w:r>
            <w:r>
              <w:rPr>
                <w:rFonts w:ascii="Arial" w:hAnsi="Arial" w:cs="Arial" w:eastAsia="Arial"/>
                <w:color w:val="1F2430"/>
                <w:sz w:val="20"/>
                <w:szCs w:val="20"/>
                <w:rtl/>
              </w:rPr>
              <w:t>לפי הלכת השיתוף הבנק לא יכול לממש, כי מחצית הדירה של האישה</w:t>
            </w:r>
          </w:p>
          <w:p>
            <w:pPr>
              <w:bidi/>
              <w:spacing w:before="0" w:after="20" w:line="276" w:lineRule="auto"/>
              <w:ind w:right="400" w:hanging="300"/>
            </w:pPr>
            <w:r>
              <w:rPr>
                <w:rFonts w:ascii="Arial" w:hAnsi="Arial" w:cs="Arial" w:eastAsia="Arial"/>
                <w:b/>
                <w:bCs/>
                <w:color w:val="B83227"/>
                <w:sz w:val="20"/>
                <w:szCs w:val="20"/>
                <w:rtl/>
              </w:rPr>
              <w:t xml:space="preserve">(ב)  </w:t>
            </w:r>
            <w:r>
              <w:rPr>
                <w:rFonts w:ascii="Arial" w:hAnsi="Arial" w:cs="Arial" w:eastAsia="Arial"/>
                <w:color w:val="1F2430"/>
                <w:sz w:val="20"/>
                <w:szCs w:val="20"/>
                <w:rtl/>
              </w:rPr>
              <w:t>לפי הלכת השיתוף הבנק יכול לממש, אבל לפי חוק יחסי ממון לא</w:t>
            </w:r>
          </w:p>
          <w:p>
            <w:pPr>
              <w:bidi/>
              <w:spacing w:before="0" w:after="20" w:line="276" w:lineRule="auto"/>
              <w:ind w:right="400" w:hanging="300"/>
            </w:pPr>
            <w:r>
              <w:rPr>
                <w:rFonts w:ascii="Arial" w:hAnsi="Arial" w:cs="Arial" w:eastAsia="Arial"/>
                <w:b/>
                <w:bCs/>
                <w:color w:val="B83227"/>
                <w:sz w:val="20"/>
                <w:szCs w:val="20"/>
                <w:rtl/>
              </w:rPr>
              <w:t xml:space="preserve">(ג)  </w:t>
            </w:r>
            <w:r>
              <w:rPr>
                <w:rFonts w:ascii="Arial" w:hAnsi="Arial" w:cs="Arial" w:eastAsia="Arial"/>
                <w:color w:val="1F2430"/>
                <w:sz w:val="20"/>
                <w:szCs w:val="20"/>
                <w:rtl/>
              </w:rPr>
              <w:t>גם לפי הלכת השיתוף וגם לפי חוק יחסי ממון הבנק לא יכול לממש</w:t>
            </w:r>
          </w:p>
          <w:p>
            <w:pPr>
              <w:bidi/>
              <w:spacing w:before="0" w:after="20" w:line="276" w:lineRule="auto"/>
              <w:ind w:right="400" w:hanging="300"/>
            </w:pPr>
            <w:r>
              <w:rPr>
                <w:rFonts w:ascii="Arial" w:hAnsi="Arial" w:cs="Arial" w:eastAsia="Arial"/>
                <w:b/>
                <w:bCs/>
                <w:color w:val="B83227"/>
                <w:sz w:val="20"/>
                <w:szCs w:val="20"/>
                <w:rtl/>
              </w:rPr>
              <w:t xml:space="preserve">(ד)  </w:t>
            </w:r>
            <w:r>
              <w:rPr>
                <w:rFonts w:ascii="Arial" w:hAnsi="Arial" w:cs="Arial" w:eastAsia="Arial"/>
                <w:color w:val="1F2430"/>
                <w:sz w:val="20"/>
                <w:szCs w:val="20"/>
                <w:rtl/>
              </w:rPr>
              <w:t>גם לפי הלכת השיתוף וגם לפי חוק יחסי ממון הבנק יכול לממש: הדירה המושכרת אינה נכס משפחתי מובהק, ולכן השיתוף בה דחוי למועד הקריטי שטרם הגיע; ולפי החוק לאישה יש רק זכות אובליגטורית דחויה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11</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281-ב</w:t>
      </w:r>
      <w:r>
        <w:rPr>
          <w:rFonts w:ascii="Arial" w:hAnsi="Arial" w:cs="Arial" w:eastAsia="Arial"/>
          <w:sz w:val="20"/>
          <w:szCs w:val="20"/>
          <w:rtl/>
        </w:rPr>
        <w:t xml:space="preserve">   </w:t>
      </w:r>
      <w:r>
        <w:rPr>
          <w:rFonts w:ascii="Arial" w:hAnsi="Arial" w:cs="Arial" w:eastAsia="Arial"/>
          <w:b/>
          <w:bCs/>
          <w:color w:val="1F2430"/>
          <w:sz w:val="20"/>
          <w:szCs w:val="20"/>
          <w:rtl/>
        </w:rPr>
        <w:t>282-ד</w:t>
      </w:r>
      <w:r>
        <w:rPr>
          <w:rFonts w:ascii="Arial" w:hAnsi="Arial" w:cs="Arial" w:eastAsia="Arial"/>
          <w:sz w:val="20"/>
          <w:szCs w:val="20"/>
          <w:rtl/>
        </w:rPr>
        <w:t xml:space="preserve">   </w:t>
      </w:r>
      <w:r>
        <w:rPr>
          <w:rFonts w:ascii="Arial" w:hAnsi="Arial" w:cs="Arial" w:eastAsia="Arial"/>
          <w:b/>
          <w:bCs/>
          <w:color w:val="1F2430"/>
          <w:sz w:val="20"/>
          <w:szCs w:val="20"/>
          <w:rtl/>
        </w:rPr>
        <w:t>283-א</w:t>
      </w:r>
      <w:r>
        <w:rPr>
          <w:rFonts w:ascii="Arial" w:hAnsi="Arial" w:cs="Arial" w:eastAsia="Arial"/>
          <w:sz w:val="20"/>
          <w:szCs w:val="20"/>
          <w:rtl/>
        </w:rPr>
        <w:t xml:space="preserve">   </w:t>
      </w:r>
      <w:r>
        <w:rPr>
          <w:rFonts w:ascii="Arial" w:hAnsi="Arial" w:cs="Arial" w:eastAsia="Arial"/>
          <w:b/>
          <w:bCs/>
          <w:color w:val="1F2430"/>
          <w:sz w:val="20"/>
          <w:szCs w:val="20"/>
          <w:rtl/>
        </w:rPr>
        <w:t>284-ג</w:t>
      </w:r>
      <w:r>
        <w:rPr>
          <w:rFonts w:ascii="Arial" w:hAnsi="Arial" w:cs="Arial" w:eastAsia="Arial"/>
          <w:sz w:val="20"/>
          <w:szCs w:val="20"/>
          <w:rtl/>
        </w:rPr>
        <w:t xml:space="preserve">   </w:t>
      </w:r>
      <w:r>
        <w:rPr>
          <w:rFonts w:ascii="Arial" w:hAnsi="Arial" w:cs="Arial" w:eastAsia="Arial"/>
          <w:b/>
          <w:bCs/>
          <w:color w:val="1F2430"/>
          <w:sz w:val="20"/>
          <w:szCs w:val="20"/>
          <w:rtl/>
        </w:rPr>
        <w:t>285-ב</w:t>
      </w:r>
      <w:r>
        <w:rPr>
          <w:rFonts w:ascii="Arial" w:hAnsi="Arial" w:cs="Arial" w:eastAsia="Arial"/>
          <w:sz w:val="20"/>
          <w:szCs w:val="20"/>
          <w:rtl/>
        </w:rPr>
        <w:t xml:space="preserve">   </w:t>
      </w:r>
      <w:r>
        <w:rPr>
          <w:rFonts w:ascii="Arial" w:hAnsi="Arial" w:cs="Arial" w:eastAsia="Arial"/>
          <w:b/>
          <w:bCs/>
          <w:color w:val="1F2430"/>
          <w:sz w:val="20"/>
          <w:szCs w:val="20"/>
          <w:rtl/>
        </w:rPr>
        <w:t>286-א</w:t>
      </w:r>
      <w:r>
        <w:rPr>
          <w:rFonts w:ascii="Arial" w:hAnsi="Arial" w:cs="Arial" w:eastAsia="Arial"/>
          <w:sz w:val="20"/>
          <w:szCs w:val="20"/>
          <w:rtl/>
        </w:rPr>
        <w:t xml:space="preserve">   </w:t>
      </w:r>
      <w:r>
        <w:rPr>
          <w:rFonts w:ascii="Arial" w:hAnsi="Arial" w:cs="Arial" w:eastAsia="Arial"/>
          <w:b/>
          <w:bCs/>
          <w:color w:val="1F2430"/>
          <w:sz w:val="20"/>
          <w:szCs w:val="20"/>
          <w:rtl/>
        </w:rPr>
        <w:t>287-ד</w:t>
      </w:r>
      <w:r>
        <w:rPr>
          <w:rFonts w:ascii="Arial" w:hAnsi="Arial" w:cs="Arial" w:eastAsia="Arial"/>
          <w:sz w:val="20"/>
          <w:szCs w:val="20"/>
          <w:rtl/>
        </w:rPr>
        <w:t xml:space="preserve">   </w:t>
      </w:r>
      <w:r>
        <w:rPr>
          <w:rFonts w:ascii="Arial" w:hAnsi="Arial" w:cs="Arial" w:eastAsia="Arial"/>
          <w:b/>
          <w:bCs/>
          <w:color w:val="1F2430"/>
          <w:sz w:val="20"/>
          <w:szCs w:val="20"/>
          <w:rtl/>
        </w:rPr>
        <w:t>288-ג</w:t>
      </w:r>
      <w:r>
        <w:rPr>
          <w:rFonts w:ascii="Arial" w:hAnsi="Arial" w:cs="Arial" w:eastAsia="Arial"/>
          <w:sz w:val="20"/>
          <w:szCs w:val="20"/>
          <w:rtl/>
        </w:rPr>
        <w:t xml:space="preserve">   </w:t>
      </w:r>
      <w:r>
        <w:rPr>
          <w:rFonts w:ascii="Arial" w:hAnsi="Arial" w:cs="Arial" w:eastAsia="Arial"/>
          <w:b/>
          <w:bCs/>
          <w:color w:val="1F2430"/>
          <w:sz w:val="20"/>
          <w:szCs w:val="20"/>
          <w:rtl/>
        </w:rPr>
        <w:t>289-א</w:t>
      </w:r>
      <w:r>
        <w:rPr>
          <w:rFonts w:ascii="Arial" w:hAnsi="Arial" w:cs="Arial" w:eastAsia="Arial"/>
          <w:sz w:val="20"/>
          <w:szCs w:val="20"/>
          <w:rtl/>
        </w:rPr>
        <w:t xml:space="preserve">   </w:t>
      </w:r>
      <w:r>
        <w:rPr>
          <w:rFonts w:ascii="Arial" w:hAnsi="Arial" w:cs="Arial" w:eastAsia="Arial"/>
          <w:b/>
          <w:bCs/>
          <w:color w:val="1F2430"/>
          <w:sz w:val="20"/>
          <w:szCs w:val="20"/>
          <w:rtl/>
        </w:rPr>
        <w:t>290-ב</w:t>
      </w:r>
      <w:r>
        <w:rPr>
          <w:rFonts w:ascii="Arial" w:hAnsi="Arial" w:cs="Arial" w:eastAsia="Arial"/>
          <w:sz w:val="20"/>
          <w:szCs w:val="20"/>
          <w:rtl/>
        </w:rPr>
        <w:t xml:space="preserve">   </w:t>
      </w:r>
      <w:r>
        <w:rPr>
          <w:rFonts w:ascii="Arial" w:hAnsi="Arial" w:cs="Arial" w:eastAsia="Arial"/>
          <w:b/>
          <w:bCs/>
          <w:color w:val="1F2430"/>
          <w:sz w:val="20"/>
          <w:szCs w:val="20"/>
          <w:rtl/>
        </w:rPr>
        <w:t>291-ד</w:t>
      </w:r>
      <w:r>
        <w:rPr>
          <w:rFonts w:ascii="Arial" w:hAnsi="Arial" w:cs="Arial" w:eastAsia="Arial"/>
          <w:sz w:val="20"/>
          <w:szCs w:val="20"/>
          <w:rtl/>
        </w:rPr>
        <w:t xml:space="preserve">   </w:t>
      </w:r>
      <w:r>
        <w:rPr>
          <w:rFonts w:ascii="Arial" w:hAnsi="Arial" w:cs="Arial" w:eastAsia="Arial"/>
          <w:b/>
          <w:bCs/>
          <w:color w:val="1F2430"/>
          <w:sz w:val="20"/>
          <w:szCs w:val="20"/>
          <w:rtl/>
        </w:rPr>
        <w:t>292-ג</w:t>
      </w:r>
      <w:r>
        <w:rPr>
          <w:rFonts w:ascii="Arial" w:hAnsi="Arial" w:cs="Arial" w:eastAsia="Arial"/>
          <w:sz w:val="20"/>
          <w:szCs w:val="20"/>
          <w:rtl/>
        </w:rPr>
        <w:t xml:space="preserve">   </w:t>
      </w:r>
      <w:r>
        <w:rPr>
          <w:rFonts w:ascii="Arial" w:hAnsi="Arial" w:cs="Arial" w:eastAsia="Arial"/>
          <w:b/>
          <w:bCs/>
          <w:color w:val="1F2430"/>
          <w:sz w:val="20"/>
          <w:szCs w:val="20"/>
          <w:rtl/>
        </w:rPr>
        <w:t>293-ב</w:t>
      </w:r>
      <w:r>
        <w:rPr>
          <w:rFonts w:ascii="Arial" w:hAnsi="Arial" w:cs="Arial" w:eastAsia="Arial"/>
          <w:sz w:val="20"/>
          <w:szCs w:val="20"/>
          <w:rtl/>
        </w:rPr>
        <w:t xml:space="preserve">   </w:t>
      </w:r>
      <w:r>
        <w:rPr>
          <w:rFonts w:ascii="Arial" w:hAnsi="Arial" w:cs="Arial" w:eastAsia="Arial"/>
          <w:b/>
          <w:bCs/>
          <w:color w:val="1F2430"/>
          <w:sz w:val="20"/>
          <w:szCs w:val="20"/>
          <w:rtl/>
        </w:rPr>
        <w:t>294-א</w:t>
      </w:r>
      <w:r>
        <w:rPr>
          <w:rFonts w:ascii="Arial" w:hAnsi="Arial" w:cs="Arial" w:eastAsia="Arial"/>
          <w:sz w:val="20"/>
          <w:szCs w:val="20"/>
          <w:rtl/>
        </w:rPr>
        <w:t xml:space="preserve">   </w:t>
      </w:r>
      <w:r>
        <w:rPr>
          <w:rFonts w:ascii="Arial" w:hAnsi="Arial" w:cs="Arial" w:eastAsia="Arial"/>
          <w:b/>
          <w:bCs/>
          <w:color w:val="1F2430"/>
          <w:sz w:val="20"/>
          <w:szCs w:val="20"/>
          <w:rtl/>
        </w:rPr>
        <w:t>295-ג</w:t>
      </w:r>
      <w:r>
        <w:rPr>
          <w:rFonts w:ascii="Arial" w:hAnsi="Arial" w:cs="Arial" w:eastAsia="Arial"/>
          <w:sz w:val="20"/>
          <w:szCs w:val="20"/>
          <w:rtl/>
        </w:rPr>
        <w:t xml:space="preserve">   </w:t>
      </w:r>
      <w:r>
        <w:rPr>
          <w:rFonts w:ascii="Arial" w:hAnsi="Arial" w:cs="Arial" w:eastAsia="Arial"/>
          <w:b/>
          <w:bCs/>
          <w:color w:val="1F2430"/>
          <w:sz w:val="20"/>
          <w:szCs w:val="20"/>
          <w:rtl/>
        </w:rPr>
        <w:t>296-ד</w:t>
      </w:r>
      <w:r>
        <w:rPr>
          <w:rFonts w:ascii="Arial" w:hAnsi="Arial" w:cs="Arial" w:eastAsia="Arial"/>
          <w:sz w:val="20"/>
          <w:szCs w:val="20"/>
          <w:rtl/>
        </w:rPr>
        <w:t xml:space="preserve">   </w:t>
      </w:r>
      <w:r>
        <w:rPr>
          <w:rFonts w:ascii="Arial" w:hAnsi="Arial" w:cs="Arial" w:eastAsia="Arial"/>
          <w:b/>
          <w:bCs/>
          <w:color w:val="1F2430"/>
          <w:sz w:val="20"/>
          <w:szCs w:val="20"/>
          <w:rtl/>
        </w:rPr>
        <w:t>297-א</w:t>
      </w:r>
      <w:r>
        <w:rPr>
          <w:rFonts w:ascii="Arial" w:hAnsi="Arial" w:cs="Arial" w:eastAsia="Arial"/>
          <w:sz w:val="20"/>
          <w:szCs w:val="20"/>
          <w:rtl/>
        </w:rPr>
        <w:t xml:space="preserve">   </w:t>
      </w:r>
      <w:r>
        <w:rPr>
          <w:rFonts w:ascii="Arial" w:hAnsi="Arial" w:cs="Arial" w:eastAsia="Arial"/>
          <w:b/>
          <w:bCs/>
          <w:color w:val="1F2430"/>
          <w:sz w:val="20"/>
          <w:szCs w:val="20"/>
          <w:rtl/>
        </w:rPr>
        <w:t>298-ב</w:t>
      </w:r>
      <w:r>
        <w:rPr>
          <w:rFonts w:ascii="Arial" w:hAnsi="Arial" w:cs="Arial" w:eastAsia="Arial"/>
          <w:sz w:val="20"/>
          <w:szCs w:val="20"/>
          <w:rtl/>
        </w:rPr>
        <w:t xml:space="preserve">   </w:t>
      </w:r>
      <w:r>
        <w:rPr>
          <w:rFonts w:ascii="Arial" w:hAnsi="Arial" w:cs="Arial" w:eastAsia="Arial"/>
          <w:b/>
          <w:bCs/>
          <w:color w:val="1F2430"/>
          <w:sz w:val="20"/>
          <w:szCs w:val="20"/>
          <w:rtl/>
        </w:rPr>
        <w:t>299-ג</w:t>
      </w:r>
      <w:r>
        <w:rPr>
          <w:rFonts w:ascii="Arial" w:hAnsi="Arial" w:cs="Arial" w:eastAsia="Arial"/>
          <w:sz w:val="20"/>
          <w:szCs w:val="20"/>
          <w:rtl/>
        </w:rPr>
        <w:t xml:space="preserve">   </w:t>
      </w:r>
      <w:r>
        <w:rPr>
          <w:rFonts w:ascii="Arial" w:hAnsi="Arial" w:cs="Arial" w:eastAsia="Arial"/>
          <w:b/>
          <w:bCs/>
          <w:color w:val="1F2430"/>
          <w:sz w:val="20"/>
          <w:szCs w:val="20"/>
          <w:rtl/>
        </w:rPr>
        <w:t>300-ד</w:t>
      </w:r>
      <w:r>
        <w:rPr>
          <w:rFonts w:ascii="Arial" w:hAnsi="Arial" w:cs="Arial" w:eastAsia="Arial"/>
          <w:sz w:val="20"/>
          <w:szCs w:val="20"/>
          <w:rtl/>
        </w:rPr>
        <w:t xml:space="preserve">   </w:t>
      </w:r>
      <w:r>
        <w:rPr>
          <w:rFonts w:ascii="Arial" w:hAnsi="Arial" w:cs="Arial" w:eastAsia="Arial"/>
          <w:b/>
          <w:bCs/>
          <w:color w:val="1F2430"/>
          <w:sz w:val="20"/>
          <w:szCs w:val="20"/>
          <w:rtl/>
        </w:rPr>
        <w:t>301-ב</w:t>
      </w:r>
      <w:r>
        <w:rPr>
          <w:rFonts w:ascii="Arial" w:hAnsi="Arial" w:cs="Arial" w:eastAsia="Arial"/>
          <w:sz w:val="20"/>
          <w:szCs w:val="20"/>
          <w:rtl/>
        </w:rPr>
        <w:t xml:space="preserve">   </w:t>
      </w:r>
      <w:r>
        <w:rPr>
          <w:rFonts w:ascii="Arial" w:hAnsi="Arial" w:cs="Arial" w:eastAsia="Arial"/>
          <w:b/>
          <w:bCs/>
          <w:color w:val="1F2430"/>
          <w:sz w:val="20"/>
          <w:szCs w:val="20"/>
          <w:rtl/>
        </w:rPr>
        <w:t>302-א</w:t>
      </w:r>
      <w:r>
        <w:rPr>
          <w:rFonts w:ascii="Arial" w:hAnsi="Arial" w:cs="Arial" w:eastAsia="Arial"/>
          <w:sz w:val="20"/>
          <w:szCs w:val="20"/>
          <w:rtl/>
        </w:rPr>
        <w:t xml:space="preserve">   </w:t>
      </w:r>
      <w:r>
        <w:rPr>
          <w:rFonts w:ascii="Arial" w:hAnsi="Arial" w:cs="Arial" w:eastAsia="Arial"/>
          <w:b/>
          <w:bCs/>
          <w:color w:val="1F2430"/>
          <w:sz w:val="20"/>
          <w:szCs w:val="20"/>
          <w:rtl/>
        </w:rPr>
        <w:t>303-ד</w:t>
      </w:r>
      <w:r>
        <w:rPr>
          <w:rFonts w:ascii="Arial" w:hAnsi="Arial" w:cs="Arial" w:eastAsia="Arial"/>
          <w:sz w:val="20"/>
          <w:szCs w:val="20"/>
          <w:rtl/>
        </w:rPr>
        <w:t xml:space="preserve">   </w:t>
      </w:r>
      <w:r>
        <w:rPr>
          <w:rFonts w:ascii="Arial" w:hAnsi="Arial" w:cs="Arial" w:eastAsia="Arial"/>
          <w:b/>
          <w:bCs/>
          <w:color w:val="1F2430"/>
          <w:sz w:val="20"/>
          <w:szCs w:val="20"/>
          <w:rtl/>
        </w:rPr>
        <w:t>304-ג</w:t>
      </w:r>
      <w:r>
        <w:rPr>
          <w:rFonts w:ascii="Arial" w:hAnsi="Arial" w:cs="Arial" w:eastAsia="Arial"/>
          <w:sz w:val="20"/>
          <w:szCs w:val="20"/>
          <w:rtl/>
        </w:rPr>
        <w:t xml:space="preserve">   </w:t>
      </w:r>
      <w:r>
        <w:rPr>
          <w:rFonts w:ascii="Arial" w:hAnsi="Arial" w:cs="Arial" w:eastAsia="Arial"/>
          <w:b/>
          <w:bCs/>
          <w:color w:val="1F2430"/>
          <w:sz w:val="20"/>
          <w:szCs w:val="20"/>
          <w:rtl/>
        </w:rPr>
        <w:t>305-א</w:t>
      </w:r>
      <w:r>
        <w:rPr>
          <w:rFonts w:ascii="Arial" w:hAnsi="Arial" w:cs="Arial" w:eastAsia="Arial"/>
          <w:sz w:val="20"/>
          <w:szCs w:val="20"/>
          <w:rtl/>
        </w:rPr>
        <w:t xml:space="preserve">   </w:t>
      </w:r>
      <w:r>
        <w:rPr>
          <w:rFonts w:ascii="Arial" w:hAnsi="Arial" w:cs="Arial" w:eastAsia="Arial"/>
          <w:b/>
          <w:bCs/>
          <w:color w:val="1F2430"/>
          <w:sz w:val="20"/>
          <w:szCs w:val="20"/>
          <w:rtl/>
        </w:rPr>
        <w:t>306-ב</w:t>
      </w:r>
      <w:r>
        <w:rPr>
          <w:rFonts w:ascii="Arial" w:hAnsi="Arial" w:cs="Arial" w:eastAsia="Arial"/>
          <w:sz w:val="20"/>
          <w:szCs w:val="20"/>
          <w:rtl/>
        </w:rPr>
        <w:t xml:space="preserve">   </w:t>
      </w:r>
      <w:r>
        <w:rPr>
          <w:rFonts w:ascii="Arial" w:hAnsi="Arial" w:cs="Arial" w:eastAsia="Arial"/>
          <w:b/>
          <w:bCs/>
          <w:color w:val="1F2430"/>
          <w:sz w:val="20"/>
          <w:szCs w:val="20"/>
          <w:rtl/>
        </w:rPr>
        <w:t>307-ג</w:t>
      </w:r>
      <w:r>
        <w:rPr>
          <w:rFonts w:ascii="Arial" w:hAnsi="Arial" w:cs="Arial" w:eastAsia="Arial"/>
          <w:sz w:val="20"/>
          <w:szCs w:val="20"/>
          <w:rtl/>
        </w:rPr>
        <w:t xml:space="preserve">   </w:t>
      </w:r>
      <w:r>
        <w:rPr>
          <w:rFonts w:ascii="Arial" w:hAnsi="Arial" w:cs="Arial" w:eastAsia="Arial"/>
          <w:b/>
          <w:bCs/>
          <w:color w:val="1F2430"/>
          <w:sz w:val="20"/>
          <w:szCs w:val="20"/>
          <w:rtl/>
        </w:rPr>
        <w:t>308-ד</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281 — התשובה הנכונה: ב</w:t>
            </w:r>
          </w:p>
          <w:p>
            <w:pPr>
              <w:bidi/>
              <w:spacing w:before="0" w:after="0" w:line="288" w:lineRule="auto"/>
              <w:jc w:val="both"/>
            </w:pPr>
            <w:r>
              <w:rPr>
                <w:rFonts w:ascii="Arial" w:hAnsi="Arial" w:cs="Arial" w:eastAsia="Arial"/>
                <w:color w:val="1F2430"/>
                <w:sz w:val="19"/>
                <w:szCs w:val="19"/>
                <w:rtl/>
              </w:rPr>
              <w:t>הלכת השיתוף חלה על מי שנישאו לפני 1.1.1974, מועד תחילתו של חוק יחסי ממון (סעיף 14 - הוראות מעבר), וגם על ידועים בציבור, שעליהם החוק אינו חל כלל. מה שקובע הוא מועד הנישואין ולא מועד הגירושין, ולכן תשובה 3 שגויה. היא חלה גם על נישואין אזרחיים, ולכן תשובה 1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282 — התשובה הנכונה: ד</w:t>
            </w:r>
          </w:p>
          <w:p>
            <w:pPr>
              <w:bidi/>
              <w:spacing w:before="0" w:after="0" w:line="288" w:lineRule="auto"/>
              <w:jc w:val="both"/>
            </w:pPr>
            <w:r>
              <w:rPr>
                <w:rFonts w:ascii="Arial" w:hAnsi="Arial" w:cs="Arial" w:eastAsia="Arial"/>
                <w:color w:val="1F2430"/>
                <w:sz w:val="19"/>
                <w:szCs w:val="19"/>
                <w:rtl/>
              </w:rPr>
              <w:t>מה שקובע הוא מועד הנישואין. הם נישאו לפני 1.1.1974, ולכן חל עליהם הדין הקודם, הלכת השיתוף, אף שהתגרשו אחרי כניסת החוק לתוקף. אילו נישאו בחו״ל אחרי 1974 ייתכן שהיה צריך לבחון את הדין הזר, אך כאן החוק לא חל. רכוש אינו מענייני המעמד האישי, ולכן אינו נידון לפי הדין העברי.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283 — התשובה הנכונה: א</w:t>
            </w:r>
          </w:p>
          <w:p>
            <w:pPr>
              <w:bidi/>
              <w:spacing w:before="0" w:after="0" w:line="288" w:lineRule="auto"/>
              <w:jc w:val="both"/>
            </w:pPr>
            <w:r>
              <w:rPr>
                <w:rFonts w:ascii="Arial" w:hAnsi="Arial" w:cs="Arial" w:eastAsia="Arial"/>
                <w:color w:val="1F2430"/>
                <w:sz w:val="19"/>
                <w:szCs w:val="19"/>
                <w:rtl/>
              </w:rPr>
              <w:t>בתחילה הניחה הפסיקה שבין בני הזוג קיים הסכם לא כתוב לשיתוף, בתנאי של אורח חיים תקין ומאמץ משותף. ההסבר החוזי לא עמד במקרים שבהם קשה לטעון לכוונה משותפת, כמו הסתרה או דמי כיס (ע״א 724/83 בר נתן), ולכן המשפט עבר לחזקה נורמטיבית. סעיף 4 לחוק יחסי ממון קובע דווקא הפרדה רכושית ואינו הבסיס להלכה.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284 — התשובה הנכונה: ג</w:t>
            </w:r>
          </w:p>
          <w:p>
            <w:pPr>
              <w:bidi/>
              <w:spacing w:before="0" w:after="0" w:line="288" w:lineRule="auto"/>
              <w:jc w:val="both"/>
            </w:pPr>
            <w:r>
              <w:rPr>
                <w:rFonts w:ascii="Arial" w:hAnsi="Arial" w:cs="Arial" w:eastAsia="Arial"/>
                <w:color w:val="1F2430"/>
                <w:sz w:val="19"/>
                <w:szCs w:val="19"/>
                <w:rtl/>
              </w:rPr>
              <w:t>השופט ברק הפך את פסק המחוזי: מחלה ואי-תרומה כלכלית אינן שוללות שיתוף, כי חזקת השיתוף נורמטיבית ואינה תלויה במאמץ משותף בפועל או בטיב היחסים. החלוקה היא חצי חצי ולא לפי תרומה, ולכן תשובה 1 שגויה. זו ההמחשה המרכזית למעבר מהסכם מכללא לחזקה שיפוטית.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285 — התשובה הנכונה: ב</w:t>
            </w:r>
          </w:p>
          <w:p>
            <w:pPr>
              <w:bidi/>
              <w:spacing w:before="0" w:after="0" w:line="288" w:lineRule="auto"/>
              <w:jc w:val="both"/>
            </w:pPr>
            <w:r>
              <w:rPr>
                <w:rFonts w:ascii="Arial" w:hAnsi="Arial" w:cs="Arial" w:eastAsia="Arial"/>
                <w:color w:val="1F2430"/>
                <w:sz w:val="19"/>
                <w:szCs w:val="19"/>
                <w:rtl/>
              </w:rPr>
              <w:t>עם המעבר לחזקה נורמטיבית נחלשו גם דרישת ההרמוניה וגם דרישת המאמץ המשותף, ומספיקה קורת גג אחת. שיתוף בנכסים פנימיים קיים גם במערכת יחסים משברית (בריל), גם כשאחד מבני הזוג חולה (מדג׳ר). הרמוניה נדרשת רק לשיתוף בנכס חיצוני.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286 — התשובה הנכונה: א</w:t>
            </w:r>
          </w:p>
          <w:p>
            <w:pPr>
              <w:bidi/>
              <w:spacing w:before="0" w:after="0" w:line="288" w:lineRule="auto"/>
              <w:jc w:val="both"/>
            </w:pPr>
            <w:r>
              <w:rPr>
                <w:rFonts w:ascii="Arial" w:hAnsi="Arial" w:cs="Arial" w:eastAsia="Arial"/>
                <w:color w:val="1F2430"/>
                <w:sz w:val="19"/>
                <w:szCs w:val="19"/>
                <w:rtl/>
              </w:rPr>
              <w:t>מנכס פנימי אפשר לצאת רק בהסכם ממון מפורש, ולא בהסכם משתמע או בהתנהגות. חשבון נפרד, הסתרה או רישום אינם מעידים על הפרדה בנכס פנימי. התנהגות של הפרדה יכולה לסייע רק לגבי נכס חיצוני.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287 — התשובה הנכונה: ד</w:t>
            </w:r>
          </w:p>
          <w:p>
            <w:pPr>
              <w:bidi/>
              <w:spacing w:before="0" w:after="0" w:line="288" w:lineRule="auto"/>
              <w:jc w:val="both"/>
            </w:pPr>
            <w:r>
              <w:rPr>
                <w:rFonts w:ascii="Arial" w:hAnsi="Arial" w:cs="Arial" w:eastAsia="Arial"/>
                <w:color w:val="1F2430"/>
                <w:sz w:val="19"/>
                <w:szCs w:val="19"/>
                <w:rtl/>
              </w:rPr>
              <w:t>בהלכת השיתוף השיתוף בנכס משפחתי הוא קנייני ומתקיים כבר מרגע הרכישה, ואינו דחוי לפקיעת הנישואין. לכן אפשר לבקש פסק דין הצהרתי גם לפני גירושין. דרישת הקרע של תשעה חודשים שייכת להקדמת איזון המשאבים לפי סעיף 5א לחוק יחסי ממון (פרק 12). רק בנכס עסקי השיתוף נדחה למועד הקריטי (שלם).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288 — התשובה הנכונה: ג</w:t>
            </w:r>
          </w:p>
          <w:p>
            <w:pPr>
              <w:bidi/>
              <w:spacing w:before="0" w:after="0" w:line="288" w:lineRule="auto"/>
              <w:jc w:val="both"/>
            </w:pPr>
            <w:r>
              <w:rPr>
                <w:rFonts w:ascii="Arial" w:hAnsi="Arial" w:cs="Arial" w:eastAsia="Arial"/>
                <w:color w:val="1F2430"/>
                <w:sz w:val="19"/>
                <w:szCs w:val="19"/>
                <w:rtl/>
              </w:rPr>
              <w:t>ברק קבע שהלכת השיתוף, אף שהיא חקיקה שיפוטית, היא דין בישראל, ושבית הדין חייב בשוויון מהותי מכוח סעיף 1 לחוק שיווי זכויות האישה. מכאן הכלל שבענייני רכוש הדיין הולך אחר הדין. חוק יחסי ממון לא חל על בני הזוג בבלי, שנישאו בשנת 1957. סעיף 9 אינו רלוונטי, כי רכוש מגיע לבית הדין רק בכריכה.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289 — התשובה הנכונה: א</w:t>
            </w:r>
          </w:p>
          <w:p>
            <w:pPr>
              <w:bidi/>
              <w:spacing w:before="0" w:after="0" w:line="288" w:lineRule="auto"/>
              <w:jc w:val="both"/>
            </w:pPr>
            <w:r>
              <w:rPr>
                <w:rFonts w:ascii="Arial" w:hAnsi="Arial" w:cs="Arial" w:eastAsia="Arial"/>
                <w:color w:val="1F2430"/>
                <w:sz w:val="19"/>
                <w:szCs w:val="19"/>
                <w:rtl/>
              </w:rPr>
              <w:t>ברק הבחין בין שוויון פורמלי, ״על הנייר״, לשוויון מהותי. האישה, שהתמסרה שלושים שנה לבית ולילדים, אינה צריכה לצאת בלי כלום רק משום שהכול רשום על הבעל. הכריכה דווקא נמצאה כנה, בין היתר משום שהבעל נתן גט, ולכן תשובה 2 שגויה. לגבי הכתובה, הכלל הוא ״או הלכת בבלי או תלמוד בבלי״ - אין כפל מבצעים.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290 — התשובה הנכונה: ב</w:t>
            </w:r>
          </w:p>
          <w:p>
            <w:pPr>
              <w:bidi/>
              <w:spacing w:before="0" w:after="0" w:line="288" w:lineRule="auto"/>
              <w:jc w:val="both"/>
            </w:pPr>
            <w:r>
              <w:rPr>
                <w:rFonts w:ascii="Arial" w:hAnsi="Arial" w:cs="Arial" w:eastAsia="Arial"/>
                <w:color w:val="1F2430"/>
                <w:sz w:val="19"/>
                <w:szCs w:val="19"/>
                <w:rtl/>
              </w:rPr>
              <w:t>סעיף 13(ב) לחוק יחסי ממון קובע שבעניין שהחוק דן בו, בית דין דתי נוהג לפי החוק, ״זולת אם הסכימו בעלי הדין לפני בית הדין להתדיין לפי הדין הדתי״. ההסכמה צריכה להיות מפורשת ולשאלת הדין. רכוש אינו מענייני המעמד האישי, והוא מגיע לבית הדין דווקא בכריכה ולא בסעיף 9 (סימה אמיר).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291 — התשובה הנכונה: ד</w:t>
            </w:r>
          </w:p>
          <w:p>
            <w:pPr>
              <w:bidi/>
              <w:spacing w:before="0" w:after="0" w:line="288" w:lineRule="auto"/>
              <w:jc w:val="both"/>
            </w:pPr>
            <w:r>
              <w:rPr>
                <w:rFonts w:ascii="Arial" w:hAnsi="Arial" w:cs="Arial" w:eastAsia="Arial"/>
                <w:color w:val="1F2430"/>
                <w:sz w:val="19"/>
                <w:szCs w:val="19"/>
                <w:rtl/>
              </w:rPr>
              <w:t>מה שקובע הוא מקור המימון. נכס חיצוני הוא נכס שהובא לפני הנישואין, או שהתקבל בירושה או במתנה, גם במהלך הנישואין. הרישום אינו מכריע בהלכת השיתוף. השימוש בנכס (למשל דירת מגורים) רלוונטי רק כפרמטר לשאלה אם נכס חיצוני הוטמע.</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292 — התשובה הנכונה: ג</w:t>
            </w:r>
          </w:p>
          <w:p>
            <w:pPr>
              <w:bidi/>
              <w:spacing w:before="0" w:after="0" w:line="288" w:lineRule="auto"/>
              <w:jc w:val="both"/>
            </w:pPr>
            <w:r>
              <w:rPr>
                <w:rFonts w:ascii="Arial" w:hAnsi="Arial" w:cs="Arial" w:eastAsia="Arial"/>
                <w:color w:val="1F2430"/>
                <w:sz w:val="19"/>
                <w:szCs w:val="19"/>
                <w:rtl/>
              </w:rPr>
              <w:t>בנכס פנימי חזקת השיתוף חזקה, די בראיות מינימליות, והנטל הכבד עובר לשולל. בנכס חיצוני ברירת המחדל היא שאין שיתוף, ולכן הנטל על המבקש להוכיח כוונת שיתוף. תשובה 4 הופכת את הכלל.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293 — התשובה הנכונה: ב</w:t>
            </w:r>
          </w:p>
          <w:p>
            <w:pPr>
              <w:bidi/>
              <w:spacing w:before="0" w:after="0" w:line="288" w:lineRule="auto"/>
              <w:jc w:val="both"/>
            </w:pPr>
            <w:r>
              <w:rPr>
                <w:rFonts w:ascii="Arial" w:hAnsi="Arial" w:cs="Arial" w:eastAsia="Arial"/>
                <w:color w:val="1F2430"/>
                <w:sz w:val="19"/>
                <w:szCs w:val="19"/>
                <w:rtl/>
              </w:rPr>
              <w:t>בבריל נקבע שבנכסים פנימיים טיב היחסים אינו רלוונטי, ולכן הם חולקו. לשיתוף בנכסים חיצוניים נדרשים הרמוניה וכוונת שיתוף, ואלה לא הוכחו. קורת גג אחת מספיקה רק לנכסים פנימיים, ולכן תשובה 4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294 — התשובה הנכונה: א</w:t>
            </w:r>
          </w:p>
          <w:p>
            <w:pPr>
              <w:bidi/>
              <w:spacing w:before="0" w:after="0" w:line="288" w:lineRule="auto"/>
              <w:jc w:val="both"/>
            </w:pPr>
            <w:r>
              <w:rPr>
                <w:rFonts w:ascii="Arial" w:hAnsi="Arial" w:cs="Arial" w:eastAsia="Arial"/>
                <w:color w:val="1F2430"/>
                <w:sz w:val="19"/>
                <w:szCs w:val="19"/>
                <w:rtl/>
              </w:rPr>
              <w:t>בהדרי קבע השופט שמגר שבדירת המגורים די בכמות צנועה של ראיות, ואחרי שנים רבות של חיים משותפים גם נכס חיצוני מוטמע והופך למשותף. האישה קיבלה מחצית, ולא רק את חלקה היחסי. המחוזי, שהסתמך על הרישום, נהפך.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295 — התשובה הנכונה: ג</w:t>
            </w:r>
          </w:p>
          <w:p>
            <w:pPr>
              <w:bidi/>
              <w:spacing w:before="0" w:after="0" w:line="288" w:lineRule="auto"/>
              <w:jc w:val="both"/>
            </w:pPr>
            <w:r>
              <w:rPr>
                <w:rFonts w:ascii="Arial" w:hAnsi="Arial" w:cs="Arial" w:eastAsia="Arial"/>
                <w:color w:val="1F2430"/>
                <w:sz w:val="19"/>
                <w:szCs w:val="19"/>
                <w:rtl/>
              </w:rPr>
              <w:t>הפרמטרים הם טיב הנכס, נישואין ראשונים או שניים, שיפוצים והשבחה, ומשך הנישואין וטיבם (הרמוניה). הרשימה אינה סגורה, אבל פער ההכנסות אינו אחד הפרמטרים לשאלת ההטמעה. שיפוץ מכספים משותפים נחשב הסימן החזק ביותר לכוונת שיתוף.</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296 — התשובה הנכונה: ד</w:t>
            </w:r>
          </w:p>
          <w:p>
            <w:pPr>
              <w:bidi/>
              <w:spacing w:before="0" w:after="0" w:line="288" w:lineRule="auto"/>
              <w:jc w:val="both"/>
            </w:pPr>
            <w:r>
              <w:rPr>
                <w:rFonts w:ascii="Arial" w:hAnsi="Arial" w:cs="Arial" w:eastAsia="Arial"/>
                <w:color w:val="1F2430"/>
                <w:sz w:val="19"/>
                <w:szCs w:val="19"/>
                <w:rtl/>
              </w:rPr>
              <w:t>התנהגות של הפרדה מלאה (לא לגור בנכס, לא לשפץ מכספים משותפים, לא לשלם ממנו משכנתא מהמשכורות) יכולה לסתור את ההטמעה של נכס חיצוני. היא אינה מועילה בנכסים פנימיים, כמו משכורות, שבהם רק הסכם ממון מועיל. משך הנישואין הוא רק פרמטר אחד ואינו פועל אוטומטית.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297 — התשובה הנכונה: א</w:t>
            </w:r>
          </w:p>
          <w:p>
            <w:pPr>
              <w:bidi/>
              <w:spacing w:before="0" w:after="0" w:line="288" w:lineRule="auto"/>
              <w:jc w:val="both"/>
            </w:pPr>
            <w:r>
              <w:rPr>
                <w:rFonts w:ascii="Arial" w:hAnsi="Arial" w:cs="Arial" w:eastAsia="Arial"/>
                <w:color w:val="1F2430"/>
                <w:sz w:val="19"/>
                <w:szCs w:val="19"/>
                <w:rtl/>
              </w:rPr>
              <w:t>בג״ץ (ברק) אישר את פסק בית הדין: לשיתוף בנכס חיצוני נדרשות הרמוניה וכוונת שיתוף, וכאן הייתה כוונת שיתוף מדומה. עם זאת נאמר במפורש שאין בכך כדי לשלול את הלכת השיתוף על שאר הנכסים שנרכשו במהלך הנישואין. הבגידה השפיעה רק על הנכס החיצוני.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298 — התשובה הנכונה: ב</w:t>
            </w:r>
          </w:p>
          <w:p>
            <w:pPr>
              <w:bidi/>
              <w:spacing w:before="0" w:after="0" w:line="288" w:lineRule="auto"/>
              <w:jc w:val="both"/>
            </w:pPr>
            <w:r>
              <w:rPr>
                <w:rFonts w:ascii="Arial" w:hAnsi="Arial" w:cs="Arial" w:eastAsia="Arial"/>
                <w:color w:val="1F2430"/>
                <w:sz w:val="19"/>
                <w:szCs w:val="19"/>
                <w:rtl/>
              </w:rPr>
              <w:t>בג״ץ (השופטת נאור) קבע שחלוקת רכוש אינה כלי ענישה, בהמשך לע״א 264/77 דרור: בגידה ונטישה עשויות ליצור קרע, אך אין נענשים עליהן למפרע. פנסיה שנצברה מעבודה בתקופה המשותפת היא רכוש משותף, ולכן תשובה 3 שגויה. ההבחנה מול ניסיון רצח (סעיף 8) נלמדת בפרק 12.</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299 — התשובה הנכונה: ג</w:t>
            </w:r>
          </w:p>
          <w:p>
            <w:pPr>
              <w:bidi/>
              <w:spacing w:before="0" w:after="0" w:line="288" w:lineRule="auto"/>
              <w:jc w:val="both"/>
            </w:pPr>
            <w:r>
              <w:rPr>
                <w:rFonts w:ascii="Arial" w:hAnsi="Arial" w:cs="Arial" w:eastAsia="Arial"/>
                <w:color w:val="1F2430"/>
                <w:sz w:val="19"/>
                <w:szCs w:val="19"/>
                <w:rtl/>
              </w:rPr>
              <w:t>המחוזי והעליון דחו את התביעה. הסקת תנאי מפסיק מכללא הייתה הופכת כמעט כל מתנה בין בני זוג להדירה, בניגוד לחוק המתנה. נכס חיצוני שנרשם על שם שניהם הפך למשותף, ולכן תשובה 2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300 — התשובה הנכונה: ד</w:t>
            </w:r>
          </w:p>
          <w:p>
            <w:pPr>
              <w:bidi/>
              <w:spacing w:before="0" w:after="0" w:line="288" w:lineRule="auto"/>
              <w:jc w:val="both"/>
            </w:pPr>
            <w:r>
              <w:rPr>
                <w:rFonts w:ascii="Arial" w:hAnsi="Arial" w:cs="Arial" w:eastAsia="Arial"/>
                <w:color w:val="1F2430"/>
                <w:sz w:val="19"/>
                <w:szCs w:val="19"/>
                <w:rtl/>
              </w:rPr>
              <w:t>במקרה הרגיל אין חזקה של נתינה חד-צדדית, אבל בין קרובים קיימת חזקה הפוכה, שאף היא ניתנת לסתירה, שההעברה היא מתנה. לגבי חשבון משותף נקבעה חזקת חלקים שווים (גיברשטיין, ברנהיים), והטוען לבעלות שונה צריך להוכיח זאת. שתי החזקות ניתנות לסתירה, ולכן תשובה 3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301 — התשובה הנכונה: ב</w:t>
            </w:r>
          </w:p>
          <w:p>
            <w:pPr>
              <w:bidi/>
              <w:spacing w:before="0" w:after="0" w:line="288" w:lineRule="auto"/>
              <w:jc w:val="both"/>
            </w:pPr>
            <w:r>
              <w:rPr>
                <w:rFonts w:ascii="Arial" w:hAnsi="Arial" w:cs="Arial" w:eastAsia="Arial"/>
                <w:color w:val="1F2430"/>
                <w:sz w:val="19"/>
                <w:szCs w:val="19"/>
                <w:rtl/>
              </w:rPr>
              <w:t>בעבר נדרשה בנכס עסקי ראיה מוגברת, אבל השופט ברק קבע בבסיליאן שנכס עסקי פנימי הוא נכס משותף כמו דירה או רכב, ושהסתרה אינה שוללת שיתוף. תשובה 1 מתארת את הגישה הישנה שנזנחה. על מועד השיתוף בעסק - ראו הלכת שלם.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302 — התשובה הנכונה: א</w:t>
            </w:r>
          </w:p>
          <w:p>
            <w:pPr>
              <w:bidi/>
              <w:spacing w:before="0" w:after="0" w:line="288" w:lineRule="auto"/>
              <w:jc w:val="both"/>
            </w:pPr>
            <w:r>
              <w:rPr>
                <w:rFonts w:ascii="Arial" w:hAnsi="Arial" w:cs="Arial" w:eastAsia="Arial"/>
                <w:color w:val="1F2430"/>
                <w:sz w:val="19"/>
                <w:szCs w:val="19"/>
                <w:rtl/>
              </w:rPr>
              <w:t>בלידאי נקבע שהשיתוף יכול להסתיים עוד לפני עזיבת הבית, כשהגשת תביעה מעידה שהקשר הגיע לנקודת שבירה. לכן המועד הוא המוקדם מבין השניים. בשונה ממזונות אישה, שנמשכים עד הגט: רכוש לאחור, מזונות לעתיד.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303 — התשובה הנכונה: ד</w:t>
            </w:r>
          </w:p>
          <w:p>
            <w:pPr>
              <w:bidi/>
              <w:spacing w:before="0" w:after="0" w:line="288" w:lineRule="auto"/>
              <w:jc w:val="both"/>
            </w:pPr>
            <w:r>
              <w:rPr>
                <w:rFonts w:ascii="Arial" w:hAnsi="Arial" w:cs="Arial" w:eastAsia="Arial"/>
                <w:color w:val="1F2430"/>
                <w:sz w:val="19"/>
                <w:szCs w:val="19"/>
                <w:rtl/>
              </w:rPr>
              <w:t>העליון הפך את המחוזי ומצא שיתוף בכל שלושת המקורות. פיצויי פיטורים ופנסיה הם חלק מהשכר, ולכן הם משותפים. מסירת כספי הירושה לאישה להשקעה מלמדת על כוונת שיתוף. משטר הרכוש חל גם על נישואין אזרחיים.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304 — התשובה הנכונה: ג</w:t>
            </w:r>
          </w:p>
          <w:p>
            <w:pPr>
              <w:bidi/>
              <w:spacing w:before="0" w:after="0" w:line="288" w:lineRule="auto"/>
              <w:jc w:val="both"/>
            </w:pPr>
            <w:r>
              <w:rPr>
                <w:rFonts w:ascii="Arial" w:hAnsi="Arial" w:cs="Arial" w:eastAsia="Arial"/>
                <w:color w:val="1F2430"/>
                <w:sz w:val="19"/>
                <w:szCs w:val="19"/>
                <w:rtl/>
              </w:rPr>
              <w:t>העליון הסביר שבשווי חברה מגולמת גם יכולתה להניב רווחים בעתיד, ולכן מחצית השווי כוללת חלק מהעץ. הוא העדיף ניתוק כלכלי נקי על פני הסדר מתמשך, שפותח פתח להעלמת הכנסות ולמעקב הדדי. מוניטין עסקי נכלל בשיתוף דרך שווי העסק, ולכן תשובה 4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305 — התשובה הנכונה: א</w:t>
            </w:r>
          </w:p>
          <w:p>
            <w:pPr>
              <w:bidi/>
              <w:spacing w:before="0" w:after="0" w:line="288" w:lineRule="auto"/>
              <w:jc w:val="both"/>
            </w:pPr>
            <w:r>
              <w:rPr>
                <w:rFonts w:ascii="Arial" w:hAnsi="Arial" w:cs="Arial" w:eastAsia="Arial"/>
                <w:color w:val="1F2430"/>
                <w:sz w:val="19"/>
                <w:szCs w:val="19"/>
                <w:rtl/>
              </w:rPr>
              <w:t>העליון הכיר בנכסי קריירה, אך איזן רק את הפער שנגרם עקב ההתמסרות למשפחה ולא כל פער בהכנסות. הוא קיבל את הערעור בנקודה אחת: תשלום חד-פעמי (נפסקו 250 אלף ש״ח, לתשלום בשלבים) עדיף, כדי לא ליצור קשר כלכלי מתמשך. כושר השתכרות הוא נכס פנימי, ויוצאים ממנו רק בהסכם ממון.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306 — התשובה הנכונה: ב</w:t>
            </w:r>
          </w:p>
          <w:p>
            <w:pPr>
              <w:bidi/>
              <w:spacing w:before="0" w:after="0" w:line="288" w:lineRule="auto"/>
              <w:jc w:val="both"/>
            </w:pPr>
            <w:r>
              <w:rPr>
                <w:rFonts w:ascii="Arial" w:hAnsi="Arial" w:cs="Arial" w:eastAsia="Arial"/>
                <w:color w:val="1F2430"/>
                <w:sz w:val="19"/>
                <w:szCs w:val="19"/>
                <w:rtl/>
              </w:rPr>
              <w:t>ברק הפעיל את סעיף 9 לחוק המקרקעין: הראשון בזמן עדיף, אלא אם השני בתום לב, בתמורה ונרשם בתום לב. הנטל על הנושה, ובדירת מגורים שגר בה בן זוג עליו לבדוק מעבר לטאבו, גם אם הוא אדם פרטי. זכות השיתוף קדמה למשכנתא, ואילו החוזה המפורש בהסכם הגירושין בא אחריה. מכאן שרשרת העדיפויות: שיתוף, משכנתא, ואז הסכם הגירושין.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307 — התשובה הנכונה: ג</w:t>
            </w:r>
          </w:p>
          <w:p>
            <w:pPr>
              <w:bidi/>
              <w:spacing w:before="0" w:after="0" w:line="288" w:lineRule="auto"/>
              <w:jc w:val="both"/>
            </w:pPr>
            <w:r>
              <w:rPr>
                <w:rFonts w:ascii="Arial" w:hAnsi="Arial" w:cs="Arial" w:eastAsia="Arial"/>
                <w:color w:val="1F2430"/>
                <w:sz w:val="19"/>
                <w:szCs w:val="19"/>
                <w:rtl/>
              </w:rPr>
              <w:t>הערכאות הקודמות קבעו שהיא שותפה בדירה ובחובות (למעט חובות אישיים מובהקים), אבל ברק פיצל: בנכסים משפחתיים מובהקים השיתוף מיידי, ובנכסים ובחובות עסקיים הוא נדחה למועד הקריטי (מוות, משבר חמור או פירוד). המטרות הן להגן על בן הזוג החלש ולהגן על השוק. תשובה 1 משקפת את הערכאות הקודמות שנהפכו.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308 — התשובה הנכונה: ד</w:t>
            </w:r>
          </w:p>
          <w:p>
            <w:pPr>
              <w:bidi/>
              <w:spacing w:before="0" w:after="0" w:line="288" w:lineRule="auto"/>
              <w:jc w:val="both"/>
            </w:pPr>
            <w:r>
              <w:rPr>
                <w:rFonts w:ascii="Arial" w:hAnsi="Arial" w:cs="Arial" w:eastAsia="Arial"/>
                <w:color w:val="1F2430"/>
                <w:sz w:val="19"/>
                <w:szCs w:val="19"/>
                <w:rtl/>
              </w:rPr>
              <w:t>דירה להשקעה אינה דירת המגורים, ולכן אינה נכס משפחתי מובהק. לפי ההבחנה בהלכת שלם השיתוף בה דחוי למועד הקריטי, וכל עוד אין קרע הזכות הקניינית בידי הבעל. לפי חוק יחסי ממון קיימת הפרדה רכושית במהלך הנישואין (סעיף 4), והזכות לאיזון היא כספית ודחויה. בתשובות החידוד ההלכה יוחסה לסיטין, אבל ההבחנה בין נכס משפחתי לעסקי נקבעה בשלם.</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55741A"/>
            <w:tcBorders>
              <w:top w:val="single" w:sz="4" w:space="0" w:color="55741A"/>
              <w:left w:val="single" w:sz="4" w:space="0" w:color="55741A"/>
              <w:bottom w:val="single" w:sz="4" w:space="0" w:color="55741A"/>
              <w:right w:val="single" w:sz="4" w:space="0" w:color="55741A"/>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12</w:t>
            </w:r>
          </w:p>
          <w:p>
            <w:pPr>
              <w:bidi/>
              <w:spacing w:before="0" w:after="0" w:line="264" w:lineRule="auto"/>
              <w:outlineLvl w:val="0"/>
            </w:pPr>
            <w:r>
              <w:rPr>
                <w:rFonts w:ascii="Arial" w:hAnsi="Arial" w:cs="Arial" w:eastAsia="Arial"/>
                <w:b/>
                <w:bCs/>
                <w:color w:val="FFFFFF"/>
                <w:sz w:val="42"/>
                <w:szCs w:val="42"/>
                <w:rtl/>
              </w:rPr>
              <w:t>חוק יחסי ממון ואיזון משאבים</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309 </w:t>
            </w:r>
            <w:r>
              <w:rPr>
                <w:rFonts w:ascii="Arial" w:hAnsi="Arial" w:cs="Arial" w:eastAsia="Arial"/>
                <w:sz w:val="20"/>
                <w:szCs w:val="20"/>
                <w:rtl/>
              </w:rPr>
              <w:t xml:space="preserve">  </w:t>
            </w:r>
            <w:r>
              <w:rPr>
                <w:rFonts w:ascii="Arial" w:hAnsi="Arial" w:cs="Arial" w:eastAsia="Arial"/>
                <w:b/>
                <w:bCs/>
                <w:color w:val="111827"/>
                <w:sz w:val="20"/>
                <w:szCs w:val="20"/>
                <w:rtl/>
              </w:rPr>
              <w:t>רונית ויוסי נישאו כדמו״י בשנת 1972 והתגרשו בשנת 2010. הדירה שנרכשה במהלך הנישואין רשומה על שם יוסי בלבד. איזה משטר רכושי יחול עליהם?</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הסדר איזון המשאבים, משום שהתגרשו לאחר כניסת חוק יחסי ממון לתוקף</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הלכת השיתוף, משום שנישאו לפני 1.1.1974</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המשטר שיבחרו בני הזוג במועד הגירושין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הדין העברי, משום שנישאו כדמו״י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310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משקפת נכונה את סעיף 4 לחוק יחסי ממון?</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עם הנישואין נעשה כל נכס פנימי משותף לשני בני הזוג בחלקים שווים</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בן זוג אחראי לחובות שבן זוגו יצר במהלך הנישואין לצורכי המשפחה</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בדירת המגורים המשפחתית חל שיתוף קנייני כבר במהלך הנישואין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כריתת הנישואין או קיומם כשלעצמם אינם מקנים לבן זוג זכויות בנכסי השני ואינם מטילים עליו אחריות לחובות השני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311 </w:t>
            </w:r>
            <w:r>
              <w:rPr>
                <w:rFonts w:ascii="Arial" w:hAnsi="Arial" w:cs="Arial" w:eastAsia="Arial"/>
                <w:sz w:val="20"/>
                <w:szCs w:val="20"/>
                <w:rtl/>
              </w:rPr>
              <w:t xml:space="preserve">  </w:t>
            </w:r>
            <w:r>
              <w:rPr>
                <w:rFonts w:ascii="Arial" w:hAnsi="Arial" w:cs="Arial" w:eastAsia="Arial"/>
                <w:b/>
                <w:bCs/>
                <w:color w:val="111827"/>
                <w:sz w:val="20"/>
                <w:szCs w:val="20"/>
                <w:rtl/>
              </w:rPr>
              <w:t>דנה ועמית נישאו בשנת 2005 ומתגרשים כעת. איזה מהנכסים הבאים ייכלל באיזון המשאבים?</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קרן השתלמות שנצברה לעמית ממשכורתו במהלך הנישואין</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דירה שירשה דנה מסבתה בשנת 2012</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פיצוי שקיבל עמית על כאב וסבל בעקבות תאונת דרכים</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רכב שבני הזוג הסכימו בכתב, בלי אישור שופט, שלא יאוזן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312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בשנת 2000 מתגרשים. לבעל דירה בשווי 1,000,000 ש״ח שרובצת עליה משכנתא של 400,000 ש״ח, וחסכונות של 200,000 ש״ח. לאישה חסכונות של 300,000 ש״ח ודירה בשווי 1,500,000 ש״ח שירשה מאביה במהלך הנישואין. מה תוצאת האיזון לפי סעיף 6?</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האישה תעביר לבעל 500,000 ש״ח</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הבעל יעביר לאישה 500,000 ש״ח</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הבעל יעביר לאישה 250,000 ש״ח</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אין העברה, משום שבסך הכול לאישה רכוש רב יותר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313 </w:t>
            </w:r>
            <w:r>
              <w:rPr>
                <w:rFonts w:ascii="Arial" w:hAnsi="Arial" w:cs="Arial" w:eastAsia="Arial"/>
                <w:sz w:val="20"/>
                <w:szCs w:val="20"/>
                <w:rtl/>
              </w:rPr>
              <w:t xml:space="preserve">  </w:t>
            </w:r>
            <w:r>
              <w:rPr>
                <w:rFonts w:ascii="Arial" w:hAnsi="Arial" w:cs="Arial" w:eastAsia="Arial"/>
                <w:b/>
                <w:bCs/>
                <w:color w:val="111827"/>
                <w:sz w:val="20"/>
                <w:szCs w:val="20"/>
                <w:rtl/>
              </w:rPr>
              <w:t>לאה ומשה נישאו בשנת 1990. בשנת 2015 מכר משה לצד שלישי בתום לב דירה שנרכשה מחסכונותיהם ורשומה על שמו. בשנת 2020 התגרשו. לאה מבקשת לבטל את המכירה ולקבל מחצית מהדירה. מה הדין?</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המכירה בטלה, משום שללאה זכות קניינית במחצית הדירה מכוח הלכת השיתוף</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המכירה תקפה, ולאה אינה זכאית לשום דבר בגין הדירה</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המכירה תקפה. ללאה זכות אובליגטורית לאיזון, ואם תמורת המכירה עדיין קיימת במועד האיזון, היא תיכלל בו</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המכירה בטלה, משום שסעיף 7 לחוק מבטל כל עסקה שנעשתה במהלך הנישואין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314 </w:t>
            </w:r>
            <w:r>
              <w:rPr>
                <w:rFonts w:ascii="Arial" w:hAnsi="Arial" w:cs="Arial" w:eastAsia="Arial"/>
                <w:sz w:val="20"/>
                <w:szCs w:val="20"/>
                <w:rtl/>
              </w:rPr>
              <w:t xml:space="preserve">  </w:t>
            </w:r>
            <w:r>
              <w:rPr>
                <w:rFonts w:ascii="Arial" w:hAnsi="Arial" w:cs="Arial" w:eastAsia="Arial"/>
                <w:b/>
                <w:bCs/>
                <w:color w:val="111827"/>
                <w:sz w:val="20"/>
                <w:szCs w:val="20"/>
                <w:rtl/>
              </w:rPr>
              <w:t>חודש לפני שהגיש תביעת גירושין העביר אבי את דירת ההשקעה הרשומה על שמו לאחיו תמורת סכום סמלי. בני הזוג נישאו בשנת 2001. מה רשאית הערכאה לעשות?</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לראות את הדירה, לצורך איזון המשאבים, כאילו היא עדיין של אבי</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לבטל את ההעברה ולרשום את הדירה בחזרה על שם אבי</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דבר, משום שהעברה לבן משפחה היא מתנה מקובלת</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להעביר את הדירה ישירות לבעלות האישה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315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מוניטין אישי וכושר השתכרות בחוק יחסי ממון?</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סעיף 5(ג) מונה אותם במפורש בין הנכסים שבכלל נכסי בני הזוג</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הם מוחרגים במפורש מהאיזון בסעיף 5(א)(2)</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בתי הדין הרבניים מחלקים אותם ככל נכס אחר, משום שהם כפופים לחוק</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הם אינם מוזכרים בסעיף 5(ג), ויש מחלוקת אם מדובר בהסדר שלילי או בהשמטה מקרית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316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הגדול קבע שאישה שבגדה בבעלה לא תזכה למחצית מזכויות הפנסיה שלו, משום שהבגידה היא נסיבה מיוחדת לפי סעיף 8. מה קבע בג״ץ 8928/06?</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דחה את העתירה, משום שבית הדין הפעיל שיקול דעת בגדר סמכותו</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התערב: בגידה עשויה ליצור קרע, אך אין נענשים עליה למפרע בנטילת זכויות ברכוש שנצבר</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קבע שבגידה היא נסיבה מיוחדת רק כשהיא נמשכת יותר משנה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קבע שסעיף 8 אינו חל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317 </w:t>
            </w:r>
            <w:r>
              <w:rPr>
                <w:rFonts w:ascii="Arial" w:hAnsi="Arial" w:cs="Arial" w:eastAsia="Arial"/>
                <w:sz w:val="20"/>
                <w:szCs w:val="20"/>
                <w:rtl/>
              </w:rPr>
              <w:t xml:space="preserve">  </w:t>
            </w:r>
            <w:r>
              <w:rPr>
                <w:rFonts w:ascii="Arial" w:hAnsi="Arial" w:cs="Arial" w:eastAsia="Arial"/>
                <w:b/>
                <w:bCs/>
                <w:color w:val="111827"/>
                <w:sz w:val="20"/>
                <w:szCs w:val="20"/>
                <w:rtl/>
              </w:rPr>
              <w:t>בעל ניסה לרצוח את אשתו, ובני הזוג מתדיינים על חלוקת הרכוש. מה נכון לפי בע״מ 7272/10?</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השופטת ברק-ארז סברה שאלימות חמורה עד כדי ניסיון רצח יכולה להצדיק סטייה מחלוקה שווה גם בלי נזק כלכלי ישיר, והשופט הנדל הדגיש את הצורך לבחון את ההשפעה הכלכלית</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נקבע פה אחד שניסיון רצח, כמו בגידה, אינו נסיבה מיוחדת</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נקבע שניסיון רצח שולל את כל זכויות הבעל ברכוש</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נקבע שרק נזק כלכלי ישיר שהוכח יכול להיחשב נסיבה מיוחדת, וזו הייתה עמדת ברק-ארז</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318 </w:t>
            </w:r>
            <w:r>
              <w:rPr>
                <w:rFonts w:ascii="Arial" w:hAnsi="Arial" w:cs="Arial" w:eastAsia="Arial"/>
                <w:sz w:val="20"/>
                <w:szCs w:val="20"/>
                <w:rtl/>
              </w:rPr>
              <w:t xml:space="preserve">  </w:t>
            </w:r>
            <w:r>
              <w:rPr>
                <w:rFonts w:ascii="Arial" w:hAnsi="Arial" w:cs="Arial" w:eastAsia="Arial"/>
                <w:b/>
                <w:bCs/>
                <w:color w:val="111827"/>
                <w:sz w:val="20"/>
                <w:szCs w:val="20"/>
                <w:rtl/>
              </w:rPr>
              <w:t>בית הדין הרבני בחיפה (תיק 589451/1) סירב לחלק כושר השתכרות. איזה מהנימוקים הבאים לא היה מנימוקיו?</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הדין הדתי מתמקד במה שיש בפועל ואינו מחלק נכסים וירטואליים</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כישורים טבעיים קיימים עוד לפני הנישואין, ולכן הם בגדר נכס חיצוני לפי סעיף 5(א)(1)</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סעיף 5(ג) מונה במפורש את כושר ההשתכרות, אך בית הדין רשאי להתעלם מהחוק</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תשלום מראש על הכנסות עתידיות יוצר שעבוד בגופו של אדם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319 </w:t>
            </w:r>
            <w:r>
              <w:rPr>
                <w:rFonts w:ascii="Arial" w:hAnsi="Arial" w:cs="Arial" w:eastAsia="Arial"/>
                <w:sz w:val="20"/>
                <w:szCs w:val="20"/>
                <w:rtl/>
              </w:rPr>
              <w:t xml:space="preserve">  </w:t>
            </w:r>
            <w:r>
              <w:rPr>
                <w:rFonts w:ascii="Arial" w:hAnsi="Arial" w:cs="Arial" w:eastAsia="Arial"/>
                <w:b/>
                <w:bCs/>
                <w:color w:val="111827"/>
                <w:sz w:val="20"/>
                <w:szCs w:val="20"/>
                <w:rtl/>
              </w:rPr>
              <w:t>עורך דין מייצג רופא מצליח שפיתח את הקריירה שלו במהלך 25 שנות נישואין, בזמן שאשתו טיפלה בבית. בהנחה שניתן לכרוך כדין, היכן עדיף ללקוח שתתנהל התביעה הרכושית?</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בבית המשפט לענייני משפחה, משום שרק שם חל חוק יחסי ממון</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בבית הדין הרבני, שנוטה שלא לחלק כושר השתכרות</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אין הבדל, משום ששתי הערכאות מחלקות כושר השתכרות באופן זהה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בבית הדין הרבני, משום שבו חלה הלכת השיתוף במקום חוק יחסי ממון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320 </w:t>
            </w:r>
            <w:r>
              <w:rPr>
                <w:rFonts w:ascii="Arial" w:hAnsi="Arial" w:cs="Arial" w:eastAsia="Arial"/>
                <w:sz w:val="20"/>
                <w:szCs w:val="20"/>
                <w:rtl/>
              </w:rPr>
              <w:t xml:space="preserve">  </w:t>
            </w:r>
            <w:r>
              <w:rPr>
                <w:rFonts w:ascii="Arial" w:hAnsi="Arial" w:cs="Arial" w:eastAsia="Arial"/>
                <w:b/>
                <w:bCs/>
                <w:color w:val="111827"/>
                <w:sz w:val="20"/>
                <w:szCs w:val="20"/>
                <w:rtl/>
              </w:rPr>
              <w:t>מה הייתה הלכת הרוב בע״א 1915/91 יעקובי נ׳ יעקובי (שנדון יחד עם עניין קנובלר)?</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הלכת השיתוף ממשיכה לחול במקביל לחוק יחסי ממון על כל זוג נשוי</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אין לחלק רכוש בין בני זוג שנישאו אחרי 1974 לפני מתן הגט</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נכס חיצוני מתחלק אוטומטית אחרי עשר שנות נישואין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חזקת השיתוף אינה חלה על מי שנישאו אחרי 1974, אך חל עליהם הדין הכללי, שמכוחו ניתן להוכיח שיתוף בנכס</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321 </w:t>
            </w:r>
            <w:r>
              <w:rPr>
                <w:rFonts w:ascii="Arial" w:hAnsi="Arial" w:cs="Arial" w:eastAsia="Arial"/>
                <w:sz w:val="20"/>
                <w:szCs w:val="20"/>
                <w:rtl/>
              </w:rPr>
              <w:t xml:space="preserve">  </w:t>
            </w:r>
            <w:r>
              <w:rPr>
                <w:rFonts w:ascii="Arial" w:hAnsi="Arial" w:cs="Arial" w:eastAsia="Arial"/>
                <w:b/>
                <w:bCs/>
                <w:color w:val="111827"/>
                <w:sz w:val="20"/>
                <w:szCs w:val="20"/>
                <w:rtl/>
              </w:rPr>
              <w:t>בני זוג מוסלמים נישאו בשנת 1982. הבעל ירש מקרקעין מאביו, והדירה נבנתה במימון אמו. בגירושין טענה האישה למחצית הדירה מכוח הלכת השיתוף. מדוע נדחתה תביעתה בע״א 8672/00 אבו רומי?</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משום שעל מוסלמים חל הדין הדתי בענייני רכוש</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משום שנכס חיצוני לעולם אינו יכול להפוך למשותף</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משום שהבעל העביר את הדירה לאמו, והעברה זו אינה ניתנת לביטול</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משום שאחרי 1974 עליה לטעון ולהוכיח שיתוף מכוח הדין הכללי, ולא די בחיים משותפים, אלא נדרשת ראיה לכוונה לשתף בנכס הספציפי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322 </w:t>
            </w:r>
            <w:r>
              <w:rPr>
                <w:rFonts w:ascii="Arial" w:hAnsi="Arial" w:cs="Arial" w:eastAsia="Arial"/>
                <w:sz w:val="20"/>
                <w:szCs w:val="20"/>
                <w:rtl/>
              </w:rPr>
              <w:t xml:space="preserve">  </w:t>
            </w:r>
            <w:r>
              <w:rPr>
                <w:rFonts w:ascii="Arial" w:hAnsi="Arial" w:cs="Arial" w:eastAsia="Arial"/>
                <w:b/>
                <w:bCs/>
                <w:color w:val="111827"/>
                <w:sz w:val="20"/>
                <w:szCs w:val="20"/>
                <w:rtl/>
              </w:rPr>
              <w:t>מה נקבע בבע״מ 10734/06 פלוני?</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סעיף 5 לחוק יחסי ממון מבטל כל אפשרות לשיתוף בנכס שנרכש לפני הנישואין</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סעיף 5 אינו מונע יצירת שיתוף בנכס ספציפי לפי הדין הכללי, גם בנכס שנרכש לפני הנישואין, והנטל על הטוען לשיתוף</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אצל זוג נשוי חלה חזקת שיתוף בכל נכס חיצוני שבו גרו יחד</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רישום הנכס על שם שני בני הזוג אינו מעיד על שיתוף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323 </w:t>
            </w:r>
            <w:r>
              <w:rPr>
                <w:rFonts w:ascii="Arial" w:hAnsi="Arial" w:cs="Arial" w:eastAsia="Arial"/>
                <w:sz w:val="20"/>
                <w:szCs w:val="20"/>
                <w:rtl/>
              </w:rPr>
              <w:t xml:space="preserve">  </w:t>
            </w:r>
            <w:r>
              <w:rPr>
                <w:rFonts w:ascii="Arial" w:hAnsi="Arial" w:cs="Arial" w:eastAsia="Arial"/>
                <w:b/>
                <w:bCs/>
                <w:color w:val="111827"/>
                <w:sz w:val="20"/>
                <w:szCs w:val="20"/>
                <w:rtl/>
              </w:rPr>
              <w:t>בבע״מ 1398/11 אלמונית נ׳ פלוני הייתה לבעל דירה מלפני הנישואין. בני הזוג פנו למתווך ואמרו שימכרו אותה, יוסיפו חסכונות ויקנו דירה משותפת, אך העסקה לא יצאה לפועל. מה קבע השופט דנציגר?</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שאצל זוג נשוי חלה חזקת שיתוף בדירת המגורים, גם אם היא חיצונית</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שללא השקעה כספית בנכס לא ניתן להוכיח דבר מה נוסף</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שניתן להסתמך על הדין הכללי, ושדבר מה נוסף אינו חייב להיות השקעה כספית: די גם במצגים בדבר כוונה למכור את הדירה ולרכוש דירה משותפת</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שבחיי נישואין משבריים אין לעולם שיתוף בנכס חיצוני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324 </w:t>
            </w:r>
            <w:r>
              <w:rPr>
                <w:rFonts w:ascii="Arial" w:hAnsi="Arial" w:cs="Arial" w:eastAsia="Arial"/>
                <w:sz w:val="20"/>
                <w:szCs w:val="20"/>
                <w:rtl/>
              </w:rPr>
              <w:t xml:space="preserve">  </w:t>
            </w:r>
            <w:r>
              <w:rPr>
                <w:rFonts w:ascii="Arial" w:hAnsi="Arial" w:cs="Arial" w:eastAsia="Arial"/>
                <w:b/>
                <w:bCs/>
                <w:color w:val="111827"/>
                <w:sz w:val="20"/>
                <w:szCs w:val="20"/>
                <w:rtl/>
              </w:rPr>
              <w:t>בני זוג יהודים נישאו בשנת 1970 בגרמניה, בנישואין דתיים ובנישואין אזרחיים. בשנת 1975 עלו לארץ, ובשנת 1980 התגרשו. איזה משטר רכושי יחול עליהם?</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הלכת השיתוף</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הסדר איזון המשאבים לפי חוק יחסי ממון</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החוק הגרמני, לפי סעיף 15 לחוק יחסי ממון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הדין העברי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325 </w:t>
            </w:r>
            <w:r>
              <w:rPr>
                <w:rFonts w:ascii="Arial" w:hAnsi="Arial" w:cs="Arial" w:eastAsia="Arial"/>
                <w:sz w:val="20"/>
                <w:szCs w:val="20"/>
                <w:rtl/>
              </w:rPr>
              <w:t xml:space="preserve">  </w:t>
            </w:r>
            <w:r>
              <w:rPr>
                <w:rFonts w:ascii="Arial" w:hAnsi="Arial" w:cs="Arial" w:eastAsia="Arial"/>
                <w:b/>
                <w:bCs/>
                <w:color w:val="111827"/>
                <w:sz w:val="20"/>
                <w:szCs w:val="20"/>
                <w:rtl/>
              </w:rPr>
              <w:t>מה הייתה תוצאת הדיון הנוסף בעניין בג״ץ 4602/13 (בגידה ושיתוף ספציפי בדירה שנבנתה על מגרש שירש הבעל)?</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נקבע פה אחד שבית הדין הרבני רשאי להתחשב בבגידה בשאלת כוונת השיתוף</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בהרכב של 9 שופטים, ברוב של 6 מול 3, נקבע שאי-נאמנות מינית אינה נסיבה שבכוחה לשלול בדיעבד זכויות שהתגבשו, ובג״ץ התערב</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העתירה נדחתה, משום שבג״ץ אינו יושב כערכאת ערעור על בית הדין הרבני</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נקבע שבגידה שוללת שיתוף בנכסים חיצוניים בלבד, ולא בנכסים פנימיים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326 </w:t>
            </w:r>
            <w:r>
              <w:rPr>
                <w:rFonts w:ascii="Arial" w:hAnsi="Arial" w:cs="Arial" w:eastAsia="Arial"/>
                <w:sz w:val="20"/>
                <w:szCs w:val="20"/>
                <w:rtl/>
              </w:rPr>
              <w:t xml:space="preserve">  </w:t>
            </w:r>
            <w:r>
              <w:rPr>
                <w:rFonts w:ascii="Arial" w:hAnsi="Arial" w:cs="Arial" w:eastAsia="Arial"/>
                <w:b/>
                <w:bCs/>
                <w:color w:val="111827"/>
                <w:sz w:val="20"/>
                <w:szCs w:val="20"/>
                <w:rtl/>
              </w:rPr>
              <w:t>שרה ודוד נישאו בשנת 1999. דוד מסרב לתת גט. לפני 13 חודשים הגישה שרה תביעה לחלוקת רכוש, ולאחרונה הגישה גם בקשה לביצוע הסדר איזון משאבים. האם ניתן לבצע את האיזון לפני הגט?</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כן. לפי סעיף 5א(א)(1)(ב) הוגשה בקשה, וחלפה שנה מפתיחת הליך רכושי</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לא. האיזון מותנה בפקיעת הנישואין</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לא. השנה נמנית רק מפתיחת הליך להתרת נישואין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כן, ובלבד שבית הדין הרבני חייב את דוד בגט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327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בשנת 2008 מתגוררים באותה דירה, אך במשך עשרה חודשים מתוך השנה האחרונה הם ישנים בחדרים נפרדים ומנהלים משקי בית נפרדים. האם מתקיים תנאי להקדמת האיזון לפי סעיף 5א(א)(2)?</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לא. נדרש מגורים בדירות נפרדות</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לא. נדרשים 12 חודשים רצופים של חיים בנפרד</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כן. הסעיף מסתפק בחיים בנפרד אף תחת קורת גג אחת, במשך 9 חודשים מצטברים לפחות מתוך שנה רצופה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כן, אבל רק אם ניתן קודם לכן פסק דין לגירושין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328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לגבי סעיף 5א לחוק יחסי ממון נכונה?</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עם חלוף שנה מהגשת התביעה הרכוש מתחלק אוטומטית, גם בלי בקשה</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הסעיף מאפשר איזון רק אחרי שבית הדין הרבני נתן פסק דין לגירושין</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הסעיף נחקק כבר עם חקיקת החוק בשנת 1973</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השנה נמנית מפתיחת ההליך ולא ממתן פסק דין לגירושין, כדי שהאיזון לא יהיה תלוי בקצב של 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329 </w:t>
            </w:r>
            <w:r>
              <w:rPr>
                <w:rFonts w:ascii="Arial" w:hAnsi="Arial" w:cs="Arial" w:eastAsia="Arial"/>
                <w:sz w:val="20"/>
                <w:szCs w:val="20"/>
                <w:rtl/>
              </w:rPr>
              <w:t xml:space="preserve">  </w:t>
            </w:r>
            <w:r>
              <w:rPr>
                <w:rFonts w:ascii="Arial" w:hAnsi="Arial" w:cs="Arial" w:eastAsia="Arial"/>
                <w:b/>
                <w:bCs/>
                <w:color w:val="111827"/>
                <w:sz w:val="20"/>
                <w:szCs w:val="20"/>
                <w:rtl/>
              </w:rPr>
              <w:t>בעל גילה שאשתו בגדה בו כשנתיים לפני הגילוי, וביקש לקבוע שמועד הקרע, ולכן מועד סיום השיתוף, הוא יום הבגידה. מה קבע בית הדין הרבני הגדול?</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מועד הבגידה הוא תמיד מועד הקרע</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מועד הקרע הוא תמיד מועד הגשת התביעה</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אין לקבוע אוטומטית שמועד הקרע הוא מועד הבגידה, ויש לבחון מתי נוצר קרע בפועל</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בגידה מבטלת את השיתוף למפרע מיום הנישואין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330 </w:t>
            </w:r>
            <w:r>
              <w:rPr>
                <w:rFonts w:ascii="Arial" w:hAnsi="Arial" w:cs="Arial" w:eastAsia="Arial"/>
                <w:sz w:val="20"/>
                <w:szCs w:val="20"/>
                <w:rtl/>
              </w:rPr>
              <w:t xml:space="preserve">  </w:t>
            </w:r>
            <w:r>
              <w:rPr>
                <w:rFonts w:ascii="Arial" w:hAnsi="Arial" w:cs="Arial" w:eastAsia="Arial"/>
                <w:b/>
                <w:bCs/>
                <w:color w:val="111827"/>
                <w:sz w:val="20"/>
                <w:szCs w:val="20"/>
                <w:rtl/>
              </w:rPr>
              <w:t>יונית ועידו, שנישאו בשנת 2013, התדיינו בבית הדין הרבני, לאחר כריכה כנה וכדין של הרכוש לתביעת הגירושין. שניהם ביקשו במפורש שהרכוש יידון לפי הדין האישי, ובית הדין נענה. עורך דין עתר לבג״ץ בטענה של חוסר סמכות. מה הדין?</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לבית הדין אין סמכות לדון לפי הדין האישי, משום שרכוש אינו מענייני המעמד האישי</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לפי הלכת בבלי, בית הדין לעולם אינו רשאי לדון ברכוש לפי הדין הדתי</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די בכריכה כדי שבית הדין ידון לפי הדין האישי, גם בלי הסכמה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לבית הדין סמכות לדון לפי הדין האישי מכוח הסכמתם המפורשת, לפי סעיף 13(ב) לחוק יחסי ממון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331 </w:t>
            </w:r>
            <w:r>
              <w:rPr>
                <w:rFonts w:ascii="Arial" w:hAnsi="Arial" w:cs="Arial" w:eastAsia="Arial"/>
                <w:sz w:val="20"/>
                <w:szCs w:val="20"/>
                <w:rtl/>
              </w:rPr>
              <w:t xml:space="preserve">  </w:t>
            </w:r>
            <w:r>
              <w:rPr>
                <w:rFonts w:ascii="Arial" w:hAnsi="Arial" w:cs="Arial" w:eastAsia="Arial"/>
                <w:b/>
                <w:bCs/>
                <w:color w:val="111827"/>
                <w:sz w:val="20"/>
                <w:szCs w:val="20"/>
                <w:rtl/>
              </w:rPr>
              <w:t>רכושם של בני זוג שחל עליהם חוק יחסי ממון חולק שווה בשווה, והאישה קיבלה כ-500,000 ש״ח. לאחר מכן תבעה בבית הדין את כתובתה בסך 600,000 ש״ח. מה צפוי שיפסוק בית הדין, לפי מה שנלמד בקורס?</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האישה תקבל 100,000 ש״ח, ההפרש בין מה שקיבלה באיזון לבין סכום הכתובה, שכן אין כפל מבצעים</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האישה תקבל את מלוא הכתובה, 600,000 ש״ח, לפי סעיף 17 לחוק</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האישה אינה זכאית לדבר, משום שוויתרה על כתובתה בעצם הגשת התביעה הרכושית</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האישה תקבל מחצית מהכתובה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332 </w:t>
            </w:r>
            <w:r>
              <w:rPr>
                <w:rFonts w:ascii="Arial" w:hAnsi="Arial" w:cs="Arial" w:eastAsia="Arial"/>
                <w:sz w:val="20"/>
                <w:szCs w:val="20"/>
                <w:rtl/>
              </w:rPr>
              <w:t xml:space="preserve">  </w:t>
            </w:r>
            <w:r>
              <w:rPr>
                <w:rFonts w:ascii="Arial" w:hAnsi="Arial" w:cs="Arial" w:eastAsia="Arial"/>
                <w:b/>
                <w:bCs/>
                <w:color w:val="111827"/>
                <w:sz w:val="20"/>
                <w:szCs w:val="20"/>
                <w:rtl/>
              </w:rPr>
              <w:t>ניתן פסק דין לחלוקת חיסכון פנסיוני של עמית בקופת גמל בינו לבין גרושתו, ונרשמה הערה לפי סעיף 4 לחוק לחלוקת חיסכון פנסיוני בין בני זוג שנפרדו, התשע״ד-2014. מה יעשה הגוף המשלם?</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יפרק את הקופה וישלם לכל אחד מבני הזוג את חלקו במזומן</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יפתח חשבון חדש בקופה על שם בן הזוג לשעבר ויעביר אליו את שיעור ההעברה כפול היתרה במועד הפירוד, בתוספת או בניכוי התשואה עד מועד ההעברה</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ימתין לפרישת העמית ואז ישלם לבן הזוג לשעבר מחצית מכל קצבה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יעביר לבן הזוג לשעבר מחצית מכל היתרה הצבורה, כולל הכספים שנצברו לפני הנישואין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333 </w:t>
            </w:r>
            <w:r>
              <w:rPr>
                <w:rFonts w:ascii="Arial" w:hAnsi="Arial" w:cs="Arial" w:eastAsia="Arial"/>
                <w:sz w:val="20"/>
                <w:szCs w:val="20"/>
                <w:rtl/>
              </w:rPr>
              <w:t xml:space="preserve">  </w:t>
            </w:r>
            <w:r>
              <w:rPr>
                <w:rFonts w:ascii="Arial" w:hAnsi="Arial" w:cs="Arial" w:eastAsia="Arial"/>
                <w:b/>
                <w:bCs/>
                <w:color w:val="111827"/>
                <w:sz w:val="20"/>
                <w:szCs w:val="20"/>
                <w:rtl/>
              </w:rPr>
              <w:t>איזו מהטענות הבאות נכונה לגבי חלוקת זכויות פנסיה בין בני זוג שחלה עליהם הלכת השיתוף?</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זכויות פנסיה אינן משותפות, משום שההפקדות הן כספי המעביד</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יש לפרק את החיסכון הפנסיוני מיד עם הגירושין</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כל הפנסיה מתחלקת חצי-חצי, כולל מה שנצבר לפני הנישואין</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הזכויות משותפות כחלק מהשכר, אך לפי העליון יחולקו במועד שבו ניתן לממשן ורק בחלק היחסי, כדי להימנע מהפסד במשיכה מוקדמת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334 </w:t>
            </w:r>
            <w:r>
              <w:rPr>
                <w:rFonts w:ascii="Arial" w:hAnsi="Arial" w:cs="Arial" w:eastAsia="Arial"/>
                <w:sz w:val="20"/>
                <w:szCs w:val="20"/>
                <w:rtl/>
              </w:rPr>
              <w:t xml:space="preserve">  </w:t>
            </w:r>
            <w:r>
              <w:rPr>
                <w:rFonts w:ascii="Arial" w:hAnsi="Arial" w:cs="Arial" w:eastAsia="Arial"/>
                <w:b/>
                <w:bCs/>
                <w:color w:val="111827"/>
                <w:sz w:val="20"/>
                <w:szCs w:val="20"/>
                <w:rtl/>
              </w:rPr>
              <w:t>זוג נישא בשנת 2020. בשנת 2021 ירש האיש דירה. בשנת 2022 העביר האיש לאישה במתנה מחצית מהדירה, ובשנת 2023 התגרשו. כיצד תחולק הדירה, לפי מה שנלמד בקורס?</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כל הדירה שייכת לאיש, משום שירושה מוחרגת מהאיזון</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3/4 לאיש ו-1/4 לאישה, משום שהמחצית שניתנה במתנה מתאזנת ביניהם</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חצי-חצי</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כל הדירה לאיש, משום שהמתנה חוזרת אליו עקב הגירושין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335 </w:t>
            </w:r>
            <w:r>
              <w:rPr>
                <w:rFonts w:ascii="Arial" w:hAnsi="Arial" w:cs="Arial" w:eastAsia="Arial"/>
                <w:sz w:val="20"/>
                <w:szCs w:val="20"/>
                <w:rtl/>
              </w:rPr>
              <w:t xml:space="preserve">  </w:t>
            </w:r>
            <w:r>
              <w:rPr>
                <w:rFonts w:ascii="Arial" w:hAnsi="Arial" w:cs="Arial" w:eastAsia="Arial"/>
                <w:b/>
                <w:bCs/>
                <w:color w:val="111827"/>
                <w:sz w:val="20"/>
                <w:szCs w:val="20"/>
                <w:rtl/>
              </w:rPr>
              <w:t>אברהם ורבקה חיים באושר. אחרי 15 שנות נישואין קנו מחסכונותיהם דירה שנייה להשכרה, רשומה על שם אברהם בלבד, והוא לקח לשם כך משכנתא. הם לא עמדו בהחזרים, והבנק פנה להוצאה לפועל כדי לממש את הדירה. מה הדין?</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לפי הלכת השיתוף הבנק לא יוכל לממש, ולפי חוק יחסי ממון יוכל</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גם לפי הלכת השיתוף וגם לפי חוק יחסי ממון הבנק יכול לממש את הדירה</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לפי שני המשטרים הבנק לא יוכל לממש את מחצית הדירה של רבקה</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לפי הלכת השיתוף הבנק יוכל לממש, ולפי חוק יחסי ממון לא יוכל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B2C097"/>
              <w:left w:val="single" w:sz="8" w:space="0" w:color="B2C097"/>
              <w:bottom w:val="single" w:sz="8" w:space="0" w:color="B2C097"/>
              <w:right w:val="single" w:sz="8" w:space="0" w:color="B2C097"/>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55741A"/>
              </w:rPr>
              <w:t xml:space="preserve"> 336 </w:t>
            </w:r>
            <w:r>
              <w:rPr>
                <w:rFonts w:ascii="Arial" w:hAnsi="Arial" w:cs="Arial" w:eastAsia="Arial"/>
                <w:sz w:val="20"/>
                <w:szCs w:val="20"/>
                <w:rtl/>
              </w:rPr>
              <w:t xml:space="preserve">  </w:t>
            </w:r>
            <w:r>
              <w:rPr>
                <w:rFonts w:ascii="Arial" w:hAnsi="Arial" w:cs="Arial" w:eastAsia="Arial"/>
                <w:b/>
                <w:bCs/>
                <w:color w:val="111827"/>
                <w:sz w:val="20"/>
                <w:szCs w:val="20"/>
                <w:rtl/>
              </w:rPr>
              <w:t>אישה מסורבת גט תבעה את בעלה בנזיקין בבית המשפט לענייני משפחה (תמ״ש (י-ם) 19270/03), לאחר שבית הדין חייב אותו בגט. מה נקבע לגבי תקופת הפיצוי?</w:t>
            </w:r>
          </w:p>
          <w:p>
            <w:pPr>
              <w:bidi/>
              <w:spacing w:before="0" w:after="20" w:line="276" w:lineRule="auto"/>
              <w:ind w:right="400" w:hanging="300"/>
            </w:pPr>
            <w:r>
              <w:rPr>
                <w:rFonts w:ascii="Arial" w:hAnsi="Arial" w:cs="Arial" w:eastAsia="Arial"/>
                <w:b/>
                <w:bCs/>
                <w:color w:val="55741A"/>
                <w:sz w:val="20"/>
                <w:szCs w:val="20"/>
                <w:rtl/>
              </w:rPr>
              <w:t xml:space="preserve">(א)  </w:t>
            </w:r>
            <w:r>
              <w:rPr>
                <w:rFonts w:ascii="Arial" w:hAnsi="Arial" w:cs="Arial" w:eastAsia="Arial"/>
                <w:color w:val="1F2430"/>
                <w:sz w:val="20"/>
                <w:szCs w:val="20"/>
                <w:rtl/>
              </w:rPr>
              <w:t>הפיצוי ניתן מיום חיוב הגט ועד יום הגשת התביעה בלבד, כדי לא להתערב במלאכת בית הדין הרבני</w:t>
            </w:r>
          </w:p>
          <w:p>
            <w:pPr>
              <w:bidi/>
              <w:spacing w:before="0" w:after="20" w:line="276" w:lineRule="auto"/>
              <w:ind w:right="400" w:hanging="300"/>
            </w:pPr>
            <w:r>
              <w:rPr>
                <w:rFonts w:ascii="Arial" w:hAnsi="Arial" w:cs="Arial" w:eastAsia="Arial"/>
                <w:b/>
                <w:bCs/>
                <w:color w:val="55741A"/>
                <w:sz w:val="20"/>
                <w:szCs w:val="20"/>
                <w:rtl/>
              </w:rPr>
              <w:t xml:space="preserve">(ב)  </w:t>
            </w:r>
            <w:r>
              <w:rPr>
                <w:rFonts w:ascii="Arial" w:hAnsi="Arial" w:cs="Arial" w:eastAsia="Arial"/>
                <w:color w:val="1F2430"/>
                <w:sz w:val="20"/>
                <w:szCs w:val="20"/>
                <w:rtl/>
              </w:rPr>
              <w:t>הפיצוי ניתן מיום הנישואין ועד מתן הגט</w:t>
            </w:r>
          </w:p>
          <w:p>
            <w:pPr>
              <w:bidi/>
              <w:spacing w:before="0" w:after="20" w:line="276" w:lineRule="auto"/>
              <w:ind w:right="400" w:hanging="300"/>
            </w:pPr>
            <w:r>
              <w:rPr>
                <w:rFonts w:ascii="Arial" w:hAnsi="Arial" w:cs="Arial" w:eastAsia="Arial"/>
                <w:b/>
                <w:bCs/>
                <w:color w:val="55741A"/>
                <w:sz w:val="20"/>
                <w:szCs w:val="20"/>
                <w:rtl/>
              </w:rPr>
              <w:t xml:space="preserve">(ג)  </w:t>
            </w:r>
            <w:r>
              <w:rPr>
                <w:rFonts w:ascii="Arial" w:hAnsi="Arial" w:cs="Arial" w:eastAsia="Arial"/>
                <w:color w:val="1F2430"/>
                <w:sz w:val="20"/>
                <w:szCs w:val="20"/>
                <w:rtl/>
              </w:rPr>
              <w:t>נפסק פיצוי חודשי שיוסיף להצטבר עד שיינתן הגט</w:t>
            </w:r>
          </w:p>
          <w:p>
            <w:pPr>
              <w:bidi/>
              <w:spacing w:before="0" w:after="20" w:line="276" w:lineRule="auto"/>
              <w:ind w:right="400" w:hanging="300"/>
            </w:pPr>
            <w:r>
              <w:rPr>
                <w:rFonts w:ascii="Arial" w:hAnsi="Arial" w:cs="Arial" w:eastAsia="Arial"/>
                <w:b/>
                <w:bCs/>
                <w:color w:val="55741A"/>
                <w:sz w:val="20"/>
                <w:szCs w:val="20"/>
                <w:rtl/>
              </w:rPr>
              <w:t xml:space="preserve">(ד)  </w:t>
            </w:r>
            <w:r>
              <w:rPr>
                <w:rFonts w:ascii="Arial" w:hAnsi="Arial" w:cs="Arial" w:eastAsia="Arial"/>
                <w:color w:val="1F2430"/>
                <w:sz w:val="20"/>
                <w:szCs w:val="20"/>
                <w:rtl/>
              </w:rPr>
              <w:t>התביעה נדחתה מחוסר סמכות, משום שהיא בענייני גירושין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12</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309-ב</w:t>
      </w:r>
      <w:r>
        <w:rPr>
          <w:rFonts w:ascii="Arial" w:hAnsi="Arial" w:cs="Arial" w:eastAsia="Arial"/>
          <w:sz w:val="20"/>
          <w:szCs w:val="20"/>
          <w:rtl/>
        </w:rPr>
        <w:t xml:space="preserve">   </w:t>
      </w:r>
      <w:r>
        <w:rPr>
          <w:rFonts w:ascii="Arial" w:hAnsi="Arial" w:cs="Arial" w:eastAsia="Arial"/>
          <w:b/>
          <w:bCs/>
          <w:color w:val="1F2430"/>
          <w:sz w:val="20"/>
          <w:szCs w:val="20"/>
          <w:rtl/>
        </w:rPr>
        <w:t>310-ד</w:t>
      </w:r>
      <w:r>
        <w:rPr>
          <w:rFonts w:ascii="Arial" w:hAnsi="Arial" w:cs="Arial" w:eastAsia="Arial"/>
          <w:sz w:val="20"/>
          <w:szCs w:val="20"/>
          <w:rtl/>
        </w:rPr>
        <w:t xml:space="preserve">   </w:t>
      </w:r>
      <w:r>
        <w:rPr>
          <w:rFonts w:ascii="Arial" w:hAnsi="Arial" w:cs="Arial" w:eastAsia="Arial"/>
          <w:b/>
          <w:bCs/>
          <w:color w:val="1F2430"/>
          <w:sz w:val="20"/>
          <w:szCs w:val="20"/>
          <w:rtl/>
        </w:rPr>
        <w:t>311-א</w:t>
      </w:r>
      <w:r>
        <w:rPr>
          <w:rFonts w:ascii="Arial" w:hAnsi="Arial" w:cs="Arial" w:eastAsia="Arial"/>
          <w:sz w:val="20"/>
          <w:szCs w:val="20"/>
          <w:rtl/>
        </w:rPr>
        <w:t xml:space="preserve">   </w:t>
      </w:r>
      <w:r>
        <w:rPr>
          <w:rFonts w:ascii="Arial" w:hAnsi="Arial" w:cs="Arial" w:eastAsia="Arial"/>
          <w:b/>
          <w:bCs/>
          <w:color w:val="1F2430"/>
          <w:sz w:val="20"/>
          <w:szCs w:val="20"/>
          <w:rtl/>
        </w:rPr>
        <w:t>312-ג</w:t>
      </w:r>
      <w:r>
        <w:rPr>
          <w:rFonts w:ascii="Arial" w:hAnsi="Arial" w:cs="Arial" w:eastAsia="Arial"/>
          <w:sz w:val="20"/>
          <w:szCs w:val="20"/>
          <w:rtl/>
        </w:rPr>
        <w:t xml:space="preserve">   </w:t>
      </w:r>
      <w:r>
        <w:rPr>
          <w:rFonts w:ascii="Arial" w:hAnsi="Arial" w:cs="Arial" w:eastAsia="Arial"/>
          <w:b/>
          <w:bCs/>
          <w:color w:val="1F2430"/>
          <w:sz w:val="20"/>
          <w:szCs w:val="20"/>
          <w:rtl/>
        </w:rPr>
        <w:t>313-ג</w:t>
      </w:r>
      <w:r>
        <w:rPr>
          <w:rFonts w:ascii="Arial" w:hAnsi="Arial" w:cs="Arial" w:eastAsia="Arial"/>
          <w:sz w:val="20"/>
          <w:szCs w:val="20"/>
          <w:rtl/>
        </w:rPr>
        <w:t xml:space="preserve">   </w:t>
      </w:r>
      <w:r>
        <w:rPr>
          <w:rFonts w:ascii="Arial" w:hAnsi="Arial" w:cs="Arial" w:eastAsia="Arial"/>
          <w:b/>
          <w:bCs/>
          <w:color w:val="1F2430"/>
          <w:sz w:val="20"/>
          <w:szCs w:val="20"/>
          <w:rtl/>
        </w:rPr>
        <w:t>314-א</w:t>
      </w:r>
      <w:r>
        <w:rPr>
          <w:rFonts w:ascii="Arial" w:hAnsi="Arial" w:cs="Arial" w:eastAsia="Arial"/>
          <w:sz w:val="20"/>
          <w:szCs w:val="20"/>
          <w:rtl/>
        </w:rPr>
        <w:t xml:space="preserve">   </w:t>
      </w:r>
      <w:r>
        <w:rPr>
          <w:rFonts w:ascii="Arial" w:hAnsi="Arial" w:cs="Arial" w:eastAsia="Arial"/>
          <w:b/>
          <w:bCs/>
          <w:color w:val="1F2430"/>
          <w:sz w:val="20"/>
          <w:szCs w:val="20"/>
          <w:rtl/>
        </w:rPr>
        <w:t>315-ד</w:t>
      </w:r>
      <w:r>
        <w:rPr>
          <w:rFonts w:ascii="Arial" w:hAnsi="Arial" w:cs="Arial" w:eastAsia="Arial"/>
          <w:sz w:val="20"/>
          <w:szCs w:val="20"/>
          <w:rtl/>
        </w:rPr>
        <w:t xml:space="preserve">   </w:t>
      </w:r>
      <w:r>
        <w:rPr>
          <w:rFonts w:ascii="Arial" w:hAnsi="Arial" w:cs="Arial" w:eastAsia="Arial"/>
          <w:b/>
          <w:bCs/>
          <w:color w:val="1F2430"/>
          <w:sz w:val="20"/>
          <w:szCs w:val="20"/>
          <w:rtl/>
        </w:rPr>
        <w:t>316-ב</w:t>
      </w:r>
      <w:r>
        <w:rPr>
          <w:rFonts w:ascii="Arial" w:hAnsi="Arial" w:cs="Arial" w:eastAsia="Arial"/>
          <w:sz w:val="20"/>
          <w:szCs w:val="20"/>
          <w:rtl/>
        </w:rPr>
        <w:t xml:space="preserve">   </w:t>
      </w:r>
      <w:r>
        <w:rPr>
          <w:rFonts w:ascii="Arial" w:hAnsi="Arial" w:cs="Arial" w:eastAsia="Arial"/>
          <w:b/>
          <w:bCs/>
          <w:color w:val="1F2430"/>
          <w:sz w:val="20"/>
          <w:szCs w:val="20"/>
          <w:rtl/>
        </w:rPr>
        <w:t>317-א</w:t>
      </w:r>
      <w:r>
        <w:rPr>
          <w:rFonts w:ascii="Arial" w:hAnsi="Arial" w:cs="Arial" w:eastAsia="Arial"/>
          <w:sz w:val="20"/>
          <w:szCs w:val="20"/>
          <w:rtl/>
        </w:rPr>
        <w:t xml:space="preserve">   </w:t>
      </w:r>
      <w:r>
        <w:rPr>
          <w:rFonts w:ascii="Arial" w:hAnsi="Arial" w:cs="Arial" w:eastAsia="Arial"/>
          <w:b/>
          <w:bCs/>
          <w:color w:val="1F2430"/>
          <w:sz w:val="20"/>
          <w:szCs w:val="20"/>
          <w:rtl/>
        </w:rPr>
        <w:t>318-ג</w:t>
      </w:r>
      <w:r>
        <w:rPr>
          <w:rFonts w:ascii="Arial" w:hAnsi="Arial" w:cs="Arial" w:eastAsia="Arial"/>
          <w:sz w:val="20"/>
          <w:szCs w:val="20"/>
          <w:rtl/>
        </w:rPr>
        <w:t xml:space="preserve">   </w:t>
      </w:r>
      <w:r>
        <w:rPr>
          <w:rFonts w:ascii="Arial" w:hAnsi="Arial" w:cs="Arial" w:eastAsia="Arial"/>
          <w:b/>
          <w:bCs/>
          <w:color w:val="1F2430"/>
          <w:sz w:val="20"/>
          <w:szCs w:val="20"/>
          <w:rtl/>
        </w:rPr>
        <w:t>319-ב</w:t>
      </w:r>
      <w:r>
        <w:rPr>
          <w:rFonts w:ascii="Arial" w:hAnsi="Arial" w:cs="Arial" w:eastAsia="Arial"/>
          <w:sz w:val="20"/>
          <w:szCs w:val="20"/>
          <w:rtl/>
        </w:rPr>
        <w:t xml:space="preserve">   </w:t>
      </w:r>
      <w:r>
        <w:rPr>
          <w:rFonts w:ascii="Arial" w:hAnsi="Arial" w:cs="Arial" w:eastAsia="Arial"/>
          <w:b/>
          <w:bCs/>
          <w:color w:val="1F2430"/>
          <w:sz w:val="20"/>
          <w:szCs w:val="20"/>
          <w:rtl/>
        </w:rPr>
        <w:t>320-ד</w:t>
      </w:r>
      <w:r>
        <w:rPr>
          <w:rFonts w:ascii="Arial" w:hAnsi="Arial" w:cs="Arial" w:eastAsia="Arial"/>
          <w:sz w:val="20"/>
          <w:szCs w:val="20"/>
          <w:rtl/>
        </w:rPr>
        <w:t xml:space="preserve">   </w:t>
      </w:r>
      <w:r>
        <w:rPr>
          <w:rFonts w:ascii="Arial" w:hAnsi="Arial" w:cs="Arial" w:eastAsia="Arial"/>
          <w:b/>
          <w:bCs/>
          <w:color w:val="1F2430"/>
          <w:sz w:val="20"/>
          <w:szCs w:val="20"/>
          <w:rtl/>
        </w:rPr>
        <w:t>321-ד</w:t>
      </w:r>
      <w:r>
        <w:rPr>
          <w:rFonts w:ascii="Arial" w:hAnsi="Arial" w:cs="Arial" w:eastAsia="Arial"/>
          <w:sz w:val="20"/>
          <w:szCs w:val="20"/>
          <w:rtl/>
        </w:rPr>
        <w:t xml:space="preserve">   </w:t>
      </w:r>
      <w:r>
        <w:rPr>
          <w:rFonts w:ascii="Arial" w:hAnsi="Arial" w:cs="Arial" w:eastAsia="Arial"/>
          <w:b/>
          <w:bCs/>
          <w:color w:val="1F2430"/>
          <w:sz w:val="20"/>
          <w:szCs w:val="20"/>
          <w:rtl/>
        </w:rPr>
        <w:t>322-ב</w:t>
      </w:r>
      <w:r>
        <w:rPr>
          <w:rFonts w:ascii="Arial" w:hAnsi="Arial" w:cs="Arial" w:eastAsia="Arial"/>
          <w:sz w:val="20"/>
          <w:szCs w:val="20"/>
          <w:rtl/>
        </w:rPr>
        <w:t xml:space="preserve">   </w:t>
      </w:r>
      <w:r>
        <w:rPr>
          <w:rFonts w:ascii="Arial" w:hAnsi="Arial" w:cs="Arial" w:eastAsia="Arial"/>
          <w:b/>
          <w:bCs/>
          <w:color w:val="1F2430"/>
          <w:sz w:val="20"/>
          <w:szCs w:val="20"/>
          <w:rtl/>
        </w:rPr>
        <w:t>323-ג</w:t>
      </w:r>
      <w:r>
        <w:rPr>
          <w:rFonts w:ascii="Arial" w:hAnsi="Arial" w:cs="Arial" w:eastAsia="Arial"/>
          <w:sz w:val="20"/>
          <w:szCs w:val="20"/>
          <w:rtl/>
        </w:rPr>
        <w:t xml:space="preserve">   </w:t>
      </w:r>
      <w:r>
        <w:rPr>
          <w:rFonts w:ascii="Arial" w:hAnsi="Arial" w:cs="Arial" w:eastAsia="Arial"/>
          <w:b/>
          <w:bCs/>
          <w:color w:val="1F2430"/>
          <w:sz w:val="20"/>
          <w:szCs w:val="20"/>
          <w:rtl/>
        </w:rPr>
        <w:t>324-א</w:t>
      </w:r>
      <w:r>
        <w:rPr>
          <w:rFonts w:ascii="Arial" w:hAnsi="Arial" w:cs="Arial" w:eastAsia="Arial"/>
          <w:sz w:val="20"/>
          <w:szCs w:val="20"/>
          <w:rtl/>
        </w:rPr>
        <w:t xml:space="preserve">   </w:t>
      </w:r>
      <w:r>
        <w:rPr>
          <w:rFonts w:ascii="Arial" w:hAnsi="Arial" w:cs="Arial" w:eastAsia="Arial"/>
          <w:b/>
          <w:bCs/>
          <w:color w:val="1F2430"/>
          <w:sz w:val="20"/>
          <w:szCs w:val="20"/>
          <w:rtl/>
        </w:rPr>
        <w:t>325-ב</w:t>
      </w:r>
      <w:r>
        <w:rPr>
          <w:rFonts w:ascii="Arial" w:hAnsi="Arial" w:cs="Arial" w:eastAsia="Arial"/>
          <w:sz w:val="20"/>
          <w:szCs w:val="20"/>
          <w:rtl/>
        </w:rPr>
        <w:t xml:space="preserve">   </w:t>
      </w:r>
      <w:r>
        <w:rPr>
          <w:rFonts w:ascii="Arial" w:hAnsi="Arial" w:cs="Arial" w:eastAsia="Arial"/>
          <w:b/>
          <w:bCs/>
          <w:color w:val="1F2430"/>
          <w:sz w:val="20"/>
          <w:szCs w:val="20"/>
          <w:rtl/>
        </w:rPr>
        <w:t>326-א</w:t>
      </w:r>
      <w:r>
        <w:rPr>
          <w:rFonts w:ascii="Arial" w:hAnsi="Arial" w:cs="Arial" w:eastAsia="Arial"/>
          <w:sz w:val="20"/>
          <w:szCs w:val="20"/>
          <w:rtl/>
        </w:rPr>
        <w:t xml:space="preserve">   </w:t>
      </w:r>
      <w:r>
        <w:rPr>
          <w:rFonts w:ascii="Arial" w:hAnsi="Arial" w:cs="Arial" w:eastAsia="Arial"/>
          <w:b/>
          <w:bCs/>
          <w:color w:val="1F2430"/>
          <w:sz w:val="20"/>
          <w:szCs w:val="20"/>
          <w:rtl/>
        </w:rPr>
        <w:t>327-ג</w:t>
      </w:r>
      <w:r>
        <w:rPr>
          <w:rFonts w:ascii="Arial" w:hAnsi="Arial" w:cs="Arial" w:eastAsia="Arial"/>
          <w:sz w:val="20"/>
          <w:szCs w:val="20"/>
          <w:rtl/>
        </w:rPr>
        <w:t xml:space="preserve">   </w:t>
      </w:r>
      <w:r>
        <w:rPr>
          <w:rFonts w:ascii="Arial" w:hAnsi="Arial" w:cs="Arial" w:eastAsia="Arial"/>
          <w:b/>
          <w:bCs/>
          <w:color w:val="1F2430"/>
          <w:sz w:val="20"/>
          <w:szCs w:val="20"/>
          <w:rtl/>
        </w:rPr>
        <w:t>328-ד</w:t>
      </w:r>
      <w:r>
        <w:rPr>
          <w:rFonts w:ascii="Arial" w:hAnsi="Arial" w:cs="Arial" w:eastAsia="Arial"/>
          <w:sz w:val="20"/>
          <w:szCs w:val="20"/>
          <w:rtl/>
        </w:rPr>
        <w:t xml:space="preserve">   </w:t>
      </w:r>
      <w:r>
        <w:rPr>
          <w:rFonts w:ascii="Arial" w:hAnsi="Arial" w:cs="Arial" w:eastAsia="Arial"/>
          <w:b/>
          <w:bCs/>
          <w:color w:val="1F2430"/>
          <w:sz w:val="20"/>
          <w:szCs w:val="20"/>
          <w:rtl/>
        </w:rPr>
        <w:t>329-ג</w:t>
      </w:r>
      <w:r>
        <w:rPr>
          <w:rFonts w:ascii="Arial" w:hAnsi="Arial" w:cs="Arial" w:eastAsia="Arial"/>
          <w:sz w:val="20"/>
          <w:szCs w:val="20"/>
          <w:rtl/>
        </w:rPr>
        <w:t xml:space="preserve">   </w:t>
      </w:r>
      <w:r>
        <w:rPr>
          <w:rFonts w:ascii="Arial" w:hAnsi="Arial" w:cs="Arial" w:eastAsia="Arial"/>
          <w:b/>
          <w:bCs/>
          <w:color w:val="1F2430"/>
          <w:sz w:val="20"/>
          <w:szCs w:val="20"/>
          <w:rtl/>
        </w:rPr>
        <w:t>330-ד</w:t>
      </w:r>
      <w:r>
        <w:rPr>
          <w:rFonts w:ascii="Arial" w:hAnsi="Arial" w:cs="Arial" w:eastAsia="Arial"/>
          <w:sz w:val="20"/>
          <w:szCs w:val="20"/>
          <w:rtl/>
        </w:rPr>
        <w:t xml:space="preserve">   </w:t>
      </w:r>
      <w:r>
        <w:rPr>
          <w:rFonts w:ascii="Arial" w:hAnsi="Arial" w:cs="Arial" w:eastAsia="Arial"/>
          <w:b/>
          <w:bCs/>
          <w:color w:val="1F2430"/>
          <w:sz w:val="20"/>
          <w:szCs w:val="20"/>
          <w:rtl/>
        </w:rPr>
        <w:t>331-א</w:t>
      </w:r>
      <w:r>
        <w:rPr>
          <w:rFonts w:ascii="Arial" w:hAnsi="Arial" w:cs="Arial" w:eastAsia="Arial"/>
          <w:sz w:val="20"/>
          <w:szCs w:val="20"/>
          <w:rtl/>
        </w:rPr>
        <w:t xml:space="preserve">   </w:t>
      </w:r>
      <w:r>
        <w:rPr>
          <w:rFonts w:ascii="Arial" w:hAnsi="Arial" w:cs="Arial" w:eastAsia="Arial"/>
          <w:b/>
          <w:bCs/>
          <w:color w:val="1F2430"/>
          <w:sz w:val="20"/>
          <w:szCs w:val="20"/>
          <w:rtl/>
        </w:rPr>
        <w:t>332-ב</w:t>
      </w:r>
      <w:r>
        <w:rPr>
          <w:rFonts w:ascii="Arial" w:hAnsi="Arial" w:cs="Arial" w:eastAsia="Arial"/>
          <w:sz w:val="20"/>
          <w:szCs w:val="20"/>
          <w:rtl/>
        </w:rPr>
        <w:t xml:space="preserve">   </w:t>
      </w:r>
      <w:r>
        <w:rPr>
          <w:rFonts w:ascii="Arial" w:hAnsi="Arial" w:cs="Arial" w:eastAsia="Arial"/>
          <w:b/>
          <w:bCs/>
          <w:color w:val="1F2430"/>
          <w:sz w:val="20"/>
          <w:szCs w:val="20"/>
          <w:rtl/>
        </w:rPr>
        <w:t>333-ד</w:t>
      </w:r>
      <w:r>
        <w:rPr>
          <w:rFonts w:ascii="Arial" w:hAnsi="Arial" w:cs="Arial" w:eastAsia="Arial"/>
          <w:sz w:val="20"/>
          <w:szCs w:val="20"/>
          <w:rtl/>
        </w:rPr>
        <w:t xml:space="preserve">   </w:t>
      </w:r>
      <w:r>
        <w:rPr>
          <w:rFonts w:ascii="Arial" w:hAnsi="Arial" w:cs="Arial" w:eastAsia="Arial"/>
          <w:b/>
          <w:bCs/>
          <w:color w:val="1F2430"/>
          <w:sz w:val="20"/>
          <w:szCs w:val="20"/>
          <w:rtl/>
        </w:rPr>
        <w:t>334-ג</w:t>
      </w:r>
      <w:r>
        <w:rPr>
          <w:rFonts w:ascii="Arial" w:hAnsi="Arial" w:cs="Arial" w:eastAsia="Arial"/>
          <w:sz w:val="20"/>
          <w:szCs w:val="20"/>
          <w:rtl/>
        </w:rPr>
        <w:t xml:space="preserve">   </w:t>
      </w:r>
      <w:r>
        <w:rPr>
          <w:rFonts w:ascii="Arial" w:hAnsi="Arial" w:cs="Arial" w:eastAsia="Arial"/>
          <w:b/>
          <w:bCs/>
          <w:color w:val="1F2430"/>
          <w:sz w:val="20"/>
          <w:szCs w:val="20"/>
          <w:rtl/>
        </w:rPr>
        <w:t>335-ב</w:t>
      </w:r>
      <w:r>
        <w:rPr>
          <w:rFonts w:ascii="Arial" w:hAnsi="Arial" w:cs="Arial" w:eastAsia="Arial"/>
          <w:sz w:val="20"/>
          <w:szCs w:val="20"/>
          <w:rtl/>
        </w:rPr>
        <w:t xml:space="preserve">   </w:t>
      </w:r>
      <w:r>
        <w:rPr>
          <w:rFonts w:ascii="Arial" w:hAnsi="Arial" w:cs="Arial" w:eastAsia="Arial"/>
          <w:b/>
          <w:bCs/>
          <w:color w:val="1F2430"/>
          <w:sz w:val="20"/>
          <w:szCs w:val="20"/>
          <w:rtl/>
        </w:rPr>
        <w:t>336-א</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309 — התשובה הנכונה: ב</w:t>
            </w:r>
          </w:p>
          <w:p>
            <w:pPr>
              <w:bidi/>
              <w:spacing w:before="0" w:after="0" w:line="288" w:lineRule="auto"/>
              <w:jc w:val="both"/>
            </w:pPr>
            <w:r>
              <w:rPr>
                <w:rFonts w:ascii="Arial" w:hAnsi="Arial" w:cs="Arial" w:eastAsia="Arial"/>
                <w:color w:val="1F2430"/>
                <w:sz w:val="19"/>
                <w:szCs w:val="19"/>
                <w:rtl/>
              </w:rPr>
              <w:t>המבחן לתחולת הפרק השני לחוק יחסי ממון הוא מועד הנישואין, ולא מועד הגירושין. לפי סעיף 14 לחוק, הפרק השני אינו חל על מי שנישאו לפני תחילת החוק (1.1.1974), ולכן חלה הלכת השיתוף. המסיח הראשון מבלבל בין מועד הגירושין למועד הנישואין.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310 — התשובה הנכונה: ד</w:t>
            </w:r>
          </w:p>
          <w:p>
            <w:pPr>
              <w:bidi/>
              <w:spacing w:before="0" w:after="0" w:line="288" w:lineRule="auto"/>
              <w:jc w:val="both"/>
            </w:pPr>
            <w:r>
              <w:rPr>
                <w:rFonts w:ascii="Arial" w:hAnsi="Arial" w:cs="Arial" w:eastAsia="Arial"/>
                <w:color w:val="1F2430"/>
                <w:sz w:val="19"/>
                <w:szCs w:val="19"/>
                <w:rtl/>
              </w:rPr>
              <w:t>סעיף 4 קובע הפרדה רכושית במהלך הנישואין: בני הזוג הם שתי יחידות כלכליות נפרדות, גם בנכסים הפנימיים. שיתוף קנייני מיידי בדירת המגורים מאפיין את הלכת השיתוף (כפי שפורשה בהלכת שלם), ולא את חוק יחסי ממון.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311 — התשובה הנכונה: א</w:t>
            </w:r>
          </w:p>
          <w:p>
            <w:pPr>
              <w:bidi/>
              <w:spacing w:before="0" w:after="0" w:line="288" w:lineRule="auto"/>
              <w:jc w:val="both"/>
            </w:pPr>
            <w:r>
              <w:rPr>
                <w:rFonts w:ascii="Arial" w:hAnsi="Arial" w:cs="Arial" w:eastAsia="Arial"/>
                <w:color w:val="1F2430"/>
                <w:sz w:val="19"/>
                <w:szCs w:val="19"/>
                <w:rtl/>
              </w:rPr>
              <w:t>סעיף 5(ג) כולל במפורש בכלל נכסי בני הזוג גם קרנות השתלמות, זכויות פנסיה, פיצויי פרישה וחסכונות. ירושה מוחרגת לפי סעיף 5(א)(1). פיצוי על כאב וסבל מוחרג לפי 5(א)(2), כפי שהפסיקה מבחינה בינו לבין פיצוי על אובדן כושר השתכרות. לגבי הרכב, סעיף 5(א)(3) מסתפק בהסכמה בכתב ואינו דורש אישור שופט.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312 — התשובה הנכונה: ג</w:t>
            </w:r>
          </w:p>
          <w:p>
            <w:pPr>
              <w:bidi/>
              <w:spacing w:before="0" w:after="0" w:line="288" w:lineRule="auto"/>
              <w:jc w:val="both"/>
            </w:pPr>
            <w:r>
              <w:rPr>
                <w:rFonts w:ascii="Arial" w:hAnsi="Arial" w:cs="Arial" w:eastAsia="Arial"/>
                <w:color w:val="1F2430"/>
                <w:sz w:val="19"/>
                <w:szCs w:val="19"/>
                <w:rtl/>
              </w:rPr>
              <w:t>הדירה שירשה האישה מוחרגת מהאיזון (סעיף 5(א)(1)). נכסי הבעל נטו הם 800,000 ש״ח (דירה בניכוי משכנתא, ועוד חסכונות), ונכסי האישה בני האיזון הם 300,000 ש״ח. לפי סעיף 6(ב), מי שיש לו יותר מעביר מחצית ההפרש: (800,000 פחות 300,000) חלקי 2, כלומר 250,000 ש״ח. המסיח השני מעביר את כל ההפרש במקום מחציתו.</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313 — התשובה הנכונה: ג</w:t>
            </w:r>
          </w:p>
          <w:p>
            <w:pPr>
              <w:bidi/>
              <w:spacing w:before="0" w:after="0" w:line="288" w:lineRule="auto"/>
              <w:jc w:val="both"/>
            </w:pPr>
            <w:r>
              <w:rPr>
                <w:rFonts w:ascii="Arial" w:hAnsi="Arial" w:cs="Arial" w:eastAsia="Arial"/>
                <w:color w:val="1F2430"/>
                <w:sz w:val="19"/>
                <w:szCs w:val="19"/>
                <w:rtl/>
              </w:rPr>
              <w:t>הזוג נישא אחרי 1974, ולכן חל חוק יחסי ממון. הזכות לפיו היא אובליגטורית ודחויה: היא זכות לשווי בכסף, ולא זכות קניינית בנכס, ולכן לא ניתן לרדוף אחרי הקונה. התמורה הקיימת במועד האיזון נכללת בו. סעיף 7 אינו מבטל עסקאות. הוא רק מאפשר לראות נכס שהוברח כאילו עדיין שייך למבריח, לצורך החישוב.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314 — התשובה הנכונה: א</w:t>
            </w:r>
          </w:p>
          <w:p>
            <w:pPr>
              <w:bidi/>
              <w:spacing w:before="0" w:after="0" w:line="288" w:lineRule="auto"/>
              <w:jc w:val="both"/>
            </w:pPr>
            <w:r>
              <w:rPr>
                <w:rFonts w:ascii="Arial" w:hAnsi="Arial" w:cs="Arial" w:eastAsia="Arial"/>
                <w:color w:val="1F2430"/>
                <w:sz w:val="19"/>
                <w:szCs w:val="19"/>
                <w:rtl/>
              </w:rPr>
              <w:t>לפי סעיף 7 (הרחבת בסיס האיזון), נכס שבן זוג הוציא מרשותו בכוונה לסכל את זכות בן זוגו, או נתן במתנה (למעט מתנות ותרומות מקובלות), נחשב לצורך האיזון כאילו הוא עדיין שלו. הסעיף אינו מבטל את העסקה מול הצד השלישי. דירה שהועברה בסכום סמלי לקראת גירושין אינה מתנה מקובלת.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315 — התשובה הנכונה: ד</w:t>
            </w:r>
          </w:p>
          <w:p>
            <w:pPr>
              <w:bidi/>
              <w:spacing w:before="0" w:after="0" w:line="288" w:lineRule="auto"/>
              <w:jc w:val="both"/>
            </w:pPr>
            <w:r>
              <w:rPr>
                <w:rFonts w:ascii="Arial" w:hAnsi="Arial" w:cs="Arial" w:eastAsia="Arial"/>
                <w:color w:val="1F2430"/>
                <w:sz w:val="19"/>
                <w:szCs w:val="19"/>
                <w:rtl/>
              </w:rPr>
              <w:t>סעיף 5(ג) מזכיר פנסיה, פיצויי פרישה, קרנות השתלמות, קופות תגמולים וחסכונות, אבל לא מוניטין וכושר השתכרות. לפי גישה אחת זהו הסדר שלילי, והיא מתחזקת מכך שכושר השתכרות מוזכר רק בסעיף 8(2). לפי גישה אחרת זו השמטה מקרית, ולכן מחלקים. בית הדין הרבני נוטה דווקא שלא לחלקם (רבני חיפה 589451/1).</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316 — התשובה הנכונה: ב</w:t>
            </w:r>
          </w:p>
          <w:p>
            <w:pPr>
              <w:bidi/>
              <w:spacing w:before="0" w:after="0" w:line="288" w:lineRule="auto"/>
              <w:jc w:val="both"/>
            </w:pPr>
            <w:r>
              <w:rPr>
                <w:rFonts w:ascii="Arial" w:hAnsi="Arial" w:cs="Arial" w:eastAsia="Arial"/>
                <w:color w:val="1F2430"/>
                <w:sz w:val="19"/>
                <w:szCs w:val="19"/>
                <w:rtl/>
              </w:rPr>
              <w:t>בבג״ץ 8928/06 (השופטת נאור), בהסתמך על ע״א 264/77 דרור, נקבע שנטישה או בגידה עשויות ליצור קרע, אבל אין נענשים עליהן למפרע בשלילת זכויות ברכוש המשותף. חלוקת רכוש אינה כלי ענישה. סעיף 8 חל גם בבית הדין, ולכן המסיח הרביעי שגוי.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317 — התשובה הנכונה: א</w:t>
            </w:r>
          </w:p>
          <w:p>
            <w:pPr>
              <w:bidi/>
              <w:spacing w:before="0" w:after="0" w:line="288" w:lineRule="auto"/>
              <w:jc w:val="both"/>
            </w:pPr>
            <w:r>
              <w:rPr>
                <w:rFonts w:ascii="Arial" w:hAnsi="Arial" w:cs="Arial" w:eastAsia="Arial"/>
                <w:color w:val="1F2430"/>
                <w:sz w:val="19"/>
                <w:szCs w:val="19"/>
                <w:rtl/>
              </w:rPr>
              <w:t>בבע״מ 7272/10 נחלקו השופטים בשאלה עד כמה מתחשבים באלימות חמורה בלי הוכחה לנזק כלכלי. ברק-ארז: ניסיון רצח יכול להצדיק התחשבות גם בלי נזק כלכלי ישיר. הנדל: יש לבחון את ההשפעה הכלכלית. בניגוד לבגידה, ניסיון רצח יכול להיות נסיבה מיוחדת לפי סעיף 8.</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318 — התשובה הנכונה: ג</w:t>
            </w:r>
          </w:p>
          <w:p>
            <w:pPr>
              <w:bidi/>
              <w:spacing w:before="0" w:after="0" w:line="288" w:lineRule="auto"/>
              <w:jc w:val="both"/>
            </w:pPr>
            <w:r>
              <w:rPr>
                <w:rFonts w:ascii="Arial" w:hAnsi="Arial" w:cs="Arial" w:eastAsia="Arial"/>
                <w:color w:val="1F2430"/>
                <w:sz w:val="19"/>
                <w:szCs w:val="19"/>
                <w:rtl/>
              </w:rPr>
              <w:t>בית הדין נימק דווקא בכך שאין בחוק יחסי ממון הוראה לחישוב נכסי קריירה ופערי השתכרות, ובסעיף 5(ג) הם אינם מוזכרים. כמו כן בית הדין כפוף לחוק (סעיף 13(ב)). שאר הנימוקים נאמרו: אין נכסים וירטואליים, כישורים טבעיים הם נכס חיצוני, ושעבוד הגוף.</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319 — התשובה הנכונה: ב</w:t>
            </w:r>
          </w:p>
          <w:p>
            <w:pPr>
              <w:bidi/>
              <w:spacing w:before="0" w:after="0" w:line="288" w:lineRule="auto"/>
              <w:jc w:val="both"/>
            </w:pPr>
            <w:r>
              <w:rPr>
                <w:rFonts w:ascii="Arial" w:hAnsi="Arial" w:cs="Arial" w:eastAsia="Arial"/>
                <w:color w:val="1F2430"/>
                <w:sz w:val="19"/>
                <w:szCs w:val="19"/>
                <w:rtl/>
              </w:rPr>
              <w:t>בבית המשפט קיימות שתי אסכולות לגבי כושר השתכרות. בבית הדין הרבני הנטייה היא שלא לחלק אותו, ולפי הקורס כשמייצגים את בעל הקריירה עדיף בית הדין. חוק יחסי ממון חל בשתי הערכאות (סעיף 13(ב)), ולכן המסיחים הראשון והרביעי שגויים.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320 — התשובה הנכונה: ד</w:t>
            </w:r>
          </w:p>
          <w:p>
            <w:pPr>
              <w:bidi/>
              <w:spacing w:before="0" w:after="0" w:line="288" w:lineRule="auto"/>
              <w:jc w:val="both"/>
            </w:pPr>
            <w:r>
              <w:rPr>
                <w:rFonts w:ascii="Arial" w:hAnsi="Arial" w:cs="Arial" w:eastAsia="Arial"/>
                <w:color w:val="1F2430"/>
                <w:sz w:val="19"/>
                <w:szCs w:val="19"/>
                <w:rtl/>
              </w:rPr>
              <w:t>ביעקובי-קנובלר קבע הרוב שחזקת השיתוף אינה חלה אחרי 1974, אך חל הדין הכללי (חוזים, מתנה, קניין, תום לב ועוד). מכוחו אפשר להוכיח הקניית זכויות כבר במהלך החיים, בלי לחכות לגט. כך התגבר העליון על החוק התקוע.</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321 — התשובה הנכונה: ד</w:t>
            </w:r>
          </w:p>
          <w:p>
            <w:pPr>
              <w:bidi/>
              <w:spacing w:before="0" w:after="0" w:line="288" w:lineRule="auto"/>
              <w:jc w:val="both"/>
            </w:pPr>
            <w:r>
              <w:rPr>
                <w:rFonts w:ascii="Arial" w:hAnsi="Arial" w:cs="Arial" w:eastAsia="Arial"/>
                <w:color w:val="1F2430"/>
                <w:sz w:val="19"/>
                <w:szCs w:val="19"/>
                <w:rtl/>
              </w:rPr>
              <w:t>השופטת שטרסברג-כהן הסבירה שבקנובלר האישה זכתה מכוח הדין הכללי, לא מכוח הלכת השיתוף. מי שנישאה אחרי 1974 צריכה לטעון ולהוכיח דין כללי, עם דבר מה נוסף מעבר לחיים משותפים. נכס חיצוני יכול להפוך למשותף, ולכן המסיח השני שגוי.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322 — התשובה הנכונה: ב</w:t>
            </w:r>
          </w:p>
          <w:p>
            <w:pPr>
              <w:bidi/>
              <w:spacing w:before="0" w:after="0" w:line="288" w:lineRule="auto"/>
              <w:jc w:val="both"/>
            </w:pPr>
            <w:r>
              <w:rPr>
                <w:rFonts w:ascii="Arial" w:hAnsi="Arial" w:cs="Arial" w:eastAsia="Arial"/>
                <w:color w:val="1F2430"/>
                <w:sz w:val="19"/>
                <w:szCs w:val="19"/>
                <w:rtl/>
              </w:rPr>
              <w:t>בבע״מ 10734/06 נקבע, בהתאם לגישת הרוב ביעקובי, שאין בסעיף 5 כדי למנוע שיתוף בנכס ספציפי לפי הדין הכללי, לרבות בנכס מלפני הנישואין. הנטל על הטוען לשיתוף, וכל נכס נבחן לגופו. זו גם הסיבה שבנקים ממשיכים להחתים את בן הזוג.</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323 — התשובה הנכונה: ג</w:t>
            </w:r>
          </w:p>
          <w:p>
            <w:pPr>
              <w:bidi/>
              <w:spacing w:before="0" w:after="0" w:line="288" w:lineRule="auto"/>
              <w:jc w:val="both"/>
            </w:pPr>
            <w:r>
              <w:rPr>
                <w:rFonts w:ascii="Arial" w:hAnsi="Arial" w:cs="Arial" w:eastAsia="Arial"/>
                <w:color w:val="1F2430"/>
                <w:sz w:val="19"/>
                <w:szCs w:val="19"/>
                <w:rtl/>
              </w:rPr>
              <w:t>דנציגר (ועמית בהסכמה) קבע שטענה לזכויות בנכס מלפני הנישואין מתבססת על הדין הכללי, ולא על חזקת השיתוף. נדרש דבר מה נוסף, שבדרך כלל הוא השקעה כספית, אך די גם במצגים. השופט זילברטל, בדעת מיעוט, דרש ראיה ממשית יותר דווקא משום שחיי הנישואין נעדרו אווירת שיתוף.</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324 — התשובה הנכונה: א</w:t>
            </w:r>
          </w:p>
          <w:p>
            <w:pPr>
              <w:bidi/>
              <w:spacing w:before="0" w:after="0" w:line="288" w:lineRule="auto"/>
              <w:jc w:val="both"/>
            </w:pPr>
            <w:r>
              <w:rPr>
                <w:rFonts w:ascii="Arial" w:hAnsi="Arial" w:cs="Arial" w:eastAsia="Arial"/>
                <w:color w:val="1F2430"/>
                <w:sz w:val="19"/>
                <w:szCs w:val="19"/>
                <w:rtl/>
              </w:rPr>
              <w:t>לפי סעיף 15, על בני זוג שנישאו בחו״ל אמור לחול דין מקום מושבם בעת הנישואין. אבל הזוג נישא לפני 1974, מועד כניסת החוק לתוקף, ולכן חל הדין הקודם, הלכת השיתוף (כך בשאלות החזרה של הקורס). העלייה ארצה אחרי 1974 אינה משנה, כי קובע מועד הנישואין.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325 — התשובה הנכונה: ב</w:t>
            </w:r>
          </w:p>
          <w:p>
            <w:pPr>
              <w:bidi/>
              <w:spacing w:before="0" w:after="0" w:line="288" w:lineRule="auto"/>
              <w:jc w:val="both"/>
            </w:pPr>
            <w:r>
              <w:rPr>
                <w:rFonts w:ascii="Arial" w:hAnsi="Arial" w:cs="Arial" w:eastAsia="Arial"/>
                <w:color w:val="1F2430"/>
                <w:sz w:val="19"/>
                <w:szCs w:val="19"/>
                <w:rtl/>
              </w:rPr>
              <w:t>בהרכב הראשון נדחתה העתירה (מינץ ושטיין מול עמית). בדיון הנוסף, בראשות הנשיאה חיות, נקבע ברוב של 6 מול 3 שאי-נאמנות מינית אינה שוללת בדיעבד זכויות שהתגבשו, ושיש לצמצם את יכולתו של בן זוג למשטר את משנהו. המסיח השלישי מתאר את תוצאת ההרכב הראשון.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326 — התשובה הנכונה: א</w:t>
            </w:r>
          </w:p>
          <w:p>
            <w:pPr>
              <w:bidi/>
              <w:spacing w:before="0" w:after="0" w:line="288" w:lineRule="auto"/>
              <w:jc w:val="both"/>
            </w:pPr>
            <w:r>
              <w:rPr>
                <w:rFonts w:ascii="Arial" w:hAnsi="Arial" w:cs="Arial" w:eastAsia="Arial"/>
                <w:color w:val="1F2430"/>
                <w:sz w:val="19"/>
                <w:szCs w:val="19"/>
                <w:rtl/>
              </w:rPr>
              <w:t>תיקון 4 (2008) הוסיף את סעיף 5א, שמאפשר איזון לפני פקיעת הנישואין אם הוגשה בקשה והתקיים אחד התנאים. אחד מהם הוא חלוף שנה מפתיחת הליך רכושי, כמו תביעה לחלוקת רכוש. השנה אינה נמנית רק מהליך גירושין, ואין צורך בפסק דין לגט.</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327 — התשובה הנכונה: ג</w:t>
            </w:r>
          </w:p>
          <w:p>
            <w:pPr>
              <w:bidi/>
              <w:spacing w:before="0" w:after="0" w:line="288" w:lineRule="auto"/>
              <w:jc w:val="both"/>
            </w:pPr>
            <w:r>
              <w:rPr>
                <w:rFonts w:ascii="Arial" w:hAnsi="Arial" w:cs="Arial" w:eastAsia="Arial"/>
                <w:color w:val="1F2430"/>
                <w:sz w:val="19"/>
                <w:szCs w:val="19"/>
                <w:rtl/>
              </w:rPr>
              <w:t>סעיף 5א(א)(2) מתיר הקדמה כשקיים קרע, או כשבני הזוג חיים בנפרד אף אם תחת קורת גג אחת, במשך תקופה מצטברת של 9 חודשים לפחות מתוך תקופה רצופה של שנה. בית המשפט או בית הדין רשאי לקצר את התקופה אם ניתנה החלטה שיפוטית המעידה על קרע.</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328 — התשובה הנכונה: ד</w:t>
            </w:r>
          </w:p>
          <w:p>
            <w:pPr>
              <w:bidi/>
              <w:spacing w:before="0" w:after="0" w:line="288" w:lineRule="auto"/>
              <w:jc w:val="both"/>
            </w:pPr>
            <w:r>
              <w:rPr>
                <w:rFonts w:ascii="Arial" w:hAnsi="Arial" w:cs="Arial" w:eastAsia="Arial"/>
                <w:color w:val="1F2430"/>
                <w:sz w:val="19"/>
                <w:szCs w:val="19"/>
                <w:rtl/>
              </w:rPr>
              <w:t>המחוקק בחר במבחן טכני, שנה מפתיחת ההליך, משום שבית הדין הרבני אינו ממהר לפסוק גירושין (בשל ניסיונות לשלום בית), והמחוקק לא רצה להיות תלוי בדיינים. אין חלוקה אוטומטית: נדרשת בקשה. הסעיף נוסף רק בתיקון 4 בשנת 2008.</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329 — התשובה הנכונה: ג</w:t>
            </w:r>
          </w:p>
          <w:p>
            <w:pPr>
              <w:bidi/>
              <w:spacing w:before="0" w:after="0" w:line="288" w:lineRule="auto"/>
              <w:jc w:val="both"/>
            </w:pPr>
            <w:r>
              <w:rPr>
                <w:rFonts w:ascii="Arial" w:hAnsi="Arial" w:cs="Arial" w:eastAsia="Arial"/>
                <w:color w:val="1F2430"/>
                <w:sz w:val="19"/>
                <w:szCs w:val="19"/>
                <w:rtl/>
              </w:rPr>
              <w:t>בית הדין הגדול קבע שאין לראות אוטומטית במועד הבגידה את מועד הקרע. לא בטוח שאילו ידע הבעל בזמן אמת, היה מפרק מיד את הנישואין. בודקים מתי נוצר הקרע בפועל. בגידה כשלעצמה אינה מפסיקה את השיתוף.</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330 — התשובה הנכונה: ד</w:t>
            </w:r>
          </w:p>
          <w:p>
            <w:pPr>
              <w:bidi/>
              <w:spacing w:before="0" w:after="0" w:line="288" w:lineRule="auto"/>
              <w:jc w:val="both"/>
            </w:pPr>
            <w:r>
              <w:rPr>
                <w:rFonts w:ascii="Arial" w:hAnsi="Arial" w:cs="Arial" w:eastAsia="Arial"/>
                <w:color w:val="1F2430"/>
                <w:sz w:val="19"/>
                <w:szCs w:val="19"/>
                <w:rtl/>
              </w:rPr>
              <w:t>סעיף 13(ב) מחייב גם בית דין דתי לנהוג לפי החוק, זולת אם הסכימו בעלי הדין לפניו להתדיין לפי הדין הדתי. ההסכמה צריכה להיות מפורשת, ולא מהתנהגות, והיא נוגעת לשאלת הדין ולא לסמכות. כריכה לבדה אינה מחילה את הדין הדתי, ולכן המסיח השלישי שגוי.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331 — התשובה הנכונה: א</w:t>
            </w:r>
          </w:p>
          <w:p>
            <w:pPr>
              <w:bidi/>
              <w:spacing w:before="0" w:after="0" w:line="288" w:lineRule="auto"/>
              <w:jc w:val="both"/>
            </w:pPr>
            <w:r>
              <w:rPr>
                <w:rFonts w:ascii="Arial" w:hAnsi="Arial" w:cs="Arial" w:eastAsia="Arial"/>
                <w:color w:val="1F2430"/>
                <w:sz w:val="19"/>
                <w:szCs w:val="19"/>
                <w:rtl/>
              </w:rPr>
              <w:t>עקרון בבלי (אין כפל מבצעים) חל גם על איזון משאבים, כפי שאישר המרצה. הכתובה נועדה להגן על אישה שאינה מקבלת רכוש, ולכן מי שקיבלה איזון לא תקבל גם את מלוא הכתובה. בפועל היא מקבלת את הגבוה מבין השניים, כלומר את ההפרש. סעיף 17 אמנם אינו גורע מזכויות הכתובה, אך אין כפל.</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332 — התשובה הנכונה: ב</w:t>
            </w:r>
          </w:p>
          <w:p>
            <w:pPr>
              <w:bidi/>
              <w:spacing w:before="0" w:after="0" w:line="288" w:lineRule="auto"/>
              <w:jc w:val="both"/>
            </w:pPr>
            <w:r>
              <w:rPr>
                <w:rFonts w:ascii="Arial" w:hAnsi="Arial" w:cs="Arial" w:eastAsia="Arial"/>
                <w:color w:val="1F2430"/>
                <w:sz w:val="19"/>
                <w:szCs w:val="19"/>
                <w:rtl/>
              </w:rPr>
              <w:t>לפי סעיף 6(א), הגוף המשלם פותח חשבון חדש על שם בן הזוג לשעבר. לפי סעיף 6(ב), הסכום הוא שיעור ההעברה כפול היתרה במועד הפירוד, בתוספת או בניכוי התשואה (אחרי דמי ניהול). לא שוברים את הקופה, ומתחלק רק החלק שנצבר בתקופה המשותפת.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333 — התשובה הנכונה: ד</w:t>
            </w:r>
          </w:p>
          <w:p>
            <w:pPr>
              <w:bidi/>
              <w:spacing w:before="0" w:after="0" w:line="288" w:lineRule="auto"/>
              <w:jc w:val="both"/>
            </w:pPr>
            <w:r>
              <w:rPr>
                <w:rFonts w:ascii="Arial" w:hAnsi="Arial" w:cs="Arial" w:eastAsia="Arial"/>
                <w:color w:val="1F2430"/>
                <w:sz w:val="19"/>
                <w:szCs w:val="19"/>
                <w:rtl/>
              </w:rPr>
              <w:t>כל מה שצומח משכר עבודה במהלך הנישואין משותף, כולל הפקדות המעביד. המחוזי רצה לפרק מיד, אך משיכה מוקדמת גוררת הפסד וניכוי של עד 35%. לכן קבע העליון שהזכויות יחולקו במועד המימוש ורק לגבי התקופה המשותפת. חוק 2014 שכלל את הפתרון בפתיחת חשבון נפרד.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334 — התשובה הנכונה: ג</w:t>
            </w:r>
          </w:p>
          <w:p>
            <w:pPr>
              <w:bidi/>
              <w:spacing w:before="0" w:after="0" w:line="288" w:lineRule="auto"/>
              <w:jc w:val="both"/>
            </w:pPr>
            <w:r>
              <w:rPr>
                <w:rFonts w:ascii="Arial" w:hAnsi="Arial" w:cs="Arial" w:eastAsia="Arial"/>
                <w:color w:val="1F2430"/>
                <w:sz w:val="19"/>
                <w:szCs w:val="19"/>
                <w:rtl/>
              </w:rPr>
              <w:t>הדירה שירש האיש היא נכס חיצוני ומוחרגת מהאיזון (סעיף 5(א)(1)), אבל בנפרד מכך הוא נתן לאישה מחצית ממנה במתנה. המתנה אינה מתבטלת אוטומטית בגירושין (ראו הלכת זיסרמן בפרק 11), ולכן התוצאה לפי מפתח שאלות החזרה של הקורס היא חצי-חצי.</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335 — התשובה הנכונה: ב</w:t>
            </w:r>
          </w:p>
          <w:p>
            <w:pPr>
              <w:bidi/>
              <w:spacing w:before="0" w:after="0" w:line="288" w:lineRule="auto"/>
              <w:jc w:val="both"/>
            </w:pPr>
            <w:r>
              <w:rPr>
                <w:rFonts w:ascii="Arial" w:hAnsi="Arial" w:cs="Arial" w:eastAsia="Arial"/>
                <w:color w:val="1F2430"/>
                <w:sz w:val="19"/>
                <w:szCs w:val="19"/>
                <w:rtl/>
              </w:rPr>
              <w:t>לפי הלכת השיתוף, דירה שנייה להשקעה אינה נכס משפחתי מובהק, ולכן השיתוף בה נדחה למועד הקריטי (הלכת שלם), ואין כאן קרע. לפי חוק יחסי ממון, לרבקה יש רק זכות אובליגטורית דחויה עד פקיעת הנישואין (סעיפים 4 ו-5). בשני המקרים הבנק מממש את הנכס שעל שם החייב.</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336 — התשובה הנכונה: א</w:t>
            </w:r>
          </w:p>
          <w:p>
            <w:pPr>
              <w:bidi/>
              <w:spacing w:before="0" w:after="0" w:line="288" w:lineRule="auto"/>
              <w:jc w:val="both"/>
            </w:pPr>
            <w:r>
              <w:rPr>
                <w:rFonts w:ascii="Arial" w:hAnsi="Arial" w:cs="Arial" w:eastAsia="Arial"/>
                <w:color w:val="1F2430"/>
                <w:sz w:val="19"/>
                <w:szCs w:val="19"/>
                <w:rtl/>
              </w:rPr>
              <w:t>בית המשפט קבע שאין בעיית סמכות (התביעה אינה בענייני נישואין וגירושין) והחיל את עוולת הרשלנות. הפיצוי ניתן רק מיום חיוב הגט עד יום הגשת התביעה (325,000 ש״ח ועוד 100,000 ש״ח פיצויים מוגברים), כדי שלא יהיה מנוף לגט. פיצוי חודשי עד מתן הגט נפסק בתיק אחר, ובית הדין הגדול (7041-21-1) ראה בו חשש לגט מעושה.</w:t>
            </w:r>
          </w:p>
        </w:tc>
      </w:tr>
    </w:tbl>
    <w:p>
      <w:pPr>
        <w:bidi/>
        <w:spacing w:after="0" w:before="0" w:line="60" w:lineRule="exact"/>
      </w:pPr>
      <w:r>
        <w:rPr>
          <w:sz w:val="2"/>
        </w:rPr>
      </w:r>
    </w:p>
    <w:p>
      <w:pPr>
        <w:bidi/>
        <w:spacing w:after="0"/>
      </w:pPr>
      <w:r>
        <w:br w:type="page"/>
      </w:r>
    </w:p>
    <w:tbl>
      <w:tblPr>
        <w:tblW w:type="dxa" w:w="10206"/>
        <w:tblLook w:firstColumn="1" w:firstRow="1" w:lastColumn="0" w:lastRow="0" w:noHBand="0" w:noVBand="1" w:val="04A0"/>
        <w:bidiVisual/>
        <w:tblLayout w:type="fixed"/>
      </w:tblPr>
      <w:tblGrid>
        <w:gridCol w:w="10206"/>
      </w:tblGrid>
      <w:tr>
        <w:tc>
          <w:tcPr>
            <w:tcW w:type="dxa" w:w="10205"/>
            <w:shd w:val="clear" w:color="auto" w:fill="2C3E70"/>
            <w:tcBorders>
              <w:top w:val="single" w:sz="4" w:space="0" w:color="2C3E70"/>
              <w:left w:val="single" w:sz="4" w:space="0" w:color="2C3E70"/>
              <w:bottom w:val="single" w:sz="4" w:space="0" w:color="2C3E70"/>
              <w:right w:val="single" w:sz="4" w:space="0" w:color="2C3E70"/>
            </w:tcBorders>
            <w:tcMar>
              <w:top w:w="200" w:type="dxa"/>
              <w:bottom w:w="200" w:type="dxa"/>
              <w:left w:w="280" w:type="dxa"/>
              <w:right w:w="280" w:type="dxa"/>
            </w:tcMar>
          </w:tcPr>
          <w:p>
            <w:pPr>
              <w:bidi/>
              <w:spacing w:before="0" w:after="0" w:line="264" w:lineRule="auto"/>
            </w:pPr>
            <w:r>
              <w:rPr>
                <w:rFonts w:ascii="Arial" w:hAnsi="Arial" w:cs="Arial" w:eastAsia="Arial"/>
                <w:b/>
                <w:bCs/>
                <w:color w:val="FFFFFF"/>
                <w:sz w:val="22"/>
                <w:szCs w:val="22"/>
                <w:rtl/>
              </w:rPr>
              <w:t>פרק 13</w:t>
            </w:r>
          </w:p>
          <w:p>
            <w:pPr>
              <w:bidi/>
              <w:spacing w:before="0" w:after="0" w:line="264" w:lineRule="auto"/>
              <w:outlineLvl w:val="0"/>
            </w:pPr>
            <w:r>
              <w:rPr>
                <w:rFonts w:ascii="Arial" w:hAnsi="Arial" w:cs="Arial" w:eastAsia="Arial"/>
                <w:b/>
                <w:bCs/>
                <w:color w:val="FFFFFF"/>
                <w:sz w:val="42"/>
                <w:szCs w:val="42"/>
                <w:rtl/>
              </w:rPr>
              <w:t>הסכמי ממון ונספח ירושה על פי דין</w:t>
            </w:r>
          </w:p>
        </w:tc>
      </w:tr>
    </w:tbl>
    <w:p>
      <w:pPr>
        <w:bidi/>
        <w:spacing w:after="0" w:before="0" w:line="2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337 </w:t>
            </w:r>
            <w:r>
              <w:rPr>
                <w:rFonts w:ascii="Arial" w:hAnsi="Arial" w:cs="Arial" w:eastAsia="Arial"/>
                <w:sz w:val="20"/>
                <w:szCs w:val="20"/>
                <w:rtl/>
              </w:rPr>
              <w:t xml:space="preserve">  </w:t>
            </w:r>
            <w:r>
              <w:rPr>
                <w:rFonts w:ascii="Arial" w:hAnsi="Arial" w:cs="Arial" w:eastAsia="Arial"/>
                <w:b/>
                <w:bCs/>
                <w:color w:val="111827"/>
                <w:sz w:val="20"/>
                <w:szCs w:val="20"/>
                <w:rtl/>
              </w:rPr>
              <w:t>בני זוג נשואים חתמו, בלי אישור, על מסמך: אם ייפרדו, יימכר הבית והתמורה תתחלק ביניהם, ואם ימות אחד מהם, יעבור הבית לנותר בחיים. לפי ההלכה שנקבעה בע״א 169/83 שי (שרעבי), מהו המבחן לשאלה אם מדובר בהסכם ממון?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מבחן ההיקף: רק הסדר כולל של כלל רכוש בני הזוג לעתיד הוא הסכם ממון</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מבחן התכלית: האם ההסכם צופה פני גירושין או פני מוות, בלי קשר למספר הנכסים</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מבחן הסכום: הסכם בנכס ששוויו עולה על מחצית רכוש בני הזוג</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מבחן הצורה: כל הסכם שנערך בכתב ונחתם בידי שני בני הזוג</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338 </w:t>
            </w:r>
            <w:r>
              <w:rPr>
                <w:rFonts w:ascii="Arial" w:hAnsi="Arial" w:cs="Arial" w:eastAsia="Arial"/>
                <w:sz w:val="20"/>
                <w:szCs w:val="20"/>
                <w:rtl/>
              </w:rPr>
              <w:t xml:space="preserve">  </w:t>
            </w:r>
            <w:r>
              <w:rPr>
                <w:rFonts w:ascii="Arial" w:hAnsi="Arial" w:cs="Arial" w:eastAsia="Arial"/>
                <w:b/>
                <w:bCs/>
                <w:color w:val="111827"/>
                <w:sz w:val="20"/>
                <w:szCs w:val="20"/>
                <w:rtl/>
              </w:rPr>
              <w:t>שרה ויוסף נישאו ב-1970. ב-1985 סיכמו בעל פה שהדירה הרשומה על שם יוסף תהיה שלו בלבד. מה הדין?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ההסכם תקף, שכן על בני זוג שנישאו לפני 1974 חלים דיני החוזים הרגילים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ההסכם תקף אם יוכח בעדים, שכן הקושי בהסכם בעל פה הוא ראייתי בלבד</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ההסכם אינו תקף, ויחול על בני הזוג הסדר איזון המשאבים</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ההסכם אינו תקף, כי סעיפים 1–2 חלים גם על מי שנישא לפני 1974 כשההסכם נערך אחריו; תחול הלכת השיתוף</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339 </w:t>
            </w:r>
            <w:r>
              <w:rPr>
                <w:rFonts w:ascii="Arial" w:hAnsi="Arial" w:cs="Arial" w:eastAsia="Arial"/>
                <w:sz w:val="20"/>
                <w:szCs w:val="20"/>
                <w:rtl/>
              </w:rPr>
              <w:t xml:space="preserve">  </w:t>
            </w:r>
            <w:r>
              <w:rPr>
                <w:rFonts w:ascii="Arial" w:hAnsi="Arial" w:cs="Arial" w:eastAsia="Arial"/>
                <w:b/>
                <w:bCs/>
                <w:color w:val="111827"/>
                <w:sz w:val="20"/>
                <w:szCs w:val="20"/>
                <w:rtl/>
              </w:rPr>
              <w:t>דנה ורון מתכננים להינשא בעוד חודש וערכו הסכם ממון. מי מוסמך לאשר אותו?</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בית המשפט לענייני משפחה, בית הדין הדתי, רושם הנישואין או נוטריון — די באחד מהם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רק בית המשפט לענייני משפחה או בית הדין הדתי</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רק נוטריון או רושם הנישואין, שכן ההסכם נכרת לפני הנישואין</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בית המשפט לענייני משפחה, בית הדין הדתי או עורך הדין שערך את ההסכם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340 </w:t>
            </w:r>
            <w:r>
              <w:rPr>
                <w:rFonts w:ascii="Arial" w:hAnsi="Arial" w:cs="Arial" w:eastAsia="Arial"/>
                <w:sz w:val="20"/>
                <w:szCs w:val="20"/>
                <w:rtl/>
              </w:rPr>
              <w:t xml:space="preserve">  </w:t>
            </w:r>
            <w:r>
              <w:rPr>
                <w:rFonts w:ascii="Arial" w:hAnsi="Arial" w:cs="Arial" w:eastAsia="Arial"/>
                <w:b/>
                <w:bCs/>
                <w:color w:val="111827"/>
                <w:sz w:val="20"/>
                <w:szCs w:val="20"/>
                <w:rtl/>
              </w:rPr>
              <w:t>שנתיים אחרי נישואיהם חתמו בני זוג על הסכם ממון ואימתו אותו אצל נוטריון, שווידא כי הבינו את משמעותו. מה תוקף ההסכם?</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תקף, שכן הנוטריון וידא הסכמה חופשית והבנה כנדרש בסעיף 2(ג1)</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תקף, אך רק לגבי נכסים שנרכשו לאחר החתימה</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אינו תקף; לאחר הנישואין רק בית המשפט לענייני משפחה או בית הדין הדתי מוסמכים לאשר</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אינו תקף, שכן הסכם ממון במהלך הנישואין טעון אישור של שתי ערכאות במצטבר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341 </w:t>
            </w:r>
            <w:r>
              <w:rPr>
                <w:rFonts w:ascii="Arial" w:hAnsi="Arial" w:cs="Arial" w:eastAsia="Arial"/>
                <w:sz w:val="20"/>
                <w:szCs w:val="20"/>
                <w:rtl/>
              </w:rPr>
              <w:t xml:space="preserve">  </w:t>
            </w:r>
            <w:r>
              <w:rPr>
                <w:rFonts w:ascii="Arial" w:hAnsi="Arial" w:cs="Arial" w:eastAsia="Arial"/>
                <w:b/>
                <w:bCs/>
                <w:color w:val="111827"/>
                <w:sz w:val="20"/>
                <w:szCs w:val="20"/>
                <w:rtl/>
              </w:rPr>
              <w:t>בעל העניק לאשתו רכב עם פתק: 'הרכב הוא רכושך הפרטי ואינו נכלל במניין הרכוש המשותף'. בגירושין טען שהרכב משותף, שכן נקנה ממשכורתו. לפי תמ״ש (ת״א) 12453/05, מה הדין?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זו מתנה רגילה שאינה טעונה אישור, ולכן הרכב של האישה</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זהו הסכם ממון שלא אושר, אך מכוח עקרון תום הלב הבעל מנוע מלטעון לבטלותו, ולכן הרכב של האישה</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זהו הסכם ממון שלא אושר ולכן בטל, והרכב יאוזן בין בני הזוג</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זהו הסכם ממון שלא אושר, ולכן הרכב חוזר לבעל שקנה אותו ממשכורתו</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342 </w:t>
            </w:r>
            <w:r>
              <w:rPr>
                <w:rFonts w:ascii="Arial" w:hAnsi="Arial" w:cs="Arial" w:eastAsia="Arial"/>
                <w:sz w:val="20"/>
                <w:szCs w:val="20"/>
                <w:rtl/>
              </w:rPr>
              <w:t xml:space="preserve">  </w:t>
            </w:r>
            <w:r>
              <w:rPr>
                <w:rFonts w:ascii="Arial" w:hAnsi="Arial" w:cs="Arial" w:eastAsia="Arial"/>
                <w:b/>
                <w:bCs/>
                <w:color w:val="111827"/>
                <w:sz w:val="20"/>
                <w:szCs w:val="20"/>
                <w:rtl/>
              </w:rPr>
              <w:t>בני זוג נישאו ב-1987 ורכשו דירה הרשומה על שם שניהם. הם חתמו, בלי אישור, שאם יסתכסכו יעברו כל הזכויות לבעל. בית הדין הרבני העביר את הדירה לבעל מכוח דיני מתנה דתיים. מה נקבע בבג״ץ 10605/02 יפה גמליאל?</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בית הדין צדק, שכן ההסכם הוא מתנה בתנאי ואינו הסכם ממון</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הדירה תתחלק חצי-חצי לפי הרישום, שכן הסכם שלא אושר בטל</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הדירה תתחלק חצי-חצי, ובית הדין חרג מסמכותו כי לא ניתן לכרוך רכוש</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אין להחיל דין דתי ברכוש, ולהסכם אין תוקף כהסכם ממון; אבל לפי סעיף 5(א)(3) הסכמה בכתב שנכס לא יאוזן תקפה גם בלי אישור, ולכן הדירה לבעל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343 </w:t>
            </w:r>
            <w:r>
              <w:rPr>
                <w:rFonts w:ascii="Arial" w:hAnsi="Arial" w:cs="Arial" w:eastAsia="Arial"/>
                <w:sz w:val="20"/>
                <w:szCs w:val="20"/>
                <w:rtl/>
              </w:rPr>
              <w:t xml:space="preserve">  </w:t>
            </w:r>
            <w:r>
              <w:rPr>
                <w:rFonts w:ascii="Arial" w:hAnsi="Arial" w:cs="Arial" w:eastAsia="Arial"/>
                <w:b/>
                <w:bCs/>
                <w:color w:val="111827"/>
                <w:sz w:val="20"/>
                <w:szCs w:val="20"/>
                <w:rtl/>
              </w:rPr>
              <w:t>מה נקבע בע״א 4/80 מונק לגבי משמעות האישור של הסכם ממון?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האישור נועד לוודא רצון חופשי בלי לחץ והבנה של התוצאות, ולכן המבקש לבטל הסכם מאושר נושא בנטל ראיה גבוה במיוחד</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האישור הוא עניין טכני, וניתן לבטל הסכם מאושר כמו כל הסכם רגיל</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האישור מקנה להסכם אוטומטית תוקף של פסק דין, שניתן לביצוע בהוצאה לפועל</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האישור נועד לבחון את הוגנות ההסכם, ושופט חייב לסרב לאשר הסכם מקפח</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344 </w:t>
            </w:r>
            <w:r>
              <w:rPr>
                <w:rFonts w:ascii="Arial" w:hAnsi="Arial" w:cs="Arial" w:eastAsia="Arial"/>
                <w:sz w:val="20"/>
                <w:szCs w:val="20"/>
                <w:rtl/>
              </w:rPr>
              <w:t xml:space="preserve">  </w:t>
            </w:r>
            <w:r>
              <w:rPr>
                <w:rFonts w:ascii="Arial" w:hAnsi="Arial" w:cs="Arial" w:eastAsia="Arial"/>
                <w:b/>
                <w:bCs/>
                <w:color w:val="111827"/>
                <w:sz w:val="20"/>
                <w:szCs w:val="20"/>
                <w:rtl/>
              </w:rPr>
              <w:t>אישה ביקשה לבטל הסכם גירושין מאושר שבו ויתרה על כל רכושה, בטענת כפייה ועושק. בע״א 5409/92 פגס נדחתה טענת העושק. מדוע?</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משום שטענת עושק אינה חלה על הסכמי ממון כלל</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משום שההסכם לא היה גרוע במידה בלתי סבירה מן המקובל</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משום שהתקיים רק התנאי האובייקטיבי (חוזה גרוע) ולא התנאי הסובייקטיבי (מצוקה): האישה, מורה למתמטיקה, לא הייתה במצוקה</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משום שהסכם שאושר בידי שופט אינו ניתן לביטול בשום עילה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345 </w:t>
            </w:r>
            <w:r>
              <w:rPr>
                <w:rFonts w:ascii="Arial" w:hAnsi="Arial" w:cs="Arial" w:eastAsia="Arial"/>
                <w:sz w:val="20"/>
                <w:szCs w:val="20"/>
                <w:rtl/>
              </w:rPr>
              <w:t xml:space="preserve">  </w:t>
            </w:r>
            <w:r>
              <w:rPr>
                <w:rFonts w:ascii="Arial" w:hAnsi="Arial" w:cs="Arial" w:eastAsia="Arial"/>
                <w:b/>
                <w:bCs/>
                <w:color w:val="111827"/>
                <w:sz w:val="20"/>
                <w:szCs w:val="20"/>
                <w:rtl/>
              </w:rPr>
              <w:t>בני זוג הגיעו להסכם בענייני רכוש ורוצים לוודא שיוכלו לאכוף אותו בהוצאה לפועל. מה נכון?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עליהם להגיש קודם תביעה, שכן אין לאשר הסכם בלי תובענה תלויה ועומדת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די באישור ההסכם בבית המשפט, שכן כל אישור הוא פסק דין</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עליהם לעבור הליך יישוב סכסוך לפני הבקשה, שכן בקשה לאישור הסכם היא תובענה</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אפשר לבקש אישור בלי להגיש תביעה, ולבקש מבית המשפט לתת להסכם תוקף של פסק דין, שרק הוא ניתן לאכיפה בהוצאה לפועל</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346 </w:t>
            </w:r>
            <w:r>
              <w:rPr>
                <w:rFonts w:ascii="Arial" w:hAnsi="Arial" w:cs="Arial" w:eastAsia="Arial"/>
                <w:sz w:val="20"/>
                <w:szCs w:val="20"/>
                <w:rtl/>
              </w:rPr>
              <w:t xml:space="preserve">  </w:t>
            </w:r>
            <w:r>
              <w:rPr>
                <w:rFonts w:ascii="Arial" w:hAnsi="Arial" w:cs="Arial" w:eastAsia="Arial"/>
                <w:b/>
                <w:bCs/>
                <w:color w:val="111827"/>
                <w:sz w:val="20"/>
                <w:szCs w:val="20"/>
                <w:rtl/>
              </w:rPr>
              <w:t>ידועים בציבור חתמו בביתם, בלי עו״ד, נוטריון או שופט, על הסכם ממון. לפי תשובת המרצה, מה תוקפו?</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תקף, שכן חוק יחסי ממון אינו חל על ידועים בציבור, ומספיק לחתום בבית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אינו תקף, שכן הסכם ממון טעון אישור לפי סעיף 2 לחוק יחסי ממון</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תקף רק אם אומת בידי נוטריון</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תקף רק לאחר שיאושר בבית המשפט לענייני משפחה לפי סעיף 3(ג)</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347 </w:t>
            </w:r>
            <w:r>
              <w:rPr>
                <w:rFonts w:ascii="Arial" w:hAnsi="Arial" w:cs="Arial" w:eastAsia="Arial"/>
                <w:sz w:val="20"/>
                <w:szCs w:val="20"/>
                <w:rtl/>
              </w:rPr>
              <w:t xml:space="preserve">  </w:t>
            </w:r>
            <w:r>
              <w:rPr>
                <w:rFonts w:ascii="Arial" w:hAnsi="Arial" w:cs="Arial" w:eastAsia="Arial"/>
                <w:b/>
                <w:bCs/>
                <w:color w:val="111827"/>
                <w:sz w:val="20"/>
                <w:szCs w:val="20"/>
                <w:rtl/>
              </w:rPr>
              <w:t>רפי ורחל, ידועים בציבור, אישרו הסכם ממון בבית המשפט. שבועיים אחר כך שינו סעיף אחד וחתמו מחדש, אך לא אישרו את השינוי. מה הדין?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השינוי בטל, שכן לפי סעיף 2(א) שינוי של הסכם ממון טעון אישור</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השינוי תקף, שכן ידועים בציבור אינם חייבים כלל באישור, והאישור המקורי ניתן למעלה מן הצורך</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ההסכם כולו בטל, שכן שינוי בלי אישור פוגע באישור המקורי</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תלוי אם השינוי צופה פני גירושין או מוות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348 </w:t>
            </w:r>
            <w:r>
              <w:rPr>
                <w:rFonts w:ascii="Arial" w:hAnsi="Arial" w:cs="Arial" w:eastAsia="Arial"/>
                <w:sz w:val="20"/>
                <w:szCs w:val="20"/>
                <w:rtl/>
              </w:rPr>
              <w:t xml:space="preserve">  </w:t>
            </w:r>
            <w:r>
              <w:rPr>
                <w:rFonts w:ascii="Arial" w:hAnsi="Arial" w:cs="Arial" w:eastAsia="Arial"/>
                <w:b/>
                <w:bCs/>
                <w:color w:val="111827"/>
                <w:sz w:val="20"/>
                <w:szCs w:val="20"/>
                <w:rtl/>
              </w:rPr>
              <w:t>לפי מבחן התכלית, איזה מהבאים הוא הסכם ממון הטעון אישור?</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בעל שמפקיד מדי חודש סכום קבוע בקופה המשותפת של בני הזוג</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בעל שמעביר לחשבון אשתו 100,000 ש״ח כדי לחזק את חסכונותיה</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הסכם שלפיו אם ייפרדו בני הזוג, הדירה שקנו תישאר בבעלות האישה בלבד</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אישה שנותנת לבעלה במתנה שעון ליום הולדתו, בלי כל התייחסות לעתיד</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349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ב-1990 רוצים שהמשכורת של כל אחד מהם תישאר שלו בלבד. מה הדרך לכך?</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רק הסכם ממון, שכן משכורת היא נכס פנימי, והפרדה בהתנהגות אינה מועילה בנכסים פנימיים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די בניהול חשבונות בנק נפרדים לאורך כל הנישואין</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די ברישום כל חשבון על שם בן הזוג שהוא בעליו</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אין צורך בדבר, שכן סעיף 5(א)(1) מוציא ממילא את המשכורות מהאיזון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350 </w:t>
            </w:r>
            <w:r>
              <w:rPr>
                <w:rFonts w:ascii="Arial" w:hAnsi="Arial" w:cs="Arial" w:eastAsia="Arial"/>
                <w:sz w:val="20"/>
                <w:szCs w:val="20"/>
                <w:rtl/>
              </w:rPr>
              <w:t xml:space="preserve">  </w:t>
            </w:r>
            <w:r>
              <w:rPr>
                <w:rFonts w:ascii="Arial" w:hAnsi="Arial" w:cs="Arial" w:eastAsia="Arial"/>
                <w:b/>
                <w:bCs/>
                <w:color w:val="111827"/>
                <w:sz w:val="20"/>
                <w:szCs w:val="20"/>
                <w:rtl/>
              </w:rPr>
              <w:t>בני זוג הביאו לאישור הסכם ממון שלפיו כל הרכוש יישאר בידי הבעל. השופט התרשם שההסכם מקפח את האישה, אבל שניהם מבינים אותו ומתעקשים. מה נכון?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השופט חייב לסרב, שכן סעיף 2(ב) מחייב לבחון את הוגנות ההסכם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השופט רשאי לאשר רק אם האישה תקבל ייעוץ משפטי עצמאי</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השופט רשאי לסרב לפי שיקול דעתו, שכן מדובר בחוק מיוחד שמוסיף על דיני החוזים</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השופט רשאי להעיר, להשהות ולהפנות לייעוץ, אבל אם השתכנע בהסכמה חופשית ובהבנה — אינו יכול לסרב לאשר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351 </w:t>
            </w:r>
            <w:r>
              <w:rPr>
                <w:rFonts w:ascii="Arial" w:hAnsi="Arial" w:cs="Arial" w:eastAsia="Arial"/>
                <w:sz w:val="20"/>
                <w:szCs w:val="20"/>
                <w:rtl/>
              </w:rPr>
              <w:t xml:space="preserve">  </w:t>
            </w:r>
            <w:r>
              <w:rPr>
                <w:rFonts w:ascii="Arial" w:hAnsi="Arial" w:cs="Arial" w:eastAsia="Arial"/>
                <w:b/>
                <w:bCs/>
                <w:color w:val="111827"/>
                <w:sz w:val="20"/>
                <w:szCs w:val="20"/>
                <w:rtl/>
              </w:rPr>
              <w:t>מה נכון לגבי אישור הסכם ממון בידי רושם הנישואין?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רושם הנישואין רשאי לאשר הסכם ממון בכל עת, כל עוד בני הזוג נשואים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רושם הנישואין רשאי לאשר הסכם שנכרת לפני הנישואין או בשעתם, אבל בפועל הסעיף כמעט אינו שמיש, ולכן הוסמך גם נוטריון בסעיף 2(ג1)</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סמכות רושם הנישואין בוטלה כשהוסמך הנוטריון</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רושם הנישואין מוסמך רק לאשר שינוי של הסכם שכבר אושר בבית המשפט</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352 </w:t>
            </w:r>
            <w:r>
              <w:rPr>
                <w:rFonts w:ascii="Arial" w:hAnsi="Arial" w:cs="Arial" w:eastAsia="Arial"/>
                <w:sz w:val="20"/>
                <w:szCs w:val="20"/>
                <w:rtl/>
              </w:rPr>
              <w:t xml:space="preserve">  </w:t>
            </w:r>
            <w:r>
              <w:rPr>
                <w:rFonts w:ascii="Arial" w:hAnsi="Arial" w:cs="Arial" w:eastAsia="Arial"/>
                <w:b/>
                <w:bCs/>
                <w:color w:val="111827"/>
                <w:sz w:val="20"/>
                <w:szCs w:val="20"/>
                <w:rtl/>
              </w:rPr>
              <w:t>בהסכם גירושין שאושר בבית הדין הרבני התחייב בעל לשלם לגרושתו מזונות כל חייה, גם מעיזבונו. מאוחר יותר כתב צוואה שהתנתה את המזונות בתנאים חדשים. מה נקבע בעז׳ 289/97 עיזבון אחירם?</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הצוואה גוברת, שכן ניתן לשנות צוואה עד יום המוות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שני המסמכים בטלים, שכן הם סותרים זה את זה</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הסכם הממון גובר: חוק יחסי ממון מאוחר לחוק הירושה ולכן מוגן מפני סעיף 8, וגם יש לעודד הסכמים יציבים בעתות משבר</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ההסכם בטל לפי סעיף 8 לחוק הירושה, ולכן הצוואה חלה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353 </w:t>
            </w:r>
            <w:r>
              <w:rPr>
                <w:rFonts w:ascii="Arial" w:hAnsi="Arial" w:cs="Arial" w:eastAsia="Arial"/>
                <w:sz w:val="20"/>
                <w:szCs w:val="20"/>
                <w:rtl/>
              </w:rPr>
              <w:t xml:space="preserve">  </w:t>
            </w:r>
            <w:r>
              <w:rPr>
                <w:rFonts w:ascii="Arial" w:hAnsi="Arial" w:cs="Arial" w:eastAsia="Arial"/>
                <w:b/>
                <w:bCs/>
                <w:color w:val="111827"/>
                <w:sz w:val="20"/>
                <w:szCs w:val="20"/>
                <w:rtl/>
              </w:rPr>
              <w:t>מנוח שנישא בשנית חתם עם אשתו על הסכם ממון שלא אושר, שלפיו לא תהיה לה זכות בדירתו. הוא נפטר בלי צוואה, והותיר ילדים מנישואיו הקודמים. מה נקבע בבע״מ 7468/11?</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האישה אינה זכאית לדבר בדירה, שכן ההסכם בכתב מכובד לפי סעיף 5(א)(3)</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האישה זכאית ל-75% מהדירה, כמו כל בת זוג</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ההסכם מהווה צוואה, ולכן הדירה עוברת לילדים</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מכוח דיני המשפחה אין לה זכות בדירה, אבל כיורשת על פי דין היא זכאית למחצית העיזבון, כולל מחצית הדירה, כי הסכם ממון שלא אושר אינו יכול לשלול ירושה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354 </w:t>
            </w:r>
            <w:r>
              <w:rPr>
                <w:rFonts w:ascii="Arial" w:hAnsi="Arial" w:cs="Arial" w:eastAsia="Arial"/>
                <w:sz w:val="20"/>
                <w:szCs w:val="20"/>
                <w:rtl/>
              </w:rPr>
              <w:t xml:space="preserve">  </w:t>
            </w:r>
            <w:r>
              <w:rPr>
                <w:rFonts w:ascii="Arial" w:hAnsi="Arial" w:cs="Arial" w:eastAsia="Arial"/>
                <w:b/>
                <w:bCs/>
                <w:color w:val="111827"/>
                <w:sz w:val="20"/>
                <w:szCs w:val="20"/>
                <w:rtl/>
              </w:rPr>
              <w:t>אלמוני חתם על הסכם שלפיו 'העט שלי תעבור לפלוני לאחר מותי'. בהסכם נפרד העניק לפלמוני מתנה שתועבר בעוד חודש. אלמוני נפטר כעבור שבועיים. מה הדין?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ההסכם בעניין העט בטל לפי סעיף 8 לחוק הירושה כי תחולתו לאחר המוות, והמתנה לפלמוני תקפה כי לא נקבעה תחולתה לאחר המוות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שתי ההתחייבויות בטלות, שכן אלמוני נפטר לפני שהועברו</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שתי ההתחייבויות תקפות, שכן נערכו בכתב ובהבנה מלאה</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ההסכם בעניין העט תקף אם נערך אצל עו״ד, והמתנה בטלה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355 </w:t>
            </w:r>
            <w:r>
              <w:rPr>
                <w:rFonts w:ascii="Arial" w:hAnsi="Arial" w:cs="Arial" w:eastAsia="Arial"/>
                <w:sz w:val="20"/>
                <w:szCs w:val="20"/>
                <w:rtl/>
              </w:rPr>
              <w:t xml:space="preserve">  </w:t>
            </w:r>
            <w:r>
              <w:rPr>
                <w:rFonts w:ascii="Arial" w:hAnsi="Arial" w:cs="Arial" w:eastAsia="Arial"/>
                <w:b/>
                <w:bCs/>
                <w:color w:val="111827"/>
                <w:sz w:val="20"/>
                <w:szCs w:val="20"/>
                <w:rtl/>
              </w:rPr>
              <w:t>הסכם ממון שאושר כדין קובע שלאחר מות הבעל דירתו תעבור לילדיו בלבד, ולאישה לא יהיה בה חלק. הבעל נפטר בלי צוואה. מה נכון?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לפי כל הגישות האישה תקבל מחצית הדירה, שכן הסכם ממון לעולם אינו צוואה</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התוצאה תלויה באסכולה: לפי אחירם ההוראה תקפה והאישה לא תקבל מהדירה; לפי האסכולה השנייה ההוראה בטלה מכוח סעיף 8 והאישה תקבל 50%</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לפי כל הגישות האישה לא תקבל דבר, שכן ההסכם אושר כדין</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ההוראה תקפה רק אם אושרה גם בבית הדין הרבני</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356 </w:t>
            </w:r>
            <w:r>
              <w:rPr>
                <w:rFonts w:ascii="Arial" w:hAnsi="Arial" w:cs="Arial" w:eastAsia="Arial"/>
                <w:sz w:val="20"/>
                <w:szCs w:val="20"/>
                <w:rtl/>
              </w:rPr>
              <w:t xml:space="preserve">  </w:t>
            </w:r>
            <w:r>
              <w:rPr>
                <w:rFonts w:ascii="Arial" w:hAnsi="Arial" w:cs="Arial" w:eastAsia="Arial"/>
                <w:b/>
                <w:bCs/>
                <w:color w:val="111827"/>
                <w:sz w:val="20"/>
                <w:szCs w:val="20"/>
                <w:rtl/>
              </w:rPr>
              <w:t>בני זוג שנישאו בנישואין אזרחיים ערכו הסכם ממון מאושר שקובע הפרדה רכושית מלאה ואינו מזכיר מזונות. בפרידה תבעה האישה מזונות. לפי מה שנלמד, מה נכון?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התביעה תידחה, שכן הסכם ממון מאושר מסדיר את כל יחסי הממון, כולל מזונות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התביעה תידחה, שכן בנישואין אזרחיים אין כל חובת מזונות</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ייתכן שתזכה במזונות מכוח החוזה המשתמע (הלכת פלונית); כדי לשלול מזונות יש לכתוב זאת במפורש בהסכם</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היא תזכה במזונות לפי הדין הדתי, שכן ההסכם אינו חל על מזונות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357 </w:t>
            </w:r>
            <w:r>
              <w:rPr>
                <w:rFonts w:ascii="Arial" w:hAnsi="Arial" w:cs="Arial" w:eastAsia="Arial"/>
                <w:sz w:val="20"/>
                <w:szCs w:val="20"/>
                <w:rtl/>
              </w:rPr>
              <w:t xml:space="preserve">  </w:t>
            </w:r>
            <w:r>
              <w:rPr>
                <w:rFonts w:ascii="Arial" w:hAnsi="Arial" w:cs="Arial" w:eastAsia="Arial"/>
                <w:b/>
                <w:bCs/>
                <w:color w:val="111827"/>
                <w:sz w:val="20"/>
                <w:szCs w:val="20"/>
                <w:rtl/>
              </w:rPr>
              <w:t>לאחר מות אביהם, שלושה אחים ביקשו לדון בחלוקת העיזבון בבית הדין הרבני. האח הרביעי מתנגד. מה הדין?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בית הדין הרבני אינו מוסמך, שכן סעיף 155 לחוק הירושה דורש הסכמה מפורשת של כל הצדדים הנוגעים בדבר</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בית הדין מוסמך, שכן רוב היורשים הסכימו</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בית הדין מוסמך, שכן ירושה היא מענייני המעמד האישי שבסימן 51</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בית הדין מוסמך אם העיזבון יחולק לפי חוק הירושה ולא לפי דין תורה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358 </w:t>
            </w:r>
            <w:r>
              <w:rPr>
                <w:rFonts w:ascii="Arial" w:hAnsi="Arial" w:cs="Arial" w:eastAsia="Arial"/>
                <w:sz w:val="20"/>
                <w:szCs w:val="20"/>
                <w:rtl/>
              </w:rPr>
              <w:t xml:space="preserve">  </w:t>
            </w:r>
            <w:r>
              <w:rPr>
                <w:rFonts w:ascii="Arial" w:hAnsi="Arial" w:cs="Arial" w:eastAsia="Arial"/>
                <w:b/>
                <w:bCs/>
                <w:color w:val="111827"/>
                <w:sz w:val="20"/>
                <w:szCs w:val="20"/>
                <w:rtl/>
              </w:rPr>
              <w:t>מוריש נפטר בלי צוואה, והותיר אישה ושני ילדים. מה חלקה של האישה בירושה לפי סעיף 11(א) לחוק הירושה?</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כל העיזבון, שכן בן הזוג קודם לילדים</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שליש מהעיזבון, בשווה עם כל אחד מהילדים</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המיטלטלין השייכים למשק הבית המשותף, כולל מכונית נוסעים, ומחצית משאר העיזבון</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שני שלישים מהעיזבון, וכל חלקו של המוריש בדירת המגורים</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359 </w:t>
            </w:r>
            <w:r>
              <w:rPr>
                <w:rFonts w:ascii="Arial" w:hAnsi="Arial" w:cs="Arial" w:eastAsia="Arial"/>
                <w:sz w:val="20"/>
                <w:szCs w:val="20"/>
                <w:rtl/>
              </w:rPr>
              <w:t xml:space="preserve">  </w:t>
            </w:r>
            <w:r>
              <w:rPr>
                <w:rFonts w:ascii="Arial" w:hAnsi="Arial" w:cs="Arial" w:eastAsia="Arial"/>
                <w:b/>
                <w:bCs/>
                <w:color w:val="111827"/>
                <w:sz w:val="20"/>
                <w:szCs w:val="20"/>
                <w:rtl/>
              </w:rPr>
              <w:t>מוריש נפטר בלי צוואה והותיר אישה, שהייתה נשואה לו חמש שנים וגרה עמו בדירה שבעיזבון, ושני אחים. אין לו ילדים או הורים. מה חלקה של האישה?</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מחצית העיזבון, כולל מחצית הדירה</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שני שלישים מהעיזבון, כולל שני שלישים מהדירה</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כל העיזבון, שכן אחים אינם יורשים כשיש בן זוג</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המיטלטלין, כל חלקו של המוריש בדירה, ושני שלישים משאר העיזבון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360 </w:t>
            </w:r>
            <w:r>
              <w:rPr>
                <w:rFonts w:ascii="Arial" w:hAnsi="Arial" w:cs="Arial" w:eastAsia="Arial"/>
                <w:sz w:val="20"/>
                <w:szCs w:val="20"/>
                <w:rtl/>
              </w:rPr>
              <w:t xml:space="preserve">  </w:t>
            </w:r>
            <w:r>
              <w:rPr>
                <w:rFonts w:ascii="Arial" w:hAnsi="Arial" w:cs="Arial" w:eastAsia="Arial"/>
                <w:b/>
                <w:bCs/>
                <w:color w:val="111827"/>
                <w:sz w:val="20"/>
                <w:szCs w:val="20"/>
                <w:rtl/>
              </w:rPr>
              <w:t>מוריש לא נשוי נפטר בלי צוואה, והותיר שלושה ילדים ואת שני הוריו. כיצד יחולק העיזבון?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בשווה בין חמשת הקרובים, חמישית לכל אחד</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שליש לכל ילד; ההורים אינם יורשים, כי ילדי המוריש קודמים להוריו (סעיף 12) וחולקים בשווה (סעיף 13)</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מחצית להורים ומחצית לילדים</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לפי דין תורה: לבכור פי שניים, והבנות אינן יורשות</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361 </w:t>
            </w:r>
            <w:r>
              <w:rPr>
                <w:rFonts w:ascii="Arial" w:hAnsi="Arial" w:cs="Arial" w:eastAsia="Arial"/>
                <w:sz w:val="20"/>
                <w:szCs w:val="20"/>
                <w:rtl/>
              </w:rPr>
              <w:t xml:space="preserve">  </w:t>
            </w:r>
            <w:r>
              <w:rPr>
                <w:rFonts w:ascii="Arial" w:hAnsi="Arial" w:cs="Arial" w:eastAsia="Arial"/>
                <w:b/>
                <w:bCs/>
                <w:color w:val="111827"/>
                <w:sz w:val="20"/>
                <w:szCs w:val="20"/>
                <w:rtl/>
              </w:rPr>
              <w:t>מוריש אלמן נפטר בלי צוואה. היו לו שני ילדים: דן, שחי, ורות, שנפטרה לפניו והותירה שני ילדים. כיצד יחולק העיזבון?</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מחצית לדן, ומחצית לשני ילדי רות בחלקים שווים (רבע לכל אחד)</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כל העיזבון לדן, שכן רות נפטרה לפני המוריש</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שליש לדן ושליש לכל אחד מילדי רות</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מחצית לדן, והמחצית השנייה למדינה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362 </w:t>
            </w:r>
            <w:r>
              <w:rPr>
                <w:rFonts w:ascii="Arial" w:hAnsi="Arial" w:cs="Arial" w:eastAsia="Arial"/>
                <w:sz w:val="20"/>
                <w:szCs w:val="20"/>
                <w:rtl/>
              </w:rPr>
              <w:t xml:space="preserve">  </w:t>
            </w:r>
            <w:r>
              <w:rPr>
                <w:rFonts w:ascii="Arial" w:hAnsi="Arial" w:cs="Arial" w:eastAsia="Arial"/>
                <w:b/>
                <w:bCs/>
                <w:color w:val="111827"/>
                <w:sz w:val="20"/>
                <w:szCs w:val="20"/>
                <w:rtl/>
              </w:rPr>
              <w:t>יעקב, שהיה נשוי על הנייר ופרוד מאשתו שנים, חי עם רחל חיי משפחה במשק בית משותף. יעקב נפטר בלי צוואה. האם רחל יורשת אותו מכוח סעיף 55 לחוק הירושה?</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כן, שכן התקיימו חיי משפחה ומשק בית משותף</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כן, אבל רק מחצית ממה שהייתה מקבלת אילו הייתה נשואה לו</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כן, אם תוכיח שהציבור הכיר בהם כבני זוג</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לא, שכן סעיף 55 דורש שבשעת המוות אף אחד מהם לא היה נשוי לאדם אחר</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363 </w:t>
            </w:r>
            <w:r>
              <w:rPr>
                <w:rFonts w:ascii="Arial" w:hAnsi="Arial" w:cs="Arial" w:eastAsia="Arial"/>
                <w:sz w:val="20"/>
                <w:szCs w:val="20"/>
                <w:rtl/>
              </w:rPr>
              <w:t xml:space="preserve">  </w:t>
            </w:r>
            <w:r>
              <w:rPr>
                <w:rFonts w:ascii="Arial" w:hAnsi="Arial" w:cs="Arial" w:eastAsia="Arial"/>
                <w:b/>
                <w:bCs/>
                <w:color w:val="111827"/>
                <w:sz w:val="20"/>
                <w:szCs w:val="20"/>
                <w:rtl/>
              </w:rPr>
              <w:t>בני זוג נשואים, בלי הסכם ממון ובלי צוואה, צברו במאמץ משותף דירה הרשומה על שם הבעל. הבעל נפטר, והותיר אישה וילדים. מה חלקה של האישה בדירה?</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50%: מחצית מכוח איזון המשאבים, והיא אינה יורשת מעבר לכך</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100%, שכן בן זוג יורש את דירת המגורים</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75%: מחצית מכוח דיני המשפחה, ועוד מחצית מהמחצית הנותרת כיורשת (סעיף 11(א)(1))</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50%, שכן הדירה רשומה על שם הבעל ולכן כולה בעיזבון</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FFFFF"/>
            <w:tcBorders>
              <w:top w:val="single" w:sz="8" w:space="0" w:color="A0A8BE"/>
              <w:left w:val="single" w:sz="8" w:space="0" w:color="A0A8BE"/>
              <w:bottom w:val="single" w:sz="8" w:space="0" w:color="A0A8BE"/>
              <w:right w:val="single" w:sz="8" w:space="0" w:color="A0A8BE"/>
            </w:tcBorders>
            <w:tcMar>
              <w:top w:w="90" w:type="dxa"/>
              <w:bottom w:w="70" w:type="dxa"/>
              <w:left w:w="160" w:type="dxa"/>
              <w:right w:w="160" w:type="dxa"/>
            </w:tcMar>
          </w:tcPr>
          <w:p>
            <w:pPr>
              <w:bidi/>
              <w:spacing w:before="0" w:after="60" w:line="288" w:lineRule="auto"/>
            </w:pPr>
            <w:r>
              <w:rPr>
                <w:rFonts w:ascii="Arial" w:hAnsi="Arial" w:cs="Arial" w:eastAsia="Arial"/>
                <w:b/>
                <w:bCs/>
                <w:color w:val="FFFFFF"/>
                <w:sz w:val="20"/>
                <w:szCs w:val="20"/>
                <w:rtl/>
                <w:shd w:val="clear" w:color="auto" w:fill="2C3E70"/>
              </w:rPr>
              <w:t xml:space="preserve"> 364 </w:t>
            </w:r>
            <w:r>
              <w:rPr>
                <w:rFonts w:ascii="Arial" w:hAnsi="Arial" w:cs="Arial" w:eastAsia="Arial"/>
                <w:sz w:val="20"/>
                <w:szCs w:val="20"/>
                <w:rtl/>
              </w:rPr>
              <w:t xml:space="preserve">  </w:t>
            </w:r>
            <w:r>
              <w:rPr>
                <w:rFonts w:ascii="Arial" w:hAnsi="Arial" w:cs="Arial" w:eastAsia="Arial"/>
                <w:b/>
                <w:bCs/>
                <w:color w:val="111827"/>
                <w:sz w:val="20"/>
                <w:szCs w:val="20"/>
                <w:rtl/>
              </w:rPr>
              <w:t>איזו טענה נכונה לגבי זכות הירושה של בן זוג לפי חוק הירושה?</w:t>
            </w:r>
          </w:p>
          <w:p>
            <w:pPr>
              <w:bidi/>
              <w:spacing w:before="0" w:after="20" w:line="276" w:lineRule="auto"/>
              <w:ind w:right="400" w:hanging="300"/>
            </w:pPr>
            <w:r>
              <w:rPr>
                <w:rFonts w:ascii="Arial" w:hAnsi="Arial" w:cs="Arial" w:eastAsia="Arial"/>
                <w:b/>
                <w:bCs/>
                <w:color w:val="2C3E70"/>
                <w:sz w:val="20"/>
                <w:szCs w:val="20"/>
                <w:rtl/>
              </w:rPr>
              <w:t xml:space="preserve">(א)  </w:t>
            </w:r>
            <w:r>
              <w:rPr>
                <w:rFonts w:ascii="Arial" w:hAnsi="Arial" w:cs="Arial" w:eastAsia="Arial"/>
                <w:color w:val="1F2430"/>
                <w:sz w:val="20"/>
                <w:szCs w:val="20"/>
                <w:rtl/>
              </w:rPr>
              <w:t>בן זוג יורש רק אם הנישואין נמשכו שלוש שנים לפחות</w:t>
            </w:r>
          </w:p>
          <w:p>
            <w:pPr>
              <w:bidi/>
              <w:spacing w:before="0" w:after="20" w:line="276" w:lineRule="auto"/>
              <w:ind w:right="400" w:hanging="300"/>
            </w:pPr>
            <w:r>
              <w:rPr>
                <w:rFonts w:ascii="Arial" w:hAnsi="Arial" w:cs="Arial" w:eastAsia="Arial"/>
                <w:b/>
                <w:bCs/>
                <w:color w:val="2C3E70"/>
                <w:sz w:val="20"/>
                <w:szCs w:val="20"/>
                <w:rtl/>
              </w:rPr>
              <w:t xml:space="preserve">(ב)  </w:t>
            </w:r>
            <w:r>
              <w:rPr>
                <w:rFonts w:ascii="Arial" w:hAnsi="Arial" w:cs="Arial" w:eastAsia="Arial"/>
                <w:color w:val="1F2430"/>
                <w:sz w:val="20"/>
                <w:szCs w:val="20"/>
                <w:rtl/>
              </w:rPr>
              <w:t>בן זוג יורש גם אם נישאו יום אחד לפני המוות, ואף אם היו בהליכי גירושין או שחויב לתת גט</w:t>
            </w:r>
          </w:p>
          <w:p>
            <w:pPr>
              <w:bidi/>
              <w:spacing w:before="0" w:after="20" w:line="276" w:lineRule="auto"/>
              <w:ind w:right="400" w:hanging="300"/>
            </w:pPr>
            <w:r>
              <w:rPr>
                <w:rFonts w:ascii="Arial" w:hAnsi="Arial" w:cs="Arial" w:eastAsia="Arial"/>
                <w:b/>
                <w:bCs/>
                <w:color w:val="2C3E70"/>
                <w:sz w:val="20"/>
                <w:szCs w:val="20"/>
                <w:rtl/>
              </w:rPr>
              <w:t xml:space="preserve">(ג)  </w:t>
            </w:r>
            <w:r>
              <w:rPr>
                <w:rFonts w:ascii="Arial" w:hAnsi="Arial" w:cs="Arial" w:eastAsia="Arial"/>
                <w:color w:val="1F2430"/>
                <w:sz w:val="20"/>
                <w:szCs w:val="20"/>
                <w:rtl/>
              </w:rPr>
              <w:t>בן זוג שהיה בפירוד מהמוריש בשעת מותו אינו יורש</w:t>
            </w:r>
          </w:p>
          <w:p>
            <w:pPr>
              <w:bidi/>
              <w:spacing w:before="0" w:after="20" w:line="276" w:lineRule="auto"/>
              <w:ind w:right="400" w:hanging="300"/>
            </w:pPr>
            <w:r>
              <w:rPr>
                <w:rFonts w:ascii="Arial" w:hAnsi="Arial" w:cs="Arial" w:eastAsia="Arial"/>
                <w:b/>
                <w:bCs/>
                <w:color w:val="2C3E70"/>
                <w:sz w:val="20"/>
                <w:szCs w:val="20"/>
                <w:rtl/>
              </w:rPr>
              <w:t xml:space="preserve">(ד)  </w:t>
            </w:r>
            <w:r>
              <w:rPr>
                <w:rFonts w:ascii="Arial" w:hAnsi="Arial" w:cs="Arial" w:eastAsia="Arial"/>
                <w:color w:val="1F2430"/>
                <w:sz w:val="20"/>
                <w:szCs w:val="20"/>
                <w:rtl/>
              </w:rPr>
              <w:t>ידוע בציבור יורש מכוח סעיף 11, שכן 'בן זוג' מתפרש בהרחבה</w:t>
            </w:r>
          </w:p>
        </w:tc>
      </w:tr>
    </w:tbl>
    <w:p>
      <w:pPr>
        <w:bidi/>
        <w:spacing w:after="0" w:before="0" w:line="10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23935A"/>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0" w:line="300" w:lineRule="auto"/>
            </w:pPr>
            <w:r>
              <w:rPr>
                <w:rFonts w:ascii="Arial" w:hAnsi="Arial" w:cs="Arial" w:eastAsia="Arial"/>
                <w:b/>
                <w:bCs/>
                <w:color w:val="FFFFFF"/>
                <w:sz w:val="26"/>
                <w:szCs w:val="26"/>
                <w:rtl/>
              </w:rPr>
              <w:t>✔ פתרונות והסברים — פרק 13</w:t>
            </w:r>
          </w:p>
        </w:tc>
      </w:tr>
    </w:tbl>
    <w:p>
      <w:pPr>
        <w:bidi/>
        <w:spacing w:after="0" w:before="0" w:line="80" w:lineRule="exact"/>
      </w:pPr>
      <w:r>
        <w:rPr>
          <w:sz w:val="2"/>
        </w:rPr>
      </w:r>
    </w:p>
    <w:p>
      <w:pPr>
        <w:bidi/>
        <w:spacing w:before="0" w:after="120" w:line="336" w:lineRule="auto"/>
      </w:pPr>
      <w:r>
        <w:rPr>
          <w:rFonts w:ascii="Arial" w:hAnsi="Arial" w:cs="Arial" w:eastAsia="Arial"/>
          <w:b/>
          <w:bCs/>
          <w:color w:val="1D6E45"/>
          <w:sz w:val="20"/>
          <w:szCs w:val="20"/>
          <w:rtl/>
        </w:rPr>
        <w:t xml:space="preserve">מפתח תשובות: </w:t>
      </w:r>
      <w:r>
        <w:rPr>
          <w:rFonts w:ascii="Arial" w:hAnsi="Arial" w:cs="Arial" w:eastAsia="Arial"/>
          <w:b/>
          <w:bCs/>
          <w:color w:val="1F2430"/>
          <w:sz w:val="20"/>
          <w:szCs w:val="20"/>
          <w:rtl/>
        </w:rPr>
        <w:t>337-ב</w:t>
      </w:r>
      <w:r>
        <w:rPr>
          <w:rFonts w:ascii="Arial" w:hAnsi="Arial" w:cs="Arial" w:eastAsia="Arial"/>
          <w:sz w:val="20"/>
          <w:szCs w:val="20"/>
          <w:rtl/>
        </w:rPr>
        <w:t xml:space="preserve">   </w:t>
      </w:r>
      <w:r>
        <w:rPr>
          <w:rFonts w:ascii="Arial" w:hAnsi="Arial" w:cs="Arial" w:eastAsia="Arial"/>
          <w:b/>
          <w:bCs/>
          <w:color w:val="1F2430"/>
          <w:sz w:val="20"/>
          <w:szCs w:val="20"/>
          <w:rtl/>
        </w:rPr>
        <w:t>338-ד</w:t>
      </w:r>
      <w:r>
        <w:rPr>
          <w:rFonts w:ascii="Arial" w:hAnsi="Arial" w:cs="Arial" w:eastAsia="Arial"/>
          <w:sz w:val="20"/>
          <w:szCs w:val="20"/>
          <w:rtl/>
        </w:rPr>
        <w:t xml:space="preserve">   </w:t>
      </w:r>
      <w:r>
        <w:rPr>
          <w:rFonts w:ascii="Arial" w:hAnsi="Arial" w:cs="Arial" w:eastAsia="Arial"/>
          <w:b/>
          <w:bCs/>
          <w:color w:val="1F2430"/>
          <w:sz w:val="20"/>
          <w:szCs w:val="20"/>
          <w:rtl/>
        </w:rPr>
        <w:t>339-א</w:t>
      </w:r>
      <w:r>
        <w:rPr>
          <w:rFonts w:ascii="Arial" w:hAnsi="Arial" w:cs="Arial" w:eastAsia="Arial"/>
          <w:sz w:val="20"/>
          <w:szCs w:val="20"/>
          <w:rtl/>
        </w:rPr>
        <w:t xml:space="preserve">   </w:t>
      </w:r>
      <w:r>
        <w:rPr>
          <w:rFonts w:ascii="Arial" w:hAnsi="Arial" w:cs="Arial" w:eastAsia="Arial"/>
          <w:b/>
          <w:bCs/>
          <w:color w:val="1F2430"/>
          <w:sz w:val="20"/>
          <w:szCs w:val="20"/>
          <w:rtl/>
        </w:rPr>
        <w:t>340-ג</w:t>
      </w:r>
      <w:r>
        <w:rPr>
          <w:rFonts w:ascii="Arial" w:hAnsi="Arial" w:cs="Arial" w:eastAsia="Arial"/>
          <w:sz w:val="20"/>
          <w:szCs w:val="20"/>
          <w:rtl/>
        </w:rPr>
        <w:t xml:space="preserve">   </w:t>
      </w:r>
      <w:r>
        <w:rPr>
          <w:rFonts w:ascii="Arial" w:hAnsi="Arial" w:cs="Arial" w:eastAsia="Arial"/>
          <w:b/>
          <w:bCs/>
          <w:color w:val="1F2430"/>
          <w:sz w:val="20"/>
          <w:szCs w:val="20"/>
          <w:rtl/>
        </w:rPr>
        <w:t>341-ב</w:t>
      </w:r>
      <w:r>
        <w:rPr>
          <w:rFonts w:ascii="Arial" w:hAnsi="Arial" w:cs="Arial" w:eastAsia="Arial"/>
          <w:sz w:val="20"/>
          <w:szCs w:val="20"/>
          <w:rtl/>
        </w:rPr>
        <w:t xml:space="preserve">   </w:t>
      </w:r>
      <w:r>
        <w:rPr>
          <w:rFonts w:ascii="Arial" w:hAnsi="Arial" w:cs="Arial" w:eastAsia="Arial"/>
          <w:b/>
          <w:bCs/>
          <w:color w:val="1F2430"/>
          <w:sz w:val="20"/>
          <w:szCs w:val="20"/>
          <w:rtl/>
        </w:rPr>
        <w:t>342-ד</w:t>
      </w:r>
      <w:r>
        <w:rPr>
          <w:rFonts w:ascii="Arial" w:hAnsi="Arial" w:cs="Arial" w:eastAsia="Arial"/>
          <w:sz w:val="20"/>
          <w:szCs w:val="20"/>
          <w:rtl/>
        </w:rPr>
        <w:t xml:space="preserve">   </w:t>
      </w:r>
      <w:r>
        <w:rPr>
          <w:rFonts w:ascii="Arial" w:hAnsi="Arial" w:cs="Arial" w:eastAsia="Arial"/>
          <w:b/>
          <w:bCs/>
          <w:color w:val="1F2430"/>
          <w:sz w:val="20"/>
          <w:szCs w:val="20"/>
          <w:rtl/>
        </w:rPr>
        <w:t>343-א</w:t>
      </w:r>
      <w:r>
        <w:rPr>
          <w:rFonts w:ascii="Arial" w:hAnsi="Arial" w:cs="Arial" w:eastAsia="Arial"/>
          <w:sz w:val="20"/>
          <w:szCs w:val="20"/>
          <w:rtl/>
        </w:rPr>
        <w:t xml:space="preserve">   </w:t>
      </w:r>
      <w:r>
        <w:rPr>
          <w:rFonts w:ascii="Arial" w:hAnsi="Arial" w:cs="Arial" w:eastAsia="Arial"/>
          <w:b/>
          <w:bCs/>
          <w:color w:val="1F2430"/>
          <w:sz w:val="20"/>
          <w:szCs w:val="20"/>
          <w:rtl/>
        </w:rPr>
        <w:t>344-ג</w:t>
      </w:r>
      <w:r>
        <w:rPr>
          <w:rFonts w:ascii="Arial" w:hAnsi="Arial" w:cs="Arial" w:eastAsia="Arial"/>
          <w:sz w:val="20"/>
          <w:szCs w:val="20"/>
          <w:rtl/>
        </w:rPr>
        <w:t xml:space="preserve">   </w:t>
      </w:r>
      <w:r>
        <w:rPr>
          <w:rFonts w:ascii="Arial" w:hAnsi="Arial" w:cs="Arial" w:eastAsia="Arial"/>
          <w:b/>
          <w:bCs/>
          <w:color w:val="1F2430"/>
          <w:sz w:val="20"/>
          <w:szCs w:val="20"/>
          <w:rtl/>
        </w:rPr>
        <w:t>345-ד</w:t>
      </w:r>
      <w:r>
        <w:rPr>
          <w:rFonts w:ascii="Arial" w:hAnsi="Arial" w:cs="Arial" w:eastAsia="Arial"/>
          <w:sz w:val="20"/>
          <w:szCs w:val="20"/>
          <w:rtl/>
        </w:rPr>
        <w:t xml:space="preserve">   </w:t>
      </w:r>
      <w:r>
        <w:rPr>
          <w:rFonts w:ascii="Arial" w:hAnsi="Arial" w:cs="Arial" w:eastAsia="Arial"/>
          <w:b/>
          <w:bCs/>
          <w:color w:val="1F2430"/>
          <w:sz w:val="20"/>
          <w:szCs w:val="20"/>
          <w:rtl/>
        </w:rPr>
        <w:t>346-א</w:t>
      </w:r>
      <w:r>
        <w:rPr>
          <w:rFonts w:ascii="Arial" w:hAnsi="Arial" w:cs="Arial" w:eastAsia="Arial"/>
          <w:sz w:val="20"/>
          <w:szCs w:val="20"/>
          <w:rtl/>
        </w:rPr>
        <w:t xml:space="preserve">   </w:t>
      </w:r>
      <w:r>
        <w:rPr>
          <w:rFonts w:ascii="Arial" w:hAnsi="Arial" w:cs="Arial" w:eastAsia="Arial"/>
          <w:b/>
          <w:bCs/>
          <w:color w:val="1F2430"/>
          <w:sz w:val="20"/>
          <w:szCs w:val="20"/>
          <w:rtl/>
        </w:rPr>
        <w:t>347-ב</w:t>
      </w:r>
      <w:r>
        <w:rPr>
          <w:rFonts w:ascii="Arial" w:hAnsi="Arial" w:cs="Arial" w:eastAsia="Arial"/>
          <w:sz w:val="20"/>
          <w:szCs w:val="20"/>
          <w:rtl/>
        </w:rPr>
        <w:t xml:space="preserve">   </w:t>
      </w:r>
      <w:r>
        <w:rPr>
          <w:rFonts w:ascii="Arial" w:hAnsi="Arial" w:cs="Arial" w:eastAsia="Arial"/>
          <w:b/>
          <w:bCs/>
          <w:color w:val="1F2430"/>
          <w:sz w:val="20"/>
          <w:szCs w:val="20"/>
          <w:rtl/>
        </w:rPr>
        <w:t>348-ג</w:t>
      </w:r>
      <w:r>
        <w:rPr>
          <w:rFonts w:ascii="Arial" w:hAnsi="Arial" w:cs="Arial" w:eastAsia="Arial"/>
          <w:sz w:val="20"/>
          <w:szCs w:val="20"/>
          <w:rtl/>
        </w:rPr>
        <w:t xml:space="preserve">   </w:t>
      </w:r>
      <w:r>
        <w:rPr>
          <w:rFonts w:ascii="Arial" w:hAnsi="Arial" w:cs="Arial" w:eastAsia="Arial"/>
          <w:b/>
          <w:bCs/>
          <w:color w:val="1F2430"/>
          <w:sz w:val="20"/>
          <w:szCs w:val="20"/>
          <w:rtl/>
        </w:rPr>
        <w:t>349-א</w:t>
      </w:r>
      <w:r>
        <w:rPr>
          <w:rFonts w:ascii="Arial" w:hAnsi="Arial" w:cs="Arial" w:eastAsia="Arial"/>
          <w:sz w:val="20"/>
          <w:szCs w:val="20"/>
          <w:rtl/>
        </w:rPr>
        <w:t xml:space="preserve">   </w:t>
      </w:r>
      <w:r>
        <w:rPr>
          <w:rFonts w:ascii="Arial" w:hAnsi="Arial" w:cs="Arial" w:eastAsia="Arial"/>
          <w:b/>
          <w:bCs/>
          <w:color w:val="1F2430"/>
          <w:sz w:val="20"/>
          <w:szCs w:val="20"/>
          <w:rtl/>
        </w:rPr>
        <w:t>350-ד</w:t>
      </w:r>
      <w:r>
        <w:rPr>
          <w:rFonts w:ascii="Arial" w:hAnsi="Arial" w:cs="Arial" w:eastAsia="Arial"/>
          <w:sz w:val="20"/>
          <w:szCs w:val="20"/>
          <w:rtl/>
        </w:rPr>
        <w:t xml:space="preserve">   </w:t>
      </w:r>
      <w:r>
        <w:rPr>
          <w:rFonts w:ascii="Arial" w:hAnsi="Arial" w:cs="Arial" w:eastAsia="Arial"/>
          <w:b/>
          <w:bCs/>
          <w:color w:val="1F2430"/>
          <w:sz w:val="20"/>
          <w:szCs w:val="20"/>
          <w:rtl/>
        </w:rPr>
        <w:t>351-ב</w:t>
      </w:r>
      <w:r>
        <w:rPr>
          <w:rFonts w:ascii="Arial" w:hAnsi="Arial" w:cs="Arial" w:eastAsia="Arial"/>
          <w:sz w:val="20"/>
          <w:szCs w:val="20"/>
          <w:rtl/>
        </w:rPr>
        <w:t xml:space="preserve">   </w:t>
      </w:r>
      <w:r>
        <w:rPr>
          <w:rFonts w:ascii="Arial" w:hAnsi="Arial" w:cs="Arial" w:eastAsia="Arial"/>
          <w:b/>
          <w:bCs/>
          <w:color w:val="1F2430"/>
          <w:sz w:val="20"/>
          <w:szCs w:val="20"/>
          <w:rtl/>
        </w:rPr>
        <w:t>352-ג</w:t>
      </w:r>
      <w:r>
        <w:rPr>
          <w:rFonts w:ascii="Arial" w:hAnsi="Arial" w:cs="Arial" w:eastAsia="Arial"/>
          <w:sz w:val="20"/>
          <w:szCs w:val="20"/>
          <w:rtl/>
        </w:rPr>
        <w:t xml:space="preserve">   </w:t>
      </w:r>
      <w:r>
        <w:rPr>
          <w:rFonts w:ascii="Arial" w:hAnsi="Arial" w:cs="Arial" w:eastAsia="Arial"/>
          <w:b/>
          <w:bCs/>
          <w:color w:val="1F2430"/>
          <w:sz w:val="20"/>
          <w:szCs w:val="20"/>
          <w:rtl/>
        </w:rPr>
        <w:t>353-ד</w:t>
      </w:r>
      <w:r>
        <w:rPr>
          <w:rFonts w:ascii="Arial" w:hAnsi="Arial" w:cs="Arial" w:eastAsia="Arial"/>
          <w:sz w:val="20"/>
          <w:szCs w:val="20"/>
          <w:rtl/>
        </w:rPr>
        <w:t xml:space="preserve">   </w:t>
      </w:r>
      <w:r>
        <w:rPr>
          <w:rFonts w:ascii="Arial" w:hAnsi="Arial" w:cs="Arial" w:eastAsia="Arial"/>
          <w:b/>
          <w:bCs/>
          <w:color w:val="1F2430"/>
          <w:sz w:val="20"/>
          <w:szCs w:val="20"/>
          <w:rtl/>
        </w:rPr>
        <w:t>354-א</w:t>
      </w:r>
      <w:r>
        <w:rPr>
          <w:rFonts w:ascii="Arial" w:hAnsi="Arial" w:cs="Arial" w:eastAsia="Arial"/>
          <w:sz w:val="20"/>
          <w:szCs w:val="20"/>
          <w:rtl/>
        </w:rPr>
        <w:t xml:space="preserve">   </w:t>
      </w:r>
      <w:r>
        <w:rPr>
          <w:rFonts w:ascii="Arial" w:hAnsi="Arial" w:cs="Arial" w:eastAsia="Arial"/>
          <w:b/>
          <w:bCs/>
          <w:color w:val="1F2430"/>
          <w:sz w:val="20"/>
          <w:szCs w:val="20"/>
          <w:rtl/>
        </w:rPr>
        <w:t>355-ב</w:t>
      </w:r>
      <w:r>
        <w:rPr>
          <w:rFonts w:ascii="Arial" w:hAnsi="Arial" w:cs="Arial" w:eastAsia="Arial"/>
          <w:sz w:val="20"/>
          <w:szCs w:val="20"/>
          <w:rtl/>
        </w:rPr>
        <w:t xml:space="preserve">   </w:t>
      </w:r>
      <w:r>
        <w:rPr>
          <w:rFonts w:ascii="Arial" w:hAnsi="Arial" w:cs="Arial" w:eastAsia="Arial"/>
          <w:b/>
          <w:bCs/>
          <w:color w:val="1F2430"/>
          <w:sz w:val="20"/>
          <w:szCs w:val="20"/>
          <w:rtl/>
        </w:rPr>
        <w:t>356-ג</w:t>
      </w:r>
      <w:r>
        <w:rPr>
          <w:rFonts w:ascii="Arial" w:hAnsi="Arial" w:cs="Arial" w:eastAsia="Arial"/>
          <w:sz w:val="20"/>
          <w:szCs w:val="20"/>
          <w:rtl/>
        </w:rPr>
        <w:t xml:space="preserve">   </w:t>
      </w:r>
      <w:r>
        <w:rPr>
          <w:rFonts w:ascii="Arial" w:hAnsi="Arial" w:cs="Arial" w:eastAsia="Arial"/>
          <w:b/>
          <w:bCs/>
          <w:color w:val="1F2430"/>
          <w:sz w:val="20"/>
          <w:szCs w:val="20"/>
          <w:rtl/>
        </w:rPr>
        <w:t>357-א</w:t>
      </w:r>
      <w:r>
        <w:rPr>
          <w:rFonts w:ascii="Arial" w:hAnsi="Arial" w:cs="Arial" w:eastAsia="Arial"/>
          <w:sz w:val="20"/>
          <w:szCs w:val="20"/>
          <w:rtl/>
        </w:rPr>
        <w:t xml:space="preserve">   </w:t>
      </w:r>
      <w:r>
        <w:rPr>
          <w:rFonts w:ascii="Arial" w:hAnsi="Arial" w:cs="Arial" w:eastAsia="Arial"/>
          <w:b/>
          <w:bCs/>
          <w:color w:val="1F2430"/>
          <w:sz w:val="20"/>
          <w:szCs w:val="20"/>
          <w:rtl/>
        </w:rPr>
        <w:t>358-ג</w:t>
      </w:r>
      <w:r>
        <w:rPr>
          <w:rFonts w:ascii="Arial" w:hAnsi="Arial" w:cs="Arial" w:eastAsia="Arial"/>
          <w:sz w:val="20"/>
          <w:szCs w:val="20"/>
          <w:rtl/>
        </w:rPr>
        <w:t xml:space="preserve">   </w:t>
      </w:r>
      <w:r>
        <w:rPr>
          <w:rFonts w:ascii="Arial" w:hAnsi="Arial" w:cs="Arial" w:eastAsia="Arial"/>
          <w:b/>
          <w:bCs/>
          <w:color w:val="1F2430"/>
          <w:sz w:val="20"/>
          <w:szCs w:val="20"/>
          <w:rtl/>
        </w:rPr>
        <w:t>359-ד</w:t>
      </w:r>
      <w:r>
        <w:rPr>
          <w:rFonts w:ascii="Arial" w:hAnsi="Arial" w:cs="Arial" w:eastAsia="Arial"/>
          <w:sz w:val="20"/>
          <w:szCs w:val="20"/>
          <w:rtl/>
        </w:rPr>
        <w:t xml:space="preserve">   </w:t>
      </w:r>
      <w:r>
        <w:rPr>
          <w:rFonts w:ascii="Arial" w:hAnsi="Arial" w:cs="Arial" w:eastAsia="Arial"/>
          <w:b/>
          <w:bCs/>
          <w:color w:val="1F2430"/>
          <w:sz w:val="20"/>
          <w:szCs w:val="20"/>
          <w:rtl/>
        </w:rPr>
        <w:t>360-ב</w:t>
      </w:r>
      <w:r>
        <w:rPr>
          <w:rFonts w:ascii="Arial" w:hAnsi="Arial" w:cs="Arial" w:eastAsia="Arial"/>
          <w:sz w:val="20"/>
          <w:szCs w:val="20"/>
          <w:rtl/>
        </w:rPr>
        <w:t xml:space="preserve">   </w:t>
      </w:r>
      <w:r>
        <w:rPr>
          <w:rFonts w:ascii="Arial" w:hAnsi="Arial" w:cs="Arial" w:eastAsia="Arial"/>
          <w:b/>
          <w:bCs/>
          <w:color w:val="1F2430"/>
          <w:sz w:val="20"/>
          <w:szCs w:val="20"/>
          <w:rtl/>
        </w:rPr>
        <w:t>361-א</w:t>
      </w:r>
      <w:r>
        <w:rPr>
          <w:rFonts w:ascii="Arial" w:hAnsi="Arial" w:cs="Arial" w:eastAsia="Arial"/>
          <w:sz w:val="20"/>
          <w:szCs w:val="20"/>
          <w:rtl/>
        </w:rPr>
        <w:t xml:space="preserve">   </w:t>
      </w:r>
      <w:r>
        <w:rPr>
          <w:rFonts w:ascii="Arial" w:hAnsi="Arial" w:cs="Arial" w:eastAsia="Arial"/>
          <w:b/>
          <w:bCs/>
          <w:color w:val="1F2430"/>
          <w:sz w:val="20"/>
          <w:szCs w:val="20"/>
          <w:rtl/>
        </w:rPr>
        <w:t>362-ד</w:t>
      </w:r>
      <w:r>
        <w:rPr>
          <w:rFonts w:ascii="Arial" w:hAnsi="Arial" w:cs="Arial" w:eastAsia="Arial"/>
          <w:sz w:val="20"/>
          <w:szCs w:val="20"/>
          <w:rtl/>
        </w:rPr>
        <w:t xml:space="preserve">   </w:t>
      </w:r>
      <w:r>
        <w:rPr>
          <w:rFonts w:ascii="Arial" w:hAnsi="Arial" w:cs="Arial" w:eastAsia="Arial"/>
          <w:b/>
          <w:bCs/>
          <w:color w:val="1F2430"/>
          <w:sz w:val="20"/>
          <w:szCs w:val="20"/>
          <w:rtl/>
        </w:rPr>
        <w:t>363-ג</w:t>
      </w:r>
      <w:r>
        <w:rPr>
          <w:rFonts w:ascii="Arial" w:hAnsi="Arial" w:cs="Arial" w:eastAsia="Arial"/>
          <w:sz w:val="20"/>
          <w:szCs w:val="20"/>
          <w:rtl/>
        </w:rPr>
        <w:t xml:space="preserve">   </w:t>
      </w:r>
      <w:r>
        <w:rPr>
          <w:rFonts w:ascii="Arial" w:hAnsi="Arial" w:cs="Arial" w:eastAsia="Arial"/>
          <w:b/>
          <w:bCs/>
          <w:color w:val="1F2430"/>
          <w:sz w:val="20"/>
          <w:szCs w:val="20"/>
          <w:rtl/>
        </w:rPr>
        <w:t>364-ב</w:t>
      </w:r>
      <w:r>
        <w:rPr>
          <w:rFonts w:ascii="Arial" w:hAnsi="Arial" w:cs="Arial" w:eastAsia="Arial"/>
          <w:sz w:val="20"/>
          <w:szCs w:val="20"/>
          <w:rtl/>
        </w:rPr>
        <w:t xml:space="preserve">   </w:t>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337 — התשובה הנכונה: ב</w:t>
            </w:r>
          </w:p>
          <w:p>
            <w:pPr>
              <w:bidi/>
              <w:spacing w:before="0" w:after="0" w:line="288" w:lineRule="auto"/>
              <w:jc w:val="both"/>
            </w:pPr>
            <w:r>
              <w:rPr>
                <w:rFonts w:ascii="Arial" w:hAnsi="Arial" w:cs="Arial" w:eastAsia="Arial"/>
                <w:color w:val="1F2430"/>
                <w:sz w:val="19"/>
                <w:szCs w:val="19"/>
                <w:rtl/>
              </w:rPr>
              <w:t>בפרשת שרעבי אימצה השופטת בן-פורת את מבחן התכלית: הסכם שצופה פני גירושין או מוות הוא הסכם ממון, גם אם הוא עוסק בנכס אחד, ובלי אישור אין לו תוקף. מבחן ההיקף הוצע באקדמיה (רוזן-צבי) ולא התקבל. לכן ההסכם בשאלה, שצופה גם סכסוך וגם מוות, הוא הסכם ממון ובטל בהיעדר אישור.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338 — התשובה הנכונה: ד</w:t>
            </w:r>
          </w:p>
          <w:p>
            <w:pPr>
              <w:bidi/>
              <w:spacing w:before="0" w:after="0" w:line="288" w:lineRule="auto"/>
              <w:jc w:val="both"/>
            </w:pPr>
            <w:r>
              <w:rPr>
                <w:rFonts w:ascii="Arial" w:hAnsi="Arial" w:cs="Arial" w:eastAsia="Arial"/>
                <w:color w:val="1F2430"/>
                <w:sz w:val="19"/>
                <w:szCs w:val="19"/>
                <w:rtl/>
              </w:rPr>
              <w:t>סעיף 14 לחוק יחסי ממון מחריג רק את הפרק השני (איזון המשאבים) ממי שנישא לפני 1974. סעיפים 1–2 חלים על כל הסכם שנערך אחרי 1974, כי מועד ההסכם הוא הקובע ולא מועד הנישואין. ההסכם צריך כתב ואישור, ובלעדיהם אינו תקף. מכיוון שנישאו לפני 1974, יחולו עליהם הלכת השיתוף ולא איזון המשאבים, ולכן תשובה 3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339 — התשובה הנכונה: א</w:t>
            </w:r>
          </w:p>
          <w:p>
            <w:pPr>
              <w:bidi/>
              <w:spacing w:before="0" w:after="0" w:line="288" w:lineRule="auto"/>
              <w:jc w:val="both"/>
            </w:pPr>
            <w:r>
              <w:rPr>
                <w:rFonts w:ascii="Arial" w:hAnsi="Arial" w:cs="Arial" w:eastAsia="Arial"/>
                <w:color w:val="1F2430"/>
                <w:sz w:val="19"/>
                <w:szCs w:val="19"/>
                <w:rtl/>
              </w:rPr>
              <w:t>לפני הנישואין או בשעת עריכתם יש ארבעה גורמים מאשרים: בית המשפט לענייני משפחה ובית הדין הדתי (סעיף 2(א)), רושם הנישואין (סעיף 2(ג)) ונוטריון (סעיף 2(ג1)). די באחד מהם. תשובה 2 מתאימה רק להסכם שנערך אחרי הנישואין. עורך דין רגיל אינו גורם מאשר.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340 — התשובה הנכונה: ג</w:t>
            </w:r>
          </w:p>
          <w:p>
            <w:pPr>
              <w:bidi/>
              <w:spacing w:before="0" w:after="0" w:line="288" w:lineRule="auto"/>
              <w:jc w:val="both"/>
            </w:pPr>
            <w:r>
              <w:rPr>
                <w:rFonts w:ascii="Arial" w:hAnsi="Arial" w:cs="Arial" w:eastAsia="Arial"/>
                <w:color w:val="1F2430"/>
                <w:sz w:val="19"/>
                <w:szCs w:val="19"/>
                <w:rtl/>
              </w:rPr>
              <w:t>סמכות הנוטריון (סעיף 2(ג1)) ורושם הנישואין (סעיף 2(ג)) מוגבלת להסכם שנכרת לפני הנישואין או בשעתם. אחרי הנישואין המצב רגיש (חשש לאלימות או סחיטה), ולכן רק בית המשפט לענייני משפחה או בית הדין הדתי מוסמכים לאשר. די באחד מהם, ולא נדרשות שתי ערכאות במצטבר.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341 — התשובה הנכונה: ב</w:t>
            </w:r>
          </w:p>
          <w:p>
            <w:pPr>
              <w:bidi/>
              <w:spacing w:before="0" w:after="0" w:line="288" w:lineRule="auto"/>
              <w:jc w:val="both"/>
            </w:pPr>
            <w:r>
              <w:rPr>
                <w:rFonts w:ascii="Arial" w:hAnsi="Arial" w:cs="Arial" w:eastAsia="Arial"/>
                <w:color w:val="1F2430"/>
                <w:sz w:val="19"/>
                <w:szCs w:val="19"/>
                <w:rtl/>
              </w:rPr>
              <w:t>המילים 'אינו נכלל במניין הרכוש המשותף' צופות פני גירושין, ולכן המתנה היא הסכם ממון (מבחן התכלית). מבחינה משפטית ההסכם בטל כי לא אושר. אולם בית המשפט החיל את חריג תום הלב והמניעות (ע״א 486/87 אבידור): חובת תום הלב מוגברת בין בני זוג, והבעל מושתק מלטעון לזכויות ברכב. תשובה 1 שגויה, כי בלי אותן מילים אכן הייתה זו מתנה רגילה, אבל כאן הן קיימות.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342 — התשובה הנכונה: ד</w:t>
            </w:r>
          </w:p>
          <w:p>
            <w:pPr>
              <w:bidi/>
              <w:spacing w:before="0" w:after="0" w:line="288" w:lineRule="auto"/>
              <w:jc w:val="both"/>
            </w:pPr>
            <w:r>
              <w:rPr>
                <w:rFonts w:ascii="Arial" w:hAnsi="Arial" w:cs="Arial" w:eastAsia="Arial"/>
                <w:color w:val="1F2430"/>
                <w:sz w:val="19"/>
                <w:szCs w:val="19"/>
                <w:rtl/>
              </w:rPr>
              <w:t>השופטת חיות קבעה שבית הדין אינו רשאי להחיל דין דתי ברכוש, ושבהיעדר אישור אין להסכם תוקף כהסכם ממון. אולם סעיף 5(א)(3) מחריג מהאיזון 'נכסים שבני הזוג הסכימו בכתב ששוויים לא יאוזן', ודורש כתב בלבד. לכן הדירה כולה לבעל, למרות הרישום בטאבו. ההסכם גובר על הרישום, והמרצה ציין שיש כאן 'בעיה' מול סעיפים 1–2.</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343 — התשובה הנכונה: א</w:t>
            </w:r>
          </w:p>
          <w:p>
            <w:pPr>
              <w:bidi/>
              <w:spacing w:before="0" w:after="0" w:line="288" w:lineRule="auto"/>
              <w:jc w:val="both"/>
            </w:pPr>
            <w:r>
              <w:rPr>
                <w:rFonts w:ascii="Arial" w:hAnsi="Arial" w:cs="Arial" w:eastAsia="Arial"/>
                <w:color w:val="1F2430"/>
                <w:sz w:val="19"/>
                <w:szCs w:val="19"/>
                <w:rtl/>
              </w:rPr>
              <w:t>במונק נקבע שחוק יחסי ממון הוא 'תוספת על דיני החוזים הכלליים': אין תוקף להסכם אלא אם הערכאה השתכנעה ברצון חופשי ובהבנת התוצאות. מכאן הובהר שהמבקש לבטל הסכם מאושר נושא בנטל ראיה גבוה במיוחד. אישור אינו בהכרח תוקף של פסק דין (סעיף 3(ג) לחוק בית המשפט לענייני משפחה מבחין ביניהם), והשופט אינו בוחן הוגנות במובן של סירוב להסכם מקפח.</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344 — התשובה הנכונה: ג</w:t>
            </w:r>
          </w:p>
          <w:p>
            <w:pPr>
              <w:bidi/>
              <w:spacing w:before="0" w:after="0" w:line="288" w:lineRule="auto"/>
              <w:jc w:val="both"/>
            </w:pPr>
            <w:r>
              <w:rPr>
                <w:rFonts w:ascii="Arial" w:hAnsi="Arial" w:cs="Arial" w:eastAsia="Arial"/>
                <w:color w:val="1F2430"/>
                <w:sz w:val="19"/>
                <w:szCs w:val="19"/>
                <w:rtl/>
              </w:rPr>
              <w:t>עושק לפי סעיף 18 לחוק החוזים דורש גם תנאי אובייקטיבי (תנאים גרועים במידה בלתי סבירה) וגם תנאי סובייקטיבי (ניצול מצוקה או חולשה). בפגס התקיים רק התנאי האובייקטיבי. נוסף לכך יש אינטרס ציבורי ביציבות ההתקשרויות. הסכם מאושר ניתן לביטול בעילות דיני החוזים, כמו כפייה לפי סעיף 17 ועושק לפי סעיף 18, אבל הנטל כבד.</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345 — התשובה הנכונה: ד</w:t>
            </w:r>
          </w:p>
          <w:p>
            <w:pPr>
              <w:bidi/>
              <w:spacing w:before="0" w:after="0" w:line="288" w:lineRule="auto"/>
              <w:jc w:val="both"/>
            </w:pPr>
            <w:r>
              <w:rPr>
                <w:rFonts w:ascii="Arial" w:hAnsi="Arial" w:cs="Arial" w:eastAsia="Arial"/>
                <w:color w:val="1F2430"/>
                <w:sz w:val="19"/>
                <w:szCs w:val="19"/>
                <w:rtl/>
              </w:rPr>
              <w:t>סעיף 3(ג) לחוק בית המשפט לענייני משפחה מאפשר אישור הסכם 'אף אם אינה תלויה ועומדת אותה שעה תובענה לגביו', ומסמיך את בית המשפט לתת להסכם תוקף של פסק דין. אישור כשלעצמו רק מקנה תוקף להסכם. רק תוקף של פסק דין מאפשר הוצאה לפועל. בקשה לאישור הסכם מוחרגת מהגדרת 'תובענה' בחוק להסדר התדיינויות, ולכן אינה מחייבת יישוב סכסוך.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346 — התשובה הנכונה: א</w:t>
            </w:r>
          </w:p>
          <w:p>
            <w:pPr>
              <w:bidi/>
              <w:spacing w:before="0" w:after="0" w:line="288" w:lineRule="auto"/>
              <w:jc w:val="both"/>
            </w:pPr>
            <w:r>
              <w:rPr>
                <w:rFonts w:ascii="Arial" w:hAnsi="Arial" w:cs="Arial" w:eastAsia="Arial"/>
                <w:color w:val="1F2430"/>
                <w:sz w:val="19"/>
                <w:szCs w:val="19"/>
                <w:rtl/>
              </w:rPr>
              <w:t>'בני זוג' בחוק יחסי ממון פורש כנשואים בלבד, ולכן ההסכם בין ידועים בציבור כפוף לדיני החוזים הרגילים. לשאלה זו השיב המרצה: 'מספיק לחתום בבית'. סעיף 3(ג) לחוק בית המשפט לענייני משפחה מאפשר להם לאשר את ההסכם אם ירצו, אבל אינו מחייב זאת.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347 — התשובה הנכונה: ב</w:t>
            </w:r>
          </w:p>
          <w:p>
            <w:pPr>
              <w:bidi/>
              <w:spacing w:before="0" w:after="0" w:line="288" w:lineRule="auto"/>
              <w:jc w:val="both"/>
            </w:pPr>
            <w:r>
              <w:rPr>
                <w:rFonts w:ascii="Arial" w:hAnsi="Arial" w:cs="Arial" w:eastAsia="Arial"/>
                <w:color w:val="1F2430"/>
                <w:sz w:val="19"/>
                <w:szCs w:val="19"/>
                <w:rtl/>
              </w:rPr>
              <w:t>חוק יחסי ממון, ובכלל זה הדרישה לאשר שינוי בסעיף 2(א), אינו חל על ידועים בציבור. ההסכם ביניהם תקף לפי דיני החוזים גם בלי אישור, ולכן גם השינוי תקף. מבחן התכלית (תשובה 4) רלוונטי לבני זוג נשואים.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348 — התשובה הנכונה: ג</w:t>
            </w:r>
          </w:p>
          <w:p>
            <w:pPr>
              <w:bidi/>
              <w:spacing w:before="0" w:after="0" w:line="288" w:lineRule="auto"/>
              <w:jc w:val="both"/>
            </w:pPr>
            <w:r>
              <w:rPr>
                <w:rFonts w:ascii="Arial" w:hAnsi="Arial" w:cs="Arial" w:eastAsia="Arial"/>
                <w:color w:val="1F2430"/>
                <w:sz w:val="19"/>
                <w:szCs w:val="19"/>
                <w:rtl/>
              </w:rPr>
              <w:t>לפי שרעבי, הסכם ממון הוא הסכם שצופה פני גירושין או מוות. רק תשובה 3 מתייחסת במפורש לפרידה. הפקדה חודשית לקופה משותפת, העברה כספית חד פעמית ומתנה בלי התייחסות לעתיד אינן צופות פני גירושין או מוות, ולכן אינן טעונות אישור.</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349 — התשובה הנכונה: א</w:t>
            </w:r>
          </w:p>
          <w:p>
            <w:pPr>
              <w:bidi/>
              <w:spacing w:before="0" w:after="0" w:line="288" w:lineRule="auto"/>
              <w:jc w:val="both"/>
            </w:pPr>
            <w:r>
              <w:rPr>
                <w:rFonts w:ascii="Arial" w:hAnsi="Arial" w:cs="Arial" w:eastAsia="Arial"/>
                <w:color w:val="1F2430"/>
                <w:sz w:val="19"/>
                <w:szCs w:val="19"/>
                <w:rtl/>
              </w:rPr>
              <w:t>משכורת (וכן כושר השתכרות) היא נכס פנימי. אפשר להוציא נכס פנימי רק בהסכם מפורש, כלומר בהסכם ממון. התנהגות של הפרדה, כמו חשבונות נפרדים או רישום, מועילה לכל היותר בנכסים חיצוניים. סעיף 5(א)(1) מוציא מהאיזון רק נכסים מלפני הנישואין, מתנות וירושות, ולא משכורות.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350 — התשובה הנכונה: ד</w:t>
            </w:r>
          </w:p>
          <w:p>
            <w:pPr>
              <w:bidi/>
              <w:spacing w:before="0" w:after="0" w:line="288" w:lineRule="auto"/>
              <w:jc w:val="both"/>
            </w:pPr>
            <w:r>
              <w:rPr>
                <w:rFonts w:ascii="Arial" w:hAnsi="Arial" w:cs="Arial" w:eastAsia="Arial"/>
                <w:color w:val="1F2430"/>
                <w:sz w:val="19"/>
                <w:szCs w:val="19"/>
                <w:rtl/>
              </w:rPr>
              <w:t>סעיף 2(ב) מתנה את האישור בהסכמה חופשית ובהבנת המשמעות והתוצאות, לא בהוגנות. בפועל שופטים מעירים שההסכם מקפח, ושולחים את הצדדים לחשוב שוב או להתייעץ. אבל אם בני הזוג חוזרים ומתעקשים, השופט אינו יכול לסרב, שהרי אולי חתונתם תלויה בכך.</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351 — התשובה הנכונה: ב</w:t>
            </w:r>
          </w:p>
          <w:p>
            <w:pPr>
              <w:bidi/>
              <w:spacing w:before="0" w:after="0" w:line="288" w:lineRule="auto"/>
              <w:jc w:val="both"/>
            </w:pPr>
            <w:r>
              <w:rPr>
                <w:rFonts w:ascii="Arial" w:hAnsi="Arial" w:cs="Arial" w:eastAsia="Arial"/>
                <w:color w:val="1F2430"/>
                <w:sz w:val="19"/>
                <w:szCs w:val="19"/>
                <w:rtl/>
              </w:rPr>
              <w:t>סעיף 2(ג) מאפשר לרושם הנישואין (בפועל, הרבנות) לאמת הסכם שנכרת לפני הנישואין או בשעתם. במציאות רוב הרבנויות מפנות לבית המשפט. בהצעת החוק נכתב שרושמי הנישואין אינם עושים את מלאכתם, ולכן הוסף סעיף 2(ג1) שמסמיך נוטריון. סמכות הרושם לא בוטלה.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352 — התשובה הנכונה: ג</w:t>
            </w:r>
          </w:p>
          <w:p>
            <w:pPr>
              <w:bidi/>
              <w:spacing w:before="0" w:after="0" w:line="288" w:lineRule="auto"/>
              <w:jc w:val="both"/>
            </w:pPr>
            <w:r>
              <w:rPr>
                <w:rFonts w:ascii="Arial" w:hAnsi="Arial" w:cs="Arial" w:eastAsia="Arial"/>
                <w:color w:val="1F2430"/>
                <w:sz w:val="19"/>
                <w:szCs w:val="19"/>
                <w:rtl/>
              </w:rPr>
              <w:t>באחירם נקבע שהסכם גירושין שהוא הסכם ממון (סעיף 2(ד)) גובר על צוואה מאוחרת. שלושה טעמים: חוק יחסי ממון (1973) מאוחר לחוק הירושה (1965); מדיניות של עידוד הסכמים יציבים שאינם 'נזילים'; וסעיף 104 לחוק הירושה עם הסיפא של סעיף 11(ג). תשובה 4 משקפת את האסכולה השנייה, שבה אחירם אינו מחזיק.</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353 — התשובה הנכונה: ד</w:t>
            </w:r>
          </w:p>
          <w:p>
            <w:pPr>
              <w:bidi/>
              <w:spacing w:before="0" w:after="0" w:line="288" w:lineRule="auto"/>
              <w:jc w:val="both"/>
            </w:pPr>
            <w:r>
              <w:rPr>
                <w:rFonts w:ascii="Arial" w:hAnsi="Arial" w:cs="Arial" w:eastAsia="Arial"/>
                <w:color w:val="1F2430"/>
                <w:sz w:val="19"/>
                <w:szCs w:val="19"/>
                <w:rtl/>
              </w:rPr>
              <w:t>בית המשפט הפריד בין שני שלבים. בשלב דיני המשפחה, סעיף 5(א)(3) מכבד את ההסכמה בכתב, ולכן לאישה אין זכות בדירה מכוח החיים המשותפים. בשלב הירושה ההסכם אינו צוואה, והפסיקה שמאפשרת להסכם ממון לגבור על חוק הירושה חלה רק על הסכם מאושר. לכן היא יורשת מחצית העיזבון לפי סעיף 11. המחוזי הוסיף שהסכם ממון אינו יכול להדיר יורש. 75% מתקבל רק כשהדירה גם משותפת מכוח דיני המשפחה.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354 — התשובה הנכונה: א</w:t>
            </w:r>
          </w:p>
          <w:p>
            <w:pPr>
              <w:bidi/>
              <w:spacing w:before="0" w:after="0" w:line="288" w:lineRule="auto"/>
              <w:jc w:val="both"/>
            </w:pPr>
            <w:r>
              <w:rPr>
                <w:rFonts w:ascii="Arial" w:hAnsi="Arial" w:cs="Arial" w:eastAsia="Arial"/>
                <w:color w:val="1F2430"/>
                <w:sz w:val="19"/>
                <w:szCs w:val="19"/>
                <w:rtl/>
              </w:rPr>
              <w:t>סעיף 8 לחוק הירושה מבטל הסכמים ומתנות שתחולתם לאחר המוות, אלא אם נעשו בצוואה. זאת כדי להגן על הנותן ולאפשר לו לחזור בו עד יום מותו. ההסכם בטל גם אם נערך אצל עו״ד ובהבנה מלאה. מתנה שתינתן 'בעוד חודש' תקפה גם אם הנותן נפטר בינתיים, כי לא נקבע שתחולתה לאחר המוות.</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355 — התשובה הנכונה: ב</w:t>
            </w:r>
          </w:p>
          <w:p>
            <w:pPr>
              <w:bidi/>
              <w:spacing w:before="0" w:after="0" w:line="288" w:lineRule="auto"/>
              <w:jc w:val="both"/>
            </w:pPr>
            <w:r>
              <w:rPr>
                <w:rFonts w:ascii="Arial" w:hAnsi="Arial" w:cs="Arial" w:eastAsia="Arial"/>
                <w:color w:val="1F2430"/>
                <w:sz w:val="19"/>
                <w:szCs w:val="19"/>
                <w:rtl/>
              </w:rPr>
              <w:t>כשההסכם לא אושר, כל הגישות מסכימות שאין לו תוקף לאחר המוות. כשהוא אושר, התוצאה תלויה באסכולה. לפי אחירם, הסכם ממון רשאי לכלול הוראות הורשתיות, והן תקפות. לפי האסכולה השנייה, שהמחוזי אימץ בפרשת 7468/11, סעיף 8 מבטל כל הוראה שתחולתה לאחר המוות, והאישה יורשת כדין.</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356 — התשובה הנכונה: ג</w:t>
            </w:r>
          </w:p>
          <w:p>
            <w:pPr>
              <w:bidi/>
              <w:spacing w:before="0" w:after="0" w:line="288" w:lineRule="auto"/>
              <w:jc w:val="both"/>
            </w:pPr>
            <w:r>
              <w:rPr>
                <w:rFonts w:ascii="Arial" w:hAnsi="Arial" w:cs="Arial" w:eastAsia="Arial"/>
                <w:color w:val="1F2430"/>
                <w:sz w:val="19"/>
                <w:szCs w:val="19"/>
                <w:rtl/>
              </w:rPr>
              <w:t>לפי הלכת פלונית (ברק), בין בני זוג בנישואין אזרחיים קיים חוזה משתמע שממנו נגזרת חובת מזונות. הדרך לצאת ממנו היא הסכם ממון מאושר שמתייחס למזונות במפורש. לפי מה שנלמד, עורכי דין נוטים להסתפק בהפרדה רכושית, וזה אינו מספיק. מזונות לפי דין דתי אינם רלוונטיים לנישואין אזרחיים (ראו פרק 8).</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357 — התשובה הנכונה: א</w:t>
            </w:r>
          </w:p>
          <w:p>
            <w:pPr>
              <w:bidi/>
              <w:spacing w:before="0" w:after="0" w:line="288" w:lineRule="auto"/>
              <w:jc w:val="both"/>
            </w:pPr>
            <w:r>
              <w:rPr>
                <w:rFonts w:ascii="Arial" w:hAnsi="Arial" w:cs="Arial" w:eastAsia="Arial"/>
                <w:color w:val="1F2430"/>
                <w:sz w:val="19"/>
                <w:szCs w:val="19"/>
                <w:rtl/>
              </w:rPr>
              <w:t>לפי סעיף 155 לחוק הירושה, כפי שנלמד, בית דין דתי דן בירושה רק אם כל הצדדים הנוגעים בדבר הסכימו במפורש. די בהתנגדות של יורש אחד. חוק הירושה הוציא את הירושה מענייני המעמד האישי, ולכן תשובה 3 שגויה. (הערה: לפי המרצה, ענייני ירושה 'לא נספיק' בקורס.)</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358 — התשובה הנכונה: ג</w:t>
            </w:r>
          </w:p>
          <w:p>
            <w:pPr>
              <w:bidi/>
              <w:spacing w:before="0" w:after="0" w:line="288" w:lineRule="auto"/>
              <w:jc w:val="both"/>
            </w:pPr>
            <w:r>
              <w:rPr>
                <w:rFonts w:ascii="Arial" w:hAnsi="Arial" w:cs="Arial" w:eastAsia="Arial"/>
                <w:color w:val="1F2430"/>
                <w:sz w:val="19"/>
                <w:szCs w:val="19"/>
                <w:rtl/>
              </w:rPr>
              <w:t>לפי סעיף 11(א), בן הזוג נוטל את המיטלטלין של משק הבית המשותף, כולל מכונית נוסעים. משאר העיזבון הוא נוטל מחצית אם המוריש הניח ילדים, צאצאיהם או הורים (סעיף 11(א)(1)). שני שלישים, וההטבה בעניין הדירה, חלים רק כשהמוריש הניח אחים, צאצאיהם או הורי הורים (סעיף 11(א)(2)).</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359 — התשובה הנכונה: ד</w:t>
            </w:r>
          </w:p>
          <w:p>
            <w:pPr>
              <w:bidi/>
              <w:spacing w:before="0" w:after="0" w:line="288" w:lineRule="auto"/>
              <w:jc w:val="both"/>
            </w:pPr>
            <w:r>
              <w:rPr>
                <w:rFonts w:ascii="Arial" w:hAnsi="Arial" w:cs="Arial" w:eastAsia="Arial"/>
                <w:color w:val="1F2430"/>
                <w:sz w:val="19"/>
                <w:szCs w:val="19"/>
                <w:rtl/>
              </w:rPr>
              <w:t>כשהמוריש הניח אחים (ולא ילדים או הורים) חל סעיף 11(א)(2): בן הזוג נוטל שני שלישים. ואם היה נשוי לו שלוש שנים או יותר וגר עמו בדירה שבעיזבון, הוא נוטל את כל חלקו של המוריש בדירה, ושני שלישים מהנותר. הכול עובר לבן הזוג (סעיף 11(ב)) רק כשאין קרובים מהמנויים, ולכן תשובה 3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360 — התשובה הנכונה: ב</w:t>
            </w:r>
          </w:p>
          <w:p>
            <w:pPr>
              <w:bidi/>
              <w:spacing w:before="0" w:after="0" w:line="288" w:lineRule="auto"/>
              <w:jc w:val="both"/>
            </w:pPr>
            <w:r>
              <w:rPr>
                <w:rFonts w:ascii="Arial" w:hAnsi="Arial" w:cs="Arial" w:eastAsia="Arial"/>
                <w:color w:val="1F2430"/>
                <w:sz w:val="19"/>
                <w:szCs w:val="19"/>
                <w:rtl/>
              </w:rPr>
              <w:t>סעיף 12 קובע סדר עדיפות: ילדים קודמים להורים, והורים קודמים להורי ההורים. הקרובים אינם 'גוש' שמתחלק יחד, ולא עוברים למעגל הבא לפני שמיצו את הקודם. סעיף 13 קובע חלוקה שווה בתוך המעגל. חוק הירושה הוא דין אזרחי שוויוני, ולכן החלוקה לפי דין תורה אינה חלה.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361 — התשובה הנכונה: א</w:t>
            </w:r>
          </w:p>
          <w:p>
            <w:pPr>
              <w:bidi/>
              <w:spacing w:before="0" w:after="0" w:line="288" w:lineRule="auto"/>
              <w:jc w:val="both"/>
            </w:pPr>
            <w:r>
              <w:rPr>
                <w:rFonts w:ascii="Arial" w:hAnsi="Arial" w:cs="Arial" w:eastAsia="Arial"/>
                <w:color w:val="1F2430"/>
                <w:sz w:val="19"/>
                <w:szCs w:val="19"/>
                <w:rtl/>
              </w:rPr>
              <w:t>לפי סעיף 14 (חליפיו של יורש), ילד של המוריש שמת לפניו והשאיר ילדים — ילדיו יורשים במקומו וחולקים ביניהם בשווה את מה שירשו. לכן ילדי רות נכנסים בנעליה וחולקים את מחציתה. הם אינם יורשים כל אחד בנפרד כמו ילד של המוריש. המדינה יורשת רק כשאין כלל יורשים.</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362 — התשובה הנכונה: ד</w:t>
            </w:r>
          </w:p>
          <w:p>
            <w:pPr>
              <w:bidi/>
              <w:spacing w:before="0" w:after="0" w:line="288" w:lineRule="auto"/>
              <w:jc w:val="both"/>
            </w:pPr>
            <w:r>
              <w:rPr>
                <w:rFonts w:ascii="Arial" w:hAnsi="Arial" w:cs="Arial" w:eastAsia="Arial"/>
                <w:color w:val="1F2430"/>
                <w:sz w:val="19"/>
                <w:szCs w:val="19"/>
                <w:rtl/>
              </w:rPr>
              <w:t>סעיף 55 ('מעין צוואה') מקנה לידוע בציבור את מה שהיה מקבל אילו היו נשואים, אבל בתנאי שבשעת המוות אף אחד מהם לא היה נשוי לאדם אחר. המחוקק מגן כאן על בן הזוג 'על הנייר'. לכן, למרות שהתקיימו חיי משפחה ומשק בית משותף, רחל אינה יורשת מכוח סעיף 55.</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363 — התשובה הנכונה: ג</w:t>
            </w:r>
          </w:p>
          <w:p>
            <w:pPr>
              <w:bidi/>
              <w:spacing w:before="0" w:after="0" w:line="288" w:lineRule="auto"/>
              <w:jc w:val="both"/>
            </w:pPr>
            <w:r>
              <w:rPr>
                <w:rFonts w:ascii="Arial" w:hAnsi="Arial" w:cs="Arial" w:eastAsia="Arial"/>
                <w:color w:val="1F2430"/>
                <w:sz w:val="19"/>
                <w:szCs w:val="19"/>
                <w:rtl/>
              </w:rPr>
              <w:t>במוות יש שני שלבים: קודם דיני המשפחה (איזון או שיתוף), ואז הירושה. בן הזוג 'מופיע פעמיים': מקבל מחצית מכוח דיני המשפחה, ומהמחצית שבעיזבון יורש מחצית, כי יש ילדים. סך הכול 75%. הרישום אינו קובע את זכויות בן הזוג בדיני המשפחה, ולכן תשובה 4 שגויה.</w:t>
            </w:r>
          </w:p>
        </w:tc>
      </w:tr>
    </w:tbl>
    <w:p>
      <w:pPr>
        <w:bidi/>
        <w:spacing w:after="0" w:before="0" w:line="60" w:lineRule="exact"/>
      </w:pPr>
      <w:r>
        <w:rPr>
          <w:sz w:val="2"/>
        </w:rPr>
      </w:r>
    </w:p>
    <w:tbl>
      <w:tblPr>
        <w:tblW w:type="dxa" w:w="10206"/>
        <w:tblLook w:firstColumn="1" w:firstRow="1" w:lastColumn="0" w:lastRow="0" w:noHBand="0" w:noVBand="1" w:val="04A0"/>
        <w:bidiVisual/>
        <w:tblLayout w:type="fixed"/>
      </w:tblPr>
      <w:tblGrid>
        <w:gridCol w:w="10206"/>
      </w:tblGrid>
      <w:tr>
        <w:trPr>
          <w:cantSplit/>
        </w:trPr>
        <w:tc>
          <w:tcPr>
            <w:tcW w:type="dxa" w:w="10205"/>
            <w:shd w:val="clear" w:color="auto" w:fill="F1FAF4"/>
            <w:tcBorders>
              <w:top w:val="single" w:sz="8" w:space="0" w:color="23935A"/>
              <w:left w:val="single" w:sz="8" w:space="0" w:color="23935A"/>
              <w:bottom w:val="single" w:sz="8" w:space="0" w:color="23935A"/>
              <w:right w:val="single" w:sz="8" w:space="0" w:color="23935A"/>
            </w:tcBorders>
            <w:tcMar>
              <w:top w:w="90" w:type="dxa"/>
              <w:bottom w:w="70" w:type="dxa"/>
              <w:left w:w="160" w:type="dxa"/>
              <w:right w:w="160" w:type="dxa"/>
            </w:tcMar>
          </w:tcPr>
          <w:p>
            <w:pPr>
              <w:bidi/>
              <w:spacing w:before="0" w:after="20" w:line="288" w:lineRule="auto"/>
            </w:pPr>
            <w:r>
              <w:rPr>
                <w:rFonts w:ascii="Arial" w:hAnsi="Arial" w:cs="Arial" w:eastAsia="Arial"/>
                <w:b/>
                <w:bCs/>
                <w:color w:val="1D6E45"/>
                <w:sz w:val="20"/>
                <w:szCs w:val="20"/>
                <w:rtl/>
              </w:rPr>
              <w:t>שאלה 364 — התשובה הנכונה: ב</w:t>
            </w:r>
          </w:p>
          <w:p>
            <w:pPr>
              <w:bidi/>
              <w:spacing w:before="0" w:after="0" w:line="288" w:lineRule="auto"/>
              <w:jc w:val="both"/>
            </w:pPr>
            <w:r>
              <w:rPr>
                <w:rFonts w:ascii="Arial" w:hAnsi="Arial" w:cs="Arial" w:eastAsia="Arial"/>
                <w:color w:val="1F2430"/>
                <w:sz w:val="19"/>
                <w:szCs w:val="19"/>
                <w:rtl/>
              </w:rPr>
              <w:t>זכות הירושה של בן זוג אינה תלויה במאמץ משותף או בהתנהגות. הוא יורש גם אחרי יום נישואין אחד, וגם בפירוד, בהליכי גירושין או כשחויב בגט. דרישת שלוש השנים חלה רק על ההטבה בעניין הדירה בסעיף 11(א)(2). 'בן זוג' בסעיף 11 הוא נשוי בלבד, וידוע בציבור יורש מכוח סעיף 55.</w:t>
            </w:r>
          </w:p>
        </w:tc>
      </w:tr>
    </w:tbl>
    <w:p>
      <w:pPr>
        <w:bidi/>
        <w:spacing w:after="0" w:before="0" w:line="60" w:lineRule="exact"/>
      </w:pPr>
      <w:r>
        <w:rPr>
          <w:sz w:val="2"/>
        </w:rPr>
      </w:r>
    </w:p>
    <w:sectPr w:rsidR="00FC693F" w:rsidRPr="0006063C" w:rsidSect="00034616">
      <w:footerReference w:type="first" r:id="rId9"/>
      <w:headerReference w:type="first" r:id="rId10"/>
      <w:footerReference w:type="default" r:id="rId11"/>
      <w:headerReference w:type="default" r:id="rId12"/>
      <w:pgSz w:w="11906" w:h="16838"/>
      <w:pgMar w:top="907" w:right="850" w:bottom="907" w:left="850" w:header="397" w:footer="397"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eastAsia="Arial"/>
        <w:b/>
        <w:bCs/>
        <w:color w:val="0F766E"/>
        <w:sz w:val="17"/>
        <w:szCs w:val="17"/>
        <w:rtl/>
      </w:rPr>
      <w:t>הוכן ע״י אילן פרץ</w:t>
    </w:r>
    <w:r>
      <w:rPr>
        <w:rFonts w:ascii="Arial" w:hAnsi="Arial" w:cs="Arial" w:eastAsia="Arial"/>
        <w:color w:val="6B7280"/>
        <w:sz w:val="17"/>
        <w:szCs w:val="17"/>
        <w:rtl/>
      </w:rPr>
      <w:t xml:space="preserve">   ·   דיני משפחה · שאלות אמריקאיות פתורות   ·   עמוד </w:t>
    </w:r>
    <w:r>
      <w:rPr>
        <w:rFonts w:ascii="Arial" w:hAnsi="Arial" w:cs="Arial" w:eastAsia="Arial"/>
        <w:color w:val="6B7280"/>
        <w:sz w:val="17"/>
        <w:szCs w:val="17"/>
        <w:rtl/>
      </w:rPr>
      <w:fldChar w:fldCharType="begin"/>
    </w:r>
    <w:r>
      <w:rPr>
        <w:rFonts w:ascii="Arial" w:hAnsi="Arial" w:cs="Arial" w:eastAsia="Arial"/>
        <w:color w:val="6B7280"/>
        <w:sz w:val="17"/>
        <w:szCs w:val="17"/>
        <w:rtl/>
      </w:rPr>
      <w:instrText xml:space="preserve">PAGE</w:instrText>
    </w:r>
    <w:r>
      <w:rPr>
        <w:rFonts w:ascii="Arial" w:hAnsi="Arial" w:cs="Arial" w:eastAsia="Arial"/>
        <w:color w:val="6B7280"/>
        <w:sz w:val="17"/>
        <w:szCs w:val="17"/>
        <w:rtl/>
      </w:rPr>
      <w:fldChar w:fldCharType="separate"/>
    </w:r>
    <w:r>
      <w:rPr>
        <w:rFonts w:ascii="Arial" w:hAnsi="Arial" w:cs="Arial" w:eastAsia="Arial"/>
        <w:color w:val="6B7280"/>
        <w:sz w:val="17"/>
        <w:szCs w:val="17"/>
        <w:rtl/>
      </w:rPr>
      <w:t>1</w:t>
    </w:r>
    <w:r>
      <w:rPr>
        <w:rFonts w:ascii="Arial" w:hAnsi="Arial" w:cs="Arial" w:eastAsia="Arial"/>
        <w:color w:val="6B7280"/>
        <w:sz w:val="17"/>
        <w:szCs w:val="17"/>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Bdr>
        <w:bottom w:val="single" w:sz="18" w:space="1" w:color="0F766E"/>
      </w:pBdr>
    </w:pPr>
    <w:r>
      <w:rPr>
        <w:rFonts w:ascii="Arial" w:hAnsi="Arial" w:cs="Arial" w:eastAsia="Arial"/>
        <w:color w:val="9CA3AF"/>
        <w:sz w:val="16"/>
        <w:szCs w:val="16"/>
        <w:rtl/>
      </w:rPr>
      <w:t>דיני משפחה · שאלות אמריקאיות פתורות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1"/>
      <w:rtl/>
      <w:lang w:val="he-IL"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דיני משפחה — שאלות אמריקאיות פתורות</dc:title>
  <dc:subject/>
  <dc:creator>אילן פרץ</dc:creator>
  <cp:keywords/>
  <dc:description>generated by python-docx</dc:description>
  <cp:lastModifiedBy/>
  <cp:revision>1</cp:revision>
  <dcterms:created xsi:type="dcterms:W3CDTF">2013-12-23T23:15:00Z</dcterms:created>
  <dcterms:modified xsi:type="dcterms:W3CDTF">2013-12-23T23:15:00Z</dcterms:modified>
  <cp:category/>
</cp:coreProperties>
</file>