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0" w:line="280" w:lineRule="exact"/>
      </w:pPr>
      <w:r>
        <w:rPr>
          <w:sz w:val="2"/>
        </w:rPr>
      </w:r>
    </w:p>
    <w:p>
      <w:pPr>
        <w:bidi/>
        <w:spacing w:after="0" w:before="0" w:line="280" w:lineRule="exact"/>
      </w:pPr>
      <w:r>
        <w:rPr>
          <w:sz w:val="2"/>
        </w:rPr>
      </w:r>
    </w:p>
    <w:p>
      <w:pPr>
        <w:bidi/>
        <w:spacing w:after="0" w:before="0" w:line="28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1E3A8A"/>
            <w:tcBorders>
              <w:top w:val="single" w:sz="4" w:space="0" w:color="6D28D9"/>
              <w:left w:val="single" w:sz="4" w:space="0" w:color="6D28D9"/>
              <w:bottom w:val="single" w:sz="4" w:space="0" w:color="6D28D9"/>
              <w:right w:val="single" w:sz="4" w:space="0" w:color="6D28D9"/>
            </w:tcBorders>
            <w:tcMar>
              <w:top w:w="500" w:type="dxa"/>
              <w:bottom w:w="500" w:type="dxa"/>
              <w:left w:w="450" w:type="dxa"/>
              <w:right w:w="450" w:type="dxa"/>
            </w:tcMar>
          </w:tcPr>
          <w:p>
            <w:pPr>
              <w:bidi/>
              <w:spacing w:before="0" w:after="200" w:line="300" w:lineRule="auto"/>
            </w:pPr>
            <w:r>
              <w:rPr>
                <w:rFonts w:ascii="Arial" w:hAnsi="Arial" w:cs="Arial" w:eastAsia="Arial"/>
                <w:b/>
                <w:bCs/>
                <w:color w:val="FFE9A8"/>
                <w:sz w:val="24"/>
                <w:szCs w:val="24"/>
                <w:rtl/>
              </w:rPr>
              <w:t>חוברת 1 · סיכום מלא</w:t>
            </w:r>
          </w:p>
          <w:p>
            <w:pPr>
              <w:bidi/>
              <w:spacing w:before="0" w:after="40" w:line="240" w:lineRule="auto"/>
            </w:pPr>
            <w:r>
              <w:rPr>
                <w:rFonts w:ascii="Arial" w:hAnsi="Arial" w:cs="Arial" w:eastAsia="Arial"/>
                <w:b/>
                <w:bCs/>
                <w:color w:val="FFFFFF"/>
                <w:sz w:val="88"/>
                <w:szCs w:val="88"/>
                <w:rtl/>
              </w:rPr>
              <w:t>דיני משפחה</w:t>
            </w:r>
          </w:p>
          <w:p>
            <w:pPr>
              <w:bidi/>
              <w:spacing w:before="0" w:after="280" w:line="264" w:lineRule="auto"/>
            </w:pPr>
            <w:r>
              <w:rPr>
                <w:rFonts w:ascii="Arial" w:hAnsi="Arial" w:cs="Arial" w:eastAsia="Arial"/>
                <w:b/>
                <w:bCs/>
                <w:color w:val="FFE9A8"/>
                <w:sz w:val="48"/>
                <w:szCs w:val="48"/>
                <w:rtl/>
              </w:rPr>
              <w:t>הסיכום המקיף</w:t>
            </w:r>
          </w:p>
          <w:p>
            <w:pPr>
              <w:bidi/>
              <w:spacing w:before="0" w:after="320" w:line="312" w:lineRule="auto"/>
            </w:pPr>
            <w:r>
              <w:rPr>
                <w:rFonts w:ascii="Arial" w:hAnsi="Arial" w:cs="Arial" w:eastAsia="Arial"/>
                <w:color w:val="FFFFFF"/>
                <w:sz w:val="26"/>
                <w:szCs w:val="26"/>
                <w:rtl/>
              </w:rPr>
              <w:t>כל חומר הקורס במקום אחד — מסודר, מוסבר לעומק, עם פסקי דין, סעיפי חוק, טבלאות השוואה וטיפים למבחן</w:t>
            </w:r>
          </w:p>
          <w:p>
            <w:pPr>
              <w:bidi/>
              <w:spacing w:before="0" w:after="40" w:line="300" w:lineRule="auto"/>
            </w:pPr>
            <w:r>
              <w:rPr>
                <w:rFonts w:ascii="Arial" w:hAnsi="Arial" w:cs="Arial" w:eastAsia="Arial"/>
                <w:color w:val="E5E7EB"/>
                <w:sz w:val="22"/>
                <w:szCs w:val="22"/>
                <w:rtl/>
              </w:rPr>
              <w:t>13 פרקים</w:t>
            </w:r>
          </w:p>
        </w:tc>
      </w:tr>
    </w:tbl>
    <w:p>
      <w:pPr>
        <w:bidi/>
        <w:spacing w:after="0" w:before="0" w:line="60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F3F4F6"/>
            <w:tcBorders>
              <w:top w:val="single" w:sz="6" w:space="0" w:color="1E3A8A"/>
              <w:left w:val="single" w:sz="6" w:space="0" w:color="1E3A8A"/>
              <w:bottom w:val="single" w:sz="6" w:space="0" w:color="1E3A8A"/>
              <w:right w:val="single" w:sz="6" w:space="0" w:color="1E3A8A"/>
            </w:tcBorders>
            <w:tcMar>
              <w:top w:w="220" w:type="dxa"/>
              <w:bottom w:w="220" w:type="dxa"/>
              <w:left w:w="300" w:type="dxa"/>
              <w:right w:w="300" w:type="dxa"/>
            </w:tcMar>
          </w:tcPr>
          <w:p>
            <w:pPr>
              <w:bidi/>
              <w:spacing w:before="0" w:after="0" w:line="300" w:lineRule="auto"/>
            </w:pPr>
            <w:r>
              <w:rPr>
                <w:rFonts w:ascii="Arial" w:hAnsi="Arial" w:cs="Arial" w:eastAsia="Arial"/>
                <w:color w:val="6B7280"/>
                <w:sz w:val="22"/>
                <w:szCs w:val="22"/>
                <w:rtl/>
              </w:rPr>
              <w:t>הוכן ונערך ע״י</w:t>
            </w:r>
          </w:p>
          <w:p>
            <w:pPr>
              <w:bidi/>
              <w:spacing w:before="0" w:after="0" w:line="300" w:lineRule="auto"/>
            </w:pPr>
            <w:r>
              <w:rPr>
                <w:rFonts w:ascii="Arial" w:hAnsi="Arial" w:cs="Arial" w:eastAsia="Arial"/>
                <w:b/>
                <w:bCs/>
                <w:color w:val="1E3A8A"/>
                <w:sz w:val="52"/>
                <w:szCs w:val="52"/>
                <w:rtl/>
              </w:rPr>
              <w:t>אילן פרץ</w:t>
            </w:r>
          </w:p>
        </w:tc>
      </w:tr>
    </w:tbl>
    <w:p>
      <w:pPr>
        <w:bidi/>
      </w:pPr>
      <w:r>
        <w:br w:type="page"/>
      </w:r>
    </w:p>
    <w:p>
      <w:pPr>
        <w:bidi/>
        <w:spacing w:before="0" w:after="40" w:line="300" w:lineRule="auto"/>
      </w:pPr>
      <w:r>
        <w:rPr>
          <w:rFonts w:ascii="Arial" w:hAnsi="Arial" w:cs="Arial" w:eastAsia="Arial"/>
          <w:b/>
          <w:bCs/>
          <w:color w:val="1E2A4A"/>
          <w:sz w:val="48"/>
          <w:szCs w:val="48"/>
          <w:rtl/>
        </w:rPr>
        <w:t>תוכן העניינים</w:t>
      </w:r>
    </w:p>
    <w:p>
      <w:pPr>
        <w:bidi/>
        <w:spacing w:before="0" w:after="240" w:line="300" w:lineRule="auto"/>
      </w:pPr>
      <w:r>
        <w:rPr>
          <w:rFonts w:ascii="Arial" w:hAnsi="Arial" w:cs="Arial" w:eastAsia="Arial"/>
          <w:color w:val="6B7280"/>
          <w:sz w:val="22"/>
          <w:szCs w:val="22"/>
          <w:rtl/>
        </w:rPr>
        <w:t>סיכום מקיף של כל חומר הקורס, פרק אחר פרק</w:t>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1E4FA3"/>
            <w:tcBorders>
              <w:top w:val="single" w:sz="4" w:space="0" w:color="1E4FA3"/>
              <w:left w:val="single" w:sz="4" w:space="0" w:color="1E4FA3"/>
              <w:bottom w:val="single" w:sz="4" w:space="0" w:color="1E4FA3"/>
              <w:right w:val="single" w:sz="4" w:space="0" w:color="1E4FA3"/>
            </w:tcBorders>
          </w:tcPr>
          <w:p>
            <w:pPr>
              <w:bidi/>
              <w:spacing w:before="0" w:after="0" w:line="300" w:lineRule="auto"/>
              <w:jc w:val="center"/>
            </w:pPr>
            <w:r>
              <w:rPr>
                <w:rFonts w:ascii="Arial" w:hAnsi="Arial" w:cs="Arial" w:eastAsia="Arial"/>
                <w:b/>
                <w:bCs/>
                <w:color w:val="FFFFFF"/>
                <w:sz w:val="24"/>
                <w:szCs w:val="24"/>
                <w:rtl/>
              </w:rPr>
              <w:t>1</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מבוא – מערכת השיפוט הכפולה בדיני המשפחה</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0F7C7A"/>
            <w:tcBorders>
              <w:top w:val="single" w:sz="4" w:space="0" w:color="0F7C7A"/>
              <w:left w:val="single" w:sz="4" w:space="0" w:color="0F7C7A"/>
              <w:bottom w:val="single" w:sz="4" w:space="0" w:color="0F7C7A"/>
              <w:right w:val="single" w:sz="4" w:space="0" w:color="0F7C7A"/>
            </w:tcBorders>
          </w:tcPr>
          <w:p>
            <w:pPr>
              <w:bidi/>
              <w:spacing w:before="0" w:after="0" w:line="300" w:lineRule="auto"/>
              <w:jc w:val="center"/>
            </w:pPr>
            <w:r>
              <w:rPr>
                <w:rFonts w:ascii="Arial" w:hAnsi="Arial" w:cs="Arial" w:eastAsia="Arial"/>
                <w:b/>
                <w:bCs/>
                <w:color w:val="FFFFFF"/>
                <w:sz w:val="24"/>
                <w:szCs w:val="24"/>
                <w:rtl/>
              </w:rPr>
              <w:t>2</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הסמכות הייחודית של בית הדין הרבני</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6B3FA0"/>
            <w:tcBorders>
              <w:top w:val="single" w:sz="4" w:space="0" w:color="6B3FA0"/>
              <w:left w:val="single" w:sz="4" w:space="0" w:color="6B3FA0"/>
              <w:bottom w:val="single" w:sz="4" w:space="0" w:color="6B3FA0"/>
              <w:right w:val="single" w:sz="4" w:space="0" w:color="6B3FA0"/>
            </w:tcBorders>
          </w:tcPr>
          <w:p>
            <w:pPr>
              <w:bidi/>
              <w:spacing w:before="0" w:after="0" w:line="300" w:lineRule="auto"/>
              <w:jc w:val="center"/>
            </w:pPr>
            <w:r>
              <w:rPr>
                <w:rFonts w:ascii="Arial" w:hAnsi="Arial" w:cs="Arial" w:eastAsia="Arial"/>
                <w:b/>
                <w:bCs/>
                <w:color w:val="FFFFFF"/>
                <w:sz w:val="24"/>
                <w:szCs w:val="24"/>
                <w:rtl/>
              </w:rPr>
              <w:t>3</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כריכה ומירוץ סמכויות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B5304A"/>
            <w:tcBorders>
              <w:top w:val="single" w:sz="4" w:space="0" w:color="B5304A"/>
              <w:left w:val="single" w:sz="4" w:space="0" w:color="B5304A"/>
              <w:bottom w:val="single" w:sz="4" w:space="0" w:color="B5304A"/>
              <w:right w:val="single" w:sz="4" w:space="0" w:color="B5304A"/>
            </w:tcBorders>
          </w:tcPr>
          <w:p>
            <w:pPr>
              <w:bidi/>
              <w:spacing w:before="0" w:after="0" w:line="300" w:lineRule="auto"/>
              <w:jc w:val="center"/>
            </w:pPr>
            <w:r>
              <w:rPr>
                <w:rFonts w:ascii="Arial" w:hAnsi="Arial" w:cs="Arial" w:eastAsia="Arial"/>
                <w:b/>
                <w:bCs/>
                <w:color w:val="FFFFFF"/>
                <w:sz w:val="24"/>
                <w:szCs w:val="24"/>
                <w:rtl/>
              </w:rPr>
              <w:t>4</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סמכות נמשכת, סמכות בהסכמה (סעיף 9), בוררות בבתי הדין ומעמדו העצמאי של הקטין</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C25A12"/>
            <w:tcBorders>
              <w:top w:val="single" w:sz="4" w:space="0" w:color="C25A12"/>
              <w:left w:val="single" w:sz="4" w:space="0" w:color="C25A12"/>
              <w:bottom w:val="single" w:sz="4" w:space="0" w:color="C25A12"/>
              <w:right w:val="single" w:sz="4" w:space="0" w:color="C25A12"/>
            </w:tcBorders>
          </w:tcPr>
          <w:p>
            <w:pPr>
              <w:bidi/>
              <w:spacing w:before="0" w:after="0" w:line="300" w:lineRule="auto"/>
              <w:jc w:val="center"/>
            </w:pPr>
            <w:r>
              <w:rPr>
                <w:rFonts w:ascii="Arial" w:hAnsi="Arial" w:cs="Arial" w:eastAsia="Arial"/>
                <w:b/>
                <w:bCs/>
                <w:color w:val="FFFFFF"/>
                <w:sz w:val="24"/>
                <w:szCs w:val="24"/>
                <w:rtl/>
              </w:rPr>
              <w:t>5</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בית המשפט לענייני משפחה והליך יישוב הסכסוך</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2E7D4F"/>
            <w:tcBorders>
              <w:top w:val="single" w:sz="4" w:space="0" w:color="2E7D4F"/>
              <w:left w:val="single" w:sz="4" w:space="0" w:color="2E7D4F"/>
              <w:bottom w:val="single" w:sz="4" w:space="0" w:color="2E7D4F"/>
              <w:right w:val="single" w:sz="4" w:space="0" w:color="2E7D4F"/>
            </w:tcBorders>
          </w:tcPr>
          <w:p>
            <w:pPr>
              <w:bidi/>
              <w:spacing w:before="0" w:after="0" w:line="300" w:lineRule="auto"/>
              <w:jc w:val="center"/>
            </w:pPr>
            <w:r>
              <w:rPr>
                <w:rFonts w:ascii="Arial" w:hAnsi="Arial" w:cs="Arial" w:eastAsia="Arial"/>
                <w:b/>
                <w:bCs/>
                <w:color w:val="FFFFFF"/>
                <w:sz w:val="24"/>
                <w:szCs w:val="24"/>
                <w:rtl/>
              </w:rPr>
              <w:t>6</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מזונות אישה – הדין המהותי</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3949AB"/>
            <w:tcBorders>
              <w:top w:val="single" w:sz="4" w:space="0" w:color="3949AB"/>
              <w:left w:val="single" w:sz="4" w:space="0" w:color="3949AB"/>
              <w:bottom w:val="single" w:sz="4" w:space="0" w:color="3949AB"/>
              <w:right w:val="single" w:sz="4" w:space="0" w:color="3949AB"/>
            </w:tcBorders>
          </w:tcPr>
          <w:p>
            <w:pPr>
              <w:bidi/>
              <w:spacing w:before="0" w:after="0" w:line="300" w:lineRule="auto"/>
              <w:jc w:val="center"/>
            </w:pPr>
            <w:r>
              <w:rPr>
                <w:rFonts w:ascii="Arial" w:hAnsi="Arial" w:cs="Arial" w:eastAsia="Arial"/>
                <w:b/>
                <w:bCs/>
                <w:color w:val="FFFFFF"/>
                <w:sz w:val="24"/>
                <w:szCs w:val="24"/>
                <w:rtl/>
              </w:rPr>
              <w:t>7</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נישואין בדין הדתי ובעיות הכשרות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9C2F7E"/>
            <w:tcBorders>
              <w:top w:val="single" w:sz="4" w:space="0" w:color="9C2F7E"/>
              <w:left w:val="single" w:sz="4" w:space="0" w:color="9C2F7E"/>
              <w:bottom w:val="single" w:sz="4" w:space="0" w:color="9C2F7E"/>
              <w:right w:val="single" w:sz="4" w:space="0" w:color="9C2F7E"/>
            </w:tcBorders>
          </w:tcPr>
          <w:p>
            <w:pPr>
              <w:bidi/>
              <w:spacing w:before="0" w:after="0" w:line="300" w:lineRule="auto"/>
              <w:jc w:val="center"/>
            </w:pPr>
            <w:r>
              <w:rPr>
                <w:rFonts w:ascii="Arial" w:hAnsi="Arial" w:cs="Arial" w:eastAsia="Arial"/>
                <w:b/>
                <w:bCs/>
                <w:color w:val="FFFFFF"/>
                <w:sz w:val="24"/>
                <w:szCs w:val="24"/>
                <w:rtl/>
              </w:rPr>
              <w:t>8</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נישואין פרטיים ונישואין אזרחיים – תוקפם והתרתם</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9A6B00"/>
            <w:tcBorders>
              <w:top w:val="single" w:sz="4" w:space="0" w:color="9A6B00"/>
              <w:left w:val="single" w:sz="4" w:space="0" w:color="9A6B00"/>
              <w:bottom w:val="single" w:sz="4" w:space="0" w:color="9A6B00"/>
              <w:right w:val="single" w:sz="4" w:space="0" w:color="9A6B00"/>
            </w:tcBorders>
          </w:tcPr>
          <w:p>
            <w:pPr>
              <w:bidi/>
              <w:spacing w:before="0" w:after="0" w:line="300" w:lineRule="auto"/>
              <w:jc w:val="center"/>
            </w:pPr>
            <w:r>
              <w:rPr>
                <w:rFonts w:ascii="Arial" w:hAnsi="Arial" w:cs="Arial" w:eastAsia="Arial"/>
                <w:b/>
                <w:bCs/>
                <w:color w:val="FFFFFF"/>
                <w:sz w:val="24"/>
                <w:szCs w:val="24"/>
                <w:rtl/>
              </w:rPr>
              <w:t>9</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רישום נישואין ועריכת נישואין וגירושין</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0B7FA0"/>
            <w:tcBorders>
              <w:top w:val="single" w:sz="4" w:space="0" w:color="0B7FA0"/>
              <w:left w:val="single" w:sz="4" w:space="0" w:color="0B7FA0"/>
              <w:bottom w:val="single" w:sz="4" w:space="0" w:color="0B7FA0"/>
              <w:right w:val="single" w:sz="4" w:space="0" w:color="0B7FA0"/>
            </w:tcBorders>
          </w:tcPr>
          <w:p>
            <w:pPr>
              <w:bidi/>
              <w:spacing w:before="0" w:after="0" w:line="300" w:lineRule="auto"/>
              <w:jc w:val="center"/>
            </w:pPr>
            <w:r>
              <w:rPr>
                <w:rFonts w:ascii="Arial" w:hAnsi="Arial" w:cs="Arial" w:eastAsia="Arial"/>
                <w:b/>
                <w:bCs/>
                <w:color w:val="FFFFFF"/>
                <w:sz w:val="24"/>
                <w:szCs w:val="24"/>
                <w:rtl/>
              </w:rPr>
              <w:t>10</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מזונות ילדים ומשמורת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B83227"/>
            <w:tcBorders>
              <w:top w:val="single" w:sz="4" w:space="0" w:color="B83227"/>
              <w:left w:val="single" w:sz="4" w:space="0" w:color="B83227"/>
              <w:bottom w:val="single" w:sz="4" w:space="0" w:color="B83227"/>
              <w:right w:val="single" w:sz="4" w:space="0" w:color="B83227"/>
            </w:tcBorders>
          </w:tcPr>
          <w:p>
            <w:pPr>
              <w:bidi/>
              <w:spacing w:before="0" w:after="0" w:line="300" w:lineRule="auto"/>
              <w:jc w:val="center"/>
            </w:pPr>
            <w:r>
              <w:rPr>
                <w:rFonts w:ascii="Arial" w:hAnsi="Arial" w:cs="Arial" w:eastAsia="Arial"/>
                <w:b/>
                <w:bCs/>
                <w:color w:val="FFFFFF"/>
                <w:sz w:val="24"/>
                <w:szCs w:val="24"/>
                <w:rtl/>
              </w:rPr>
              <w:t>11</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הלכת השיתוף</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55741A"/>
            <w:tcBorders>
              <w:top w:val="single" w:sz="4" w:space="0" w:color="55741A"/>
              <w:left w:val="single" w:sz="4" w:space="0" w:color="55741A"/>
              <w:bottom w:val="single" w:sz="4" w:space="0" w:color="55741A"/>
              <w:right w:val="single" w:sz="4" w:space="0" w:color="55741A"/>
            </w:tcBorders>
          </w:tcPr>
          <w:p>
            <w:pPr>
              <w:bidi/>
              <w:spacing w:before="0" w:after="0" w:line="300" w:lineRule="auto"/>
              <w:jc w:val="center"/>
            </w:pPr>
            <w:r>
              <w:rPr>
                <w:rFonts w:ascii="Arial" w:hAnsi="Arial" w:cs="Arial" w:eastAsia="Arial"/>
                <w:b/>
                <w:bCs/>
                <w:color w:val="FFFFFF"/>
                <w:sz w:val="24"/>
                <w:szCs w:val="24"/>
                <w:rtl/>
              </w:rPr>
              <w:t>12</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חוק יחסי ממון ואיזון משאבים</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2C3E70"/>
            <w:tcBorders>
              <w:top w:val="single" w:sz="4" w:space="0" w:color="2C3E70"/>
              <w:left w:val="single" w:sz="4" w:space="0" w:color="2C3E70"/>
              <w:bottom w:val="single" w:sz="4" w:space="0" w:color="2C3E70"/>
              <w:right w:val="single" w:sz="4" w:space="0" w:color="2C3E70"/>
            </w:tcBorders>
          </w:tcPr>
          <w:p>
            <w:pPr>
              <w:bidi/>
              <w:spacing w:before="0" w:after="0" w:line="300" w:lineRule="auto"/>
              <w:jc w:val="center"/>
            </w:pPr>
            <w:r>
              <w:rPr>
                <w:rFonts w:ascii="Arial" w:hAnsi="Arial" w:cs="Arial" w:eastAsia="Arial"/>
                <w:b/>
                <w:bCs/>
                <w:color w:val="FFFFFF"/>
                <w:sz w:val="24"/>
                <w:szCs w:val="24"/>
                <w:rtl/>
              </w:rPr>
              <w:t>13</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הסכמי ממון ונספח ירושה על פי דין</w:t>
            </w:r>
          </w:p>
        </w:tc>
      </w:tr>
    </w:tbl>
    <w:p>
      <w:pPr>
        <w:bidi/>
        <w:spacing w:after="0" w:before="0" w:line="80" w:lineRule="exact"/>
      </w:pPr>
      <w:r>
        <w:rPr>
          <w:sz w:val="2"/>
        </w:rPr>
      </w:r>
    </w:p>
    <w:p>
      <w:pPr>
        <w:bidi/>
        <w:spacing w:after="0" w:before="0" w:line="200" w:lineRule="exact"/>
      </w:pPr>
      <w:r>
        <w:rPr>
          <w:sz w:val="2"/>
        </w:rPr>
      </w:r>
    </w:p>
    <w:p>
      <w:pPr>
        <w:bidi/>
        <w:spacing w:before="0" w:after="80" w:line="300" w:lineRule="auto"/>
      </w:pPr>
      <w:r>
        <w:rPr>
          <w:rFonts w:ascii="Arial" w:hAnsi="Arial" w:cs="Arial" w:eastAsia="Arial"/>
          <w:b/>
          <w:bCs/>
          <w:color w:val="1F2430"/>
          <w:sz w:val="21"/>
          <w:szCs w:val="21"/>
          <w:rtl/>
        </w:rPr>
        <w:t>מקרא התיבות הצבעוניות:</w:t>
      </w:r>
    </w:p>
    <w:p>
      <w:pPr>
        <w:bidi/>
        <w:spacing w:before="0" w:after="80" w:line="300" w:lineRule="auto"/>
      </w:pPr>
      <w:r>
        <w:rPr>
          <w:rFonts w:ascii="Arial" w:hAnsi="Arial" w:cs="Arial" w:eastAsia="Arial"/>
          <w:b/>
          <w:bCs/>
          <w:color w:val="2F6FD6"/>
          <w:sz w:val="20"/>
          <w:szCs w:val="20"/>
          <w:rtl/>
        </w:rPr>
        <w:t xml:space="preserve"> ✦ הגדרה </w:t>
      </w:r>
      <w:r>
        <w:rPr>
          <w:rFonts w:ascii="Arial" w:hAnsi="Arial" w:cs="Arial" w:eastAsia="Arial"/>
          <w:sz w:val="20"/>
          <w:szCs w:val="20"/>
          <w:rtl/>
        </w:rPr>
        <w:t xml:space="preserve">   </w:t>
      </w:r>
      <w:r>
        <w:rPr>
          <w:rFonts w:ascii="Arial" w:hAnsi="Arial" w:cs="Arial" w:eastAsia="Arial"/>
          <w:b/>
          <w:bCs/>
          <w:color w:val="7B4FD0"/>
          <w:sz w:val="20"/>
          <w:szCs w:val="20"/>
          <w:rtl/>
        </w:rPr>
        <w:t xml:space="preserve"> § לשון החוק </w:t>
      </w:r>
      <w:r>
        <w:rPr>
          <w:rFonts w:ascii="Arial" w:hAnsi="Arial" w:cs="Arial" w:eastAsia="Arial"/>
          <w:sz w:val="20"/>
          <w:szCs w:val="20"/>
          <w:rtl/>
        </w:rPr>
        <w:t xml:space="preserve">   </w:t>
      </w:r>
      <w:r>
        <w:rPr>
          <w:rFonts w:ascii="Arial" w:hAnsi="Arial" w:cs="Arial" w:eastAsia="Arial"/>
          <w:b/>
          <w:bCs/>
          <w:color w:val="23935A"/>
          <w:sz w:val="20"/>
          <w:szCs w:val="20"/>
          <w:rtl/>
        </w:rPr>
        <w:t xml:space="preserve"> ⚖ פסק דין </w:t>
      </w:r>
      <w:r>
        <w:rPr>
          <w:rFonts w:ascii="Arial" w:hAnsi="Arial" w:cs="Arial" w:eastAsia="Arial"/>
          <w:sz w:val="20"/>
          <w:szCs w:val="20"/>
          <w:rtl/>
        </w:rPr>
        <w:t xml:space="preserve">   </w:t>
      </w:r>
      <w:r>
        <w:rPr>
          <w:rFonts w:ascii="Arial" w:hAnsi="Arial" w:cs="Arial" w:eastAsia="Arial"/>
          <w:b/>
          <w:bCs/>
          <w:color w:val="D99400"/>
          <w:sz w:val="20"/>
          <w:szCs w:val="20"/>
          <w:rtl/>
        </w:rPr>
        <w:t xml:space="preserve"> ★ טיפ למבחן </w:t>
      </w:r>
      <w:r>
        <w:rPr>
          <w:rFonts w:ascii="Arial" w:hAnsi="Arial" w:cs="Arial" w:eastAsia="Arial"/>
          <w:sz w:val="20"/>
          <w:szCs w:val="20"/>
          <w:rtl/>
        </w:rPr>
        <w:t xml:space="preserve">   </w:t>
      </w:r>
      <w:r>
        <w:rPr>
          <w:rFonts w:ascii="Arial" w:hAnsi="Arial" w:cs="Arial" w:eastAsia="Arial"/>
          <w:b/>
          <w:bCs/>
          <w:color w:val="D64545"/>
          <w:sz w:val="20"/>
          <w:szCs w:val="20"/>
          <w:rtl/>
        </w:rPr>
        <w:t xml:space="preserve"> ! שים לב! </w:t>
      </w:r>
      <w:r>
        <w:rPr>
          <w:rFonts w:ascii="Arial" w:hAnsi="Arial" w:cs="Arial" w:eastAsia="Arial"/>
          <w:sz w:val="20"/>
          <w:szCs w:val="20"/>
          <w:rtl/>
        </w:rPr>
        <w:t xml:space="preserve">   </w:t>
      </w:r>
      <w:r>
        <w:rPr>
          <w:rFonts w:ascii="Arial" w:hAnsi="Arial" w:cs="Arial" w:eastAsia="Arial"/>
          <w:b/>
          <w:bCs/>
          <w:color w:val="178F8F"/>
          <w:sz w:val="20"/>
          <w:szCs w:val="20"/>
          <w:rtl/>
        </w:rPr>
        <w:t xml:space="preserve"> ✎ דוגמה </w:t>
      </w:r>
      <w:r>
        <w:rPr>
          <w:rFonts w:ascii="Arial" w:hAnsi="Arial" w:cs="Arial" w:eastAsia="Arial"/>
          <w:sz w:val="20"/>
          <w:szCs w:val="20"/>
          <w:rtl/>
        </w:rPr>
        <w:t xml:space="preserve">   </w:t>
      </w:r>
      <w:r>
        <w:rPr>
          <w:rFonts w:ascii="Arial" w:hAnsi="Arial" w:cs="Arial" w:eastAsia="Arial"/>
          <w:b/>
          <w:bCs/>
          <w:color w:val="3F51B5"/>
          <w:sz w:val="20"/>
          <w:szCs w:val="20"/>
          <w:rtl/>
        </w:rPr>
        <w:t xml:space="preserve"> ✔ שורה תחתונה </w:t>
      </w:r>
      <w:r>
        <w:rPr>
          <w:rFonts w:ascii="Arial" w:hAnsi="Arial" w:cs="Arial" w:eastAsia="Arial"/>
          <w:sz w:val="20"/>
          <w:szCs w:val="20"/>
          <w:rtl/>
        </w:rPr>
        <w:t xml:space="preserve">   </w:t>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1E4FA3"/>
            <w:tcBorders>
              <w:top w:val="single" w:sz="4" w:space="0" w:color="1E4FA3"/>
              <w:left w:val="single" w:sz="4" w:space="0" w:color="1E4FA3"/>
              <w:bottom w:val="single" w:sz="4" w:space="0" w:color="1E4FA3"/>
              <w:right w:val="single" w:sz="4" w:space="0" w:color="1E4FA3"/>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w:t>
            </w:r>
          </w:p>
          <w:p>
            <w:pPr>
              <w:bidi/>
              <w:spacing w:before="0" w:after="0" w:line="264" w:lineRule="auto"/>
              <w:outlineLvl w:val="0"/>
            </w:pPr>
            <w:r>
              <w:rPr>
                <w:rFonts w:ascii="Arial" w:hAnsi="Arial" w:cs="Arial" w:eastAsia="Arial"/>
                <w:b/>
                <w:bCs/>
                <w:color w:val="FFFFFF"/>
                <w:sz w:val="42"/>
                <w:szCs w:val="42"/>
                <w:rtl/>
              </w:rPr>
              <w:t>מבוא – מערכת השיפוט הכפולה בדיני המשפחה</w:t>
            </w:r>
          </w:p>
        </w:tc>
      </w:tr>
    </w:tbl>
    <w:p>
      <w:pPr>
        <w:bidi/>
        <w:spacing w:after="0" w:before="0" w:line="20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1.1 ייחודו של הסכסוך המשפחתי</w:t>
      </w:r>
    </w:p>
    <w:p>
      <w:pPr>
        <w:bidi/>
        <w:spacing w:before="0" w:after="100" w:line="300" w:lineRule="auto"/>
        <w:jc w:val="both"/>
      </w:pPr>
      <w:r>
        <w:rPr>
          <w:rFonts w:ascii="Arial" w:hAnsi="Arial" w:cs="Arial" w:eastAsia="Arial"/>
          <w:color w:val="1F2430"/>
          <w:sz w:val="19"/>
          <w:szCs w:val="19"/>
          <w:rtl/>
        </w:rPr>
        <w:t xml:space="preserve">דיני המשפחה נוגעים גם לחיים המקצועיים של עורך הדין וגם לחייו האישיים של כל אדם – הם עוסקים בתא הבסיסי ביותר בחיינו. הסכסוך המשפחתי שונה מכל סכסוך משפטי אחר: הוא </w:t>
      </w:r>
      <w:r>
        <w:rPr>
          <w:rFonts w:ascii="Arial" w:hAnsi="Arial" w:cs="Arial" w:eastAsia="Arial"/>
          <w:b/>
          <w:bCs/>
          <w:color w:val="1F2430"/>
          <w:sz w:val="19"/>
          <w:szCs w:val="19"/>
          <w:rtl/>
        </w:rPr>
        <w:t>טעון, אמוציונלי ורגשי</w:t>
      </w:r>
      <w:r>
        <w:rPr>
          <w:rFonts w:ascii="Arial" w:hAnsi="Arial" w:cs="Arial" w:eastAsia="Arial"/>
          <w:color w:val="1F2430"/>
          <w:sz w:val="19"/>
          <w:szCs w:val="19"/>
          <w:rtl/>
        </w:rPr>
        <w:t>, ולכן המחוקק והפסיקה מתייחסים אליו כאל "דיני נפשות".</w:t>
      </w:r>
    </w:p>
    <w:p>
      <w:pPr>
        <w:bidi/>
        <w:spacing w:before="0" w:after="100" w:line="300" w:lineRule="auto"/>
        <w:jc w:val="both"/>
      </w:pPr>
      <w:r>
        <w:rPr>
          <w:rFonts w:ascii="Arial" w:hAnsi="Arial" w:cs="Arial" w:eastAsia="Arial"/>
          <w:color w:val="1F2430"/>
          <w:sz w:val="19"/>
          <w:szCs w:val="19"/>
          <w:rtl/>
        </w:rPr>
        <w:t>מה מייחד את התחום?</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הוא מכיל את כל ענפי המשפט</w:t>
      </w:r>
      <w:r>
        <w:rPr>
          <w:rFonts w:ascii="Arial" w:hAnsi="Arial" w:cs="Arial" w:eastAsia="Arial"/>
          <w:color w:val="1F2430"/>
          <w:sz w:val="19"/>
          <w:szCs w:val="19"/>
          <w:rtl/>
        </w:rPr>
        <w:t xml:space="preserve"> – חוזים, נזיקין, מקרקעין, קניין, פלילי, הוצאה לפועל ונוער – ולעיתים אף </w:t>
      </w:r>
      <w:r>
        <w:rPr>
          <w:rFonts w:ascii="Arial" w:hAnsi="Arial" w:cs="Arial" w:eastAsia="Arial"/>
          <w:b/>
          <w:bCs/>
          <w:color w:val="1F2430"/>
          <w:sz w:val="19"/>
          <w:szCs w:val="19"/>
          <w:rtl/>
        </w:rPr>
        <w:t>גובר</w:t>
      </w:r>
      <w:r>
        <w:rPr>
          <w:rFonts w:ascii="Arial" w:hAnsi="Arial" w:cs="Arial" w:eastAsia="Arial"/>
          <w:color w:val="1F2430"/>
          <w:sz w:val="19"/>
          <w:szCs w:val="19"/>
          <w:rtl/>
        </w:rPr>
        <w:t xml:space="preserve"> עליהם:</w:t>
      </w:r>
    </w:p>
    <w:p>
      <w:pPr>
        <w:bidi/>
        <w:tabs>
          <w:tab w:val="left" w:pos="623"/>
        </w:tabs>
        <w:spacing w:before="0" w:after="40" w:line="288" w:lineRule="auto"/>
        <w:ind w:right="623" w:hanging="255"/>
      </w:pPr>
      <w:r>
        <w:rPr>
          <w:rFonts w:ascii="Arial" w:hAnsi="Arial" w:cs="Arial" w:eastAsia="Arial"/>
          <w:b/>
          <w:bCs/>
          <w:color w:val="1E4FA3"/>
          <w:sz w:val="15"/>
          <w:szCs w:val="15"/>
          <w:rtl/>
        </w:rPr>
        <w:t xml:space="preserve">◦ </w:t>
      </w:r>
      <w:r>
        <w:tab/>
      </w:r>
      <w:r>
        <w:rPr>
          <w:rFonts w:ascii="Arial" w:hAnsi="Arial" w:cs="Arial" w:eastAsia="Arial"/>
          <w:color w:val="1F2430"/>
          <w:sz w:val="19"/>
          <w:szCs w:val="19"/>
          <w:rtl/>
        </w:rPr>
        <w:t xml:space="preserve">בדיני חוזים שולט עיקרון חופש החוזים, והסכם בין זרים אינו טעון אישור. לעומת זאת, </w:t>
      </w:r>
      <w:r>
        <w:rPr>
          <w:rFonts w:ascii="Arial" w:hAnsi="Arial" w:cs="Arial" w:eastAsia="Arial"/>
          <w:b/>
          <w:bCs/>
          <w:color w:val="1F2430"/>
          <w:sz w:val="19"/>
          <w:szCs w:val="19"/>
          <w:rtl/>
        </w:rPr>
        <w:t>הסכם ממון</w:t>
      </w:r>
      <w:r>
        <w:rPr>
          <w:rFonts w:ascii="Arial" w:hAnsi="Arial" w:cs="Arial" w:eastAsia="Arial"/>
          <w:color w:val="1F2430"/>
          <w:sz w:val="19"/>
          <w:szCs w:val="19"/>
          <w:rtl/>
        </w:rPr>
        <w:t xml:space="preserve"> בין בני זוג טעון אישור לפי חוק יחסי ממון בין בני זוג, התשל״ג-1973: לפני הנישואין או בשעת עריכתם – אחד מארבעה: רושם נישואין, נוטריון, דיין בבית דין דתי או שופט בבית המשפט לענייני משפחה; לאחר הנישואין – רק שופט או דיין (ראו פרק 13).</w:t>
      </w:r>
    </w:p>
    <w:p>
      <w:pPr>
        <w:bidi/>
        <w:tabs>
          <w:tab w:val="left" w:pos="623"/>
        </w:tabs>
        <w:spacing w:before="0" w:after="40" w:line="288" w:lineRule="auto"/>
        <w:ind w:right="623" w:hanging="255"/>
      </w:pPr>
      <w:r>
        <w:rPr>
          <w:rFonts w:ascii="Arial" w:hAnsi="Arial" w:cs="Arial" w:eastAsia="Arial"/>
          <w:b/>
          <w:bCs/>
          <w:color w:val="1E4FA3"/>
          <w:sz w:val="15"/>
          <w:szCs w:val="15"/>
          <w:rtl/>
        </w:rPr>
        <w:t xml:space="preserve">◦ </w:t>
      </w:r>
      <w:r>
        <w:tab/>
      </w:r>
      <w:r>
        <w:rPr>
          <w:rFonts w:ascii="Arial" w:hAnsi="Arial" w:cs="Arial" w:eastAsia="Arial"/>
          <w:color w:val="1F2430"/>
          <w:sz w:val="19"/>
          <w:szCs w:val="19"/>
          <w:rtl/>
        </w:rPr>
        <w:t xml:space="preserve">בדיני מקרקעין הרישום בטאבו קובע בדרך כלל את הזכויות; בדיני משפחה </w:t>
      </w:r>
      <w:r>
        <w:rPr>
          <w:rFonts w:ascii="Arial" w:hAnsi="Arial" w:cs="Arial" w:eastAsia="Arial"/>
          <w:b/>
          <w:bCs/>
          <w:color w:val="1F2430"/>
          <w:sz w:val="19"/>
          <w:szCs w:val="19"/>
          <w:rtl/>
        </w:rPr>
        <w:t>הרישום כשלעצמו אינו מלמד על הזכויות בנכס</w:t>
      </w:r>
      <w:r>
        <w:rPr>
          <w:rFonts w:ascii="Arial" w:hAnsi="Arial" w:cs="Arial" w:eastAsia="Arial"/>
          <w:color w:val="1F2430"/>
          <w:sz w:val="19"/>
          <w:szCs w:val="19"/>
          <w:rtl/>
        </w:rPr>
        <w:t xml:space="preserve"> (ראו פרקים 11–12).</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משתלב בו דין דתי</w:t>
      </w:r>
      <w:r>
        <w:rPr>
          <w:rFonts w:ascii="Arial" w:hAnsi="Arial" w:cs="Arial" w:eastAsia="Arial"/>
          <w:color w:val="1F2430"/>
          <w:sz w:val="19"/>
          <w:szCs w:val="19"/>
          <w:rtl/>
        </w:rPr>
        <w:t xml:space="preserve"> – שולחן ערוך, רמב״ם, גמרא והלכה.</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יש בו שתי כתובות שיפוטיות</w:t>
      </w:r>
      <w:r>
        <w:rPr>
          <w:rFonts w:ascii="Arial" w:hAnsi="Arial" w:cs="Arial" w:eastAsia="Arial"/>
          <w:color w:val="1F2430"/>
          <w:sz w:val="19"/>
          <w:szCs w:val="19"/>
          <w:rtl/>
        </w:rPr>
        <w:t xml:space="preserve"> – בית הדין הרבני ובית המשפט לענייני משפחה – ועורך הדין צריך להחליט לאן לקחת את הלקוח.</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חובת יישוב סכסוך</w:t>
      </w:r>
      <w:r>
        <w:rPr>
          <w:rFonts w:ascii="Arial" w:hAnsi="Arial" w:cs="Arial" w:eastAsia="Arial"/>
          <w:color w:val="1F2430"/>
          <w:sz w:val="19"/>
          <w:szCs w:val="19"/>
          <w:rtl/>
        </w:rPr>
        <w:t xml:space="preserve"> – מאז יולי 2016, לפי החוק להסדר התדיינויות בסכסוכי משפחה, התשע״ה-2014, אי אפשר להגיש תביעה בסכסוך משפחתי (לא לבית המשפט ולא לבית הדין) לפני שהוגשה </w:t>
      </w:r>
      <w:r>
        <w:rPr>
          <w:rFonts w:ascii="Arial" w:hAnsi="Arial" w:cs="Arial" w:eastAsia="Arial"/>
          <w:b/>
          <w:bCs/>
          <w:color w:val="1F2430"/>
          <w:sz w:val="19"/>
          <w:szCs w:val="19"/>
          <w:rtl/>
        </w:rPr>
        <w:t>בקשה ליישוב סכסוך</w:t>
      </w:r>
      <w:r>
        <w:rPr>
          <w:rFonts w:ascii="Arial" w:hAnsi="Arial" w:cs="Arial" w:eastAsia="Arial"/>
          <w:color w:val="1F2430"/>
          <w:sz w:val="19"/>
          <w:szCs w:val="19"/>
          <w:rtl/>
        </w:rPr>
        <w:t xml:space="preserve"> והצדדים הוזמנו לפגישות מהו״ת (מידע, היכרות ותיאום) ביחידת הסיוע. המטרות: לנתב את הצדדים להסכמה ולדרכי שלום, ולתת לרוחות להירגע ("ונטילציה" – לא מפרקים משפחה ברגע). רק אם ההליך נכשל – פונים להליך משפטי (פירוט מלא בפרק 5).</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מאפיינים של "דיני נפשות"</w:t>
      </w:r>
      <w:r>
        <w:rPr>
          <w:rFonts w:ascii="Arial" w:hAnsi="Arial" w:cs="Arial" w:eastAsia="Arial"/>
          <w:color w:val="1F2430"/>
          <w:sz w:val="19"/>
          <w:szCs w:val="19"/>
          <w:rtl/>
        </w:rPr>
        <w:t xml:space="preserve"> – המדינה מסייעת לבעל דין שאין לו כסף לייצוג (סיוע משפטי, קליניקות), והערכאות עצמן ממנות מומחים מטעמן, כדי שלא יינתן יתרון למי שיש לו כסף לממן חוות דעת.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הלב של הפרק</w:t>
            </w:r>
          </w:p>
          <w:p>
            <w:pPr>
              <w:bidi/>
              <w:spacing w:before="0" w:after="60" w:line="300" w:lineRule="auto"/>
              <w:jc w:val="both"/>
            </w:pPr>
            <w:r>
              <w:rPr>
                <w:rFonts w:ascii="Arial" w:hAnsi="Arial" w:cs="Arial" w:eastAsia="Arial"/>
                <w:color w:val="1F2430"/>
                <w:sz w:val="18"/>
                <w:szCs w:val="18"/>
                <w:rtl/>
              </w:rPr>
              <w:t xml:space="preserve">בכל תחום אזרחי רגיל יש כתובת אחת שקבע המחוקק, והיא דנה לפי הדין האזרחי. בדיני המשפחה בישראל יש </w:t>
            </w:r>
            <w:r>
              <w:rPr>
                <w:rFonts w:ascii="Arial" w:hAnsi="Arial" w:cs="Arial" w:eastAsia="Arial"/>
                <w:b/>
                <w:bCs/>
                <w:color w:val="1F2430"/>
                <w:sz w:val="18"/>
                <w:szCs w:val="18"/>
                <w:rtl/>
              </w:rPr>
              <w:t>פיצול כפול</w:t>
            </w:r>
            <w:r>
              <w:rPr>
                <w:rFonts w:ascii="Arial" w:hAnsi="Arial" w:cs="Arial" w:eastAsia="Arial"/>
                <w:color w:val="1F2430"/>
                <w:sz w:val="18"/>
                <w:szCs w:val="18"/>
                <w:rtl/>
              </w:rPr>
              <w:t xml:space="preserve">: פיצול בשאלת </w:t>
            </w:r>
            <w:r>
              <w:rPr>
                <w:rFonts w:ascii="Arial" w:hAnsi="Arial" w:cs="Arial" w:eastAsia="Arial"/>
                <w:b/>
                <w:bCs/>
                <w:color w:val="1F2430"/>
                <w:sz w:val="18"/>
                <w:szCs w:val="18"/>
                <w:rtl/>
              </w:rPr>
              <w:t>הסמכות</w:t>
            </w:r>
            <w:r>
              <w:rPr>
                <w:rFonts w:ascii="Arial" w:hAnsi="Arial" w:cs="Arial" w:eastAsia="Arial"/>
                <w:color w:val="1F2430"/>
                <w:sz w:val="18"/>
                <w:szCs w:val="18"/>
                <w:rtl/>
              </w:rPr>
              <w:t xml:space="preserve"> (שתי ערכאות) ופיצול בשאלת </w:t>
            </w:r>
            <w:r>
              <w:rPr>
                <w:rFonts w:ascii="Arial" w:hAnsi="Arial" w:cs="Arial" w:eastAsia="Arial"/>
                <w:b/>
                <w:bCs/>
                <w:color w:val="1F2430"/>
                <w:sz w:val="18"/>
                <w:szCs w:val="18"/>
                <w:rtl/>
              </w:rPr>
              <w:t>הדין</w:t>
            </w:r>
            <w:r>
              <w:rPr>
                <w:rFonts w:ascii="Arial" w:hAnsi="Arial" w:cs="Arial" w:eastAsia="Arial"/>
                <w:color w:val="1F2430"/>
                <w:sz w:val="18"/>
                <w:szCs w:val="18"/>
                <w:rtl/>
              </w:rPr>
              <w:t xml:space="preserve"> (דין אישי-דתי או דין טריטוריאלי-אזרחי). כל הקורס נבנה על שני המישורים האלה.</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1.2 שתי שאלות שאסור לבלבל: סמכות שיפוט וברירת 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שיפוט (שאלת הפורום)</w:t>
            </w:r>
          </w:p>
          <w:p>
            <w:pPr>
              <w:bidi/>
              <w:spacing w:before="0" w:after="60" w:line="300" w:lineRule="auto"/>
              <w:jc w:val="both"/>
            </w:pPr>
            <w:r>
              <w:rPr>
                <w:rFonts w:ascii="Arial" w:hAnsi="Arial" w:cs="Arial" w:eastAsia="Arial"/>
                <w:color w:val="1F2430"/>
                <w:sz w:val="18"/>
                <w:szCs w:val="18"/>
                <w:rtl/>
              </w:rPr>
              <w:t>מי מוסמך לדון בתיק – איפה אפשר לפתוח אותו: בבית הדין הרבני או בבית המשפט לענייני משפחה.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ברירת הדין</w:t>
            </w:r>
          </w:p>
          <w:p>
            <w:pPr>
              <w:bidi/>
              <w:spacing w:before="0" w:after="60" w:line="300" w:lineRule="auto"/>
              <w:jc w:val="both"/>
            </w:pPr>
            <w:r>
              <w:rPr>
                <w:rFonts w:ascii="Arial" w:hAnsi="Arial" w:cs="Arial" w:eastAsia="Arial"/>
                <w:color w:val="1F2430"/>
                <w:sz w:val="18"/>
                <w:szCs w:val="18"/>
                <w:rtl/>
              </w:rPr>
              <w:t>לפי איזה דין תכריע הערכאה שנבחרה – "איזה ספר יפתחו השופטים": דין אישי (דתי) או דין טריטוריאלי (אזרחי).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שתי השאלות </w:t>
      </w:r>
      <w:r>
        <w:rPr>
          <w:rFonts w:ascii="Arial" w:hAnsi="Arial" w:cs="Arial" w:eastAsia="Arial"/>
          <w:b/>
          <w:bCs/>
          <w:color w:val="1F2430"/>
          <w:sz w:val="19"/>
          <w:szCs w:val="19"/>
          <w:rtl/>
        </w:rPr>
        <w:t>עצמאיות</w:t>
      </w:r>
      <w:r>
        <w:rPr>
          <w:rFonts w:ascii="Arial" w:hAnsi="Arial" w:cs="Arial" w:eastAsia="Arial"/>
          <w:color w:val="1F2430"/>
          <w:sz w:val="19"/>
          <w:szCs w:val="19"/>
          <w:rtl/>
        </w:rPr>
        <w:t>. ערכאה אזרחית יכולה לדון בתיק ובכל זאת להיות חייבת להכריע לפי הדין הדתי (למשל מזונות אישה), ובית דין דתי יכול לדון בתיק ובכל זאת להיות חייב להכריע לפי הדין האזרחי (למשל חלוקת רכוש – הלכת בבלי).</w:t>
      </w:r>
    </w:p>
    <w:p>
      <w:pPr>
        <w:bidi/>
        <w:spacing w:before="0" w:after="100" w:line="300" w:lineRule="auto"/>
        <w:jc w:val="both"/>
      </w:pPr>
      <w:r>
        <w:rPr>
          <w:rFonts w:ascii="Arial" w:hAnsi="Arial" w:cs="Arial" w:eastAsia="Arial"/>
          <w:color w:val="1F2430"/>
          <w:sz w:val="19"/>
          <w:szCs w:val="19"/>
          <w:rtl/>
        </w:rPr>
        <w:t>בהליך אזרחי רגיל (נזיקין, חוזים, מקרקעין) יש ערכאה אחת שקבועה בחקיקה – בדרך כלל בית משפט השלום, ומעל 2.5 מיליון ש״ח המחוזי – והיא דנה לפי הדין הישראלי. בדיני משפחה התמונה שונה, משום שלעיתים יש סמכות גם לבית המשפט וגם לבית הדין הדתי.</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שיטת הניתוח בשלושה שלבים</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b/>
          <w:bCs/>
          <w:color w:val="1F2430"/>
          <w:sz w:val="19"/>
          <w:szCs w:val="19"/>
          <w:rtl/>
        </w:rPr>
        <w:t>למי הסמכות?</w:t>
      </w:r>
      <w:r>
        <w:rPr>
          <w:rFonts w:ascii="Arial" w:hAnsi="Arial" w:cs="Arial" w:eastAsia="Arial"/>
          <w:color w:val="1F2430"/>
          <w:sz w:val="19"/>
          <w:szCs w:val="19"/>
          <w:rtl/>
        </w:rPr>
        <w:t xml:space="preserve"> (בית דין רבני / בית משפט לענייני משפחה / שניהם)</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b/>
          <w:bCs/>
          <w:color w:val="1F2430"/>
          <w:sz w:val="19"/>
          <w:szCs w:val="19"/>
          <w:rtl/>
        </w:rPr>
        <w:t>איזה דין חל?</w:t>
      </w:r>
      <w:r>
        <w:rPr>
          <w:rFonts w:ascii="Arial" w:hAnsi="Arial" w:cs="Arial" w:eastAsia="Arial"/>
          <w:color w:val="1F2430"/>
          <w:sz w:val="19"/>
          <w:szCs w:val="19"/>
          <w:rtl/>
        </w:rPr>
        <w:t xml:space="preserve"> (אישי או טריטוריאלי)</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3. </w:t>
      </w:r>
      <w:r>
        <w:tab/>
      </w:r>
      <w:r>
        <w:rPr>
          <w:rFonts w:ascii="Arial" w:hAnsi="Arial" w:cs="Arial" w:eastAsia="Arial"/>
          <w:b/>
          <w:bCs/>
          <w:color w:val="1F2430"/>
          <w:sz w:val="19"/>
          <w:szCs w:val="19"/>
          <w:rtl/>
        </w:rPr>
        <w:t>מה קובע הדין שחל</w:t>
      </w:r>
      <w:r>
        <w:rPr>
          <w:rFonts w:ascii="Arial" w:hAnsi="Arial" w:cs="Arial" w:eastAsia="Arial"/>
          <w:color w:val="1F2430"/>
          <w:sz w:val="19"/>
          <w:szCs w:val="19"/>
          <w:rtl/>
        </w:rPr>
        <w:t xml:space="preserve"> – וכיצד הערכאה צפויה להכריע לגופו של עניין?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דוגמה מהתרגול – שלושת השלבים</w:t>
            </w:r>
          </w:p>
          <w:p>
            <w:pPr>
              <w:bidi/>
              <w:spacing w:before="0" w:after="60" w:line="300" w:lineRule="auto"/>
              <w:jc w:val="both"/>
            </w:pPr>
            <w:r>
              <w:rPr>
                <w:rFonts w:ascii="Arial" w:hAnsi="Arial" w:cs="Arial" w:eastAsia="Arial"/>
                <w:color w:val="1F2430"/>
                <w:sz w:val="18"/>
                <w:szCs w:val="18"/>
                <w:rtl/>
              </w:rPr>
              <w:t xml:space="preserve">זוג יהודים נשוי כדת משה וישראל. הבעל חושד שאשתו בוגדת וחוסם לה את כרטיסי האשראי. האישה תובעת </w:t>
            </w:r>
            <w:r>
              <w:rPr>
                <w:rFonts w:ascii="Arial" w:hAnsi="Arial" w:cs="Arial" w:eastAsia="Arial"/>
                <w:b/>
                <w:bCs/>
                <w:color w:val="1F2430"/>
                <w:sz w:val="18"/>
                <w:szCs w:val="18"/>
                <w:rtl/>
              </w:rPr>
              <w:t>מזונות אישה שלא אגב גירושין</w:t>
            </w:r>
            <w:r>
              <w:rPr>
                <w:rFonts w:ascii="Arial" w:hAnsi="Arial" w:cs="Arial" w:eastAsia="Arial"/>
                <w:color w:val="1F2430"/>
                <w:sz w:val="18"/>
                <w:szCs w:val="18"/>
                <w:rtl/>
              </w:rPr>
              <w:t xml:space="preserve"> בבית המשפט לענייני משפחה.</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b/>
                <w:bCs/>
                <w:color w:val="1F2430"/>
                <w:sz w:val="18"/>
                <w:szCs w:val="18"/>
                <w:rtl/>
              </w:rPr>
              <w:t>שלב 1 (סמכות):</w:t>
            </w:r>
            <w:r>
              <w:rPr>
                <w:rFonts w:ascii="Arial" w:hAnsi="Arial" w:cs="Arial" w:eastAsia="Arial"/>
                <w:color w:val="1F2430"/>
                <w:sz w:val="18"/>
                <w:szCs w:val="18"/>
                <w:rtl/>
              </w:rPr>
              <w:t xml:space="preserve"> מזונות אישה הם בסמכות מקבילה – האישה רשאית לבחור (סעיף 4 לחוק שיפוט בתי דין רבניים מול סמכות בית המשפט לענייני משפחה).</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b/>
                <w:bCs/>
                <w:color w:val="1F2430"/>
                <w:sz w:val="18"/>
                <w:szCs w:val="18"/>
                <w:rtl/>
              </w:rPr>
              <w:t>שלב 2 (דין):</w:t>
            </w:r>
            <w:r>
              <w:rPr>
                <w:rFonts w:ascii="Arial" w:hAnsi="Arial" w:cs="Arial" w:eastAsia="Arial"/>
                <w:color w:val="1F2430"/>
                <w:sz w:val="18"/>
                <w:szCs w:val="18"/>
                <w:rtl/>
              </w:rPr>
              <w:t xml:space="preserve"> סעיף 2(א) לחוק לתיקון דיני המשפחה (מזונות), התשי״ט-1959: "אדם חייב במזונות בן זוגו על פי הוראות הדין האישי החל עליו" – כלומר דין תורה, </w:t>
            </w:r>
            <w:r>
              <w:rPr>
                <w:rFonts w:ascii="Arial" w:hAnsi="Arial" w:cs="Arial" w:eastAsia="Arial"/>
                <w:b/>
                <w:bCs/>
                <w:color w:val="1F2430"/>
                <w:sz w:val="18"/>
                <w:szCs w:val="18"/>
                <w:rtl/>
              </w:rPr>
              <w:t>גם בבית המשפט האזרחי</w:t>
            </w:r>
            <w:r>
              <w:rPr>
                <w:rFonts w:ascii="Arial" w:hAnsi="Arial" w:cs="Arial" w:eastAsia="Arial"/>
                <w:color w:val="1F2430"/>
                <w:sz w:val="18"/>
                <w:szCs w:val="18"/>
                <w:rtl/>
              </w:rPr>
              <w:t>. כאן הכלל "הדין הולך אחר הדיין" לא חל, כי יש הוראת חוק מפורשת.</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b/>
                <w:bCs/>
                <w:color w:val="1F2430"/>
                <w:sz w:val="18"/>
                <w:szCs w:val="18"/>
                <w:rtl/>
              </w:rPr>
              <w:t>שלב 3 (מהות):</w:t>
            </w:r>
            <w:r>
              <w:rPr>
                <w:rFonts w:ascii="Arial" w:hAnsi="Arial" w:cs="Arial" w:eastAsia="Arial"/>
                <w:color w:val="1F2430"/>
                <w:sz w:val="18"/>
                <w:szCs w:val="18"/>
                <w:rtl/>
              </w:rPr>
              <w:t xml:space="preserve"> האם הוכחה בגידה, והאם היא מקימה טענת פטור (ראו פרק 6).</w:t>
            </w:r>
          </w:p>
          <w:p>
            <w:pPr>
              <w:bidi/>
              <w:spacing w:before="0" w:after="60" w:line="300" w:lineRule="auto"/>
              <w:jc w:val="both"/>
            </w:pPr>
            <w:r>
              <w:rPr>
                <w:rFonts w:ascii="Arial" w:hAnsi="Arial" w:cs="Arial" w:eastAsia="Arial"/>
                <w:color w:val="1F2430"/>
                <w:sz w:val="18"/>
                <w:szCs w:val="18"/>
                <w:rtl/>
              </w:rPr>
              <w:t xml:space="preserve">המשך: הבעל מגיש תביעת גירושין לבית הדין הרבני וכורך אליה את חלוקת הרכוש. הגירושין – רק בבית הדין הרבני ולפי דין תורה; הרכוש – ניתן לכרוך בתנאים, אך הדין שיחול עליו הוא </w:t>
            </w:r>
            <w:r>
              <w:rPr>
                <w:rFonts w:ascii="Arial" w:hAnsi="Arial" w:cs="Arial" w:eastAsia="Arial"/>
                <w:b/>
                <w:bCs/>
                <w:color w:val="1F2430"/>
                <w:sz w:val="18"/>
                <w:szCs w:val="18"/>
                <w:rtl/>
              </w:rPr>
              <w:t>הדין האזרחי</w:t>
            </w:r>
            <w:r>
              <w:rPr>
                <w:rFonts w:ascii="Arial" w:hAnsi="Arial" w:cs="Arial" w:eastAsia="Arial"/>
                <w:color w:val="1F2430"/>
                <w:sz w:val="18"/>
                <w:szCs w:val="18"/>
                <w:rtl/>
              </w:rPr>
              <w:t xml:space="preserve"> (חוק יחסי ממון, ובהעדרו הלכות בית המשפט העליון – הלכת בבלי), אלא אם שני הצדדים הסכימו במפורש לדון לפי הדין הדתי.</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1.3 דבר המלך במועצתו – מקור הסמכות ההיסטורי</w:t>
      </w:r>
    </w:p>
    <w:p>
      <w:pPr>
        <w:bidi/>
        <w:spacing w:before="0" w:after="100" w:line="300" w:lineRule="auto"/>
        <w:jc w:val="both"/>
      </w:pPr>
      <w:r>
        <w:rPr>
          <w:rFonts w:ascii="Arial" w:hAnsi="Arial" w:cs="Arial" w:eastAsia="Arial"/>
          <w:b/>
          <w:bCs/>
          <w:color w:val="1F2430"/>
          <w:sz w:val="19"/>
          <w:szCs w:val="19"/>
          <w:rtl/>
        </w:rPr>
        <w:t>דבר המלך במועצתו על ארץ ישראל, 1922</w:t>
      </w:r>
      <w:r>
        <w:rPr>
          <w:rFonts w:ascii="Arial" w:hAnsi="Arial" w:cs="Arial" w:eastAsia="Arial"/>
          <w:color w:val="1F2430"/>
          <w:sz w:val="19"/>
          <w:szCs w:val="19"/>
          <w:rtl/>
        </w:rPr>
        <w:t xml:space="preserve"> הוא חקיקה מתקופת המנדט הבריטי. עם קום המדינה ב-1948 ישראל אימצה את החקיקה המנדטורית עד שתעמוד על רגליה, ובמשך השנים החליפה חלקים ממנה בחוקים ישראליים. </w:t>
      </w:r>
      <w:r>
        <w:rPr>
          <w:rFonts w:ascii="Arial" w:hAnsi="Arial" w:cs="Arial" w:eastAsia="Arial"/>
          <w:b/>
          <w:bCs/>
          <w:color w:val="1F2430"/>
          <w:sz w:val="19"/>
          <w:szCs w:val="19"/>
          <w:rtl/>
        </w:rPr>
        <w:t>סימנים 47 ו-51 עדיין בתוקף</w:t>
      </w:r>
      <w:r>
        <w:rPr>
          <w:rFonts w:ascii="Arial" w:hAnsi="Arial" w:cs="Arial" w:eastAsia="Arial"/>
          <w:color w:val="1F2430"/>
          <w:sz w:val="19"/>
          <w:szCs w:val="19"/>
          <w:rtl/>
        </w:rPr>
        <w:t>, והם התשתית של מערכת השיפוט הכפולה.</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סימן 51 – סמכות בתי הדין של העדות הדתיות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סימן 51(1) לדבר המלך במועצתו</w:t>
            </w:r>
          </w:p>
          <w:p>
            <w:pPr>
              <w:bidi/>
              <w:spacing w:before="0" w:after="60" w:line="300" w:lineRule="auto"/>
              <w:jc w:val="both"/>
            </w:pPr>
            <w:r>
              <w:rPr>
                <w:rFonts w:ascii="Arial" w:hAnsi="Arial" w:cs="Arial" w:eastAsia="Arial"/>
                <w:color w:val="1F2430"/>
                <w:sz w:val="18"/>
                <w:szCs w:val="18"/>
                <w:rtl/>
              </w:rPr>
              <w:t>"בכפוף להוראות הסעיפים 64 עד 67 ועד בכלל, יהא השיפוט בעניני המעמד האישי, בהתאם להוראות חלק זה, מסור לבתי דין העדות הדתיות. לצורך הוראות אלה, עניני המעמד האישי פירושם משפטים בענין נישואין או גיטין, מזונות, כלכלה, אפוטרופסות, כשרות יוחסין של קטינים, איסור השימוש ברכוש של אנשים הפסולים לפי החוק, והנהלת נכסי אנשים נעדרים."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הסימן מגדיר </w:t>
      </w:r>
      <w:r>
        <w:rPr>
          <w:rFonts w:ascii="Arial" w:hAnsi="Arial" w:cs="Arial" w:eastAsia="Arial"/>
          <w:b/>
          <w:bCs/>
          <w:color w:val="1F2430"/>
          <w:sz w:val="19"/>
          <w:szCs w:val="19"/>
          <w:rtl/>
        </w:rPr>
        <w:t>שבעה</w:t>
      </w:r>
      <w:r>
        <w:rPr>
          <w:rFonts w:ascii="Arial" w:hAnsi="Arial" w:cs="Arial" w:eastAsia="Arial"/>
          <w:color w:val="1F2430"/>
          <w:sz w:val="19"/>
          <w:szCs w:val="19"/>
          <w:rtl/>
        </w:rPr>
        <w:t xml:space="preserve"> ענייני מעמד אישי. הקורס מתמקד בארבעה מהם – </w:t>
      </w:r>
      <w:r>
        <w:rPr>
          <w:rFonts w:ascii="Arial" w:hAnsi="Arial" w:cs="Arial" w:eastAsia="Arial"/>
          <w:color w:val="1F2430"/>
          <w:sz w:val="19"/>
          <w:szCs w:val="19"/>
          <w:highlight w:val="yellow"/>
          <w:rtl/>
        </w:rPr>
        <w:t>נמכ״א</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60"/>
        <w:gridCol w:w="2752"/>
        <w:gridCol w:w="6193"/>
      </w:tblGrid>
      <w:tr>
        <w:trPr>
          <w:tblHeader/>
        </w:trPr>
        <w:tc>
          <w:tcPr>
            <w:tcW w:type="dxa" w:w="1260"/>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אות</w:t>
            </w:r>
          </w:p>
        </w:tc>
        <w:tc>
          <w:tcPr>
            <w:tcW w:type="dxa" w:w="275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העניין</w:t>
            </w:r>
          </w:p>
        </w:tc>
        <w:tc>
          <w:tcPr>
            <w:tcW w:type="dxa" w:w="619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פירושו לפי הפסיקה</w:t>
            </w:r>
          </w:p>
        </w:tc>
      </w:tr>
      <w:tr>
        <w:trPr>
          <w:cantSplit/>
        </w:trPr>
        <w:tc>
          <w:tcPr>
            <w:tcW w:type="dxa" w:w="126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w:t>
            </w:r>
          </w:p>
        </w:tc>
        <w:tc>
          <w:tcPr>
            <w:tcW w:type="dxa" w:w="275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וגירושין (גיטין)</w:t>
            </w:r>
          </w:p>
        </w:tc>
        <w:tc>
          <w:tcPr>
            <w:tcW w:type="dxa" w:w="619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עצם הקשר: תוקף, כשרות להינשא, שלום בית, מורד/מורדת, גט</w:t>
            </w:r>
          </w:p>
        </w:tc>
      </w:tr>
      <w:tr>
        <w:trPr>
          <w:cantSplit/>
        </w:trPr>
        <w:tc>
          <w:tcPr>
            <w:tcW w:type="dxa" w:w="126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w:t>
            </w:r>
          </w:p>
        </w:tc>
        <w:tc>
          <w:tcPr>
            <w:tcW w:type="dxa" w:w="275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מזונות</w:t>
            </w:r>
          </w:p>
        </w:tc>
        <w:tc>
          <w:tcPr>
            <w:tcW w:type="dxa" w:w="619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מזונות אישה</w:t>
            </w:r>
          </w:p>
        </w:tc>
      </w:tr>
      <w:tr>
        <w:trPr>
          <w:cantSplit/>
        </w:trPr>
        <w:tc>
          <w:tcPr>
            <w:tcW w:type="dxa" w:w="126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w:t>
            </w:r>
          </w:p>
        </w:tc>
        <w:tc>
          <w:tcPr>
            <w:tcW w:type="dxa" w:w="275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כלכלה</w:t>
            </w:r>
          </w:p>
        </w:tc>
        <w:tc>
          <w:tcPr>
            <w:tcW w:type="dxa" w:w="619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r>
              <w:rPr>
                <w:rFonts w:ascii="Arial" w:hAnsi="Arial" w:cs="Arial" w:eastAsia="Arial"/>
                <w:color w:val="1F2430"/>
                <w:sz w:val="17"/>
                <w:szCs w:val="17"/>
                <w:rtl/>
              </w:rPr>
              <w:t xml:space="preserve"> (לא רכוש!)</w:t>
            </w:r>
          </w:p>
        </w:tc>
      </w:tr>
      <w:tr>
        <w:trPr>
          <w:cantSplit/>
        </w:trPr>
        <w:tc>
          <w:tcPr>
            <w:tcW w:type="dxa" w:w="126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א</w:t>
            </w:r>
          </w:p>
        </w:tc>
        <w:tc>
          <w:tcPr>
            <w:tcW w:type="dxa" w:w="275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אפוטרופסות</w:t>
            </w:r>
          </w:p>
        </w:tc>
        <w:tc>
          <w:tcPr>
            <w:tcW w:type="dxa" w:w="619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כל ענייני הילדים: משמורת ("איפה הילד ישן"), חינוך ועוד</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"כלכלה" אינה רכוש</w:t>
            </w:r>
          </w:p>
          <w:p>
            <w:pPr>
              <w:bidi/>
              <w:spacing w:before="0" w:after="60" w:line="300" w:lineRule="auto"/>
              <w:jc w:val="both"/>
            </w:pPr>
            <w:r>
              <w:rPr>
                <w:rFonts w:ascii="Arial" w:hAnsi="Arial" w:cs="Arial" w:eastAsia="Arial"/>
                <w:color w:val="1F2430"/>
                <w:sz w:val="18"/>
                <w:szCs w:val="18"/>
                <w:rtl/>
              </w:rPr>
              <w:t xml:space="preserve">"כלכלה" בסימן 51 פירושה מזונות ילדים לפי הפסיקה – </w:t>
            </w:r>
            <w:r>
              <w:rPr>
                <w:rFonts w:ascii="Arial" w:hAnsi="Arial" w:cs="Arial" w:eastAsia="Arial"/>
                <w:b/>
                <w:bCs/>
                <w:color w:val="1F2430"/>
                <w:sz w:val="18"/>
                <w:szCs w:val="18"/>
                <w:rtl/>
              </w:rPr>
              <w:t>לא</w:t>
            </w:r>
            <w:r>
              <w:rPr>
                <w:rFonts w:ascii="Arial" w:hAnsi="Arial" w:cs="Arial" w:eastAsia="Arial"/>
                <w:color w:val="1F2430"/>
                <w:sz w:val="18"/>
                <w:szCs w:val="18"/>
                <w:rtl/>
              </w:rPr>
              <w:t xml:space="preserve"> חלוקת רכוש. רכוש </w:t>
            </w:r>
            <w:r>
              <w:rPr>
                <w:rFonts w:ascii="Arial" w:hAnsi="Arial" w:cs="Arial" w:eastAsia="Arial"/>
                <w:b/>
                <w:bCs/>
                <w:color w:val="1F2430"/>
                <w:sz w:val="18"/>
                <w:szCs w:val="18"/>
                <w:rtl/>
              </w:rPr>
              <w:t>אינו</w:t>
            </w:r>
            <w:r>
              <w:rPr>
                <w:rFonts w:ascii="Arial" w:hAnsi="Arial" w:cs="Arial" w:eastAsia="Arial"/>
                <w:color w:val="1F2430"/>
                <w:sz w:val="18"/>
                <w:szCs w:val="18"/>
                <w:rtl/>
              </w:rPr>
              <w:t xml:space="preserve"> חלק מנמכ״א. שאלה אמריקאית קלאסית: "מעמד אישי הוא: נישואין וגירושין, מזונות ואפוטרופסות" – נכונה; התשובה שמוסיפה "רכוש" – שגויה.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הבהרת הפרופ׳: אפוטרופסות כוללת חינוך</w:t>
            </w:r>
          </w:p>
          <w:p>
            <w:pPr>
              <w:bidi/>
              <w:spacing w:before="0" w:after="60" w:line="300" w:lineRule="auto"/>
              <w:jc w:val="both"/>
            </w:pPr>
            <w:r>
              <w:rPr>
                <w:rFonts w:ascii="Arial" w:hAnsi="Arial" w:cs="Arial" w:eastAsia="Arial"/>
                <w:color w:val="1F2430"/>
                <w:sz w:val="18"/>
                <w:szCs w:val="18"/>
                <w:rtl/>
              </w:rPr>
              <w:t xml:space="preserve">לשאלת סטודנט האם עניין חינוך הילדים נכנס ל"אפוטרופסות" שבסימן 51 – השיב הפרופ׳: </w:t>
            </w:r>
            <w:r>
              <w:rPr>
                <w:rFonts w:ascii="Arial" w:hAnsi="Arial" w:cs="Arial" w:eastAsia="Arial"/>
                <w:b/>
                <w:bCs/>
                <w:color w:val="1F2430"/>
                <w:sz w:val="18"/>
                <w:szCs w:val="18"/>
                <w:rtl/>
              </w:rPr>
              <w:t>כן, אפוטרופסות כוללת חינוך</w:t>
            </w:r>
            <w:r>
              <w:rPr>
                <w:rFonts w:ascii="Arial" w:hAnsi="Arial" w:cs="Arial" w:eastAsia="Arial"/>
                <w:color w:val="1F2430"/>
                <w:sz w:val="18"/>
                <w:szCs w:val="18"/>
                <w:rtl/>
              </w:rPr>
              <w:t>, ואפשר להביא אותו לבית הדין גם בתביעה בודדת (בהסכמה – ראו פרק 4).</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מה המשמעות של הרשימה?</w:t>
      </w:r>
      <w:r>
        <w:rPr>
          <w:rFonts w:ascii="Arial" w:hAnsi="Arial" w:cs="Arial" w:eastAsia="Arial"/>
          <w:color w:val="1F2430"/>
          <w:sz w:val="19"/>
          <w:szCs w:val="19"/>
          <w:rtl/>
        </w:rPr>
        <w:t xml:space="preserve"> נושא שמופיע בה – אפשר ללכת איתו לבית הדין הדתי; נושא שאינו מופיע בה – אי אפשר (אלא אם יש מקור סמכות אחר בחוק). בתי הדין הדתיים אינם שופטים מקצועיים שלמדו משפטים – הם רבנים – אבל </w:t>
      </w:r>
      <w:r>
        <w:rPr>
          <w:rFonts w:ascii="Arial" w:hAnsi="Arial" w:cs="Arial" w:eastAsia="Arial"/>
          <w:b/>
          <w:bCs/>
          <w:color w:val="1F2430"/>
          <w:sz w:val="19"/>
          <w:szCs w:val="19"/>
          <w:rtl/>
        </w:rPr>
        <w:t>המחוקק העניק להם סמכות שיפוט</w:t>
      </w:r>
      <w:r>
        <w:rPr>
          <w:rFonts w:ascii="Arial" w:hAnsi="Arial" w:cs="Arial" w:eastAsia="Arial"/>
          <w:color w:val="1F2430"/>
          <w:sz w:val="19"/>
          <w:szCs w:val="19"/>
          <w:rtl/>
        </w:rPr>
        <w:t>, ולכן פסקי הדין שלהם מחייבים בדיוק כמו פסקי דין של בתי המשפט, ועומדים לרשותם אמצעי אכיפה – ובכלל זה צו עיכוב יציאה מהארץ.</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סימן 47 – סמכות בתי המשפט האזרחיים וברירת הדין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סימן 47 לדבר המלך במועצתו</w:t>
            </w:r>
          </w:p>
          <w:p>
            <w:pPr>
              <w:bidi/>
              <w:spacing w:before="0" w:after="60" w:line="300" w:lineRule="auto"/>
              <w:jc w:val="both"/>
            </w:pPr>
            <w:r>
              <w:rPr>
                <w:rFonts w:ascii="Arial" w:hAnsi="Arial" w:cs="Arial" w:eastAsia="Arial"/>
                <w:color w:val="1F2430"/>
                <w:sz w:val="18"/>
                <w:szCs w:val="18"/>
                <w:rtl/>
              </w:rPr>
              <w:t>"כפוף להוראות חלק זה של דבר מלך זה יהא לבתי המשפט האזרחיים גם שיפוט בעניני המעמד האישי, כמוגדר בסעיף 51, של אנשים בישראל. בשיפוט זה ישתמשו בהתאם לכל חוק, פקודה או תקנות שיונהגו או יוחקו להבא, ובכפוף לאלה, לפי הדין האישי החל."</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לסימן 47 שני תפקידים:</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b/>
          <w:bCs/>
          <w:color w:val="1F2430"/>
          <w:sz w:val="19"/>
          <w:szCs w:val="19"/>
          <w:rtl/>
        </w:rPr>
        <w:t>סמכות:</w:t>
      </w:r>
      <w:r>
        <w:rPr>
          <w:rFonts w:ascii="Arial" w:hAnsi="Arial" w:cs="Arial" w:eastAsia="Arial"/>
          <w:color w:val="1F2430"/>
          <w:sz w:val="19"/>
          <w:szCs w:val="19"/>
          <w:rtl/>
        </w:rPr>
        <w:t xml:space="preserve"> המילה "</w:t>
      </w:r>
      <w:r>
        <w:rPr>
          <w:rFonts w:ascii="Arial" w:hAnsi="Arial" w:cs="Arial" w:eastAsia="Arial"/>
          <w:b/>
          <w:bCs/>
          <w:color w:val="1F2430"/>
          <w:sz w:val="19"/>
          <w:szCs w:val="19"/>
          <w:rtl/>
        </w:rPr>
        <w:t>גם</w:t>
      </w:r>
      <w:r>
        <w:rPr>
          <w:rFonts w:ascii="Arial" w:hAnsi="Arial" w:cs="Arial" w:eastAsia="Arial"/>
          <w:color w:val="1F2430"/>
          <w:sz w:val="19"/>
          <w:szCs w:val="19"/>
          <w:rtl/>
        </w:rPr>
        <w:t xml:space="preserve">" מעניקה לבתי המשפט האזרחיים סמכות בענייני מעמד אישי – </w:t>
      </w:r>
      <w:r>
        <w:rPr>
          <w:rFonts w:ascii="Arial" w:hAnsi="Arial" w:cs="Arial" w:eastAsia="Arial"/>
          <w:b/>
          <w:bCs/>
          <w:color w:val="1F2430"/>
          <w:sz w:val="19"/>
          <w:szCs w:val="19"/>
          <w:rtl/>
        </w:rPr>
        <w:t>במקביל</w:t>
      </w:r>
      <w:r>
        <w:rPr>
          <w:rFonts w:ascii="Arial" w:hAnsi="Arial" w:cs="Arial" w:eastAsia="Arial"/>
          <w:color w:val="1F2430"/>
          <w:sz w:val="19"/>
          <w:szCs w:val="19"/>
          <w:rtl/>
        </w:rPr>
        <w:t xml:space="preserve"> לבתי הדין הדתיים. כך נולדה </w:t>
      </w:r>
      <w:r>
        <w:rPr>
          <w:rFonts w:ascii="Arial" w:hAnsi="Arial" w:cs="Arial" w:eastAsia="Arial"/>
          <w:color w:val="1F2430"/>
          <w:sz w:val="19"/>
          <w:szCs w:val="19"/>
          <w:highlight w:val="yellow"/>
          <w:rtl/>
        </w:rPr>
        <w:t>הסמכות המקבילה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b/>
          <w:bCs/>
          <w:color w:val="1F2430"/>
          <w:sz w:val="19"/>
          <w:szCs w:val="19"/>
          <w:rtl/>
        </w:rPr>
        <w:t>ברירת דין:</w:t>
      </w:r>
      <w:r>
        <w:rPr>
          <w:rFonts w:ascii="Arial" w:hAnsi="Arial" w:cs="Arial" w:eastAsia="Arial"/>
          <w:color w:val="1F2430"/>
          <w:sz w:val="19"/>
          <w:szCs w:val="19"/>
          <w:rtl/>
        </w:rPr>
        <w:t xml:space="preserve"> בית המשפט האזרחי ידון בענייני מעמד אישי "</w:t>
      </w:r>
      <w:r>
        <w:rPr>
          <w:rFonts w:ascii="Arial" w:hAnsi="Arial" w:cs="Arial" w:eastAsia="Arial"/>
          <w:b/>
          <w:bCs/>
          <w:color w:val="1F2430"/>
          <w:sz w:val="19"/>
          <w:szCs w:val="19"/>
          <w:rtl/>
        </w:rPr>
        <w:t>לפי הדין האישי החל</w:t>
      </w:r>
      <w:r>
        <w:rPr>
          <w:rFonts w:ascii="Arial" w:hAnsi="Arial" w:cs="Arial" w:eastAsia="Arial"/>
          <w:color w:val="1F2430"/>
          <w:sz w:val="19"/>
          <w:szCs w:val="19"/>
          <w:rtl/>
        </w:rPr>
        <w:t>" – אלא אם חוק, פקודה או תקנות קובעים אחרת. כלומר: לא משנה לאיזו ערכאה הלך התובע – בענייני מעמד אישי חל, ככלל, הדין האישי (הדתי).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ייחודית מול סמכות מקבילה</w:t>
            </w:r>
          </w:p>
          <w:p>
            <w:pPr>
              <w:bidi/>
              <w:spacing w:before="0" w:after="60" w:line="300" w:lineRule="auto"/>
              <w:jc w:val="both"/>
            </w:pPr>
            <w:r>
              <w:rPr>
                <w:rFonts w:ascii="Arial" w:hAnsi="Arial" w:cs="Arial" w:eastAsia="Arial"/>
                <w:b/>
                <w:bCs/>
                <w:color w:val="1F2430"/>
                <w:sz w:val="18"/>
                <w:szCs w:val="18"/>
                <w:rtl/>
              </w:rPr>
              <w:t>סמכות ייחודית</w:t>
            </w:r>
            <w:r>
              <w:rPr>
                <w:rFonts w:ascii="Arial" w:hAnsi="Arial" w:cs="Arial" w:eastAsia="Arial"/>
                <w:color w:val="1F2430"/>
                <w:sz w:val="18"/>
                <w:szCs w:val="18"/>
                <w:rtl/>
              </w:rPr>
              <w:t xml:space="preserve"> – רק ערכאה אחת רשאית לדון בנושא (לדוגמה: נישואין וגירושין של יהודים – בית הדין הרבני בלבד). </w:t>
            </w:r>
            <w:r>
              <w:rPr>
                <w:rFonts w:ascii="Arial" w:hAnsi="Arial" w:cs="Arial" w:eastAsia="Arial"/>
                <w:b/>
                <w:bCs/>
                <w:color w:val="1F2430"/>
                <w:sz w:val="18"/>
                <w:szCs w:val="18"/>
                <w:rtl/>
              </w:rPr>
              <w:t>סמכות מקבילה</w:t>
            </w:r>
            <w:r>
              <w:rPr>
                <w:rFonts w:ascii="Arial" w:hAnsi="Arial" w:cs="Arial" w:eastAsia="Arial"/>
                <w:color w:val="1F2430"/>
                <w:sz w:val="18"/>
                <w:szCs w:val="18"/>
                <w:rtl/>
              </w:rPr>
              <w:t xml:space="preserve"> – יותר מערכאה אחת רשאית לדון באותו עניין. ברגע שאחת מהן "</w:t>
            </w:r>
            <w:r>
              <w:rPr>
                <w:rFonts w:ascii="Arial" w:hAnsi="Arial" w:cs="Arial" w:eastAsia="Arial"/>
                <w:b/>
                <w:bCs/>
                <w:color w:val="1F2430"/>
                <w:sz w:val="18"/>
                <w:szCs w:val="18"/>
                <w:rtl/>
              </w:rPr>
              <w:t>קנתה</w:t>
            </w:r>
            <w:r>
              <w:rPr>
                <w:rFonts w:ascii="Arial" w:hAnsi="Arial" w:cs="Arial" w:eastAsia="Arial"/>
                <w:color w:val="1F2430"/>
                <w:sz w:val="18"/>
                <w:szCs w:val="18"/>
                <w:rtl/>
              </w:rPr>
              <w:t>" סמכות כדין (התביעה הוגשה אליה ראשונה), בדרך כלל השנייה לא תדון באותו עניין.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למה המחוקק יצר סמכות מקבילה?</w:t>
      </w:r>
      <w:r>
        <w:rPr>
          <w:rFonts w:ascii="Arial" w:hAnsi="Arial" w:cs="Arial" w:eastAsia="Arial"/>
          <w:color w:val="1F2430"/>
          <w:sz w:val="19"/>
          <w:szCs w:val="19"/>
          <w:rtl/>
        </w:rPr>
        <w:t xml:space="preserve"> לפי מה שנלמד בקורס – בעיקר כדי לאפשר לנשים, שעלולות להיות מקופחות בבית הדין הדתי, לפנות גם לערכאה אזרחית. אך יש לזכור: האפשרות הזו עוזרת לה </w:t>
      </w:r>
      <w:r>
        <w:rPr>
          <w:rFonts w:ascii="Arial" w:hAnsi="Arial" w:cs="Arial" w:eastAsia="Arial"/>
          <w:b/>
          <w:bCs/>
          <w:color w:val="1F2430"/>
          <w:sz w:val="19"/>
          <w:szCs w:val="19"/>
          <w:rtl/>
        </w:rPr>
        <w:t>רק אם היא מגיעה ראשונה</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"התובע הראשון בוחר ערכאה – לא דין"</w:t>
            </w:r>
          </w:p>
          <w:p>
            <w:pPr>
              <w:bidi/>
              <w:spacing w:before="0" w:after="60" w:line="300" w:lineRule="auto"/>
              <w:jc w:val="both"/>
            </w:pPr>
            <w:r>
              <w:rPr>
                <w:rFonts w:ascii="Arial" w:hAnsi="Arial" w:cs="Arial" w:eastAsia="Arial"/>
                <w:color w:val="1F2430"/>
                <w:sz w:val="18"/>
                <w:szCs w:val="18"/>
                <w:rtl/>
              </w:rPr>
              <w:t xml:space="preserve">מי שפותח ראשון את התיק בוחר </w:t>
            </w:r>
            <w:r>
              <w:rPr>
                <w:rFonts w:ascii="Arial" w:hAnsi="Arial" w:cs="Arial" w:eastAsia="Arial"/>
                <w:b/>
                <w:bCs/>
                <w:color w:val="1F2430"/>
                <w:sz w:val="18"/>
                <w:szCs w:val="18"/>
                <w:rtl/>
              </w:rPr>
              <w:t>את הערכאה</w:t>
            </w:r>
            <w:r>
              <w:rPr>
                <w:rFonts w:ascii="Arial" w:hAnsi="Arial" w:cs="Arial" w:eastAsia="Arial"/>
                <w:color w:val="1F2430"/>
                <w:sz w:val="18"/>
                <w:szCs w:val="18"/>
                <w:rtl/>
              </w:rPr>
              <w:t xml:space="preserve"> בלבד. הדין נקבע לפי חוק (ובהעדר חוק – לפי הכלל "הדין הולך אחר הדיין"). אי אפשר "לבחור" דין אזרחי בענייני מעמד אישי רק משום שפנית לבית המשפט.</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הערה היסטורית</w:t>
            </w:r>
          </w:p>
          <w:p>
            <w:pPr>
              <w:bidi/>
              <w:spacing w:before="0" w:after="60" w:line="300" w:lineRule="auto"/>
              <w:jc w:val="both"/>
            </w:pPr>
            <w:r>
              <w:rPr>
                <w:rFonts w:ascii="Arial" w:hAnsi="Arial" w:cs="Arial" w:eastAsia="Arial"/>
                <w:color w:val="1F2430"/>
                <w:sz w:val="18"/>
                <w:szCs w:val="18"/>
                <w:rtl/>
              </w:rPr>
              <w:t xml:space="preserve">בזמן דבר המלך, ועד 1953, גם בית המשפט האזרחי יכול היה לגרש. חוק שיפוט בתי דין רבניים, התשי״ג-1953, הפך את הנישואין והגירושין של יהודים לסמכות </w:t>
            </w:r>
            <w:r>
              <w:rPr>
                <w:rFonts w:ascii="Arial" w:hAnsi="Arial" w:cs="Arial" w:eastAsia="Arial"/>
                <w:b/>
                <w:bCs/>
                <w:color w:val="1F2430"/>
                <w:sz w:val="18"/>
                <w:szCs w:val="18"/>
                <w:rtl/>
              </w:rPr>
              <w:t>ייחודית</w:t>
            </w:r>
            <w:r>
              <w:rPr>
                <w:rFonts w:ascii="Arial" w:hAnsi="Arial" w:cs="Arial" w:eastAsia="Arial"/>
                <w:color w:val="1F2430"/>
                <w:sz w:val="18"/>
                <w:szCs w:val="18"/>
                <w:rtl/>
              </w:rPr>
              <w:t xml:space="preserve"> של בית הדין הרבני (סעיף 1.5 להלן).</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בתי הדין של העדות האחרות</w:t>
      </w:r>
    </w:p>
    <w:p>
      <w:pPr>
        <w:bidi/>
        <w:spacing w:before="0" w:after="100" w:line="300" w:lineRule="auto"/>
        <w:jc w:val="both"/>
      </w:pPr>
      <w:r>
        <w:rPr>
          <w:rFonts w:ascii="Arial" w:hAnsi="Arial" w:cs="Arial" w:eastAsia="Arial"/>
          <w:color w:val="1F2430"/>
          <w:sz w:val="19"/>
          <w:szCs w:val="19"/>
          <w:rtl/>
        </w:rPr>
        <w:t xml:space="preserve">סימן 51 מדבר על "בתי דין </w:t>
      </w:r>
      <w:r>
        <w:rPr>
          <w:rFonts w:ascii="Arial" w:hAnsi="Arial" w:cs="Arial" w:eastAsia="Arial"/>
          <w:b/>
          <w:bCs/>
          <w:color w:val="1F2430"/>
          <w:sz w:val="19"/>
          <w:szCs w:val="19"/>
          <w:rtl/>
        </w:rPr>
        <w:t>העדות הדתיות</w:t>
      </w:r>
      <w:r>
        <w:rPr>
          <w:rFonts w:ascii="Arial" w:hAnsi="Arial" w:cs="Arial" w:eastAsia="Arial"/>
          <w:color w:val="1F2430"/>
          <w:sz w:val="19"/>
          <w:szCs w:val="19"/>
          <w:rtl/>
        </w:rPr>
        <w:t xml:space="preserve">" – לא רק בית הדין הרבני. לכל עדה רשימת ענייני מעמד אישי משלה, והן </w:t>
      </w:r>
      <w:r>
        <w:rPr>
          <w:rFonts w:ascii="Arial" w:hAnsi="Arial" w:cs="Arial" w:eastAsia="Arial"/>
          <w:b/>
          <w:bCs/>
          <w:color w:val="1F2430"/>
          <w:sz w:val="19"/>
          <w:szCs w:val="19"/>
          <w:rtl/>
        </w:rPr>
        <w:t>אינן זהות</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2268"/>
        <w:gridCol w:w="4742"/>
        <w:gridCol w:w="3195"/>
      </w:tblGrid>
      <w:tr>
        <w:trPr>
          <w:tblHeader/>
        </w:trPr>
        <w:tc>
          <w:tcPr>
            <w:tcW w:type="dxa" w:w="2268"/>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עדה</w:t>
            </w:r>
          </w:p>
        </w:tc>
        <w:tc>
          <w:tcPr>
            <w:tcW w:type="dxa" w:w="474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3195"/>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היקף ענייני המעמד האישי</w:t>
            </w:r>
          </w:p>
        </w:tc>
      </w:tr>
      <w:tr>
        <w:trPr>
          <w:cantSplit/>
        </w:trPr>
        <w:tc>
          <w:tcPr>
            <w:tcW w:type="dxa" w:w="226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יהודים</w:t>
            </w:r>
          </w:p>
        </w:tc>
        <w:tc>
          <w:tcPr>
            <w:tcW w:type="dxa" w:w="47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סימן 51 (ובהמשך חוק שיפוט בתי דין רבניים 1953)</w:t>
            </w:r>
          </w:p>
        </w:tc>
        <w:tc>
          <w:tcPr>
            <w:tcW w:type="dxa" w:w="319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נמכ״א (ועוד כמה עניינים ברשימה)</w:t>
            </w:r>
          </w:p>
        </w:tc>
      </w:tr>
      <w:tr>
        <w:trPr>
          <w:cantSplit/>
        </w:trPr>
        <w:tc>
          <w:tcPr>
            <w:tcW w:type="dxa" w:w="226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מוסלמים</w:t>
            </w:r>
          </w:p>
        </w:tc>
        <w:tc>
          <w:tcPr>
            <w:tcW w:type="dxa" w:w="47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סימן 52 – מפנה לחוק הפרוצדורה העות׳מאני</w:t>
            </w:r>
          </w:p>
        </w:tc>
        <w:tc>
          <w:tcPr>
            <w:tcW w:type="dxa" w:w="319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רשימה ארוכה ביותר; דין שרעי</w:t>
            </w:r>
          </w:p>
        </w:tc>
      </w:tr>
      <w:tr>
        <w:trPr>
          <w:cantSplit/>
        </w:trPr>
        <w:tc>
          <w:tcPr>
            <w:tcW w:type="dxa" w:w="226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נוצרים (העדות המוכרות)</w:t>
            </w:r>
          </w:p>
        </w:tc>
        <w:tc>
          <w:tcPr>
            <w:tcW w:type="dxa" w:w="47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סימן 54</w:t>
            </w:r>
          </w:p>
        </w:tc>
        <w:tc>
          <w:tcPr>
            <w:tcW w:type="dxa" w:w="319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גירושין ומזונות</w:t>
            </w:r>
          </w:p>
        </w:tc>
      </w:tr>
      <w:tr>
        <w:trPr>
          <w:cantSplit/>
        </w:trPr>
        <w:tc>
          <w:tcPr>
            <w:tcW w:type="dxa" w:w="226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דרוזים</w:t>
            </w:r>
          </w:p>
        </w:tc>
        <w:tc>
          <w:tcPr>
            <w:tcW w:type="dxa" w:w="47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מוזכרים לצד שאר בתי הדין הדתיים בישראל</w:t>
            </w:r>
          </w:p>
        </w:tc>
        <w:tc>
          <w:tcPr>
            <w:tcW w:type="dxa" w:w="319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לפי חקיקה ייעודית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גם "הדין האישי" אינו אחיד: על יהודים חל דין תורה, על מוסלמים הדין השרעי, וכן הלאה. במקרים קשים – חסרי דת, "כפולי דת" (אם יהודייה ואב מוסלמי), המרת דת – מתעוררות שאלות השתייכות. כשבני הזוג </w:t>
      </w:r>
      <w:r>
        <w:rPr>
          <w:rFonts w:ascii="Arial" w:hAnsi="Arial" w:cs="Arial" w:eastAsia="Arial"/>
          <w:b/>
          <w:bCs/>
          <w:color w:val="1F2430"/>
          <w:sz w:val="19"/>
          <w:szCs w:val="19"/>
          <w:rtl/>
        </w:rPr>
        <w:t>בני דתות שונות</w:t>
      </w:r>
      <w:r>
        <w:rPr>
          <w:rFonts w:ascii="Arial" w:hAnsi="Arial" w:cs="Arial" w:eastAsia="Arial"/>
          <w:color w:val="1F2430"/>
          <w:sz w:val="19"/>
          <w:szCs w:val="19"/>
          <w:rtl/>
        </w:rPr>
        <w:t xml:space="preserve"> או שיש </w:t>
      </w:r>
      <w:r>
        <w:rPr>
          <w:rFonts w:ascii="Arial" w:hAnsi="Arial" w:cs="Arial" w:eastAsia="Arial"/>
          <w:b/>
          <w:bCs/>
          <w:color w:val="1F2430"/>
          <w:sz w:val="19"/>
          <w:szCs w:val="19"/>
          <w:rtl/>
        </w:rPr>
        <w:t>ספק</w:t>
      </w:r>
      <w:r>
        <w:rPr>
          <w:rFonts w:ascii="Arial" w:hAnsi="Arial" w:cs="Arial" w:eastAsia="Arial"/>
          <w:color w:val="1F2430"/>
          <w:sz w:val="19"/>
          <w:szCs w:val="19"/>
          <w:rtl/>
        </w:rPr>
        <w:t xml:space="preserve"> בדתו של אחד מהם, אין לבית דין דתי אחד סמכות על שניהם (בג״ץ אוה בסן), וההליך נפתח בבית המשפט האזרחי לפי חוק שיפוט בענייני התרת נישואין (מקרים מיוחדים וסמכות בין-לאומית), התשכ״ט-1969 – בית המשפט פונה לראשי בתי הדין הדתיים הנוגעים בדבר כדי לברר אם נדרשים גירושין דתיים (פירוט בפרק 2). יש גם מצבים שבהם ממילא פונים למסלול האזרחי – זוגות להט״ב, חסרי דת וידועים בציבור.</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1.4 דין אישי מול דין טריטוריאלי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דין אישי (סובייקטיבי)</w:t>
            </w:r>
          </w:p>
          <w:p>
            <w:pPr>
              <w:bidi/>
              <w:spacing w:before="0" w:after="60" w:line="300" w:lineRule="auto"/>
              <w:jc w:val="both"/>
            </w:pPr>
            <w:r>
              <w:rPr>
                <w:rFonts w:ascii="Arial" w:hAnsi="Arial" w:cs="Arial" w:eastAsia="Arial"/>
                <w:color w:val="1F2430"/>
                <w:sz w:val="18"/>
                <w:szCs w:val="18"/>
                <w:rtl/>
              </w:rPr>
              <w:t>דין העדה הדתית שאליה משתייך האדם. הוא "נתפר" לפי האדם שעומד מול הערכאה, ולכן אינו אחיד: ליהודים – דין תורה; למוסלמים – הדין השרעי. בענייני נישואין וגירושין של יהודים בישראל – הדין האישי הוא הדין העברי.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דין טריטוריאלי (אזרחי)</w:t>
            </w:r>
          </w:p>
          <w:p>
            <w:pPr>
              <w:bidi/>
              <w:spacing w:before="0" w:after="60" w:line="300" w:lineRule="auto"/>
              <w:jc w:val="both"/>
            </w:pPr>
            <w:r>
              <w:rPr>
                <w:rFonts w:ascii="Arial" w:hAnsi="Arial" w:cs="Arial" w:eastAsia="Arial"/>
                <w:color w:val="1F2430"/>
                <w:sz w:val="18"/>
                <w:szCs w:val="18"/>
                <w:rtl/>
              </w:rPr>
              <w:t>דין אחד, אחיד, שחל על כל מי שנמצא בתחומי המדינה – "עיוור" להשתייכות הדתית. דוגמה מחוץ לתחום: חוק העונשין.</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למה ישראל מחזיקה בדין אישי?</w:t>
      </w:r>
    </w:p>
    <w:p>
      <w:pPr>
        <w:bidi/>
        <w:spacing w:before="0" w:after="100" w:line="300" w:lineRule="auto"/>
        <w:jc w:val="both"/>
      </w:pPr>
      <w:r>
        <w:rPr>
          <w:rFonts w:ascii="Arial" w:hAnsi="Arial" w:cs="Arial" w:eastAsia="Arial"/>
          <w:color w:val="1F2430"/>
          <w:sz w:val="19"/>
          <w:szCs w:val="19"/>
          <w:rtl/>
        </w:rPr>
        <w:t xml:space="preserve">אין מדינה מערבית שמנהלת דיני נישואין וגירושין לפי דין דתי (למעט מדינות מוסלמיות). ההצדקה, בלשונו של </w:t>
      </w:r>
      <w:r>
        <w:rPr>
          <w:rFonts w:ascii="Arial" w:hAnsi="Arial" w:cs="Arial" w:eastAsia="Arial"/>
          <w:b/>
          <w:bCs/>
          <w:color w:val="1F2430"/>
          <w:sz w:val="19"/>
          <w:szCs w:val="19"/>
          <w:rtl/>
        </w:rPr>
        <w:t>השופט זילברג</w:t>
      </w:r>
      <w:r>
        <w:rPr>
          <w:rFonts w:ascii="Arial" w:hAnsi="Arial" w:cs="Arial" w:eastAsia="Arial"/>
          <w:color w:val="1F2430"/>
          <w:sz w:val="19"/>
          <w:szCs w:val="19"/>
          <w:rtl/>
        </w:rPr>
        <w:t>: "מדוע נדונים ענייני המצב האישי על פי החוק הדתי או הלאומי של בעלי הדין? על שום שהסדרם אינו דבר השווה לכל נפש, על שום שעניינים אלה, חוט של הווי ומסורת משוך עליהם, והם שונים ומשתנים עם הבדלי השקפת עולם – השקפות דת, מוסר, תרבות, מסורת, מנהגים וכו׳ של הנוגעים בדבר". ישראל היא מדינה של לאום שבניו באו מכל קצוות תבל.</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מה כפוף לאיזה דין?</w:t>
      </w:r>
    </w:p>
    <w:tbl>
      <w:tblPr>
        <w:tblW w:type="dxa" w:w="10206"/>
        <w:jc w:val="center"/>
        <w:tblLook w:firstColumn="1" w:firstRow="1" w:lastColumn="0" w:lastRow="0" w:noHBand="0" w:noVBand="1" w:val="04A0"/>
        <w:bidiVisual/>
        <w:tblLayout w:type="fixed"/>
      </w:tblPr>
      <w:tblGrid>
        <w:gridCol w:w="2169"/>
        <w:gridCol w:w="4821"/>
        <w:gridCol w:w="3214"/>
      </w:tblGrid>
      <w:tr>
        <w:trPr>
          <w:tblHeader/>
        </w:trPr>
        <w:tc>
          <w:tcPr>
            <w:tcW w:type="dxa" w:w="2170"/>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821"/>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 החל</w:t>
            </w:r>
          </w:p>
        </w:tc>
        <w:tc>
          <w:tcPr>
            <w:tcW w:type="dxa" w:w="3214"/>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r>
      <w:tr>
        <w:trPr>
          <w:cantSplit/>
        </w:trPr>
        <w:tc>
          <w:tcPr>
            <w:tcW w:type="dxa" w:w="217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וגירושין של יהודים</w:t>
            </w:r>
          </w:p>
        </w:tc>
        <w:tc>
          <w:tcPr>
            <w:tcW w:type="dxa" w:w="482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אישי – דין תורה</w:t>
            </w:r>
          </w:p>
        </w:tc>
        <w:tc>
          <w:tcPr>
            <w:tcW w:type="dxa" w:w="321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2 לחוק שיפוט בתי דין רבניים</w:t>
            </w:r>
          </w:p>
        </w:tc>
      </w:tr>
      <w:tr>
        <w:trPr>
          <w:cantSplit/>
        </w:trPr>
        <w:tc>
          <w:tcPr>
            <w:tcW w:type="dxa" w:w="217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מזונות בן זוג (מזונות אישה)</w:t>
            </w:r>
          </w:p>
        </w:tc>
        <w:tc>
          <w:tcPr>
            <w:tcW w:type="dxa" w:w="482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דין אישי</w:t>
            </w:r>
          </w:p>
        </w:tc>
        <w:tc>
          <w:tcPr>
            <w:tcW w:type="dxa" w:w="321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סעיף 2(א) לחוק המזונות; סימן 47</w:t>
            </w:r>
          </w:p>
        </w:tc>
      </w:tr>
      <w:tr>
        <w:trPr>
          <w:cantSplit/>
        </w:trPr>
        <w:tc>
          <w:tcPr>
            <w:tcW w:type="dxa" w:w="217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p>
        </w:tc>
        <w:tc>
          <w:tcPr>
            <w:tcW w:type="dxa" w:w="482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אישי (בפרשנות בע״מ 919/15)</w:t>
            </w:r>
          </w:p>
        </w:tc>
        <w:tc>
          <w:tcPr>
            <w:tcW w:type="dxa" w:w="321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3 לחוק המזונות (פרק 10)</w:t>
            </w:r>
          </w:p>
        </w:tc>
      </w:tr>
      <w:tr>
        <w:trPr>
          <w:cantSplit/>
        </w:trPr>
        <w:tc>
          <w:tcPr>
            <w:tcW w:type="dxa" w:w="217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משמורת וחינוך (אפוטרופסות)</w:t>
            </w:r>
          </w:p>
        </w:tc>
        <w:tc>
          <w:tcPr>
            <w:tcW w:type="dxa" w:w="482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טריטוריאלי – חוק הכשרות המשפטית והאפוטרופסות; לקונה – מדין תורה</w:t>
            </w:r>
          </w:p>
        </w:tc>
        <w:tc>
          <w:tcPr>
            <w:tcW w:type="dxa" w:w="321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חוק מאוחר גובר</w:t>
            </w:r>
          </w:p>
        </w:tc>
      </w:tr>
      <w:tr>
        <w:trPr>
          <w:cantSplit/>
        </w:trPr>
        <w:tc>
          <w:tcPr>
            <w:tcW w:type="dxa" w:w="217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רכוש</w:t>
            </w:r>
          </w:p>
        </w:tc>
        <w:tc>
          <w:tcPr>
            <w:tcW w:type="dxa" w:w="482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טריטוריאלי – חוק יחסי ממון / הלכת השיתוף</w:t>
            </w:r>
          </w:p>
        </w:tc>
        <w:tc>
          <w:tcPr>
            <w:tcW w:type="dxa" w:w="321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הלכת בבלי; סעיף 13(ב) לחוק יחסי ממון</w:t>
            </w:r>
          </w:p>
        </w:tc>
      </w:tr>
      <w:tr>
        <w:trPr>
          <w:cantSplit/>
        </w:trPr>
        <w:tc>
          <w:tcPr>
            <w:tcW w:type="dxa" w:w="217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אימוץ וירושה</w:t>
            </w:r>
          </w:p>
        </w:tc>
        <w:tc>
          <w:tcPr>
            <w:tcW w:type="dxa" w:w="482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טריטוריאלי – אזרחי</w:t>
            </w:r>
          </w:p>
        </w:tc>
        <w:tc>
          <w:tcPr>
            <w:tcW w:type="dxa" w:w="321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חוק אימוץ ילדים; חוק הירושה, התשכ״ה-1965</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אפוטרופסות – ברשימה, אבל טריטוריאלית</w:t>
            </w:r>
          </w:p>
          <w:p>
            <w:pPr>
              <w:bidi/>
              <w:spacing w:before="0" w:after="60" w:line="300" w:lineRule="auto"/>
              <w:jc w:val="both"/>
            </w:pPr>
            <w:r>
              <w:rPr>
                <w:rFonts w:ascii="Arial" w:hAnsi="Arial" w:cs="Arial" w:eastAsia="Arial"/>
                <w:color w:val="1F2430"/>
                <w:sz w:val="18"/>
                <w:szCs w:val="18"/>
                <w:rtl/>
              </w:rPr>
              <w:t xml:space="preserve">אפוטרופסות מופיעה ברשימת ענייני המעמד האישי בסימן 51, ולכן יש בה סמכות לבית הדין הדתי. אולם </w:t>
            </w:r>
            <w:r>
              <w:rPr>
                <w:rFonts w:ascii="Arial" w:hAnsi="Arial" w:cs="Arial" w:eastAsia="Arial"/>
                <w:b/>
                <w:bCs/>
                <w:color w:val="1F2430"/>
                <w:sz w:val="18"/>
                <w:szCs w:val="18"/>
                <w:rtl/>
              </w:rPr>
              <w:t>הדין</w:t>
            </w:r>
            <w:r>
              <w:rPr>
                <w:rFonts w:ascii="Arial" w:hAnsi="Arial" w:cs="Arial" w:eastAsia="Arial"/>
                <w:color w:val="1F2430"/>
                <w:sz w:val="18"/>
                <w:szCs w:val="18"/>
                <w:rtl/>
              </w:rPr>
              <w:t xml:space="preserve"> שחל עליה בפועל הוא חוק הכשרות המשפטית והאפוטרופסות, התשכ״ב-1962 – חוק טריטוריאלי (חוק מאוחר גובר). אם יש בו לקונה, השלמת החסר נעשית מדין תורה – מכוח היות העניין ברשימת ענייני המעמד האישי.</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אימוץ וירושה – יצאו מענייני המעמד האישי</w:t>
      </w:r>
    </w:p>
    <w:p>
      <w:pPr>
        <w:bidi/>
        <w:spacing w:before="0" w:after="100" w:line="300" w:lineRule="auto"/>
        <w:jc w:val="both"/>
      </w:pPr>
      <w:r>
        <w:rPr>
          <w:rFonts w:ascii="Arial" w:hAnsi="Arial" w:cs="Arial" w:eastAsia="Arial"/>
          <w:color w:val="1F2430"/>
          <w:sz w:val="19"/>
          <w:szCs w:val="19"/>
          <w:rtl/>
        </w:rPr>
        <w:t xml:space="preserve">כשהמדינה קמה, </w:t>
      </w:r>
      <w:r>
        <w:rPr>
          <w:rFonts w:ascii="Arial" w:hAnsi="Arial" w:cs="Arial" w:eastAsia="Arial"/>
          <w:b/>
          <w:bCs/>
          <w:color w:val="1F2430"/>
          <w:sz w:val="19"/>
          <w:szCs w:val="19"/>
          <w:rtl/>
        </w:rPr>
        <w:t>אימוץ וירושה היו חלק מענייני המעמד האישי</w:t>
      </w:r>
      <w:r>
        <w:rPr>
          <w:rFonts w:ascii="Arial" w:hAnsi="Arial" w:cs="Arial" w:eastAsia="Arial"/>
          <w:color w:val="1F2430"/>
          <w:sz w:val="19"/>
          <w:szCs w:val="19"/>
          <w:rtl/>
        </w:rPr>
        <w:t xml:space="preserve"> – כלומר: (1) הדין בהם היה דתי, ו-(2) אפשר היה ללכת איתם לשתי הערכאות. חקיקת החוקים הישראליים (חוק הירושה, התשכ״ה-1965, וחוק האימוץ) "העיפה" אותם מרשימת ענייני המעמד האישי, ביטלה את הסמכות המקבילה הרגילה והחילה עליהם </w:t>
      </w:r>
      <w:r>
        <w:rPr>
          <w:rFonts w:ascii="Arial" w:hAnsi="Arial" w:cs="Arial" w:eastAsia="Arial"/>
          <w:b/>
          <w:bCs/>
          <w:color w:val="1F2430"/>
          <w:sz w:val="19"/>
          <w:szCs w:val="19"/>
          <w:rtl/>
        </w:rPr>
        <w:t>דין טריטוריאלי-אזרחי</w:t>
      </w:r>
      <w:r>
        <w:rPr>
          <w:rFonts w:ascii="Arial" w:hAnsi="Arial" w:cs="Arial" w:eastAsia="Arial"/>
          <w:color w:val="1F2430"/>
          <w:sz w:val="19"/>
          <w:szCs w:val="19"/>
          <w:rtl/>
        </w:rPr>
        <w:t xml:space="preserve">. כך, לפי חוק הירושה </w:t>
      </w:r>
      <w:r>
        <w:rPr>
          <w:rFonts w:ascii="Arial" w:hAnsi="Arial" w:cs="Arial" w:eastAsia="Arial"/>
          <w:b/>
          <w:bCs/>
          <w:color w:val="1F2430"/>
          <w:sz w:val="19"/>
          <w:szCs w:val="19"/>
          <w:rtl/>
        </w:rPr>
        <w:t>יש שוויון בין בנים לבנות</w:t>
      </w:r>
      <w:r>
        <w:rPr>
          <w:rFonts w:ascii="Arial" w:hAnsi="Arial" w:cs="Arial" w:eastAsia="Arial"/>
          <w:color w:val="1F2430"/>
          <w:sz w:val="19"/>
          <w:szCs w:val="19"/>
          <w:rtl/>
        </w:rPr>
        <w:t xml:space="preserve"> – בניגוד לדין הדתי.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סעיף 155 לחוק הירושה, התשכ״ה-1965 (עיקרו, כפי שנלמד)</w:t>
            </w:r>
          </w:p>
          <w:p>
            <w:pPr>
              <w:bidi/>
              <w:spacing w:before="0" w:after="60" w:line="300" w:lineRule="auto"/>
              <w:jc w:val="both"/>
            </w:pPr>
            <w:r>
              <w:rPr>
                <w:rFonts w:ascii="Arial" w:hAnsi="Arial" w:cs="Arial" w:eastAsia="Arial"/>
                <w:color w:val="1F2430"/>
                <w:sz w:val="18"/>
                <w:szCs w:val="18"/>
                <w:rtl/>
              </w:rPr>
              <w:t xml:space="preserve">בית דין דתי מוסמך לדון בענייני ירושה </w:t>
            </w:r>
            <w:r>
              <w:rPr>
                <w:rFonts w:ascii="Arial" w:hAnsi="Arial" w:cs="Arial" w:eastAsia="Arial"/>
                <w:b/>
                <w:bCs/>
                <w:color w:val="1F2430"/>
                <w:sz w:val="18"/>
                <w:szCs w:val="18"/>
                <w:rtl/>
              </w:rPr>
              <w:t>רק אם כל הצדדים הנוגעים בדבר הסכימו לכך בכתב</w:t>
            </w:r>
            <w:r>
              <w:rPr>
                <w:rFonts w:ascii="Arial" w:hAnsi="Arial" w:cs="Arial" w:eastAsia="Arial"/>
                <w:color w:val="1F2430"/>
                <w:sz w:val="18"/>
                <w:szCs w:val="18"/>
                <w:rtl/>
              </w:rPr>
              <w:t>. די ביורש אחד שמתנגד – ובית הדין הדתי אינו מוסמך לדון.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ירושה במבחן</w:t>
            </w:r>
          </w:p>
          <w:p>
            <w:pPr>
              <w:bidi/>
              <w:spacing w:before="0" w:after="60" w:line="300" w:lineRule="auto"/>
              <w:jc w:val="both"/>
            </w:pPr>
            <w:r>
              <w:rPr>
                <w:rFonts w:ascii="Arial" w:hAnsi="Arial" w:cs="Arial" w:eastAsia="Arial"/>
                <w:color w:val="1F2430"/>
                <w:sz w:val="18"/>
                <w:szCs w:val="18"/>
                <w:rtl/>
              </w:rPr>
              <w:t xml:space="preserve">הפרופ׳ הבהיר שלא נספיק ללמוד בקורס את דיני הירושה לעומק. מה שחייבים לזכור: ירושה = </w:t>
            </w:r>
            <w:r>
              <w:rPr>
                <w:rFonts w:ascii="Arial" w:hAnsi="Arial" w:cs="Arial" w:eastAsia="Arial"/>
                <w:b/>
                <w:bCs/>
                <w:color w:val="1F2430"/>
                <w:sz w:val="18"/>
                <w:szCs w:val="18"/>
                <w:rtl/>
              </w:rPr>
              <w:t>דין אזרחי</w:t>
            </w:r>
            <w:r>
              <w:rPr>
                <w:rFonts w:ascii="Arial" w:hAnsi="Arial" w:cs="Arial" w:eastAsia="Arial"/>
                <w:color w:val="1F2430"/>
                <w:sz w:val="18"/>
                <w:szCs w:val="18"/>
                <w:rtl/>
              </w:rPr>
              <w:t xml:space="preserve">, בית משפט אזרחי, ובית דין דתי </w:t>
            </w:r>
            <w:r>
              <w:rPr>
                <w:rFonts w:ascii="Arial" w:hAnsi="Arial" w:cs="Arial" w:eastAsia="Arial"/>
                <w:b/>
                <w:bCs/>
                <w:color w:val="1F2430"/>
                <w:sz w:val="18"/>
                <w:szCs w:val="18"/>
                <w:rtl/>
              </w:rPr>
              <w:t>רק בהסכמת כל הצדדים בכתב</w:t>
            </w:r>
            <w:r>
              <w:rPr>
                <w:rFonts w:ascii="Arial" w:hAnsi="Arial" w:cs="Arial" w:eastAsia="Arial"/>
                <w:color w:val="1F2430"/>
                <w:sz w:val="18"/>
                <w:szCs w:val="18"/>
                <w:rtl/>
              </w:rPr>
              <w:t xml:space="preserve"> (סעיף 155).</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הכלל הפסיקתי: "הדין הולך אחר הדיין"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הדין הולך אחר הדיין</w:t>
            </w:r>
          </w:p>
          <w:p>
            <w:pPr>
              <w:bidi/>
              <w:spacing w:before="0" w:after="60" w:line="300" w:lineRule="auto"/>
              <w:jc w:val="both"/>
            </w:pPr>
            <w:r>
              <w:rPr>
                <w:rFonts w:ascii="Arial" w:hAnsi="Arial" w:cs="Arial" w:eastAsia="Arial"/>
                <w:color w:val="1F2430"/>
                <w:sz w:val="18"/>
                <w:szCs w:val="18"/>
                <w:rtl/>
              </w:rPr>
              <w:t xml:space="preserve">כלל פסיקתי של </w:t>
            </w:r>
            <w:r>
              <w:rPr>
                <w:rFonts w:ascii="Arial" w:hAnsi="Arial" w:cs="Arial" w:eastAsia="Arial"/>
                <w:b/>
                <w:bCs/>
                <w:color w:val="1F2430"/>
                <w:sz w:val="18"/>
                <w:szCs w:val="18"/>
                <w:rtl/>
              </w:rPr>
              <w:t>ברירת מחדל</w:t>
            </w:r>
            <w:r>
              <w:rPr>
                <w:rFonts w:ascii="Arial" w:hAnsi="Arial" w:cs="Arial" w:eastAsia="Arial"/>
                <w:color w:val="1F2430"/>
                <w:sz w:val="18"/>
                <w:szCs w:val="18"/>
                <w:rtl/>
              </w:rPr>
              <w:t>: כשאין הוראת חוק שקובעת איזה דין יחול – הערכאה מכתיבה את הדין. בית דין דתי יפעיל דין דתי, ובית משפט אזרחי יפעיל דין אזרחי.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הכלל אינו חל תמיד: </w:t>
      </w:r>
      <w:r>
        <w:rPr>
          <w:rFonts w:ascii="Arial" w:hAnsi="Arial" w:cs="Arial" w:eastAsia="Arial"/>
          <w:b/>
          <w:bCs/>
          <w:color w:val="1F2430"/>
          <w:sz w:val="19"/>
          <w:szCs w:val="19"/>
          <w:rtl/>
        </w:rPr>
        <w:t>כאשר יש הוראת חוק ספציפית – פועלים לפיה</w:t>
      </w:r>
      <w:r>
        <w:rPr>
          <w:rFonts w:ascii="Arial" w:hAnsi="Arial" w:cs="Arial" w:eastAsia="Arial"/>
          <w:color w:val="1F2430"/>
          <w:sz w:val="19"/>
          <w:szCs w:val="19"/>
          <w:rtl/>
        </w:rPr>
        <w:t xml:space="preserve">. לכן במזונות אישה (סעיף 2(א) לחוק המזונות) הדין האישי חל בשתי הערכאות. ובענייני רכוש הלכת בבלי </w:t>
      </w:r>
      <w:r>
        <w:rPr>
          <w:rFonts w:ascii="Arial" w:hAnsi="Arial" w:cs="Arial" w:eastAsia="Arial"/>
          <w:b/>
          <w:bCs/>
          <w:color w:val="1F2430"/>
          <w:sz w:val="19"/>
          <w:szCs w:val="19"/>
          <w:rtl/>
        </w:rPr>
        <w:t>הפכה</w:t>
      </w:r>
      <w:r>
        <w:rPr>
          <w:rFonts w:ascii="Arial" w:hAnsi="Arial" w:cs="Arial" w:eastAsia="Arial"/>
          <w:color w:val="1F2430"/>
          <w:sz w:val="19"/>
          <w:szCs w:val="19"/>
          <w:rtl/>
        </w:rPr>
        <w:t xml:space="preserve"> את הכלל: "</w:t>
      </w:r>
      <w:r>
        <w:rPr>
          <w:rFonts w:ascii="Arial" w:hAnsi="Arial" w:cs="Arial" w:eastAsia="Arial"/>
          <w:b/>
          <w:bCs/>
          <w:color w:val="1F2430"/>
          <w:sz w:val="19"/>
          <w:szCs w:val="19"/>
          <w:rtl/>
        </w:rPr>
        <w:t>הדיין הולך אחר הדין</w:t>
      </w:r>
      <w:r>
        <w:rPr>
          <w:rFonts w:ascii="Arial" w:hAnsi="Arial" w:cs="Arial" w:eastAsia="Arial"/>
          <w:color w:val="1F2430"/>
          <w:sz w:val="19"/>
          <w:szCs w:val="19"/>
          <w:rtl/>
        </w:rPr>
        <w:t>" (סעיף 1.6).</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1.5 חוק שיפוט בתי דין רבניים (נישואין וגירושין), התשי״ג-1953 – תמונת על</w:t>
      </w:r>
    </w:p>
    <w:p>
      <w:pPr>
        <w:bidi/>
        <w:spacing w:before="0" w:after="100" w:line="300" w:lineRule="auto"/>
        <w:jc w:val="both"/>
      </w:pPr>
      <w:r>
        <w:rPr>
          <w:rFonts w:ascii="Arial" w:hAnsi="Arial" w:cs="Arial" w:eastAsia="Arial"/>
          <w:color w:val="1F2430"/>
          <w:sz w:val="19"/>
          <w:szCs w:val="19"/>
          <w:rtl/>
        </w:rPr>
        <w:t>ב-1953 המדינה "תפרה" חוק ליהודים שמוציא אותם מתחת לדבר המלך. החוק נלמד לעומק בפרקים 2–4; כאן – המפה הכללית.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סעיף 1 – סמכות ייחודית</w:t>
            </w:r>
          </w:p>
          <w:p>
            <w:pPr>
              <w:bidi/>
              <w:spacing w:before="0" w:after="60" w:line="300" w:lineRule="auto"/>
              <w:jc w:val="both"/>
            </w:pPr>
            <w:r>
              <w:rPr>
                <w:rFonts w:ascii="Arial" w:hAnsi="Arial" w:cs="Arial" w:eastAsia="Arial"/>
                <w:color w:val="1F2430"/>
                <w:sz w:val="18"/>
                <w:szCs w:val="18"/>
                <w:rtl/>
              </w:rPr>
              <w:t>"ענייני נישואין וגירושין של יהודים בישראל, אזרחי המדינה או תושביה, יהיו בשיפוטם הייחודי של בתי דין רבניים."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ארבעה תנאים </w:t>
      </w:r>
      <w:r>
        <w:rPr>
          <w:rFonts w:ascii="Arial" w:hAnsi="Arial" w:cs="Arial" w:eastAsia="Arial"/>
          <w:b/>
          <w:bCs/>
          <w:color w:val="1F2430"/>
          <w:sz w:val="19"/>
          <w:szCs w:val="19"/>
          <w:rtl/>
        </w:rPr>
        <w:t>מצטברים</w:t>
      </w:r>
      <w:r>
        <w:rPr>
          <w:rFonts w:ascii="Arial" w:hAnsi="Arial" w:cs="Arial" w:eastAsia="Arial"/>
          <w:color w:val="1F2430"/>
          <w:sz w:val="19"/>
          <w:szCs w:val="19"/>
          <w:rtl/>
        </w:rPr>
        <w:t xml:space="preserve">: (1) ענייני נישואין וגירושין; (2) של יהודים – </w:t>
      </w:r>
      <w:r>
        <w:rPr>
          <w:rFonts w:ascii="Arial" w:hAnsi="Arial" w:cs="Arial" w:eastAsia="Arial"/>
          <w:b/>
          <w:bCs/>
          <w:color w:val="1F2430"/>
          <w:sz w:val="19"/>
          <w:szCs w:val="19"/>
          <w:rtl/>
        </w:rPr>
        <w:t>שני</w:t>
      </w:r>
      <w:r>
        <w:rPr>
          <w:rFonts w:ascii="Arial" w:hAnsi="Arial" w:cs="Arial" w:eastAsia="Arial"/>
          <w:color w:val="1F2430"/>
          <w:sz w:val="19"/>
          <w:szCs w:val="19"/>
          <w:rtl/>
        </w:rPr>
        <w:t xml:space="preserve"> בני הזוג; (3) בישראל; (4) אזרחי המדינה או תושביה. די בתנאי אחד שחסר – וסעיף 1 אינו חל (וצריך לחפש מקור סמכות אחר). פירוט התנאים, נוכחות קונסטרוקטיבית וסעיף 4א – בפרק 2.</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סעיף 2 – ברירת הדין</w:t>
            </w:r>
          </w:p>
          <w:p>
            <w:pPr>
              <w:bidi/>
              <w:spacing w:before="0" w:after="60" w:line="300" w:lineRule="auto"/>
              <w:jc w:val="both"/>
            </w:pPr>
            <w:r>
              <w:rPr>
                <w:rFonts w:ascii="Arial" w:hAnsi="Arial" w:cs="Arial" w:eastAsia="Arial"/>
                <w:color w:val="1F2430"/>
                <w:sz w:val="18"/>
                <w:szCs w:val="18"/>
                <w:rtl/>
              </w:rPr>
              <w:t>"נישואין וגירושין של יהודים ייערכו בישראל על פי דין תורה."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סעיף 2 עוסק </w:t>
      </w:r>
      <w:r>
        <w:rPr>
          <w:rFonts w:ascii="Arial" w:hAnsi="Arial" w:cs="Arial" w:eastAsia="Arial"/>
          <w:b/>
          <w:bCs/>
          <w:color w:val="1F2430"/>
          <w:sz w:val="19"/>
          <w:szCs w:val="19"/>
          <w:rtl/>
        </w:rPr>
        <w:t>בברירת הדין</w:t>
      </w:r>
      <w:r>
        <w:rPr>
          <w:rFonts w:ascii="Arial" w:hAnsi="Arial" w:cs="Arial" w:eastAsia="Arial"/>
          <w:color w:val="1F2430"/>
          <w:sz w:val="19"/>
          <w:szCs w:val="19"/>
          <w:rtl/>
        </w:rPr>
        <w:t xml:space="preserve"> ולא בסמכות: אחרי שנקבע שלבית הדין יש סמכות, הוא קובע שהנישואין והגירושין ייערכו לפי דין תורה.</w:t>
      </w:r>
    </w:p>
    <w:p>
      <w:pPr>
        <w:bidi/>
        <w:spacing w:before="0" w:after="100" w:line="300" w:lineRule="auto"/>
        <w:jc w:val="both"/>
      </w:pPr>
      <w:r>
        <w:rPr>
          <w:rFonts w:ascii="Arial" w:hAnsi="Arial" w:cs="Arial" w:eastAsia="Arial"/>
          <w:b/>
          <w:bCs/>
          <w:color w:val="1F2430"/>
          <w:sz w:val="19"/>
          <w:szCs w:val="19"/>
          <w:rtl/>
        </w:rPr>
        <w:t>האם המחוקק שינה את המצב?</w:t>
      </w:r>
      <w:r>
        <w:rPr>
          <w:rFonts w:ascii="Arial" w:hAnsi="Arial" w:cs="Arial" w:eastAsia="Arial"/>
          <w:color w:val="1F2430"/>
          <w:sz w:val="19"/>
          <w:szCs w:val="19"/>
          <w:rtl/>
        </w:rPr>
        <w:t xml:space="preserve"> כן. עד 1953 אפשר היה לקחת תיק גירושין לבית משפט; מאז – רק לבית הדין הרבני. כלומר:</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נישואין וגירושין</w:t>
      </w:r>
      <w:r>
        <w:rPr>
          <w:rFonts w:ascii="Arial" w:hAnsi="Arial" w:cs="Arial" w:eastAsia="Arial"/>
          <w:color w:val="1F2430"/>
          <w:sz w:val="19"/>
          <w:szCs w:val="19"/>
          <w:rtl/>
        </w:rPr>
        <w:t xml:space="preserve"> – סמכות </w:t>
      </w:r>
      <w:r>
        <w:rPr>
          <w:rFonts w:ascii="Arial" w:hAnsi="Arial" w:cs="Arial" w:eastAsia="Arial"/>
          <w:color w:val="1F2430"/>
          <w:sz w:val="19"/>
          <w:szCs w:val="19"/>
          <w:highlight w:val="yellow"/>
          <w:rtl/>
        </w:rPr>
        <w:t>ייחודית</w:t>
      </w:r>
      <w:r>
        <w:rPr>
          <w:rFonts w:ascii="Arial" w:hAnsi="Arial" w:cs="Arial" w:eastAsia="Arial"/>
          <w:color w:val="1F2430"/>
          <w:sz w:val="19"/>
          <w:szCs w:val="19"/>
          <w:rtl/>
        </w:rPr>
        <w:t xml:space="preserve"> לבית הדין הרבני.</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מזונות, כלכלה ואפוטרופסות</w:t>
      </w:r>
      <w:r>
        <w:rPr>
          <w:rFonts w:ascii="Arial" w:hAnsi="Arial" w:cs="Arial" w:eastAsia="Arial"/>
          <w:color w:val="1F2430"/>
          <w:sz w:val="19"/>
          <w:szCs w:val="19"/>
          <w:rtl/>
        </w:rPr>
        <w:t xml:space="preserve"> – נשארו בסמכות </w:t>
      </w:r>
      <w:r>
        <w:rPr>
          <w:rFonts w:ascii="Arial" w:hAnsi="Arial" w:cs="Arial" w:eastAsia="Arial"/>
          <w:color w:val="1F2430"/>
          <w:sz w:val="19"/>
          <w:szCs w:val="19"/>
          <w:highlight w:val="yellow"/>
          <w:rtl/>
        </w:rPr>
        <w:t>מקבילה</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האם עדיין יש מירוץ?</w:t>
      </w:r>
      <w:r>
        <w:rPr>
          <w:rFonts w:ascii="Arial" w:hAnsi="Arial" w:cs="Arial" w:eastAsia="Arial"/>
          <w:color w:val="1F2430"/>
          <w:sz w:val="19"/>
          <w:szCs w:val="19"/>
          <w:rtl/>
        </w:rPr>
        <w:t xml:space="preserve"> כן. אחרי החוק מירוץ הסמכויות לא נעלם – הוא </w:t>
      </w:r>
      <w:r>
        <w:rPr>
          <w:rFonts w:ascii="Arial" w:hAnsi="Arial" w:cs="Arial" w:eastAsia="Arial"/>
          <w:b/>
          <w:bCs/>
          <w:color w:val="1F2430"/>
          <w:sz w:val="19"/>
          <w:szCs w:val="19"/>
          <w:rtl/>
        </w:rPr>
        <w:t>הצטמצם לנושאים שבסמכות מקבילה</w:t>
      </w:r>
      <w:r>
        <w:rPr>
          <w:rFonts w:ascii="Arial" w:hAnsi="Arial" w:cs="Arial" w:eastAsia="Arial"/>
          <w:color w:val="1F2430"/>
          <w:sz w:val="19"/>
          <w:szCs w:val="19"/>
          <w:rtl/>
        </w:rPr>
        <w:t xml:space="preserve">. על תביעת הגירושין עצמה </w:t>
      </w:r>
      <w:r>
        <w:rPr>
          <w:rFonts w:ascii="Arial" w:hAnsi="Arial" w:cs="Arial" w:eastAsia="Arial"/>
          <w:b/>
          <w:bCs/>
          <w:color w:val="1F2430"/>
          <w:sz w:val="19"/>
          <w:szCs w:val="19"/>
          <w:rtl/>
        </w:rPr>
        <w:t>אין מירוץ</w:t>
      </w:r>
      <w:r>
        <w:rPr>
          <w:rFonts w:ascii="Arial" w:hAnsi="Arial" w:cs="Arial" w:eastAsia="Arial"/>
          <w:color w:val="1F2430"/>
          <w:sz w:val="19"/>
          <w:szCs w:val="19"/>
          <w:rtl/>
        </w:rPr>
        <w:t xml:space="preserve"> – היא תתנהל בכל מקרה רק בבית הדין הרבני, ואפשר להגישה גם בסוף. אישה יכולה לפתוח את כל התיקים הנלווים בבית המשפט בלי לפתוח בכלל תביעת גירושין.</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ענייני נישואין מול ענייני ממון – פס״ד סידיס (בקצרה)</w:t>
      </w:r>
    </w:p>
    <w:p>
      <w:pPr>
        <w:bidi/>
        <w:spacing w:before="0" w:after="100" w:line="300" w:lineRule="auto"/>
        <w:jc w:val="both"/>
      </w:pPr>
      <w:r>
        <w:rPr>
          <w:rFonts w:ascii="Arial" w:hAnsi="Arial" w:cs="Arial" w:eastAsia="Arial"/>
          <w:color w:val="1F2430"/>
          <w:sz w:val="19"/>
          <w:szCs w:val="19"/>
          <w:rtl/>
        </w:rPr>
        <w:t>"ענייני נישואין" הם עצם הקשר: הצהרה על תוקף הנישואין, רווקות, טקס שנערך בצחוק (טבעת פלסטיק ו"הרי את..." – רק בית הדין הרבני יברר אם תפס), כשרות להינשא, כשרות העדים (רק בית הדין קובע – בג״ץ לא יתערב בכך), שלום בית, מורד ומורדת. "ענייני גירושין": תביעת גירושין, תוקף גירושין, סידור גט.</w:t>
      </w:r>
    </w:p>
    <w:p>
      <w:pPr>
        <w:bidi/>
        <w:spacing w:before="0" w:after="100" w:line="300" w:lineRule="auto"/>
        <w:jc w:val="both"/>
      </w:pPr>
      <w:r>
        <w:rPr>
          <w:rFonts w:ascii="Arial" w:hAnsi="Arial" w:cs="Arial" w:eastAsia="Arial"/>
          <w:color w:val="1F2430"/>
          <w:sz w:val="19"/>
          <w:szCs w:val="19"/>
          <w:rtl/>
        </w:rPr>
        <w:t xml:space="preserve">לפי </w:t>
      </w:r>
      <w:r>
        <w:rPr>
          <w:rFonts w:ascii="Arial" w:hAnsi="Arial" w:cs="Arial" w:eastAsia="Arial"/>
          <w:b/>
          <w:bCs/>
          <w:color w:val="1F2430"/>
          <w:sz w:val="19"/>
          <w:szCs w:val="19"/>
          <w:rtl/>
        </w:rPr>
        <w:t>פס״ד סידיס</w:t>
      </w:r>
      <w:r>
        <w:rPr>
          <w:rFonts w:ascii="Arial" w:hAnsi="Arial" w:cs="Arial" w:eastAsia="Arial"/>
          <w:color w:val="1F2430"/>
          <w:sz w:val="19"/>
          <w:szCs w:val="19"/>
          <w:rtl/>
        </w:rPr>
        <w:t xml:space="preserve"> – "</w:t>
      </w:r>
      <w:r>
        <w:rPr>
          <w:rFonts w:ascii="Arial" w:hAnsi="Arial" w:cs="Arial" w:eastAsia="Arial"/>
          <w:b/>
          <w:bCs/>
          <w:color w:val="1F2430"/>
          <w:sz w:val="19"/>
          <w:szCs w:val="19"/>
          <w:rtl/>
        </w:rPr>
        <w:t>נשרו</w:t>
      </w:r>
      <w:r>
        <w:rPr>
          <w:rFonts w:ascii="Arial" w:hAnsi="Arial" w:cs="Arial" w:eastAsia="Arial"/>
          <w:color w:val="1F2430"/>
          <w:sz w:val="19"/>
          <w:szCs w:val="19"/>
          <w:rtl/>
        </w:rPr>
        <w:t xml:space="preserve">" ענייני הממון מענייני הנישואין: חלוקת רכוש, זכויות כספיות וסכסוכי ממון אינם חלק מהסמכות הייחודית. </w:t>
      </w:r>
      <w:r>
        <w:rPr>
          <w:rFonts w:ascii="Arial" w:hAnsi="Arial" w:cs="Arial" w:eastAsia="Arial"/>
          <w:b/>
          <w:bCs/>
          <w:color w:val="1F2430"/>
          <w:sz w:val="19"/>
          <w:szCs w:val="19"/>
          <w:rtl/>
        </w:rPr>
        <w:t>החריג: הכתובה</w:t>
      </w:r>
      <w:r>
        <w:rPr>
          <w:rFonts w:ascii="Arial" w:hAnsi="Arial" w:cs="Arial" w:eastAsia="Arial"/>
          <w:color w:val="1F2430"/>
          <w:sz w:val="19"/>
          <w:szCs w:val="19"/>
          <w:rtl/>
        </w:rPr>
        <w:t xml:space="preserve"> – זכות שמקורה בדין הדתי, ולכן נשארה בסמכות </w:t>
      </w:r>
      <w:r>
        <w:rPr>
          <w:rFonts w:ascii="Arial" w:hAnsi="Arial" w:cs="Arial" w:eastAsia="Arial"/>
          <w:b/>
          <w:bCs/>
          <w:color w:val="1F2430"/>
          <w:sz w:val="19"/>
          <w:szCs w:val="19"/>
          <w:rtl/>
        </w:rPr>
        <w:t>ייחודית</w:t>
      </w:r>
      <w:r>
        <w:rPr>
          <w:rFonts w:ascii="Arial" w:hAnsi="Arial" w:cs="Arial" w:eastAsia="Arial"/>
          <w:color w:val="1F2430"/>
          <w:sz w:val="19"/>
          <w:szCs w:val="19"/>
          <w:rtl/>
        </w:rPr>
        <w:t xml:space="preserve"> של בית הדין הרבני (פירוט בפרק 2).</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שאר הסעיפים – "דלתות הכניסה" לבית הדין</w:t>
      </w:r>
    </w:p>
    <w:tbl>
      <w:tblPr>
        <w:tblW w:type="dxa" w:w="10206"/>
        <w:jc w:val="center"/>
        <w:tblLook w:firstColumn="1" w:firstRow="1" w:lastColumn="0" w:lastRow="0" w:noHBand="0" w:noVBand="1" w:val="04A0"/>
        <w:bidiVisual/>
        <w:tblLayout w:type="fixed"/>
      </w:tblPr>
      <w:tblGrid>
        <w:gridCol w:w="1432"/>
        <w:gridCol w:w="7341"/>
        <w:gridCol w:w="1432"/>
      </w:tblGrid>
      <w:tr>
        <w:trPr>
          <w:tblHeader/>
        </w:trPr>
        <w:tc>
          <w:tcPr>
            <w:tcW w:type="dxa" w:w="143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7340"/>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הוא קובע</w:t>
            </w:r>
          </w:p>
        </w:tc>
        <w:tc>
          <w:tcPr>
            <w:tcW w:type="dxa" w:w="143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פרק</w:t>
            </w:r>
          </w:p>
        </w:tc>
      </w:tr>
      <w:tr>
        <w:trPr>
          <w:cantSplit/>
        </w:trPr>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734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ייחודית בנישואין וגירושין</w:t>
            </w:r>
          </w:p>
        </w:tc>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2</w:t>
            </w:r>
          </w:p>
        </w:tc>
        <w:tc>
          <w:tcPr>
            <w:tcW w:type="dxa" w:w="734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ברירת דין – דין תורה</w:t>
            </w:r>
          </w:p>
        </w:tc>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1–2</w:t>
            </w:r>
          </w:p>
        </w:tc>
      </w:tr>
      <w:tr>
        <w:trPr>
          <w:cantSplit/>
        </w:trPr>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w:t>
            </w:r>
          </w:p>
        </w:tc>
        <w:tc>
          <w:tcPr>
            <w:tcW w:type="dxa" w:w="734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כריכה: עניין הכרוך בתביעת גירושין</w:t>
            </w:r>
          </w:p>
        </w:tc>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3</w:t>
            </w:r>
          </w:p>
        </w:tc>
      </w:tr>
      <w:tr>
        <w:trPr>
          <w:cantSplit/>
        </w:trPr>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4</w:t>
            </w:r>
          </w:p>
        </w:tc>
        <w:tc>
          <w:tcPr>
            <w:tcW w:type="dxa" w:w="734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מזונות אישה שלא אגב גירושין – לבקשת האישה</w:t>
            </w:r>
          </w:p>
        </w:tc>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3, 6</w:t>
            </w:r>
          </w:p>
        </w:tc>
      </w:tr>
      <w:tr>
        <w:trPr>
          <w:cantSplit/>
        </w:trPr>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4א, 4ב</w:t>
            </w:r>
          </w:p>
        </w:tc>
        <w:tc>
          <w:tcPr>
            <w:tcW w:type="dxa" w:w="734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בין-לאומית בגירושין</w:t>
            </w:r>
          </w:p>
        </w:tc>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9</w:t>
            </w:r>
          </w:p>
        </w:tc>
        <w:tc>
          <w:tcPr>
            <w:tcW w:type="dxa" w:w="734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סמכות בהסכמה בענייני מעמד אישי</w:t>
            </w:r>
          </w:p>
        </w:tc>
        <w:tc>
          <w:tcPr>
            <w:tcW w:type="dxa" w:w="143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4</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1.6 כפיפות בתי הדין הדתיים לחקיקה האזרחית</w:t>
      </w:r>
    </w:p>
    <w:p>
      <w:pPr>
        <w:bidi/>
        <w:spacing w:before="0" w:after="100" w:line="300" w:lineRule="auto"/>
        <w:jc w:val="both"/>
      </w:pPr>
      <w:r>
        <w:rPr>
          <w:rFonts w:ascii="Arial" w:hAnsi="Arial" w:cs="Arial" w:eastAsia="Arial"/>
          <w:color w:val="1F2430"/>
          <w:sz w:val="19"/>
          <w:szCs w:val="19"/>
          <w:rtl/>
        </w:rPr>
        <w:t xml:space="preserve">בתי הדין הדתיים הם </w:t>
      </w:r>
      <w:r>
        <w:rPr>
          <w:rFonts w:ascii="Arial" w:hAnsi="Arial" w:cs="Arial" w:eastAsia="Arial"/>
          <w:b/>
          <w:bCs/>
          <w:color w:val="1F2430"/>
          <w:sz w:val="19"/>
          <w:szCs w:val="19"/>
          <w:rtl/>
        </w:rPr>
        <w:t>גופים ממלכתיים</w:t>
      </w:r>
      <w:r>
        <w:rPr>
          <w:rFonts w:ascii="Arial" w:hAnsi="Arial" w:cs="Arial" w:eastAsia="Arial"/>
          <w:color w:val="1F2430"/>
          <w:sz w:val="19"/>
          <w:szCs w:val="19"/>
          <w:rtl/>
        </w:rPr>
        <w:t xml:space="preserve"> שסמכותם נובעת מחוק. לכן הם כפופים לחקיקת הכנסת כשהיא פונה אליהם. מבחינת הדין הדתי עצמו, "עובר יותר טוב בגרון" לקבל נורמה שבאה מחוק ("דינא דמלכותא דינא") מאשר נורמה שנוצרה בפסיקה – וזה בדיוק לב המתח בפרשת בבלי.</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חוק שיווי זכויות האישה, התשי״א-1951</w:t>
      </w:r>
    </w:p>
    <w:p>
      <w:pPr>
        <w:bidi/>
        <w:spacing w:before="0" w:after="100" w:line="300" w:lineRule="auto"/>
        <w:jc w:val="both"/>
      </w:pPr>
      <w:r>
        <w:rPr>
          <w:rFonts w:ascii="Arial" w:hAnsi="Arial" w:cs="Arial" w:eastAsia="Arial"/>
          <w:color w:val="1F2430"/>
          <w:sz w:val="19"/>
          <w:szCs w:val="19"/>
          <w:rtl/>
        </w:rPr>
        <w:t>החוק נחקק בקום המדינה כדי לאותת לעולים מכל התפוצות על עקרון השוויון: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שיווי זכויות האישה – סעיף 1 (בנוסחו כיום סעיף 1א(א), שוויון לפני החוק)</w:t>
            </w:r>
          </w:p>
          <w:p>
            <w:pPr>
              <w:bidi/>
              <w:spacing w:before="0" w:after="60" w:line="300" w:lineRule="auto"/>
              <w:jc w:val="both"/>
            </w:pPr>
            <w:r>
              <w:rPr>
                <w:rFonts w:ascii="Arial" w:hAnsi="Arial" w:cs="Arial" w:eastAsia="Arial"/>
                <w:color w:val="1F2430"/>
                <w:sz w:val="18"/>
                <w:szCs w:val="18"/>
                <w:rtl/>
              </w:rPr>
              <w:t>"דין אחד יהיה לאשה ולאיש לכל פעולה משפטית..."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שיווי זכויות האישה – סעיף 2 (קניניה של אשה נשואה)</w:t>
            </w:r>
          </w:p>
          <w:p>
            <w:pPr>
              <w:bidi/>
              <w:spacing w:before="0" w:after="60" w:line="300" w:lineRule="auto"/>
              <w:jc w:val="both"/>
            </w:pPr>
            <w:r>
              <w:rPr>
                <w:rFonts w:ascii="Arial" w:hAnsi="Arial" w:cs="Arial" w:eastAsia="Arial"/>
                <w:color w:val="1F2430"/>
                <w:sz w:val="18"/>
                <w:szCs w:val="18"/>
                <w:rtl/>
              </w:rPr>
              <w:t>"לאשה נשואה תהיה כשרות מלאה לקנין ולעשיה בקנינים כאילו היתה פנויה; ואין קניניה שרכשה לפני הנישואין נפגעים על ידי קשר הנישואין."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הסעיף יצא נגד הכלל ההלכתי (ובדומה המוסלמי) "מה שקנתה אישה – קנה בעלה", ונגד ניהול נכסי "צאן ברזל" בידי הבעל. הפסיקה הבינה ממנו שהמחוקק "צועק": </w:t>
      </w:r>
      <w:r>
        <w:rPr>
          <w:rFonts w:ascii="Arial" w:hAnsi="Arial" w:cs="Arial" w:eastAsia="Arial"/>
          <w:b/>
          <w:bCs/>
          <w:color w:val="1F2430"/>
          <w:sz w:val="19"/>
          <w:szCs w:val="19"/>
          <w:rtl/>
        </w:rPr>
        <w:t>לא לנהל רכוש לפי דין דתי</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שיווי זכויות האישה – סעיף 7(ב) (תחולה)</w:t>
            </w:r>
          </w:p>
          <w:p>
            <w:pPr>
              <w:bidi/>
              <w:spacing w:before="0" w:after="60" w:line="300" w:lineRule="auto"/>
              <w:jc w:val="both"/>
            </w:pPr>
            <w:r>
              <w:rPr>
                <w:rFonts w:ascii="Arial" w:hAnsi="Arial" w:cs="Arial" w:eastAsia="Arial"/>
                <w:color w:val="1F2430"/>
                <w:sz w:val="18"/>
                <w:szCs w:val="18"/>
                <w:rtl/>
              </w:rPr>
              <w:t>"...כן ינהג לפי חוק זה כל בית דין המוסמך לדון בעניני המעמד האישי..."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כלומר: כל בתי הדין הדתיים בישראל – יהודים, מוסלמים, נוצרים ודרוזים – חייבים להפעיל את החוק ולהקפיד על שוויון. בנוסף, סעיף 3(א) לחוק קובע ששני ההורים הם האפוטרופסים הטבעיים של ילדיהם, וסעיף 3(ב) מסמיך את בית המשפט </w:t>
      </w:r>
      <w:r>
        <w:rPr>
          <w:rFonts w:ascii="Arial" w:hAnsi="Arial" w:cs="Arial" w:eastAsia="Arial"/>
          <w:b/>
          <w:bCs/>
          <w:color w:val="1F2430"/>
          <w:sz w:val="19"/>
          <w:szCs w:val="19"/>
          <w:rtl/>
        </w:rPr>
        <w:t>או בית הדין</w:t>
      </w:r>
      <w:r>
        <w:rPr>
          <w:rFonts w:ascii="Arial" w:hAnsi="Arial" w:cs="Arial" w:eastAsia="Arial"/>
          <w:color w:val="1F2430"/>
          <w:sz w:val="19"/>
          <w:szCs w:val="19"/>
          <w:rtl/>
        </w:rPr>
        <w:t xml:space="preserve"> לנהוג בענייני אפוטרופסות, על הגוף ועל הרכוש, לפי טובת הילדים בלבד (ראו פרק 10).</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1000/92 בבלי נ׳ בית הדין הרבני הגדול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נישאו ב-1957, שלושה ילדים; הבעל טייס בחברה אזרחית, המשפחה מבוססת (דירה בגבעתיים, וילה בסביון). האישה הפסיקה לעבוד כמורה כדי לגדל את הילדים. אחרי כשלושים שנה הבעל תבע גירושין בבית הדין הרבני וכרך מזונות ורכוש – ו</w:t>
            </w:r>
            <w:r>
              <w:rPr>
                <w:rFonts w:ascii="Arial" w:hAnsi="Arial" w:cs="Arial" w:eastAsia="Arial"/>
                <w:b/>
                <w:bCs/>
                <w:color w:val="1F2430"/>
                <w:sz w:val="18"/>
                <w:szCs w:val="18"/>
                <w:rtl/>
              </w:rPr>
              <w:t>נתן גט</w:t>
            </w:r>
            <w:r>
              <w:rPr>
                <w:rFonts w:ascii="Arial" w:hAnsi="Arial" w:cs="Arial" w:eastAsia="Arial"/>
                <w:color w:val="1F2430"/>
                <w:sz w:val="18"/>
                <w:szCs w:val="18"/>
                <w:rtl/>
              </w:rPr>
              <w:t xml:space="preserve"> עוד לפני חלוקת הרכוש. ניסיון האישה להעביר את הרכוש לבית המשפט נכשל: הגט הוכיח שהתביעה כנה. בית הדין חילק לפי דיני קניין רגילים – לפי הרישום – והכול היה רשום על שם הבעל: 100-0. בית הדין הגדול אישר; בית הדין טען שזה "שוויון" – לו הכול היה רשום על שם האישה, היא הייתה מקבלת הכול.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 ברק – זהו </w:t>
            </w:r>
            <w:r>
              <w:rPr>
                <w:rFonts w:ascii="Arial" w:hAnsi="Arial" w:cs="Arial" w:eastAsia="Arial"/>
                <w:b/>
                <w:bCs/>
                <w:color w:val="1F2430"/>
                <w:sz w:val="18"/>
                <w:szCs w:val="18"/>
                <w:rtl/>
              </w:rPr>
              <w:t>שוויון פורמלי</w:t>
            </w:r>
            <w:r>
              <w:rPr>
                <w:rFonts w:ascii="Arial" w:hAnsi="Arial" w:cs="Arial" w:eastAsia="Arial"/>
                <w:color w:val="1F2430"/>
                <w:sz w:val="18"/>
                <w:szCs w:val="18"/>
                <w:rtl/>
              </w:rPr>
              <w:t xml:space="preserve">; נדרש </w:t>
            </w:r>
            <w:r>
              <w:rPr>
                <w:rFonts w:ascii="Arial" w:hAnsi="Arial" w:cs="Arial" w:eastAsia="Arial"/>
                <w:b/>
                <w:bCs/>
                <w:color w:val="1F2430"/>
                <w:sz w:val="18"/>
                <w:szCs w:val="18"/>
                <w:rtl/>
              </w:rPr>
              <w:t>שוויון מהותי</w:t>
            </w:r>
            <w:r>
              <w:rPr>
                <w:rFonts w:ascii="Arial" w:hAnsi="Arial" w:cs="Arial" w:eastAsia="Arial"/>
                <w:color w:val="1F2430"/>
                <w:sz w:val="18"/>
                <w:szCs w:val="18"/>
                <w:rtl/>
              </w:rPr>
              <w:t>. מכוח סעיף 1 לחוק שיווי זכויות האישה ("דין אחד יהיה לאיש ולאישה"), ובקביעה ש"</w:t>
            </w:r>
            <w:r>
              <w:rPr>
                <w:rFonts w:ascii="Arial" w:hAnsi="Arial" w:cs="Arial" w:eastAsia="Arial"/>
                <w:b/>
                <w:bCs/>
                <w:color w:val="1F2430"/>
                <w:sz w:val="18"/>
                <w:szCs w:val="18"/>
                <w:rtl/>
              </w:rPr>
              <w:t>הלכת השיתוף היא דין בישראל</w:t>
            </w:r>
            <w:r>
              <w:rPr>
                <w:rFonts w:ascii="Arial" w:hAnsi="Arial" w:cs="Arial" w:eastAsia="Arial"/>
                <w:color w:val="1F2430"/>
                <w:sz w:val="18"/>
                <w:szCs w:val="18"/>
                <w:rtl/>
              </w:rPr>
              <w:t xml:space="preserve">" (פרי "חקיקה שיפוטית" של בית המשפט העליון), בית הדין הרבני </w:t>
            </w:r>
            <w:r>
              <w:rPr>
                <w:rFonts w:ascii="Arial" w:hAnsi="Arial" w:cs="Arial" w:eastAsia="Arial"/>
                <w:b/>
                <w:bCs/>
                <w:color w:val="1F2430"/>
                <w:sz w:val="18"/>
                <w:szCs w:val="18"/>
                <w:rtl/>
              </w:rPr>
              <w:t>חייב להחיל את הלכת השיתוף</w:t>
            </w:r>
            <w:r>
              <w:rPr>
                <w:rFonts w:ascii="Arial" w:hAnsi="Arial" w:cs="Arial" w:eastAsia="Arial"/>
                <w:color w:val="1F2430"/>
                <w:sz w:val="18"/>
                <w:szCs w:val="18"/>
                <w:rtl/>
              </w:rPr>
              <w:t>. בענייני רכוש – "</w:t>
            </w:r>
            <w:r>
              <w:rPr>
                <w:rFonts w:ascii="Arial" w:hAnsi="Arial" w:cs="Arial" w:eastAsia="Arial"/>
                <w:color w:val="1F2430"/>
                <w:sz w:val="18"/>
                <w:szCs w:val="18"/>
                <w:highlight w:val="yellow"/>
                <w:rtl/>
              </w:rPr>
              <w:t>הדיין הולך אחר הדין</w:t>
            </w:r>
            <w:r>
              <w:rPr>
                <w:rFonts w:ascii="Arial" w:hAnsi="Arial" w:cs="Arial" w:eastAsia="Arial"/>
                <w:color w:val="1F2430"/>
                <w:sz w:val="18"/>
                <w:szCs w:val="18"/>
                <w:rtl/>
              </w:rPr>
              <w:t xml:space="preserve">": שתי הערכאות מחילות את הדין האזרחי.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לראשונה בג״ץ התערב לא רק ברמת </w:t>
            </w:r>
            <w:r>
              <w:rPr>
                <w:rFonts w:ascii="Arial" w:hAnsi="Arial" w:cs="Arial" w:eastAsia="Arial"/>
                <w:b/>
                <w:bCs/>
                <w:color w:val="1F2430"/>
                <w:sz w:val="18"/>
                <w:szCs w:val="18"/>
                <w:rtl/>
              </w:rPr>
              <w:t>הסמכות</w:t>
            </w:r>
            <w:r>
              <w:rPr>
                <w:rFonts w:ascii="Arial" w:hAnsi="Arial" w:cs="Arial" w:eastAsia="Arial"/>
                <w:color w:val="1F2430"/>
                <w:sz w:val="18"/>
                <w:szCs w:val="18"/>
                <w:rtl/>
              </w:rPr>
              <w:t xml:space="preserve"> אלא ברמת </w:t>
            </w:r>
            <w:r>
              <w:rPr>
                <w:rFonts w:ascii="Arial" w:hAnsi="Arial" w:cs="Arial" w:eastAsia="Arial"/>
                <w:b/>
                <w:bCs/>
                <w:color w:val="1F2430"/>
                <w:sz w:val="18"/>
                <w:szCs w:val="18"/>
                <w:rtl/>
              </w:rPr>
              <w:t>הדין</w:t>
            </w:r>
            <w:r>
              <w:rPr>
                <w:rFonts w:ascii="Arial" w:hAnsi="Arial" w:cs="Arial" w:eastAsia="Arial"/>
                <w:color w:val="1F2430"/>
                <w:sz w:val="18"/>
                <w:szCs w:val="18"/>
                <w:rtl/>
              </w:rPr>
              <w:t xml:space="preserve"> שבית הדין מפעיל – "אתם מוסמכים, אבל תחליטו לפי הדין האזרחי". ההלכה נועדה גם לרסן את מירוץ הסמכויות (100-0 בבית הדין מול 50-50 בבית המשפט). המתח הזה קיים עד היום. פירוט מהותי – פרק 11.</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"או הלכת בבלי – או תלמוד בבלי"</w:t>
            </w:r>
          </w:p>
          <w:p>
            <w:pPr>
              <w:bidi/>
              <w:spacing w:before="0" w:after="60" w:line="300" w:lineRule="auto"/>
              <w:jc w:val="both"/>
            </w:pPr>
            <w:r>
              <w:rPr>
                <w:rFonts w:ascii="Arial" w:hAnsi="Arial" w:cs="Arial" w:eastAsia="Arial"/>
                <w:color w:val="1F2430"/>
                <w:sz w:val="18"/>
                <w:szCs w:val="18"/>
                <w:rtl/>
              </w:rPr>
              <w:t xml:space="preserve">הכתובה נולדה בתקופת התלמוד הבבלי כדי להבטיח אישה שיוצאת מהנישואין בלי רכוש. כיום, כשהאישה מקבלת מחצית הרכוש, </w:t>
            </w:r>
            <w:r>
              <w:rPr>
                <w:rFonts w:ascii="Arial" w:hAnsi="Arial" w:cs="Arial" w:eastAsia="Arial"/>
                <w:b/>
                <w:bCs/>
                <w:color w:val="1F2430"/>
                <w:sz w:val="18"/>
                <w:szCs w:val="18"/>
                <w:rtl/>
              </w:rPr>
              <w:t>אין "כפל מבצעים"</w:t>
            </w:r>
            <w:r>
              <w:rPr>
                <w:rFonts w:ascii="Arial" w:hAnsi="Arial" w:cs="Arial" w:eastAsia="Arial"/>
                <w:color w:val="1F2430"/>
                <w:sz w:val="18"/>
                <w:szCs w:val="18"/>
                <w:rtl/>
              </w:rPr>
              <w:t>: ברוב הסכמי הגירושין "האישה מוותרת על כתובתה". לשאלת סטודנט השיב הפרופ׳ שאותו רעיון חל גם על איזון משאבים לפי חוק יחסי ממון ("ברור. אותו רעיון"). חריג: בית הדין רשאי לחייב בכתובה (או בחלקה) כשהבעל הפר את הנישואין באכזריות – בגידות או אלימות.</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חקיקה נוספת שמחייבת את בתי הדין</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חוק יחסי ממון, סעיף 13(ב):</w:t>
      </w:r>
      <w:r>
        <w:rPr>
          <w:rFonts w:ascii="Arial" w:hAnsi="Arial" w:cs="Arial" w:eastAsia="Arial"/>
          <w:color w:val="1F2430"/>
          <w:sz w:val="19"/>
          <w:szCs w:val="19"/>
          <w:rtl/>
        </w:rPr>
        <w:t xml:space="preserve"> "בענין שחוק זה דן בו ינהג גם בית דין דתי לפי הוראות חוק זה, זולת אם הסכימו בעלי הדין לפני בית הדין להתדיין לפי הדין הדתי". בפסיקה – נדרשת </w:t>
      </w:r>
      <w:r>
        <w:rPr>
          <w:rFonts w:ascii="Arial" w:hAnsi="Arial" w:cs="Arial" w:eastAsia="Arial"/>
          <w:b/>
          <w:bCs/>
          <w:color w:val="1F2430"/>
          <w:sz w:val="19"/>
          <w:szCs w:val="19"/>
          <w:rtl/>
        </w:rPr>
        <w:t>הסכמה מפורשת</w:t>
      </w:r>
      <w:r>
        <w:rPr>
          <w:rFonts w:ascii="Arial" w:hAnsi="Arial" w:cs="Arial" w:eastAsia="Arial"/>
          <w:color w:val="1F2430"/>
          <w:sz w:val="19"/>
          <w:szCs w:val="19"/>
          <w:rtl/>
        </w:rPr>
        <w:t xml:space="preserve"> (לא הסכמה בהתנהגות).</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חוק המזונות, סעיף 2(א):</w:t>
      </w:r>
      <w:r>
        <w:rPr>
          <w:rFonts w:ascii="Arial" w:hAnsi="Arial" w:cs="Arial" w:eastAsia="Arial"/>
          <w:color w:val="1F2430"/>
          <w:sz w:val="19"/>
          <w:szCs w:val="19"/>
          <w:rtl/>
        </w:rPr>
        <w:t xml:space="preserve"> מזונות בן זוג – לפי הדין האישי, בשתי הערכאות. לפי הבהרת הפרופ׳, הסעיפים ה</w:t>
      </w:r>
      <w:r>
        <w:rPr>
          <w:rFonts w:ascii="Arial" w:hAnsi="Arial" w:cs="Arial" w:eastAsia="Arial"/>
          <w:b/>
          <w:bCs/>
          <w:color w:val="1F2430"/>
          <w:sz w:val="19"/>
          <w:szCs w:val="19"/>
          <w:rtl/>
        </w:rPr>
        <w:t>פרוצדורליים-טכניים</w:t>
      </w:r>
      <w:r>
        <w:rPr>
          <w:rFonts w:ascii="Arial" w:hAnsi="Arial" w:cs="Arial" w:eastAsia="Arial"/>
          <w:color w:val="1F2430"/>
          <w:sz w:val="19"/>
          <w:szCs w:val="19"/>
          <w:rtl/>
        </w:rPr>
        <w:t xml:space="preserve"> של חוק המזונות (סעיף 10 – מזונות זמניים; סעיף 11 – מזונות עבר) חלים </w:t>
      </w:r>
      <w:r>
        <w:rPr>
          <w:rFonts w:ascii="Arial" w:hAnsi="Arial" w:cs="Arial" w:eastAsia="Arial"/>
          <w:b/>
          <w:bCs/>
          <w:color w:val="1F2430"/>
          <w:sz w:val="19"/>
          <w:szCs w:val="19"/>
          <w:rtl/>
        </w:rPr>
        <w:t>גם בבית הדין</w:t>
      </w:r>
      <w:r>
        <w:rPr>
          <w:rFonts w:ascii="Arial" w:hAnsi="Arial" w:cs="Arial" w:eastAsia="Arial"/>
          <w:color w:val="1F2430"/>
          <w:sz w:val="19"/>
          <w:szCs w:val="19"/>
          <w:rtl/>
        </w:rPr>
        <w:t xml:space="preserve"> ובכל סוגי המזונות, אם כי הדין הדתי יכול להפעיל גם כללים משלו.</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חוק הכשרות המשפטית והאפוטרופסות</w:t>
      </w:r>
      <w:r>
        <w:rPr>
          <w:rFonts w:ascii="Arial" w:hAnsi="Arial" w:cs="Arial" w:eastAsia="Arial"/>
          <w:color w:val="1F2430"/>
          <w:sz w:val="19"/>
          <w:szCs w:val="19"/>
          <w:rtl/>
        </w:rPr>
        <w:t xml:space="preserve"> – חל בענייני משמורת בשתי הערכאות.</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1.7 ערעור ופיקוח: שני ערוצים שלא נפגשים</w:t>
      </w:r>
    </w:p>
    <w:tbl>
      <w:tblPr>
        <w:tblW w:type="dxa" w:w="10206"/>
        <w:jc w:val="center"/>
        <w:tblLook w:firstColumn="1" w:firstRow="1" w:lastColumn="0" w:lastRow="0" w:noHBand="0" w:noVBand="1" w:val="04A0"/>
        <w:bidiVisual/>
        <w:tblLayout w:type="fixed"/>
      </w:tblPr>
      <w:tblGrid>
        <w:gridCol w:w="1291"/>
        <w:gridCol w:w="4556"/>
        <w:gridCol w:w="4358"/>
      </w:tblGrid>
      <w:tr>
        <w:trPr>
          <w:tblHeader/>
        </w:trPr>
        <w:tc>
          <w:tcPr>
            <w:tcW w:type="dxa" w:w="1291"/>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p>
        </w:tc>
        <w:tc>
          <w:tcPr>
            <w:tcW w:type="dxa" w:w="4556"/>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ערוץ אזרחי</w:t>
            </w:r>
          </w:p>
        </w:tc>
        <w:tc>
          <w:tcPr>
            <w:tcW w:type="dxa" w:w="4358"/>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ערוץ דתי</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ערכאה ראשונה</w:t>
            </w:r>
          </w:p>
        </w:tc>
        <w:tc>
          <w:tcPr>
            <w:tcW w:type="dxa" w:w="4556"/>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המשפט לענייני משפחה (הוקם 1995, ברמת שלום)</w:t>
            </w:r>
          </w:p>
        </w:tc>
        <w:tc>
          <w:tcPr>
            <w:tcW w:type="dxa" w:w="435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הדין הרבני האזורי</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ערעור</w:t>
            </w:r>
          </w:p>
        </w:tc>
        <w:tc>
          <w:tcPr>
            <w:tcW w:type="dxa" w:w="4556"/>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בית המשפט המחוזי – </w:t>
            </w:r>
            <w:r>
              <w:rPr>
                <w:rFonts w:ascii="Arial" w:hAnsi="Arial" w:cs="Arial" w:eastAsia="Arial"/>
                <w:b/>
                <w:bCs/>
                <w:color w:val="1F2430"/>
                <w:sz w:val="17"/>
                <w:szCs w:val="17"/>
                <w:rtl/>
              </w:rPr>
              <w:t>בזכות</w:t>
            </w:r>
          </w:p>
        </w:tc>
        <w:tc>
          <w:tcPr>
            <w:tcW w:type="dxa" w:w="435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בית הדין הרבני הגדול</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שלב נוסף</w:t>
            </w:r>
          </w:p>
        </w:tc>
        <w:tc>
          <w:tcPr>
            <w:tcW w:type="dxa" w:w="4556"/>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בית המשפט העליון – </w:t>
            </w:r>
            <w:r>
              <w:rPr>
                <w:rFonts w:ascii="Arial" w:hAnsi="Arial" w:cs="Arial" w:eastAsia="Arial"/>
                <w:b/>
                <w:bCs/>
                <w:color w:val="1F2430"/>
                <w:sz w:val="17"/>
                <w:szCs w:val="17"/>
                <w:rtl/>
              </w:rPr>
              <w:t>ברשות</w:t>
            </w:r>
          </w:p>
        </w:tc>
        <w:tc>
          <w:tcPr>
            <w:tcW w:type="dxa" w:w="435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אין ערכאת ערעור דתית נוספת – </w:t>
            </w:r>
            <w:r>
              <w:rPr>
                <w:rFonts w:ascii="Arial" w:hAnsi="Arial" w:cs="Arial" w:eastAsia="Arial"/>
                <w:b/>
                <w:bCs/>
                <w:color w:val="1F2430"/>
                <w:sz w:val="17"/>
                <w:szCs w:val="17"/>
                <w:rtl/>
              </w:rPr>
              <w:t>עתירה לבג״ץ</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מעמד בג״ץ</w:t>
            </w:r>
          </w:p>
        </w:tc>
        <w:tc>
          <w:tcPr>
            <w:tcW w:type="dxa" w:w="4556"/>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w:t>
            </w:r>
          </w:p>
        </w:tc>
        <w:tc>
          <w:tcPr>
            <w:tcW w:type="dxa" w:w="435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ערכאת פיקוח, לא ערכאת ערעור</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אינו ערכאת ערעור על בית הדין הרבני</w:t>
            </w:r>
          </w:p>
          <w:p>
            <w:pPr>
              <w:bidi/>
              <w:spacing w:before="0" w:after="60" w:line="300" w:lineRule="auto"/>
              <w:jc w:val="both"/>
            </w:pPr>
            <w:r>
              <w:rPr>
                <w:rFonts w:ascii="Arial" w:hAnsi="Arial" w:cs="Arial" w:eastAsia="Arial"/>
                <w:color w:val="1F2430"/>
                <w:sz w:val="18"/>
                <w:szCs w:val="18"/>
                <w:rtl/>
              </w:rPr>
              <w:t xml:space="preserve">אי אפשר לעתור לבג״ץ רק משום שאינך מסכים עם ההחלטה. ההתערבות היא בעיקר כאשר יש </w:t>
            </w:r>
            <w:r>
              <w:rPr>
                <w:rFonts w:ascii="Arial" w:hAnsi="Arial" w:cs="Arial" w:eastAsia="Arial"/>
                <w:b/>
                <w:bCs/>
                <w:color w:val="1F2430"/>
                <w:sz w:val="18"/>
                <w:szCs w:val="18"/>
                <w:rtl/>
              </w:rPr>
              <w:t>בעיית סמכות</w:t>
            </w:r>
            <w:r>
              <w:rPr>
                <w:rFonts w:ascii="Arial" w:hAnsi="Arial" w:cs="Arial" w:eastAsia="Arial"/>
                <w:color w:val="1F2430"/>
                <w:sz w:val="18"/>
                <w:szCs w:val="18"/>
                <w:rtl/>
              </w:rPr>
              <w:t>. במבחן – הבחן בין "ערעור" (מחוזי, עליון ברשות) לבין "עתירה" (בג״ץ).</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מקור הסמכות: חוק-יסוד: השפיטה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חוק-יסוד: השפיטה, סעיף 15(ד)(4)</w:t>
            </w:r>
          </w:p>
          <w:p>
            <w:pPr>
              <w:bidi/>
              <w:spacing w:before="0" w:after="60" w:line="300" w:lineRule="auto"/>
              <w:jc w:val="both"/>
            </w:pPr>
            <w:r>
              <w:rPr>
                <w:rFonts w:ascii="Arial" w:hAnsi="Arial" w:cs="Arial" w:eastAsia="Arial"/>
                <w:color w:val="1F2430"/>
                <w:sz w:val="18"/>
                <w:szCs w:val="18"/>
                <w:rtl/>
              </w:rPr>
              <w:t>בג״ץ מוסמך לתת צווים "לבתי דין דתיים לדון בענין פלוני או להימנע מלדון או מלהוסיף לדון בענין פלוני, ובלבד שלא ייזקק בית המשפט לבקשה לפי פסקה זו אם המבקש לא עורר את שאלת הסמכות בהזדמנות הראשונה שהיתה לו..."</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15(ד)(4)</w:t>
      </w:r>
      <w:r>
        <w:rPr>
          <w:rFonts w:ascii="Arial" w:hAnsi="Arial" w:cs="Arial" w:eastAsia="Arial"/>
          <w:color w:val="1F2430"/>
          <w:sz w:val="19"/>
          <w:szCs w:val="19"/>
          <w:rtl/>
        </w:rPr>
        <w:t xml:space="preserve"> – מקור ההתערבות הרגיל: צו לבית דין דתי לדון, להימנע מלדון, או לבטל דיון או החלטה שניתנו שלא כדין.</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15(ג)</w:t>
      </w:r>
      <w:r>
        <w:rPr>
          <w:rFonts w:ascii="Arial" w:hAnsi="Arial" w:cs="Arial" w:eastAsia="Arial"/>
          <w:color w:val="1F2430"/>
          <w:sz w:val="19"/>
          <w:szCs w:val="19"/>
          <w:rtl/>
        </w:rPr>
        <w:t xml:space="preserve"> – סמכות כללית ("למען הצדק"); לפי מה שנלמד, התערבות מכוחו </w:t>
      </w:r>
      <w:r>
        <w:rPr>
          <w:rFonts w:ascii="Arial" w:hAnsi="Arial" w:cs="Arial" w:eastAsia="Arial"/>
          <w:b/>
          <w:bCs/>
          <w:color w:val="1F2430"/>
          <w:sz w:val="19"/>
          <w:szCs w:val="19"/>
          <w:rtl/>
        </w:rPr>
        <w:t>נדירה</w:t>
      </w:r>
      <w:r>
        <w:rPr>
          <w:rFonts w:ascii="Arial" w:hAnsi="Arial" w:cs="Arial" w:eastAsia="Arial"/>
          <w:color w:val="1F2430"/>
          <w:sz w:val="19"/>
          <w:szCs w:val="19"/>
          <w:rtl/>
        </w:rPr>
        <w:t xml:space="preserve"> הרבה יותר.</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"ההזדמנות הראשונה":</w:t>
      </w:r>
      <w:r>
        <w:rPr>
          <w:rFonts w:ascii="Arial" w:hAnsi="Arial" w:cs="Arial" w:eastAsia="Arial"/>
          <w:color w:val="1F2430"/>
          <w:sz w:val="19"/>
          <w:szCs w:val="19"/>
          <w:rtl/>
        </w:rPr>
        <w:t xml:space="preserve"> מי שמתנגד לסמכות בית הדין חייב לטעון זאת בהזדמנות הראשונה (דיון ראשון או כתב טענות). מי שמתחיל לענות לגופו של עניין – עלול להיחשב כמי שהסכים לסמכות בהתנהגות. ההזדמנות נמדדת לפי </w:t>
      </w:r>
      <w:r>
        <w:rPr>
          <w:rFonts w:ascii="Arial" w:hAnsi="Arial" w:cs="Arial" w:eastAsia="Arial"/>
          <w:b/>
          <w:bCs/>
          <w:color w:val="1F2430"/>
          <w:sz w:val="19"/>
          <w:szCs w:val="19"/>
          <w:rtl/>
        </w:rPr>
        <w:t>בעל הדין</w:t>
      </w:r>
      <w:r>
        <w:rPr>
          <w:rFonts w:ascii="Arial" w:hAnsi="Arial" w:cs="Arial" w:eastAsia="Arial"/>
          <w:color w:val="1F2430"/>
          <w:sz w:val="19"/>
          <w:szCs w:val="19"/>
          <w:rtl/>
        </w:rPr>
        <w:t>, לא לפי עורך דין חדש שנכנס מאוחר; זו בעיה קשה במיוחד לבעלי דין לא מיוצגים.</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עילות ההתערבות – ומתי בג״ץ לא יתערב</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b/>
          <w:bCs/>
          <w:color w:val="1F2430"/>
          <w:sz w:val="19"/>
          <w:szCs w:val="19"/>
          <w:rtl/>
        </w:rPr>
        <w:t>חריגה מסמכות</w:t>
      </w:r>
      <w:r>
        <w:rPr>
          <w:rFonts w:ascii="Arial" w:hAnsi="Arial" w:cs="Arial" w:eastAsia="Arial"/>
          <w:color w:val="1F2430"/>
          <w:sz w:val="19"/>
          <w:szCs w:val="19"/>
          <w:rtl/>
        </w:rPr>
        <w:t xml:space="preserve"> – העילה הקלאסית. דוגמאות (פירוט בפרק 2): </w:t>
      </w:r>
      <w:r>
        <w:rPr>
          <w:rFonts w:ascii="Arial" w:hAnsi="Arial" w:cs="Arial" w:eastAsia="Arial"/>
          <w:b/>
          <w:bCs/>
          <w:color w:val="1F2430"/>
          <w:sz w:val="19"/>
          <w:szCs w:val="19"/>
          <w:rtl/>
        </w:rPr>
        <w:t>בג״ץ אוה בסן</w:t>
      </w:r>
      <w:r>
        <w:rPr>
          <w:rFonts w:ascii="Arial" w:hAnsi="Arial" w:cs="Arial" w:eastAsia="Arial"/>
          <w:color w:val="1F2430"/>
          <w:sz w:val="19"/>
          <w:szCs w:val="19"/>
          <w:rtl/>
        </w:rPr>
        <w:t xml:space="preserve"> – ברגע שבית הדין קבע שהאישה "ספק יהודייה" הוא איבד סמכות, כי שני בני הזוג חייבים להיות יהודים; </w:t>
      </w:r>
      <w:r>
        <w:rPr>
          <w:rFonts w:ascii="Arial" w:hAnsi="Arial" w:cs="Arial" w:eastAsia="Arial"/>
          <w:b/>
          <w:bCs/>
          <w:color w:val="1F2430"/>
          <w:sz w:val="19"/>
          <w:szCs w:val="19"/>
          <w:rtl/>
        </w:rPr>
        <w:t>בג״ץ סבג</w:t>
      </w:r>
      <w:r>
        <w:rPr>
          <w:rFonts w:ascii="Arial" w:hAnsi="Arial" w:cs="Arial" w:eastAsia="Arial"/>
          <w:color w:val="1F2430"/>
          <w:sz w:val="19"/>
          <w:szCs w:val="19"/>
          <w:rtl/>
        </w:rPr>
        <w:t xml:space="preserve"> – בני זוג שאינם אזרחים ואינם תושבים, ללא זיקה לישראל; בית הדין הוציא לבעל צו עיכוב יציאה, ובג״ץ קבע שאין לו סמכות ושחרר אותו.</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b/>
          <w:bCs/>
          <w:color w:val="1F2430"/>
          <w:sz w:val="19"/>
          <w:szCs w:val="19"/>
          <w:rtl/>
        </w:rPr>
        <w:t>אי-החלת דין אזרחי מחייב</w:t>
      </w:r>
      <w:r>
        <w:rPr>
          <w:rFonts w:ascii="Arial" w:hAnsi="Arial" w:cs="Arial" w:eastAsia="Arial"/>
          <w:color w:val="1F2430"/>
          <w:sz w:val="19"/>
          <w:szCs w:val="19"/>
          <w:rtl/>
        </w:rPr>
        <w:t xml:space="preserve"> – </w:t>
      </w:r>
      <w:r>
        <w:rPr>
          <w:rFonts w:ascii="Arial" w:hAnsi="Arial" w:cs="Arial" w:eastAsia="Arial"/>
          <w:b/>
          <w:bCs/>
          <w:color w:val="1F2430"/>
          <w:sz w:val="19"/>
          <w:szCs w:val="19"/>
          <w:rtl/>
        </w:rPr>
        <w:t>בבלי</w:t>
      </w:r>
      <w:r>
        <w:rPr>
          <w:rFonts w:ascii="Arial" w:hAnsi="Arial" w:cs="Arial" w:eastAsia="Arial"/>
          <w:color w:val="1F2430"/>
          <w:sz w:val="19"/>
          <w:szCs w:val="19"/>
          <w:rtl/>
        </w:rPr>
        <w:t>: בית הדין חייב להחיל את הלכת השיתוף (וכן חוק יחסי ממון, חוק שיווי זכויות האישה).</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3. </w:t>
      </w:r>
      <w:r>
        <w:tab/>
      </w:r>
      <w:r>
        <w:rPr>
          <w:rFonts w:ascii="Arial" w:hAnsi="Arial" w:cs="Arial" w:eastAsia="Arial"/>
          <w:b/>
          <w:bCs/>
          <w:color w:val="1F2430"/>
          <w:sz w:val="19"/>
          <w:szCs w:val="19"/>
          <w:rtl/>
        </w:rPr>
        <w:t>שימוש בסמכות שלא לתכליתה</w:t>
      </w:r>
      <w:r>
        <w:rPr>
          <w:rFonts w:ascii="Arial" w:hAnsi="Arial" w:cs="Arial" w:eastAsia="Arial"/>
          <w:color w:val="1F2430"/>
          <w:sz w:val="19"/>
          <w:szCs w:val="19"/>
          <w:rtl/>
        </w:rPr>
        <w:t xml:space="preserve"> – </w:t>
      </w:r>
      <w:r>
        <w:rPr>
          <w:rFonts w:ascii="Arial" w:hAnsi="Arial" w:cs="Arial" w:eastAsia="Arial"/>
          <w:b/>
          <w:bCs/>
          <w:color w:val="1F2430"/>
          <w:sz w:val="19"/>
          <w:szCs w:val="19"/>
          <w:rtl/>
        </w:rPr>
        <w:t>בג״ץ לב</w:t>
      </w:r>
      <w:r>
        <w:rPr>
          <w:rFonts w:ascii="Arial" w:hAnsi="Arial" w:cs="Arial" w:eastAsia="Arial"/>
          <w:color w:val="1F2430"/>
          <w:sz w:val="19"/>
          <w:szCs w:val="19"/>
          <w:rtl/>
        </w:rPr>
        <w:t xml:space="preserve"> (להלן).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לב</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בעל ביקש מבית הדין הרבני צו עיכוב יציאה מהארץ נגד אשתו, משום שהבין שהיא עומדת לצאת לחו״ל ולהיפגש עם המאהב שלה. בית הדין נתן את הצו.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ביטל: צו עיכוב יציאה נועד </w:t>
            </w:r>
            <w:r>
              <w:rPr>
                <w:rFonts w:ascii="Arial" w:hAnsi="Arial" w:cs="Arial" w:eastAsia="Arial"/>
                <w:b/>
                <w:bCs/>
                <w:color w:val="1F2430"/>
                <w:sz w:val="18"/>
                <w:szCs w:val="18"/>
                <w:rtl/>
              </w:rPr>
              <w:t>לאפשר את קיומו של ההליך המשפטי</w:t>
            </w:r>
            <w:r>
              <w:rPr>
                <w:rFonts w:ascii="Arial" w:hAnsi="Arial" w:cs="Arial" w:eastAsia="Arial"/>
                <w:color w:val="1F2430"/>
                <w:sz w:val="18"/>
                <w:szCs w:val="18"/>
                <w:rtl/>
              </w:rPr>
              <w:t xml:space="preserve"> – לא למנוע מאדם לצאת מהארץ מסיבות אישיות. ההתערבות הייתה בשל </w:t>
            </w:r>
            <w:r>
              <w:rPr>
                <w:rFonts w:ascii="Arial" w:hAnsi="Arial" w:cs="Arial" w:eastAsia="Arial"/>
                <w:b/>
                <w:bCs/>
                <w:color w:val="1F2430"/>
                <w:sz w:val="18"/>
                <w:szCs w:val="18"/>
                <w:rtl/>
              </w:rPr>
              <w:t>האופן שבו בית הדין הפעיל את סמכותו</w:t>
            </w:r>
            <w:r>
              <w:rPr>
                <w:rFonts w:ascii="Arial" w:hAnsi="Arial" w:cs="Arial" w:eastAsia="Arial"/>
                <w:color w:val="1F2430"/>
                <w:sz w:val="18"/>
                <w:szCs w:val="18"/>
                <w:rtl/>
              </w:rPr>
              <w:t xml:space="preserve">, ולא בשל הדין הדתי עצמו. פסק הדין נקשר בעיקרון שבית הדין, כגוף ממלכתי, כפוף לעקרונות המשפט הציבורי ולזכויות היסוד (כמו חופש התנועה).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מרחיב את עילות ההתערבות מעבר ל"אין סמכות" – גם סמכות קיימת חייבת להיות מופעלת לתכליתה.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מתי בג״ץ לא יתערב?</w:t>
      </w:r>
      <w:r>
        <w:rPr>
          <w:rFonts w:ascii="Arial" w:hAnsi="Arial" w:cs="Arial" w:eastAsia="Arial"/>
          <w:color w:val="1F2430"/>
          <w:sz w:val="19"/>
          <w:szCs w:val="19"/>
          <w:rtl/>
        </w:rPr>
        <w:t xml:space="preserve"> בפרשנות הדין הדתי עצמו, ובשאלות הלכתיות מובהקות כמו כשרות עדים.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כליפה נ׳ כליפה (1993) ואקנין נ׳ אקנין (1994) – "הדין הוא פונקציה של הדיין"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שני זוגות יהודים נשואים כדמו״י, דירה משותפת רשומה על שניהם, היחסים עלו על שרטון. לפי דין תורה האישה זכאית ל</w:t>
            </w:r>
            <w:r>
              <w:rPr>
                <w:rFonts w:ascii="Arial" w:hAnsi="Arial" w:cs="Arial" w:eastAsia="Arial"/>
                <w:b/>
                <w:bCs/>
                <w:color w:val="1F2430"/>
                <w:sz w:val="18"/>
                <w:szCs w:val="18"/>
                <w:rtl/>
              </w:rPr>
              <w:t>מדור</w:t>
            </w:r>
            <w:r>
              <w:rPr>
                <w:rFonts w:ascii="Arial" w:hAnsi="Arial" w:cs="Arial" w:eastAsia="Arial"/>
                <w:color w:val="1F2430"/>
                <w:sz w:val="18"/>
                <w:szCs w:val="18"/>
                <w:rtl/>
              </w:rPr>
              <w:t xml:space="preserve"> כחלק מהמזונות – "עולה עמו ואינה יורדת עמו". </w:t>
            </w:r>
            <w:r>
              <w:rPr>
                <w:rFonts w:ascii="Arial" w:hAnsi="Arial" w:cs="Arial" w:eastAsia="Arial"/>
                <w:b/>
                <w:bCs/>
                <w:color w:val="1F2430"/>
                <w:sz w:val="18"/>
                <w:szCs w:val="18"/>
                <w:rtl/>
              </w:rPr>
              <w:t>כליפה:</w:t>
            </w:r>
            <w:r>
              <w:rPr>
                <w:rFonts w:ascii="Arial" w:hAnsi="Arial" w:cs="Arial" w:eastAsia="Arial"/>
                <w:color w:val="1F2430"/>
                <w:sz w:val="18"/>
                <w:szCs w:val="18"/>
                <w:rtl/>
              </w:rPr>
              <w:t xml:space="preserve"> הבעל תבע פירוק שיתוף; האישה תבעה מזונות ומדור בבית המשפט המחוזי; השופט צבי טל פסק שהיא זכאית למדור ספציפי בדירה. </w:t>
            </w:r>
            <w:r>
              <w:rPr>
                <w:rFonts w:ascii="Arial" w:hAnsi="Arial" w:cs="Arial" w:eastAsia="Arial"/>
                <w:b/>
                <w:bCs/>
                <w:color w:val="1F2430"/>
                <w:sz w:val="18"/>
                <w:szCs w:val="18"/>
                <w:rtl/>
              </w:rPr>
              <w:t>העליון</w:t>
            </w:r>
            <w:r>
              <w:rPr>
                <w:rFonts w:ascii="Arial" w:hAnsi="Arial" w:cs="Arial" w:eastAsia="Arial"/>
                <w:color w:val="1F2430"/>
                <w:sz w:val="18"/>
                <w:szCs w:val="18"/>
                <w:rtl/>
              </w:rPr>
              <w:t xml:space="preserve"> קיבל את ערעור הבעל: לפי דין תורה המדור אינו חייב להיות באותה דירה – די בדירה חלופית (גם שכורה) בתנאים שהורגלה בהם. </w:t>
            </w:r>
            <w:r>
              <w:rPr>
                <w:rFonts w:ascii="Arial" w:hAnsi="Arial" w:cs="Arial" w:eastAsia="Arial"/>
                <w:b/>
                <w:bCs/>
                <w:color w:val="1F2430"/>
                <w:sz w:val="18"/>
                <w:szCs w:val="18"/>
                <w:rtl/>
              </w:rPr>
              <w:t>אקנין:</w:t>
            </w:r>
            <w:r>
              <w:rPr>
                <w:rFonts w:ascii="Arial" w:hAnsi="Arial" w:cs="Arial" w:eastAsia="Arial"/>
                <w:color w:val="1F2430"/>
                <w:sz w:val="18"/>
                <w:szCs w:val="18"/>
                <w:rtl/>
              </w:rPr>
              <w:t xml:space="preserve"> שנה אחר כך, אותו סיפור – אבל הפעם בבית הדין הרבני. האזורי והגדול פסקו: לפי דין תורה היא נשארת בדירה (מדור ספציפי). הבעל עתר לבג״ץ בטענה של חריגה מסמכות, כי בית הדין התעלם מפסיקת העליון.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העתירה נדחתה – </w:t>
            </w:r>
            <w:r>
              <w:rPr>
                <w:rFonts w:ascii="Arial" w:hAnsi="Arial" w:cs="Arial" w:eastAsia="Arial"/>
                <w:b/>
                <w:bCs/>
                <w:color w:val="1F2430"/>
                <w:sz w:val="18"/>
                <w:szCs w:val="18"/>
                <w:rtl/>
              </w:rPr>
              <w:t>הפרשנות שערכאה אזרחית נותנת לדין האישי אינה מחייבת את בית הדין הדתי</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אותו דין בדיוק (דין תורה), שתי ערכאות – שתי תוצאות. זו ההוכחה הטובה ביותר לכך שמירוץ הסמכויות קיים גם כשהדין זהה.</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1.8 מירוץ הסמכויות – תמונה כללית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מירוץ סמכויות</w:t>
            </w:r>
          </w:p>
          <w:p>
            <w:pPr>
              <w:bidi/>
              <w:spacing w:before="0" w:after="60" w:line="300" w:lineRule="auto"/>
              <w:jc w:val="both"/>
            </w:pPr>
            <w:r>
              <w:rPr>
                <w:rFonts w:ascii="Arial" w:hAnsi="Arial" w:cs="Arial" w:eastAsia="Arial"/>
                <w:color w:val="1F2430"/>
                <w:sz w:val="18"/>
                <w:szCs w:val="18"/>
                <w:rtl/>
              </w:rPr>
              <w:t xml:space="preserve">מצב שבו לשתי ערכאות יש סמכות לדון באותו עניין, וכל אחד מבני הזוג מנסה להגיש ראשון לערכאה שנראית לו נוחה יותר. לדוגמה: הבעל מעדיף את בית הדין הרבני, האישה את בית המשפט לענייני משפחה – וכל אחד מנסה להיות ראשון. </w:t>
            </w:r>
            <w:r>
              <w:rPr>
                <w:rFonts w:ascii="Arial" w:hAnsi="Arial" w:cs="Arial" w:eastAsia="Arial"/>
                <w:b/>
                <w:bCs/>
                <w:color w:val="1F2430"/>
                <w:sz w:val="18"/>
                <w:szCs w:val="18"/>
                <w:rtl/>
              </w:rPr>
              <w:t>מי שמגיע ראשון – בוחר את הערכאה.</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למה זה כל כך חשוב, אם הדין לעיתים זהה?</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b/>
          <w:bCs/>
          <w:color w:val="1F2430"/>
          <w:sz w:val="19"/>
          <w:szCs w:val="19"/>
          <w:rtl/>
        </w:rPr>
        <w:t>פרשנות</w:t>
      </w:r>
      <w:r>
        <w:rPr>
          <w:rFonts w:ascii="Arial" w:hAnsi="Arial" w:cs="Arial" w:eastAsia="Arial"/>
          <w:color w:val="1F2430"/>
          <w:sz w:val="19"/>
          <w:szCs w:val="19"/>
          <w:rtl/>
        </w:rPr>
        <w:t xml:space="preserve"> – שופט ודיין שקוראים את אותו מקור יגיעו לתוצאות שונות, לפי דרך החשיבה והכללים של הערכאה ("השופט הוא המחוקק", בלשון השופט ברק). הדבר בולט במיוחד בדין האישי, שהוא "ציורי" ופתוח לפרשנות (כליפה מול אקנין).</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b/>
          <w:bCs/>
          <w:color w:val="1F2430"/>
          <w:sz w:val="19"/>
          <w:szCs w:val="19"/>
          <w:rtl/>
        </w:rPr>
        <w:t>הבדלים מהותיים בתוצאה</w:t>
      </w:r>
      <w:r>
        <w:rPr>
          <w:rFonts w:ascii="Arial" w:hAnsi="Arial" w:cs="Arial" w:eastAsia="Arial"/>
          <w:color w:val="1F2430"/>
          <w:sz w:val="19"/>
          <w:szCs w:val="19"/>
          <w:rtl/>
        </w:rPr>
        <w:t xml:space="preserve"> – לפני בבלי: 100-0 ברבני מול 50-50 באזרחי. גם כיום יש הבדלים, למשל בפרשנות "נסיבות מיוחדות" לחלוקה לא שוויונית (סעיף 8 לחוק יחסי ממון).</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3. </w:t>
      </w:r>
      <w:r>
        <w:tab/>
      </w:r>
      <w:r>
        <w:rPr>
          <w:rFonts w:ascii="Arial" w:hAnsi="Arial" w:cs="Arial" w:eastAsia="Arial"/>
          <w:b/>
          <w:bCs/>
          <w:color w:val="1F2430"/>
          <w:sz w:val="19"/>
          <w:szCs w:val="19"/>
          <w:rtl/>
        </w:rPr>
        <w:t>סמכות נמשכת</w:t>
      </w:r>
      <w:r>
        <w:rPr>
          <w:rFonts w:ascii="Arial" w:hAnsi="Arial" w:cs="Arial" w:eastAsia="Arial"/>
          <w:color w:val="1F2430"/>
          <w:sz w:val="19"/>
          <w:szCs w:val="19"/>
          <w:rtl/>
        </w:rPr>
        <w:t xml:space="preserve"> – בנושאים מתמשכים (מזונות, משמורת) אין סופיות דיון; כשיש שינוי נסיבות חוזרים, ככלל, לאותה ערכאה. מי שזכה בערכאה – זכה בה לשנים (פרק 4).</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4. </w:t>
      </w:r>
      <w:r>
        <w:tab/>
      </w:r>
      <w:r>
        <w:rPr>
          <w:rFonts w:ascii="Arial" w:hAnsi="Arial" w:cs="Arial" w:eastAsia="Arial"/>
          <w:b/>
          <w:bCs/>
          <w:color w:val="1F2430"/>
          <w:sz w:val="19"/>
          <w:szCs w:val="19"/>
          <w:rtl/>
        </w:rPr>
        <w:t>שיקולים אסטרטגיים</w:t>
      </w:r>
      <w:r>
        <w:rPr>
          <w:rFonts w:ascii="Arial" w:hAnsi="Arial" w:cs="Arial" w:eastAsia="Arial"/>
          <w:color w:val="1F2430"/>
          <w:sz w:val="19"/>
          <w:szCs w:val="19"/>
          <w:rtl/>
        </w:rPr>
        <w:t xml:space="preserve"> – למשל: אישה שבגדה תעדיף לנהל מזונות בבית המשפט; לפי הבהרת הפרופ׳, אישה שאומרת "אני רוצה להתגרש" בלי הצדקה רצינית </w:t>
      </w:r>
      <w:r>
        <w:rPr>
          <w:rFonts w:ascii="Arial" w:hAnsi="Arial" w:cs="Arial" w:eastAsia="Arial"/>
          <w:b/>
          <w:bCs/>
          <w:color w:val="1F2430"/>
          <w:sz w:val="19"/>
          <w:szCs w:val="19"/>
          <w:rtl/>
        </w:rPr>
        <w:t>עלולה להפסיד כתובה, להיחשב מורדת ולהפסיד מזונות</w:t>
      </w:r>
      <w:r>
        <w:rPr>
          <w:rFonts w:ascii="Arial" w:hAnsi="Arial" w:cs="Arial" w:eastAsia="Arial"/>
          <w:color w:val="1F2430"/>
          <w:sz w:val="19"/>
          <w:szCs w:val="19"/>
          <w:rtl/>
        </w:rPr>
        <w:t xml:space="preserve">, וזו אף עשויה להיות עילת גירושין. אפשר גם </w:t>
      </w:r>
      <w:r>
        <w:rPr>
          <w:rFonts w:ascii="Arial" w:hAnsi="Arial" w:cs="Arial" w:eastAsia="Arial"/>
          <w:b/>
          <w:bCs/>
          <w:color w:val="1F2430"/>
          <w:sz w:val="19"/>
          <w:szCs w:val="19"/>
          <w:rtl/>
        </w:rPr>
        <w:t>לפצל</w:t>
      </w:r>
      <w:r>
        <w:rPr>
          <w:rFonts w:ascii="Arial" w:hAnsi="Arial" w:cs="Arial" w:eastAsia="Arial"/>
          <w:color w:val="1F2430"/>
          <w:sz w:val="19"/>
          <w:szCs w:val="19"/>
          <w:rtl/>
        </w:rPr>
        <w:t xml:space="preserve"> – חלק מהתיקים ברבני וחלק באזרחי, לפי מה שעדיף ללקוח בכל נושא.</w:t>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מפת סוגי הסמכות</w:t>
      </w:r>
    </w:p>
    <w:tbl>
      <w:tblPr>
        <w:tblW w:type="dxa" w:w="10206"/>
        <w:jc w:val="center"/>
        <w:tblLook w:firstColumn="1" w:firstRow="1" w:lastColumn="0" w:lastRow="0" w:noHBand="0" w:noVBand="1" w:val="04A0"/>
        <w:bidiVisual/>
        <w:tblLayout w:type="fixed"/>
      </w:tblPr>
      <w:tblGrid>
        <w:gridCol w:w="1242"/>
        <w:gridCol w:w="4003"/>
        <w:gridCol w:w="3717"/>
        <w:gridCol w:w="1242"/>
      </w:tblGrid>
      <w:tr>
        <w:trPr>
          <w:tblHeader/>
        </w:trPr>
        <w:tc>
          <w:tcPr>
            <w:tcW w:type="dxa" w:w="124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w:t>
            </w:r>
          </w:p>
        </w:tc>
        <w:tc>
          <w:tcPr>
            <w:tcW w:type="dxa" w:w="4003"/>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3717"/>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עיקר</w:t>
            </w:r>
          </w:p>
        </w:tc>
        <w:tc>
          <w:tcPr>
            <w:tcW w:type="dxa" w:w="124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פרק</w:t>
            </w:r>
          </w:p>
        </w:tc>
      </w:tr>
      <w:tr>
        <w:trPr>
          <w:cantSplit/>
        </w:trPr>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ייחודית</w:t>
            </w:r>
          </w:p>
        </w:tc>
        <w:tc>
          <w:tcPr>
            <w:tcW w:type="dxa" w:w="400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1 לחוק השיפוט</w:t>
            </w:r>
          </w:p>
        </w:tc>
        <w:tc>
          <w:tcPr>
            <w:tcW w:type="dxa" w:w="37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וגירושין – רק רבני</w:t>
            </w:r>
          </w:p>
        </w:tc>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מקבילה</w:t>
            </w:r>
          </w:p>
        </w:tc>
        <w:tc>
          <w:tcPr>
            <w:tcW w:type="dxa" w:w="400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סימן 47 + סעיף 4; חוק ביהמ״ש לענייני משפחה</w:t>
            </w:r>
          </w:p>
        </w:tc>
        <w:tc>
          <w:tcPr>
            <w:tcW w:type="dxa" w:w="37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מי שפותח ראשון קונה סמכות</w:t>
            </w:r>
          </w:p>
        </w:tc>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3, 5</w:t>
            </w:r>
          </w:p>
        </w:tc>
      </w:tr>
      <w:tr>
        <w:trPr>
          <w:cantSplit/>
        </w:trPr>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נכרכת</w:t>
            </w:r>
          </w:p>
        </w:tc>
        <w:tc>
          <w:tcPr>
            <w:tcW w:type="dxa" w:w="400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3 לחוק השיפוט</w:t>
            </w:r>
          </w:p>
        </w:tc>
        <w:tc>
          <w:tcPr>
            <w:tcW w:type="dxa" w:w="37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ברבני, רק לתביעת גירושין, מבחן משולש</w:t>
            </w:r>
          </w:p>
        </w:tc>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3</w:t>
            </w:r>
          </w:p>
        </w:tc>
      </w:tr>
      <w:tr>
        <w:trPr>
          <w:cantSplit/>
        </w:trPr>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מוסכמת</w:t>
            </w:r>
          </w:p>
        </w:tc>
        <w:tc>
          <w:tcPr>
            <w:tcW w:type="dxa" w:w="400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סעיף 9 לחוק השיפוט</w:t>
            </w:r>
          </w:p>
        </w:tc>
        <w:tc>
          <w:tcPr>
            <w:tcW w:type="dxa" w:w="37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בענייני מעמד אישי בלבד, בהסכמה</w:t>
            </w:r>
          </w:p>
        </w:tc>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4</w:t>
            </w:r>
          </w:p>
        </w:tc>
      </w:tr>
      <w:tr>
        <w:trPr>
          <w:cantSplit/>
        </w:trPr>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נגררת (אגבית)</w:t>
            </w:r>
          </w:p>
        </w:tc>
        <w:tc>
          <w:tcPr>
            <w:tcW w:type="dxa" w:w="400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76 לחוק בתי המשפט</w:t>
            </w:r>
          </w:p>
        </w:tc>
        <w:tc>
          <w:tcPr>
            <w:tcW w:type="dxa" w:w="37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הכרעה בשאלה אגבית לצורך התיק בלבד</w:t>
            </w:r>
          </w:p>
        </w:tc>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1, 3</w:t>
            </w:r>
          </w:p>
        </w:tc>
      </w:tr>
      <w:tr>
        <w:trPr>
          <w:cantSplit/>
        </w:trPr>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נמשכת</w:t>
            </w:r>
          </w:p>
        </w:tc>
        <w:tc>
          <w:tcPr>
            <w:tcW w:type="dxa" w:w="400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פסיקה</w:t>
            </w:r>
          </w:p>
        </w:tc>
        <w:tc>
          <w:tcPr>
            <w:tcW w:type="dxa" w:w="37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חזרה לאותה ערכאה בשינוי נסיבות</w:t>
            </w:r>
          </w:p>
        </w:tc>
        <w:tc>
          <w:tcPr>
            <w:tcW w:type="dxa" w:w="124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4</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אגבית ("אגב גררא") – סעיף 76 לחוק בתי המשפט</w:t>
            </w:r>
          </w:p>
          <w:p>
            <w:pPr>
              <w:bidi/>
              <w:spacing w:before="0" w:after="60" w:line="300" w:lineRule="auto"/>
              <w:jc w:val="both"/>
            </w:pPr>
            <w:r>
              <w:rPr>
                <w:rFonts w:ascii="Arial" w:hAnsi="Arial" w:cs="Arial" w:eastAsia="Arial"/>
                <w:color w:val="1F2430"/>
                <w:sz w:val="18"/>
                <w:szCs w:val="18"/>
                <w:rtl/>
              </w:rPr>
              <w:t xml:space="preserve">ערכאה שדנה בעניין שבסמכותה רשאית להכריע </w:t>
            </w:r>
            <w:r>
              <w:rPr>
                <w:rFonts w:ascii="Arial" w:hAnsi="Arial" w:cs="Arial" w:eastAsia="Arial"/>
                <w:b/>
                <w:bCs/>
                <w:color w:val="1F2430"/>
                <w:sz w:val="18"/>
                <w:szCs w:val="18"/>
                <w:rtl/>
              </w:rPr>
              <w:t>בשאלה אגבית</w:t>
            </w:r>
            <w:r>
              <w:rPr>
                <w:rFonts w:ascii="Arial" w:hAnsi="Arial" w:cs="Arial" w:eastAsia="Arial"/>
                <w:color w:val="1F2430"/>
                <w:sz w:val="18"/>
                <w:szCs w:val="18"/>
                <w:rtl/>
              </w:rPr>
              <w:t xml:space="preserve"> שבסמכות ייחודית של ערכאה אחרת – לצורך התיק שלפניה בלבד. דוגמה: בתביעת מזונות אישה בבית המשפט הבעל טוען שהם רק "ספק נשואים"; בית המשפט יכריע אם הם נשואים – רק לצורך המזונות. לפי תשובת הפרופ׳, הסמכות הזו קיימת </w:t>
            </w:r>
            <w:r>
              <w:rPr>
                <w:rFonts w:ascii="Arial" w:hAnsi="Arial" w:cs="Arial" w:eastAsia="Arial"/>
                <w:b/>
                <w:bCs/>
                <w:color w:val="1F2430"/>
                <w:sz w:val="18"/>
                <w:szCs w:val="18"/>
                <w:rtl/>
              </w:rPr>
              <w:t>גם לבית הדין</w:t>
            </w:r>
            <w:r>
              <w:rPr>
                <w:rFonts w:ascii="Arial" w:hAnsi="Arial" w:cs="Arial" w:eastAsia="Arial"/>
                <w:color w:val="1F2430"/>
                <w:sz w:val="18"/>
                <w:szCs w:val="18"/>
                <w:rtl/>
              </w:rPr>
              <w:t xml:space="preserve"> – "לכל ערכאה יש סמכות כזו".</w:t>
            </w:r>
          </w:p>
        </w:tc>
      </w:tr>
    </w:tbl>
    <w:p>
      <w:pPr>
        <w:bidi/>
        <w:spacing w:after="0" w:before="0" w:line="120" w:lineRule="exact"/>
      </w:pPr>
      <w:r>
        <w:rPr>
          <w:sz w:val="2"/>
        </w:rPr>
      </w:r>
    </w:p>
    <w:p>
      <w:pPr>
        <w:keepNext/>
        <w:bidi/>
        <w:spacing w:before="160" w:after="60" w:line="300" w:lineRule="auto"/>
      </w:pPr>
      <w:r>
        <w:rPr>
          <w:rFonts w:ascii="Arial" w:hAnsi="Arial" w:cs="Arial" w:eastAsia="Arial"/>
          <w:color w:val="1E4FA3"/>
          <w:sz w:val="22"/>
          <w:szCs w:val="22"/>
          <w:rtl/>
        </w:rPr>
        <w:t xml:space="preserve">▌ </w:t>
      </w:r>
      <w:r>
        <w:rPr>
          <w:rFonts w:ascii="Arial" w:hAnsi="Arial" w:cs="Arial" w:eastAsia="Arial"/>
          <w:b/>
          <w:bCs/>
          <w:color w:val="1E4FA3"/>
          <w:sz w:val="22"/>
          <w:szCs w:val="22"/>
          <w:rtl/>
        </w:rPr>
        <w:t>ניסיונות לרסן את המירוץ</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חוק ההסדר (יישוב סכסוך):</w:t>
      </w:r>
      <w:r>
        <w:rPr>
          <w:rFonts w:ascii="Arial" w:hAnsi="Arial" w:cs="Arial" w:eastAsia="Arial"/>
          <w:color w:val="1F2430"/>
          <w:sz w:val="19"/>
          <w:szCs w:val="19"/>
          <w:rtl/>
        </w:rPr>
        <w:t xml:space="preserve"> מי שהגיש </w:t>
      </w:r>
      <w:r>
        <w:rPr>
          <w:rFonts w:ascii="Arial" w:hAnsi="Arial" w:cs="Arial" w:eastAsia="Arial"/>
          <w:b/>
          <w:bCs/>
          <w:color w:val="1F2430"/>
          <w:sz w:val="19"/>
          <w:szCs w:val="19"/>
          <w:rtl/>
        </w:rPr>
        <w:t>ראשון את הבקשה ליישוב סכסוך</w:t>
      </w:r>
      <w:r>
        <w:rPr>
          <w:rFonts w:ascii="Arial" w:hAnsi="Arial" w:cs="Arial" w:eastAsia="Arial"/>
          <w:color w:val="1F2430"/>
          <w:sz w:val="19"/>
          <w:szCs w:val="19"/>
          <w:rtl/>
        </w:rPr>
        <w:t xml:space="preserve"> קונה זכות קדימה – אם ההליך נכשל, יש לו 15 ימים להגיש תביעות לכל ערכאה מוסמכת (סעיף 4 לחוק). כך המירוץ לא נעלם – הוא </w:t>
      </w:r>
      <w:r>
        <w:rPr>
          <w:rFonts w:ascii="Arial" w:hAnsi="Arial" w:cs="Arial" w:eastAsia="Arial"/>
          <w:b/>
          <w:bCs/>
          <w:color w:val="1F2430"/>
          <w:sz w:val="19"/>
          <w:szCs w:val="19"/>
          <w:rtl/>
        </w:rPr>
        <w:t>הוקדם</w:t>
      </w:r>
      <w:r>
        <w:rPr>
          <w:rFonts w:ascii="Arial" w:hAnsi="Arial" w:cs="Arial" w:eastAsia="Arial"/>
          <w:color w:val="1F2430"/>
          <w:sz w:val="19"/>
          <w:szCs w:val="19"/>
          <w:rtl/>
        </w:rPr>
        <w:t xml:space="preserve"> לשלב הבקשה (פרק 5).</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הלכת בבלי</w:t>
      </w:r>
      <w:r>
        <w:rPr>
          <w:rFonts w:ascii="Arial" w:hAnsi="Arial" w:cs="Arial" w:eastAsia="Arial"/>
          <w:color w:val="1F2430"/>
          <w:sz w:val="19"/>
          <w:szCs w:val="19"/>
          <w:rtl/>
        </w:rPr>
        <w:t xml:space="preserve"> – השוואת הדין ברכוש בשתי הערכאות.</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בג״ץ פלמן</w:t>
      </w:r>
      <w:r>
        <w:rPr>
          <w:rFonts w:ascii="Arial" w:hAnsi="Arial" w:cs="Arial" w:eastAsia="Arial"/>
          <w:color w:val="1F2430"/>
          <w:sz w:val="19"/>
          <w:szCs w:val="19"/>
          <w:rtl/>
        </w:rPr>
        <w:t xml:space="preserve"> – עקרון הכיבוד ההדדי: הערכאה שהכריעה ראשונה בשאלת הסמכות היא הקובעת, אלא אם יש "טעם מיוחד"; לפי הפרופ׳ ההלכה </w:t>
      </w:r>
      <w:r>
        <w:rPr>
          <w:rFonts w:ascii="Arial" w:hAnsi="Arial" w:cs="Arial" w:eastAsia="Arial"/>
          <w:b/>
          <w:bCs/>
          <w:color w:val="1F2430"/>
          <w:sz w:val="19"/>
          <w:szCs w:val="19"/>
          <w:rtl/>
        </w:rPr>
        <w:t>דו-צדדית</w:t>
      </w:r>
      <w:r>
        <w:rPr>
          <w:rFonts w:ascii="Arial" w:hAnsi="Arial" w:cs="Arial" w:eastAsia="Arial"/>
          <w:color w:val="1F2430"/>
          <w:sz w:val="19"/>
          <w:szCs w:val="19"/>
          <w:rtl/>
        </w:rPr>
        <w:t xml:space="preserve"> (פרק 3).</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האם אפשר "לנעול" את בית הדין מראש?</w:t>
            </w:r>
          </w:p>
          <w:p>
            <w:pPr>
              <w:bidi/>
              <w:spacing w:before="0" w:after="60" w:line="300" w:lineRule="auto"/>
              <w:jc w:val="both"/>
            </w:pPr>
            <w:r>
              <w:rPr>
                <w:rFonts w:ascii="Arial" w:hAnsi="Arial" w:cs="Arial" w:eastAsia="Arial"/>
                <w:color w:val="1F2430"/>
                <w:sz w:val="18"/>
                <w:szCs w:val="18"/>
                <w:rtl/>
              </w:rPr>
              <w:t xml:space="preserve">סטודנט שאל: אולי כל הזוגות יחתמו בחתונה על הסכמה שכל סכסוך עתידי בענייני מעמד אישי יתנהל בבית הדין הרבני, וכך ייגמר המירוץ? </w:t>
            </w:r>
            <w:r>
              <w:rPr>
                <w:rFonts w:ascii="Arial" w:hAnsi="Arial" w:cs="Arial" w:eastAsia="Arial"/>
                <w:b/>
                <w:bCs/>
                <w:color w:val="1F2430"/>
                <w:sz w:val="18"/>
                <w:szCs w:val="18"/>
                <w:rtl/>
              </w:rPr>
              <w:t>תשובת הפרופ׳:</w:t>
            </w:r>
            <w:r>
              <w:rPr>
                <w:rFonts w:ascii="Arial" w:hAnsi="Arial" w:cs="Arial" w:eastAsia="Arial"/>
                <w:color w:val="1F2430"/>
                <w:sz w:val="18"/>
                <w:szCs w:val="18"/>
                <w:rtl/>
              </w:rPr>
              <w:t xml:space="preserve"> אפשרי, אבל (1) לא רוצים להכניס אנשים לבירור סכסוך עוד לפני שהתחתנו, ו-(2) </w:t>
            </w:r>
            <w:r>
              <w:rPr>
                <w:rFonts w:ascii="Arial" w:hAnsi="Arial" w:cs="Arial" w:eastAsia="Arial"/>
                <w:b/>
                <w:bCs/>
                <w:color w:val="1F2430"/>
                <w:sz w:val="18"/>
                <w:szCs w:val="18"/>
                <w:rtl/>
              </w:rPr>
              <w:t>אי אפשר לחסום אדם מללכת לבית המשפט</w:t>
            </w:r>
            <w:r>
              <w:rPr>
                <w:rFonts w:ascii="Arial" w:hAnsi="Arial" w:cs="Arial" w:eastAsia="Arial"/>
                <w:color w:val="1F2430"/>
                <w:sz w:val="18"/>
                <w:szCs w:val="18"/>
                <w:rtl/>
              </w:rPr>
              <w:t xml:space="preserve"> – ההסכמה תאפשר לראשון ללכת לבית הדין, אך לא תמנע מבן הזוג האחר לפנות לבית המשפט אם יהיה ראשון.</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1.9 מלכודות נפוצות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 שחוזרות במבחנים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סמכות ≠ דין.</w:t>
            </w:r>
            <w:r>
              <w:rPr>
                <w:rFonts w:ascii="Arial" w:hAnsi="Arial" w:cs="Arial" w:eastAsia="Arial"/>
                <w:color w:val="1F2430"/>
                <w:sz w:val="18"/>
                <w:szCs w:val="18"/>
                <w:rtl/>
              </w:rPr>
              <w:t xml:space="preserve"> בית המשפט לענייני משפחה דן במזונות אישה </w:t>
            </w:r>
            <w:r>
              <w:rPr>
                <w:rFonts w:ascii="Arial" w:hAnsi="Arial" w:cs="Arial" w:eastAsia="Arial"/>
                <w:b/>
                <w:bCs/>
                <w:color w:val="1F2430"/>
                <w:sz w:val="18"/>
                <w:szCs w:val="18"/>
                <w:rtl/>
              </w:rPr>
              <w:t>לפי דין תורה</w:t>
            </w:r>
            <w:r>
              <w:rPr>
                <w:rFonts w:ascii="Arial" w:hAnsi="Arial" w:cs="Arial" w:eastAsia="Arial"/>
                <w:color w:val="1F2430"/>
                <w:sz w:val="18"/>
                <w:szCs w:val="18"/>
                <w:rtl/>
              </w:rPr>
              <w:t xml:space="preserve">; בית הדין הרבני מחלק רכוש </w:t>
            </w:r>
            <w:r>
              <w:rPr>
                <w:rFonts w:ascii="Arial" w:hAnsi="Arial" w:cs="Arial" w:eastAsia="Arial"/>
                <w:b/>
                <w:bCs/>
                <w:color w:val="1F2430"/>
                <w:sz w:val="18"/>
                <w:szCs w:val="18"/>
                <w:rtl/>
              </w:rPr>
              <w:t>לפי הדין האזרחי</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"מי שבא ראשון בוחר את הדין"</w:t>
            </w:r>
            <w:r>
              <w:rPr>
                <w:rFonts w:ascii="Arial" w:hAnsi="Arial" w:cs="Arial" w:eastAsia="Arial"/>
                <w:color w:val="1F2430"/>
                <w:sz w:val="18"/>
                <w:szCs w:val="18"/>
                <w:rtl/>
              </w:rPr>
              <w:t xml:space="preserve"> – שגוי. הוא בוחר רק את הערכאה.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"כלכלה" = מזונות ילדים</w:t>
            </w:r>
            <w:r>
              <w:rPr>
                <w:rFonts w:ascii="Arial" w:hAnsi="Arial" w:cs="Arial" w:eastAsia="Arial"/>
                <w:color w:val="1F2430"/>
                <w:sz w:val="18"/>
                <w:szCs w:val="18"/>
                <w:rtl/>
              </w:rPr>
              <w:t>, לא רכוש. רכוש אינו מענייני המעמד האישי.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נישואין וגירושין – ייחודי לרבני</w:t>
            </w:r>
            <w:r>
              <w:rPr>
                <w:rFonts w:ascii="Arial" w:hAnsi="Arial" w:cs="Arial" w:eastAsia="Arial"/>
                <w:color w:val="1F2430"/>
                <w:sz w:val="18"/>
                <w:szCs w:val="18"/>
                <w:rtl/>
              </w:rPr>
              <w:t xml:space="preserve"> (בתנאי סעיף 1); מזונות, כלכלה ואפוטרופסות – מקביל.</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אין מירוץ על תביעת הגירושין עצמה.</w:t>
            </w:r>
            <w:r>
              <w:rPr>
                <w:rFonts w:ascii="Arial" w:hAnsi="Arial" w:cs="Arial" w:eastAsia="Arial"/>
                <w:color w:val="1F2430"/>
                <w:sz w:val="18"/>
                <w:szCs w:val="18"/>
                <w:rtl/>
              </w:rPr>
              <w:t xml:space="preserve"> המירוץ הוא על הנושאים הנלווים.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ירושה ואימוץ – דין טריטוריאלי.</w:t>
            </w:r>
            <w:r>
              <w:rPr>
                <w:rFonts w:ascii="Arial" w:hAnsi="Arial" w:cs="Arial" w:eastAsia="Arial"/>
                <w:color w:val="1F2430"/>
                <w:sz w:val="18"/>
                <w:szCs w:val="18"/>
                <w:rtl/>
              </w:rPr>
              <w:t xml:space="preserve"> בית דין דתי ידון בירושה רק בהסכמת </w:t>
            </w:r>
            <w:r>
              <w:rPr>
                <w:rFonts w:ascii="Arial" w:hAnsi="Arial" w:cs="Arial" w:eastAsia="Arial"/>
                <w:b/>
                <w:bCs/>
                <w:color w:val="1F2430"/>
                <w:sz w:val="18"/>
                <w:szCs w:val="18"/>
                <w:rtl/>
              </w:rPr>
              <w:t>כל</w:t>
            </w:r>
            <w:r>
              <w:rPr>
                <w:rFonts w:ascii="Arial" w:hAnsi="Arial" w:cs="Arial" w:eastAsia="Arial"/>
                <w:color w:val="1F2430"/>
                <w:sz w:val="18"/>
                <w:szCs w:val="18"/>
                <w:rtl/>
              </w:rPr>
              <w:t xml:space="preserve"> הצדדים בכתב (סעיף 155).</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בג״ץ אינו ערכאת ערעור</w:t>
            </w:r>
            <w:r>
              <w:rPr>
                <w:rFonts w:ascii="Arial" w:hAnsi="Arial" w:cs="Arial" w:eastAsia="Arial"/>
                <w:color w:val="1F2430"/>
                <w:sz w:val="18"/>
                <w:szCs w:val="18"/>
                <w:rtl/>
              </w:rPr>
              <w:t xml:space="preserve"> על בית הדין הרבני – הוא מתערב בעיקר בחריגה מסמכות (15(ד)(4)), ולא בפרשנות דין תורה (אקנין).</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טענת חוסר סמכות – בהזדמנות הראשונה</w:t>
            </w:r>
            <w:r>
              <w:rPr>
                <w:rFonts w:ascii="Arial" w:hAnsi="Arial" w:cs="Arial" w:eastAsia="Arial"/>
                <w:color w:val="1F2430"/>
                <w:sz w:val="18"/>
                <w:szCs w:val="18"/>
                <w:rtl/>
              </w:rPr>
              <w:t>, אחרת היא עלולה לאבוד.</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ערעור אזרחי:</w:t>
            </w:r>
            <w:r>
              <w:rPr>
                <w:rFonts w:ascii="Arial" w:hAnsi="Arial" w:cs="Arial" w:eastAsia="Arial"/>
                <w:color w:val="1F2430"/>
                <w:sz w:val="18"/>
                <w:szCs w:val="18"/>
                <w:rtl/>
              </w:rPr>
              <w:t xml:space="preserve"> למחוזי בזכות, לעליון ברשות. </w:t>
            </w:r>
            <w:r>
              <w:rPr>
                <w:rFonts w:ascii="Arial" w:hAnsi="Arial" w:cs="Arial" w:eastAsia="Arial"/>
                <w:b/>
                <w:bCs/>
                <w:color w:val="1F2430"/>
                <w:sz w:val="18"/>
                <w:szCs w:val="18"/>
                <w:rtl/>
              </w:rPr>
              <w:t>ערעור דתי:</w:t>
            </w:r>
            <w:r>
              <w:rPr>
                <w:rFonts w:ascii="Arial" w:hAnsi="Arial" w:cs="Arial" w:eastAsia="Arial"/>
                <w:color w:val="1F2430"/>
                <w:sz w:val="18"/>
                <w:szCs w:val="18"/>
                <w:rtl/>
              </w:rPr>
              <w:t xml:space="preserve"> לבית הדין הגדול, ואז רק עתירה לבג״ץ.</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הכתובה</w:t>
            </w:r>
            <w:r>
              <w:rPr>
                <w:rFonts w:ascii="Arial" w:hAnsi="Arial" w:cs="Arial" w:eastAsia="Arial"/>
                <w:color w:val="1F2430"/>
                <w:sz w:val="18"/>
                <w:szCs w:val="18"/>
                <w:rtl/>
              </w:rPr>
              <w:t xml:space="preserve"> נשארה בסמכות ייחודית של בית הדין הרבני (סידיס), למרות ש"נשרו" שאר ענייני הממון.</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1.10 סיכום הפרק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1. </w:t>
            </w:r>
            <w:r>
              <w:tab/>
            </w:r>
            <w:r>
              <w:rPr>
                <w:rFonts w:ascii="Arial" w:hAnsi="Arial" w:cs="Arial" w:eastAsia="Arial"/>
                <w:color w:val="1F2430"/>
                <w:sz w:val="18"/>
                <w:szCs w:val="18"/>
                <w:rtl/>
              </w:rPr>
              <w:t xml:space="preserve">בדיני המשפחה יש </w:t>
            </w:r>
            <w:r>
              <w:rPr>
                <w:rFonts w:ascii="Arial" w:hAnsi="Arial" w:cs="Arial" w:eastAsia="Arial"/>
                <w:b/>
                <w:bCs/>
                <w:color w:val="1F2430"/>
                <w:sz w:val="18"/>
                <w:szCs w:val="18"/>
                <w:rtl/>
              </w:rPr>
              <w:t>פיצול כפול</w:t>
            </w:r>
            <w:r>
              <w:rPr>
                <w:rFonts w:ascii="Arial" w:hAnsi="Arial" w:cs="Arial" w:eastAsia="Arial"/>
                <w:color w:val="1F2430"/>
                <w:sz w:val="18"/>
                <w:szCs w:val="18"/>
                <w:rtl/>
              </w:rPr>
              <w:t>: סמכות (רבני/אזרחי) ודין (אישי/טריטוריאלי). תמיד מנתחים בשלושה שלבים: סמכות → דין → מהות.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2. </w:t>
            </w:r>
            <w:r>
              <w:tab/>
            </w:r>
            <w:r>
              <w:rPr>
                <w:rFonts w:ascii="Arial" w:hAnsi="Arial" w:cs="Arial" w:eastAsia="Arial"/>
                <w:b/>
                <w:bCs/>
                <w:color w:val="1F2430"/>
                <w:sz w:val="18"/>
                <w:szCs w:val="18"/>
                <w:rtl/>
              </w:rPr>
              <w:t>סימן 51</w:t>
            </w:r>
            <w:r>
              <w:rPr>
                <w:rFonts w:ascii="Arial" w:hAnsi="Arial" w:cs="Arial" w:eastAsia="Arial"/>
                <w:color w:val="1F2430"/>
                <w:sz w:val="18"/>
                <w:szCs w:val="18"/>
                <w:rtl/>
              </w:rPr>
              <w:t xml:space="preserve"> מוסר את ענייני המעמד האישי (נמכ״א ועוד) לבתי הדין של העדות הדתיות; </w:t>
            </w:r>
            <w:r>
              <w:rPr>
                <w:rFonts w:ascii="Arial" w:hAnsi="Arial" w:cs="Arial" w:eastAsia="Arial"/>
                <w:b/>
                <w:bCs/>
                <w:color w:val="1F2430"/>
                <w:sz w:val="18"/>
                <w:szCs w:val="18"/>
                <w:rtl/>
              </w:rPr>
              <w:t>סימן 47</w:t>
            </w:r>
            <w:r>
              <w:rPr>
                <w:rFonts w:ascii="Arial" w:hAnsi="Arial" w:cs="Arial" w:eastAsia="Arial"/>
                <w:color w:val="1F2430"/>
                <w:sz w:val="18"/>
                <w:szCs w:val="18"/>
                <w:rtl/>
              </w:rPr>
              <w:t xml:space="preserve"> נותן "גם" לבתי המשפט האזרחיים סמכות בהם – וקובע שידונו לפי </w:t>
            </w:r>
            <w:r>
              <w:rPr>
                <w:rFonts w:ascii="Arial" w:hAnsi="Arial" w:cs="Arial" w:eastAsia="Arial"/>
                <w:b/>
                <w:bCs/>
                <w:color w:val="1F2430"/>
                <w:sz w:val="18"/>
                <w:szCs w:val="18"/>
                <w:rtl/>
              </w:rPr>
              <w:t>הדין האישי</w:t>
            </w:r>
            <w:r>
              <w:rPr>
                <w:rFonts w:ascii="Arial" w:hAnsi="Arial" w:cs="Arial" w:eastAsia="Arial"/>
                <w:color w:val="1F2430"/>
                <w:sz w:val="18"/>
                <w:szCs w:val="18"/>
                <w:rtl/>
              </w:rPr>
              <w:t>, בכפוף לחקיקה.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3. </w:t>
            </w:r>
            <w:r>
              <w:tab/>
            </w:r>
            <w:r>
              <w:rPr>
                <w:rFonts w:ascii="Arial" w:hAnsi="Arial" w:cs="Arial" w:eastAsia="Arial"/>
                <w:b/>
                <w:bCs/>
                <w:color w:val="1F2430"/>
                <w:sz w:val="18"/>
                <w:szCs w:val="18"/>
                <w:rtl/>
              </w:rPr>
              <w:t>חוק השיפוט 1953</w:t>
            </w:r>
            <w:r>
              <w:rPr>
                <w:rFonts w:ascii="Arial" w:hAnsi="Arial" w:cs="Arial" w:eastAsia="Arial"/>
                <w:color w:val="1F2430"/>
                <w:sz w:val="18"/>
                <w:szCs w:val="18"/>
                <w:rtl/>
              </w:rPr>
              <w:t>: נישואין וגירושין של יהודים – סמכות ייחודית לרבני (סעיף 1, ארבעה תנאים מצטברים) ולפי דין תורה (סעיף 2); שאר נמכ״א – סמכות מקבילה.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4. </w:t>
            </w:r>
            <w:r>
              <w:tab/>
            </w:r>
            <w:r>
              <w:rPr>
                <w:rFonts w:ascii="Arial" w:hAnsi="Arial" w:cs="Arial" w:eastAsia="Arial"/>
                <w:b/>
                <w:bCs/>
                <w:color w:val="1F2430"/>
                <w:sz w:val="18"/>
                <w:szCs w:val="18"/>
                <w:rtl/>
              </w:rPr>
              <w:t>דין טריטוריאלי</w:t>
            </w:r>
            <w:r>
              <w:rPr>
                <w:rFonts w:ascii="Arial" w:hAnsi="Arial" w:cs="Arial" w:eastAsia="Arial"/>
                <w:color w:val="1F2430"/>
                <w:sz w:val="18"/>
                <w:szCs w:val="18"/>
                <w:rtl/>
              </w:rPr>
              <w:t xml:space="preserve"> חל על אימוץ, ירושה (סעיף 155 – רבני רק בהסכמת כולם בכתב), רכוש (בבלי, 13(ב)) ומשמורת (חוק הכשרות). </w:t>
            </w:r>
            <w:r>
              <w:rPr>
                <w:rFonts w:ascii="Arial" w:hAnsi="Arial" w:cs="Arial" w:eastAsia="Arial"/>
                <w:b/>
                <w:bCs/>
                <w:color w:val="1F2430"/>
                <w:sz w:val="18"/>
                <w:szCs w:val="18"/>
                <w:rtl/>
              </w:rPr>
              <w:t>"הדין הולך אחר הדיין"</w:t>
            </w:r>
            <w:r>
              <w:rPr>
                <w:rFonts w:ascii="Arial" w:hAnsi="Arial" w:cs="Arial" w:eastAsia="Arial"/>
                <w:color w:val="1F2430"/>
                <w:sz w:val="18"/>
                <w:szCs w:val="18"/>
                <w:rtl/>
              </w:rPr>
              <w:t xml:space="preserve"> – רק ברירת מחדל כשאין הוראת חוק.</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5. </w:t>
            </w:r>
            <w:r>
              <w:tab/>
            </w:r>
            <w:r>
              <w:rPr>
                <w:rFonts w:ascii="Arial" w:hAnsi="Arial" w:cs="Arial" w:eastAsia="Arial"/>
                <w:color w:val="1F2430"/>
                <w:sz w:val="18"/>
                <w:szCs w:val="18"/>
                <w:rtl/>
              </w:rPr>
              <w:t xml:space="preserve">בתי הדין </w:t>
            </w:r>
            <w:r>
              <w:rPr>
                <w:rFonts w:ascii="Arial" w:hAnsi="Arial" w:cs="Arial" w:eastAsia="Arial"/>
                <w:b/>
                <w:bCs/>
                <w:color w:val="1F2430"/>
                <w:sz w:val="18"/>
                <w:szCs w:val="18"/>
                <w:rtl/>
              </w:rPr>
              <w:t>כפופים לחקיקה האזרחית</w:t>
            </w:r>
            <w:r>
              <w:rPr>
                <w:rFonts w:ascii="Arial" w:hAnsi="Arial" w:cs="Arial" w:eastAsia="Arial"/>
                <w:color w:val="1F2430"/>
                <w:sz w:val="18"/>
                <w:szCs w:val="18"/>
                <w:rtl/>
              </w:rPr>
              <w:t xml:space="preserve">: חוק שיווי זכויות האישה (סעיפים 1, 2, 7(ב)), חוק יחסי ממון 13(ב), הוראות פרוצדורליות בחוק המזונות. </w:t>
            </w:r>
            <w:r>
              <w:rPr>
                <w:rFonts w:ascii="Arial" w:hAnsi="Arial" w:cs="Arial" w:eastAsia="Arial"/>
                <w:b/>
                <w:bCs/>
                <w:color w:val="1F2430"/>
                <w:sz w:val="18"/>
                <w:szCs w:val="18"/>
                <w:rtl/>
              </w:rPr>
              <w:t>בבלי</w:t>
            </w:r>
            <w:r>
              <w:rPr>
                <w:rFonts w:ascii="Arial" w:hAnsi="Arial" w:cs="Arial" w:eastAsia="Arial"/>
                <w:color w:val="1F2430"/>
                <w:sz w:val="18"/>
                <w:szCs w:val="18"/>
                <w:rtl/>
              </w:rPr>
              <w:t>: "הדיין הולך אחר הדין" ברכוש.</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6. </w:t>
            </w:r>
            <w:r>
              <w:tab/>
            </w:r>
            <w:r>
              <w:rPr>
                <w:rFonts w:ascii="Arial" w:hAnsi="Arial" w:cs="Arial" w:eastAsia="Arial"/>
                <w:b/>
                <w:bCs/>
                <w:color w:val="1F2430"/>
                <w:sz w:val="18"/>
                <w:szCs w:val="18"/>
                <w:rtl/>
              </w:rPr>
              <w:t>ערעור</w:t>
            </w:r>
            <w:r>
              <w:rPr>
                <w:rFonts w:ascii="Arial" w:hAnsi="Arial" w:cs="Arial" w:eastAsia="Arial"/>
                <w:color w:val="1F2430"/>
                <w:sz w:val="18"/>
                <w:szCs w:val="18"/>
                <w:rtl/>
              </w:rPr>
              <w:t xml:space="preserve">: אזרחי – מחוזי בזכות, עליון ברשות; דתי – בית הדין הגדול, ואז </w:t>
            </w:r>
            <w:r>
              <w:rPr>
                <w:rFonts w:ascii="Arial" w:hAnsi="Arial" w:cs="Arial" w:eastAsia="Arial"/>
                <w:b/>
                <w:bCs/>
                <w:color w:val="1F2430"/>
                <w:sz w:val="18"/>
                <w:szCs w:val="18"/>
                <w:rtl/>
              </w:rPr>
              <w:t>עתירה</w:t>
            </w:r>
            <w:r>
              <w:rPr>
                <w:rFonts w:ascii="Arial" w:hAnsi="Arial" w:cs="Arial" w:eastAsia="Arial"/>
                <w:color w:val="1F2430"/>
                <w:sz w:val="18"/>
                <w:szCs w:val="18"/>
                <w:rtl/>
              </w:rPr>
              <w:t xml:space="preserve"> לבג״ץ (15(ד)(4); 15(ג) נדיר). עילות: חריגה מסמכות (בסן, סבג), אי-החלת דין אזרחי (בבלי), שימוש בסמכות שלא לתכליתה (לב). אין התערבות בפרשנות דין תורה (אקנין).</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7. </w:t>
            </w:r>
            <w:r>
              <w:tab/>
            </w:r>
            <w:r>
              <w:rPr>
                <w:rFonts w:ascii="Arial" w:hAnsi="Arial" w:cs="Arial" w:eastAsia="Arial"/>
                <w:b/>
                <w:bCs/>
                <w:color w:val="1F2430"/>
                <w:sz w:val="18"/>
                <w:szCs w:val="18"/>
                <w:rtl/>
              </w:rPr>
              <w:t>מירוץ הסמכויות</w:t>
            </w:r>
            <w:r>
              <w:rPr>
                <w:rFonts w:ascii="Arial" w:hAnsi="Arial" w:cs="Arial" w:eastAsia="Arial"/>
                <w:color w:val="1F2430"/>
                <w:sz w:val="18"/>
                <w:szCs w:val="18"/>
                <w:rtl/>
              </w:rPr>
              <w:t xml:space="preserve"> קיים בנושאים שבסמכות מקבילה, ונובע מפרשנות שונה, תוצאות שונות וסמכות נמשכת. חוק יישוב הסכסוך הקדים את המירוץ לשלב הבקשה, ובבלי ופלמן ניסו לרסן אותו.</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0F7C7A"/>
            <w:tcBorders>
              <w:top w:val="single" w:sz="4" w:space="0" w:color="0F7C7A"/>
              <w:left w:val="single" w:sz="4" w:space="0" w:color="0F7C7A"/>
              <w:bottom w:val="single" w:sz="4" w:space="0" w:color="0F7C7A"/>
              <w:right w:val="single" w:sz="4" w:space="0" w:color="0F7C7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2</w:t>
            </w:r>
          </w:p>
          <w:p>
            <w:pPr>
              <w:bidi/>
              <w:spacing w:before="0" w:after="0" w:line="264" w:lineRule="auto"/>
              <w:outlineLvl w:val="0"/>
            </w:pPr>
            <w:r>
              <w:rPr>
                <w:rFonts w:ascii="Arial" w:hAnsi="Arial" w:cs="Arial" w:eastAsia="Arial"/>
                <w:b/>
                <w:bCs/>
                <w:color w:val="FFFFFF"/>
                <w:sz w:val="42"/>
                <w:szCs w:val="42"/>
                <w:rtl/>
              </w:rPr>
              <w:t>הסמכות הייחודית של בית הדין הרבני</w:t>
            </w:r>
          </w:p>
        </w:tc>
      </w:tr>
    </w:tbl>
    <w:p>
      <w:pPr>
        <w:bidi/>
        <w:spacing w:after="0" w:before="0" w:line="20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 נקודת המוצא: חוק שיפוט בתי דין רבניים, 1953</w:t>
      </w:r>
    </w:p>
    <w:p>
      <w:pPr>
        <w:bidi/>
        <w:spacing w:before="0" w:after="100" w:line="300" w:lineRule="auto"/>
        <w:jc w:val="both"/>
      </w:pPr>
      <w:r>
        <w:rPr>
          <w:rFonts w:ascii="Arial" w:hAnsi="Arial" w:cs="Arial" w:eastAsia="Arial"/>
          <w:color w:val="1F2430"/>
          <w:sz w:val="19"/>
          <w:szCs w:val="19"/>
          <w:rtl/>
        </w:rPr>
        <w:t>בפרק 1 ראינו שסימן 51 לדבר המלך מסר את ענייני המעמד האישי (נמכ״א – נישואין וגירושין, מזונות, כלכלה, אפוטרופסות) לבתי הדין הדתיים, ושסימן 47 נתן לבתי המשפט האזרחיים סמכות גם בעניינים האלה. התוצאה הייתה סמכות מקבילה בכל ארבעת הנושאים, ובימי ראשית המדינה גם בית משפט אזרחי יכול היה לגרש.</w:t>
      </w:r>
    </w:p>
    <w:p>
      <w:pPr>
        <w:bidi/>
        <w:spacing w:before="0" w:after="100" w:line="300" w:lineRule="auto"/>
        <w:jc w:val="both"/>
      </w:pPr>
      <w:r>
        <w:rPr>
          <w:rFonts w:ascii="Arial" w:hAnsi="Arial" w:cs="Arial" w:eastAsia="Arial"/>
          <w:color w:val="1F2430"/>
          <w:sz w:val="19"/>
          <w:szCs w:val="19"/>
          <w:rtl/>
        </w:rPr>
        <w:t xml:space="preserve">בשנת 1953 חוקקה הכנסת את </w:t>
      </w:r>
      <w:r>
        <w:rPr>
          <w:rFonts w:ascii="Arial" w:hAnsi="Arial" w:cs="Arial" w:eastAsia="Arial"/>
          <w:color w:val="1F2430"/>
          <w:sz w:val="19"/>
          <w:szCs w:val="19"/>
          <w:highlight w:val="yellow"/>
          <w:rtl/>
        </w:rPr>
        <w:t>חוק שיפוט בתי דין רבניים (נישואין וגירושין), התשי״ג-1953</w:t>
      </w:r>
      <w:r>
        <w:rPr>
          <w:rFonts w:ascii="Arial" w:hAnsi="Arial" w:cs="Arial" w:eastAsia="Arial"/>
          <w:color w:val="1F2430"/>
          <w:sz w:val="19"/>
          <w:szCs w:val="19"/>
          <w:rtl/>
        </w:rPr>
        <w:t xml:space="preserve"> (בקיצור: חשבד״ר או "חוק השיפוט"). זה החוק הישראלי הראשון שקבע מסגרת ליהודים במקום דבר המלך, והוא שינה את המצב בנקודה אחת מרכזית: מי שרצה ב-1948 לקחת תיק גירושין לבית משפט אזרחי, כבר לא יכול לעשות זאת. נישואין וגירושין של יהודים עברו לסמכות ייחודית של בית הדין הרבני.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ייחודית מול סמכות מקבילה</w:t>
            </w:r>
          </w:p>
          <w:p>
            <w:pPr>
              <w:bidi/>
              <w:spacing w:before="0" w:after="60" w:line="300" w:lineRule="auto"/>
              <w:jc w:val="both"/>
            </w:pPr>
            <w:r>
              <w:rPr>
                <w:rFonts w:ascii="Arial" w:hAnsi="Arial" w:cs="Arial" w:eastAsia="Arial"/>
                <w:b/>
                <w:bCs/>
                <w:color w:val="1F2430"/>
                <w:sz w:val="18"/>
                <w:szCs w:val="18"/>
                <w:rtl/>
              </w:rPr>
              <w:t>סמכות ייחודית (בלעדית)</w:t>
            </w:r>
            <w:r>
              <w:rPr>
                <w:rFonts w:ascii="Arial" w:hAnsi="Arial" w:cs="Arial" w:eastAsia="Arial"/>
                <w:color w:val="1F2430"/>
                <w:sz w:val="18"/>
                <w:szCs w:val="18"/>
                <w:rtl/>
              </w:rPr>
              <w:t xml:space="preserve"> – רק ערכאה אחת מוסמכת לדון בנושא. נישואין וגירושין של יהודים: בית הדין הרבני בלבד. </w:t>
            </w:r>
            <w:r>
              <w:rPr>
                <w:rFonts w:ascii="Arial" w:hAnsi="Arial" w:cs="Arial" w:eastAsia="Arial"/>
                <w:b/>
                <w:bCs/>
                <w:color w:val="1F2430"/>
                <w:sz w:val="18"/>
                <w:szCs w:val="18"/>
                <w:rtl/>
              </w:rPr>
              <w:t>סמכות מקבילה</w:t>
            </w:r>
            <w:r>
              <w:rPr>
                <w:rFonts w:ascii="Arial" w:hAnsi="Arial" w:cs="Arial" w:eastAsia="Arial"/>
                <w:color w:val="1F2430"/>
                <w:sz w:val="18"/>
                <w:szCs w:val="18"/>
                <w:rtl/>
              </w:rPr>
              <w:t xml:space="preserve"> – יותר מערכאה אחת מוסמכת לדון באותו עניין, והעניין נתפס אצל הערכאה שאליה הגיעו ראשונים ("מירוץ הסמכויות"). מזונות אישה, כלכלה (מזונות ילדים) ואפוטרופסות נשארו בסמכות מקבילה.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המשמעות המעשית: גם אחרי 1953 </w:t>
      </w:r>
      <w:r>
        <w:rPr>
          <w:rFonts w:ascii="Arial" w:hAnsi="Arial" w:cs="Arial" w:eastAsia="Arial"/>
          <w:color w:val="1F2430"/>
          <w:sz w:val="19"/>
          <w:szCs w:val="19"/>
          <w:highlight w:val="yellow"/>
          <w:rtl/>
        </w:rPr>
        <w:t>מירוץ הסמכויות לא נעלם</w:t>
      </w:r>
      <w:r>
        <w:rPr>
          <w:rFonts w:ascii="Arial" w:hAnsi="Arial" w:cs="Arial" w:eastAsia="Arial"/>
          <w:color w:val="1F2430"/>
          <w:sz w:val="19"/>
          <w:szCs w:val="19"/>
          <w:rtl/>
        </w:rPr>
        <w:t>. הוא הצטמצם לנושאים שבסמכות מקבילה. על תביעת הגירושין עצמה אין מירוץ, כי היא תתברר בכל מקרה רק בבית הדין הרבני. לכן אין לאף צד סיבה למהר ולהגיש אותה, ותביעת גירושין יכולה להגיע גם בסוף.</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למה אישה לא ממהרת להגיש תביעת גירושין?</w:t>
            </w:r>
          </w:p>
          <w:p>
            <w:pPr>
              <w:bidi/>
              <w:spacing w:before="0" w:after="60" w:line="300" w:lineRule="auto"/>
              <w:jc w:val="both"/>
            </w:pPr>
            <w:r>
              <w:rPr>
                <w:rFonts w:ascii="Arial" w:hAnsi="Arial" w:cs="Arial" w:eastAsia="Arial"/>
                <w:color w:val="1F2430"/>
                <w:sz w:val="18"/>
                <w:szCs w:val="18"/>
                <w:rtl/>
              </w:rPr>
              <w:t>לפי הפרופ׳: אישה שמצהירה "אני רוצה להתגרש" בלי הצדקה רצינית עלולה להפסיד את הכתובה ואת מזונותיה (כמורדת), והאמירה עצמה עלולה להיחשב עילת גירושין. לכן היא יכולה לפתוח את התיקים הנלווים בבית המשפט לענייני משפחה בלי תביעת גירושין. תביעת גירושין לבית הדין מוגשת בדרך כלל כדי לכרוך אליה נושאים (פרק 3).</w:t>
            </w:r>
          </w:p>
        </w:tc>
      </w:tr>
    </w:tbl>
    <w:p>
      <w:pPr>
        <w:bidi/>
        <w:spacing w:after="0" w:before="0" w:line="120" w:lineRule="exact"/>
      </w:pPr>
      <w:r>
        <w:rPr>
          <w:sz w:val="2"/>
        </w:rPr>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סעיף 1 – הסמכות הייחודית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1</w:t>
            </w:r>
          </w:p>
          <w:p>
            <w:pPr>
              <w:bidi/>
              <w:spacing w:before="0" w:after="60" w:line="300" w:lineRule="auto"/>
              <w:jc w:val="both"/>
            </w:pPr>
            <w:r>
              <w:rPr>
                <w:rFonts w:ascii="Arial" w:hAnsi="Arial" w:cs="Arial" w:eastAsia="Arial"/>
                <w:color w:val="1F2430"/>
                <w:sz w:val="18"/>
                <w:szCs w:val="18"/>
                <w:rtl/>
              </w:rPr>
              <w:t>"עניני נישואין וגירושין של יהודים בישראל, אזרחי המדינה או תושביה, יהיו בשיפוטם הייחודי של בתי דין רבניים."</w:t>
            </w:r>
          </w:p>
        </w:tc>
      </w:tr>
    </w:tbl>
    <w:p>
      <w:pPr>
        <w:bidi/>
        <w:spacing w:after="0" w:before="0" w:line="120" w:lineRule="exact"/>
      </w:pPr>
      <w:r>
        <w:rPr>
          <w:sz w:val="2"/>
        </w:rPr>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סעיף 2 – ברירת הדין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2</w:t>
            </w:r>
          </w:p>
          <w:p>
            <w:pPr>
              <w:bidi/>
              <w:spacing w:before="0" w:after="60" w:line="300" w:lineRule="auto"/>
              <w:jc w:val="both"/>
            </w:pPr>
            <w:r>
              <w:rPr>
                <w:rFonts w:ascii="Arial" w:hAnsi="Arial" w:cs="Arial" w:eastAsia="Arial"/>
                <w:color w:val="1F2430"/>
                <w:sz w:val="18"/>
                <w:szCs w:val="18"/>
                <w:rtl/>
              </w:rPr>
              <w:t>"נישואין וגירושין של יהודים ייערכו בישראל על פי דין תורה."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צריך להבחין בין שני הסעיפים. </w:t>
      </w:r>
      <w:r>
        <w:rPr>
          <w:rFonts w:ascii="Arial" w:hAnsi="Arial" w:cs="Arial" w:eastAsia="Arial"/>
          <w:b/>
          <w:bCs/>
          <w:color w:val="1F2430"/>
          <w:sz w:val="19"/>
          <w:szCs w:val="19"/>
          <w:rtl/>
        </w:rPr>
        <w:t>סעיף 1 עוסק בסמכות השיפוט</w:t>
      </w:r>
      <w:r>
        <w:rPr>
          <w:rFonts w:ascii="Arial" w:hAnsi="Arial" w:cs="Arial" w:eastAsia="Arial"/>
          <w:color w:val="1F2430"/>
          <w:sz w:val="19"/>
          <w:szCs w:val="19"/>
          <w:rtl/>
        </w:rPr>
        <w:t xml:space="preserve">, כלומר מי מוסמך לדון. </w:t>
      </w:r>
      <w:r>
        <w:rPr>
          <w:rFonts w:ascii="Arial" w:hAnsi="Arial" w:cs="Arial" w:eastAsia="Arial"/>
          <w:b/>
          <w:bCs/>
          <w:color w:val="1F2430"/>
          <w:sz w:val="19"/>
          <w:szCs w:val="19"/>
          <w:rtl/>
        </w:rPr>
        <w:t>סעיף 2 עוסק בברירת הדין</w:t>
      </w:r>
      <w:r>
        <w:rPr>
          <w:rFonts w:ascii="Arial" w:hAnsi="Arial" w:cs="Arial" w:eastAsia="Arial"/>
          <w:color w:val="1F2430"/>
          <w:sz w:val="19"/>
          <w:szCs w:val="19"/>
          <w:rtl/>
        </w:rPr>
        <w:t>, כלומר לפי איזה דין דנים. אחרי שנקבע שלבית הדין הרבני יש סמכות לפי סעיף 1, סעיף 2 קובע שהנישואין והגירושין יתנהלו לפי הדין הדתי, דין תורה.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סעיף 2 אינו סעיף סמכות</w:t>
            </w:r>
          </w:p>
          <w:p>
            <w:pPr>
              <w:bidi/>
              <w:spacing w:before="0" w:after="60" w:line="300" w:lineRule="auto"/>
              <w:jc w:val="both"/>
            </w:pPr>
            <w:r>
              <w:rPr>
                <w:rFonts w:ascii="Arial" w:hAnsi="Arial" w:cs="Arial" w:eastAsia="Arial"/>
                <w:color w:val="1F2430"/>
                <w:sz w:val="18"/>
                <w:szCs w:val="18"/>
                <w:rtl/>
              </w:rPr>
              <w:t>שאלה שמציגה את סעיף 2 כמקור הסמכות של בית הדין, או את סעיף 1 כסעיף שקובע את הדין החל, מבלבלת בין שתי השאלות. שימו לב גם לנוסח: סעיף 2 מדבר על נישואין וגירושין "של יהודים" בלבד. לא "אף אם אחד מבני הזוג יהודי", ולא "לפי בחירה" או "לפי כל דין".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שאר סעיפי החוק נלמדים בפרקים אחרים: סעיף 3 (כריכה) וסעיף 4 (מזונות אישה בתביעה נפרדת) בפרק 3, וסעיף 9 (סמכות בהסכמה) והסמכות הנמשכת בפרק 4. בפרק הזה נעסוק בסעיפים 1 ו-2 ובהרחבות הבין-לאומיות: סעיף 4א, סעיף 4ב וחוק שיפוט בענייני התרת נישואין (מקרים מיוחדים).</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2.2 ארבעה תנאים מצטברים</w:t>
      </w:r>
    </w:p>
    <w:p>
      <w:pPr>
        <w:bidi/>
        <w:spacing w:before="0" w:after="100" w:line="300" w:lineRule="auto"/>
        <w:jc w:val="both"/>
      </w:pPr>
      <w:r>
        <w:rPr>
          <w:rFonts w:ascii="Arial" w:hAnsi="Arial" w:cs="Arial" w:eastAsia="Arial"/>
          <w:color w:val="1F2430"/>
          <w:sz w:val="19"/>
          <w:szCs w:val="19"/>
          <w:rtl/>
        </w:rPr>
        <w:t xml:space="preserve">סעיף 1 מונה </w:t>
      </w:r>
      <w:r>
        <w:rPr>
          <w:rFonts w:ascii="Arial" w:hAnsi="Arial" w:cs="Arial" w:eastAsia="Arial"/>
          <w:color w:val="1F2430"/>
          <w:sz w:val="19"/>
          <w:szCs w:val="19"/>
          <w:highlight w:val="yellow"/>
          <w:rtl/>
        </w:rPr>
        <w:t>ארבעה תנאים מצטברים</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27"/>
        <w:gridCol w:w="1890"/>
        <w:gridCol w:w="4725"/>
        <w:gridCol w:w="2362"/>
      </w:tblGrid>
      <w:tr>
        <w:trPr>
          <w:tblHeader/>
        </w:trPr>
        <w:tc>
          <w:tcPr>
            <w:tcW w:type="dxa" w:w="1228"/>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תנאי</w:t>
            </w:r>
          </w:p>
        </w:tc>
        <w:tc>
          <w:tcPr>
            <w:tcW w:type="dxa" w:w="1890"/>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לשון הסעיף</w:t>
            </w:r>
          </w:p>
        </w:tc>
        <w:tc>
          <w:tcPr>
            <w:tcW w:type="dxa" w:w="472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השאלה שבודקים</w:t>
            </w:r>
          </w:p>
        </w:tc>
        <w:tc>
          <w:tcPr>
            <w:tcW w:type="dxa" w:w="2362"/>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מקורות מרכזיים</w:t>
            </w:r>
          </w:p>
        </w:tc>
      </w:tr>
      <w:tr>
        <w:trPr>
          <w:cantSplit/>
        </w:trPr>
        <w:tc>
          <w:tcPr>
            <w:tcW w:type="dxa" w:w="122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189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"עניני נישואין וגירושין"</w:t>
            </w:r>
          </w:p>
        </w:tc>
        <w:tc>
          <w:tcPr>
            <w:tcW w:type="dxa" w:w="47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הנושא הוא עצם הקשר והמעמד האישי?</w:t>
            </w:r>
          </w:p>
        </w:tc>
        <w:tc>
          <w:tcPr>
            <w:tcW w:type="dxa" w:w="236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סידיס (הכתובה)</w:t>
            </w:r>
          </w:p>
        </w:tc>
      </w:tr>
      <w:tr>
        <w:trPr>
          <w:cantSplit/>
        </w:trPr>
        <w:tc>
          <w:tcPr>
            <w:tcW w:type="dxa" w:w="122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2</w:t>
            </w:r>
          </w:p>
        </w:tc>
        <w:tc>
          <w:tcPr>
            <w:tcW w:type="dxa" w:w="189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"של יהודים"</w:t>
            </w:r>
          </w:p>
        </w:tc>
        <w:tc>
          <w:tcPr>
            <w:tcW w:type="dxa" w:w="47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האם שני בני הזוג יהודים?</w:t>
            </w:r>
          </w:p>
        </w:tc>
        <w:tc>
          <w:tcPr>
            <w:tcW w:type="dxa" w:w="236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אוה בסן; חוק המקרים המיוחדים</w:t>
            </w:r>
          </w:p>
        </w:tc>
      </w:tr>
      <w:tr>
        <w:trPr>
          <w:cantSplit/>
        </w:trPr>
        <w:tc>
          <w:tcPr>
            <w:tcW w:type="dxa" w:w="122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w:t>
            </w:r>
          </w:p>
        </w:tc>
        <w:tc>
          <w:tcPr>
            <w:tcW w:type="dxa" w:w="189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"בישראל"</w:t>
            </w:r>
          </w:p>
        </w:tc>
        <w:tc>
          <w:tcPr>
            <w:tcW w:type="dxa" w:w="47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בני הזוג בישראל בעת הגשת התביעה, כולל נוכחות קונסטרוקטיבית?</w:t>
            </w:r>
          </w:p>
        </w:tc>
        <w:tc>
          <w:tcPr>
            <w:tcW w:type="dxa" w:w="236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ורבר, חן, הראל, קריב, ביגר</w:t>
            </w:r>
          </w:p>
        </w:tc>
      </w:tr>
      <w:tr>
        <w:trPr>
          <w:cantSplit/>
        </w:trPr>
        <w:tc>
          <w:tcPr>
            <w:tcW w:type="dxa" w:w="122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4</w:t>
            </w:r>
          </w:p>
        </w:tc>
        <w:tc>
          <w:tcPr>
            <w:tcW w:type="dxa" w:w="189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"אזרחי המדינה או תושביה"</w:t>
            </w:r>
          </w:p>
        </w:tc>
        <w:tc>
          <w:tcPr>
            <w:tcW w:type="dxa" w:w="47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האם כל אחד מבני הזוג אזרח או תושב?</w:t>
            </w:r>
          </w:p>
        </w:tc>
        <w:tc>
          <w:tcPr>
            <w:tcW w:type="dxa" w:w="236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חוק האזרחות; ס׳ 80 לחוק הכשרות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"מצטברים" פירושו שכל ארבעת התנאים חייבים להתקיים יחד. אם חסר אפילו תנאי אחד, </w:t>
      </w:r>
      <w:r>
        <w:rPr>
          <w:rFonts w:ascii="Arial" w:hAnsi="Arial" w:cs="Arial" w:eastAsia="Arial"/>
          <w:color w:val="1F2430"/>
          <w:sz w:val="19"/>
          <w:szCs w:val="19"/>
          <w:highlight w:val="yellow"/>
          <w:rtl/>
        </w:rPr>
        <w:t>סעיף 1 אינו חל</w:t>
      </w:r>
      <w:r>
        <w:rPr>
          <w:rFonts w:ascii="Arial" w:hAnsi="Arial" w:cs="Arial" w:eastAsia="Arial"/>
          <w:color w:val="1F2430"/>
          <w:sz w:val="19"/>
          <w:szCs w:val="19"/>
          <w:rtl/>
        </w:rPr>
        <w:t>, וצריך לבדוק אם יש סמכות מכוח הוראת חוק אחרת: סעיף 4 (מזונות אישה), סעיף 4א, סעיף 4ב, סעיף 9 (הסכמה) או סמכות נמשכת. כשאין סמכות, בית הדין לא יכול לדון בעניין ולא יכול להוציא צווים.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סדר הבדיקה במבחן</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1. </w:t>
            </w:r>
            <w:r>
              <w:tab/>
            </w:r>
            <w:r>
              <w:rPr>
                <w:rFonts w:ascii="Arial" w:hAnsi="Arial" w:cs="Arial" w:eastAsia="Arial"/>
                <w:color w:val="1F2430"/>
                <w:sz w:val="18"/>
                <w:szCs w:val="18"/>
                <w:rtl/>
              </w:rPr>
              <w:t>מתחילים תמיד בבית הדין הרבני. מה שלא ייתפס שם יגיע לבית המשפט לענייני משפחה.</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2. </w:t>
            </w:r>
            <w:r>
              <w:tab/>
            </w:r>
            <w:r>
              <w:rPr>
                <w:rFonts w:ascii="Arial" w:hAnsi="Arial" w:cs="Arial" w:eastAsia="Arial"/>
                <w:color w:val="1F2430"/>
                <w:sz w:val="18"/>
                <w:szCs w:val="18"/>
                <w:rtl/>
              </w:rPr>
              <w:t>בודקים את ארבעת התנאים של סעיף 1 גם לגבי התובע וגם לגבי הנתבע.</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3. </w:t>
            </w:r>
            <w:r>
              <w:tab/>
            </w:r>
            <w:r>
              <w:rPr>
                <w:rFonts w:ascii="Arial" w:hAnsi="Arial" w:cs="Arial" w:eastAsia="Arial"/>
                <w:color w:val="1F2430"/>
                <w:sz w:val="18"/>
                <w:szCs w:val="18"/>
                <w:rtl/>
              </w:rPr>
              <w:t>לעולם לא דנים בכריכה לפני שעברנו את סעיף 1. סעיף 3 נשען על סעיף 1: בלי סמכות בסיסית אין כריכה.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סדר התנאים</w:t>
            </w:r>
          </w:p>
          <w:p>
            <w:pPr>
              <w:bidi/>
              <w:spacing w:before="0" w:after="60" w:line="300" w:lineRule="auto"/>
              <w:jc w:val="both"/>
            </w:pPr>
            <w:r>
              <w:rPr>
                <w:rFonts w:ascii="Arial" w:hAnsi="Arial" w:cs="Arial" w:eastAsia="Arial"/>
                <w:color w:val="1F2430"/>
                <w:sz w:val="18"/>
                <w:szCs w:val="18"/>
                <w:rtl/>
              </w:rPr>
              <w:t>יש סיכומים שבהם "אזרחים או תושבים" ממוספר שלישי. בקורס הסדר הוא לפי לשון הסעיף. המספור לא חשוב, התוכן כן.</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2.3 תנאי 1: "ענייני נישואין וגירושין"</w:t>
      </w:r>
    </w:p>
    <w:p>
      <w:pPr>
        <w:bidi/>
        <w:spacing w:before="0" w:after="100" w:line="300" w:lineRule="auto"/>
        <w:jc w:val="both"/>
      </w:pPr>
      <w:r>
        <w:rPr>
          <w:rFonts w:ascii="Arial" w:hAnsi="Arial" w:cs="Arial" w:eastAsia="Arial"/>
          <w:color w:val="1F2430"/>
          <w:sz w:val="19"/>
          <w:szCs w:val="19"/>
          <w:rtl/>
        </w:rPr>
        <w:t>"ענייני נישואין" הם כל שאלה שנוגעת לעצם הקשר הזוגי ולמעמד האישי של בני הזוג. "ענייני גירושין" הם תביעת הגירושין, תוקף הגירושין וביצוע הגט.</w:t>
      </w:r>
    </w:p>
    <w:tbl>
      <w:tblPr>
        <w:tblW w:type="dxa" w:w="10206"/>
        <w:jc w:val="center"/>
        <w:tblLook w:firstColumn="1" w:firstRow="1" w:lastColumn="0" w:lastRow="0" w:noHBand="0" w:noVBand="1" w:val="04A0"/>
        <w:bidiVisual/>
        <w:tblLayout w:type="fixed"/>
      </w:tblPr>
      <w:tblGrid>
        <w:gridCol w:w="3645"/>
        <w:gridCol w:w="6561"/>
      </w:tblGrid>
      <w:tr>
        <w:trPr>
          <w:tblHeader/>
        </w:trPr>
        <w:tc>
          <w:tcPr>
            <w:tcW w:type="dxa" w:w="364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ענייני נישואין (סמכות ייחודית)</w:t>
            </w:r>
          </w:p>
        </w:tc>
        <w:tc>
          <w:tcPr>
            <w:tcW w:type="dxa" w:w="6560"/>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דוגמה לשאלה</w:t>
            </w:r>
          </w:p>
        </w:tc>
      </w:tr>
      <w:tr>
        <w:trPr>
          <w:cantSplit/>
        </w:trPr>
        <w:tc>
          <w:tcPr>
            <w:tcW w:type="dxa" w:w="36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הצהרה על תוקף נישואין</w:t>
            </w:r>
          </w:p>
        </w:tc>
        <w:tc>
          <w:tcPr>
            <w:tcW w:type="dxa" w:w="656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בני הזוג נשואים כדין? האם הנישואין תקפים או בטלים?</w:t>
            </w:r>
          </w:p>
        </w:tc>
      </w:tr>
      <w:tr>
        <w:trPr>
          <w:cantSplit/>
        </w:trPr>
        <w:tc>
          <w:tcPr>
            <w:tcW w:type="dxa" w:w="36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רווקות / טקס שנערך בצחוק</w:t>
            </w:r>
          </w:p>
        </w:tc>
        <w:tc>
          <w:tcPr>
            <w:tcW w:type="dxa" w:w="656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האם "הרי את מקודשת" עם טבעת פלסטיק בנוכחות אנשים תופס?</w:t>
            </w:r>
          </w:p>
        </w:tc>
      </w:tr>
      <w:tr>
        <w:trPr>
          <w:cantSplit/>
        </w:trPr>
        <w:tc>
          <w:tcPr>
            <w:tcW w:type="dxa" w:w="36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כשרות להינשא</w:t>
            </w:r>
          </w:p>
        </w:tc>
        <w:tc>
          <w:tcPr>
            <w:tcW w:type="dxa" w:w="656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מותר להם להינשא זה לזו?</w:t>
            </w:r>
          </w:p>
        </w:tc>
      </w:tr>
      <w:tr>
        <w:trPr>
          <w:cantSplit/>
        </w:trPr>
        <w:tc>
          <w:tcPr>
            <w:tcW w:type="dxa" w:w="36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כשרות העדים</w:t>
            </w:r>
          </w:p>
        </w:tc>
        <w:tc>
          <w:tcPr>
            <w:tcW w:type="dxa" w:w="656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רק בית הדין קובע. בג״ץ לא יתערב בכך</w:t>
            </w:r>
          </w:p>
        </w:tc>
      </w:tr>
      <w:tr>
        <w:trPr>
          <w:cantSplit/>
        </w:trPr>
        <w:tc>
          <w:tcPr>
            <w:tcW w:type="dxa" w:w="36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שלום בית</w:t>
            </w:r>
          </w:p>
        </w:tc>
        <w:tc>
          <w:tcPr>
            <w:tcW w:type="dxa" w:w="656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אחד מבני הזוג מבקש לשקם את הנישואין?</w:t>
            </w:r>
          </w:p>
        </w:tc>
      </w:tr>
      <w:tr>
        <w:trPr>
          <w:cantSplit/>
        </w:trPr>
        <w:tc>
          <w:tcPr>
            <w:tcW w:type="dxa" w:w="36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מורד / מורדת</w:t>
            </w:r>
          </w:p>
        </w:tc>
        <w:tc>
          <w:tcPr>
            <w:tcW w:type="dxa" w:w="656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האם אחד מבני הזוג נחשב מורד לפי הדין הדתי?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הטבעת מהפלסטיק</w:t>
            </w:r>
          </w:p>
          <w:p>
            <w:pPr>
              <w:bidi/>
              <w:spacing w:before="0" w:after="60" w:line="300" w:lineRule="auto"/>
              <w:jc w:val="both"/>
            </w:pPr>
            <w:r>
              <w:rPr>
                <w:rFonts w:ascii="Arial" w:hAnsi="Arial" w:cs="Arial" w:eastAsia="Arial"/>
                <w:color w:val="1F2430"/>
                <w:sz w:val="18"/>
                <w:szCs w:val="18"/>
                <w:rtl/>
              </w:rPr>
              <w:t>אדם נותן לאישה טבעת, אפילו מפלסטיק ואפילו בצחוק, בנוכחות אנשים, ואומר "הרי את מקודשת לי". אם יש ספק אם הקידושין תפסו, רק בית הדין הרבני מוסמך לברר זאת, כי זו שאלה של "ענייני נישואין" במובהק.</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סידיס</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נדונה השאלה אם ענייני הממון שבין בני זוג הם חלק מ"ענייני נישואין" לפי סעיף 1.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ענייני הממון "נשרו" מענייני הנישואין. צריך להבחין בין עצם הנישואין לבין ההשלכות הכספיות שלהם. חלוקת רכוש, זכויות כספיות וסכסוכי ממון לא נכנסים אוטומטית לסמכות הייחודית. החריג היחיד שנשאר הוא </w:t>
            </w:r>
            <w:r>
              <w:rPr>
                <w:rFonts w:ascii="Arial" w:hAnsi="Arial" w:cs="Arial" w:eastAsia="Arial"/>
                <w:color w:val="1F2430"/>
                <w:sz w:val="18"/>
                <w:szCs w:val="18"/>
                <w:highlight w:val="yellow"/>
                <w:rtl/>
              </w:rPr>
              <w:t>הכתובה</w:t>
            </w:r>
            <w:r>
              <w:rPr>
                <w:rFonts w:ascii="Arial" w:hAnsi="Arial" w:cs="Arial" w:eastAsia="Arial"/>
                <w:color w:val="1F2430"/>
                <w:sz w:val="18"/>
                <w:szCs w:val="18"/>
                <w:rtl/>
              </w:rPr>
              <w:t xml:space="preserve">: זכות שמקורה בדין הדתי, ולכן היא נשארה בסמכות הייחודית של בית הדין הרבני.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אחרי סידיס, "ענייני נישואין" הם בעיקר עצם הנישואין והגירושין, ולא רכוש וממון, למעט הכתובה.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מחלוקת על הדירה</w:t>
            </w:r>
          </w:p>
          <w:p>
            <w:pPr>
              <w:bidi/>
              <w:spacing w:before="0" w:after="60" w:line="300" w:lineRule="auto"/>
              <w:jc w:val="both"/>
            </w:pPr>
            <w:r>
              <w:rPr>
                <w:rFonts w:ascii="Arial" w:hAnsi="Arial" w:cs="Arial" w:eastAsia="Arial"/>
                <w:color w:val="1F2430"/>
                <w:sz w:val="18"/>
                <w:szCs w:val="18"/>
                <w:rtl/>
              </w:rPr>
              <w:t>בני זוג מתגרשים ומתווכחים על דירה, רכב, חשבונות בנק וחסכונות. זה לא "עניין נישואין" אלא עניין רכוש, וצריך לבדוק מאיזה מקור סמכות הוא יתברר: כריכה לפי סעיף 3, או בית המשפט לענייני משפחה (ראו פרק 3). תביעה על הכתובה לעומת זאת תתברר רק בבית הדין הרבני.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ייחודית אינה סוגרת דיון אגבי</w:t>
            </w:r>
          </w:p>
          <w:p>
            <w:pPr>
              <w:bidi/>
              <w:spacing w:before="0" w:after="60" w:line="300" w:lineRule="auto"/>
              <w:jc w:val="both"/>
            </w:pPr>
            <w:r>
              <w:rPr>
                <w:rFonts w:ascii="Arial" w:hAnsi="Arial" w:cs="Arial" w:eastAsia="Arial"/>
                <w:color w:val="1F2430"/>
                <w:sz w:val="18"/>
                <w:szCs w:val="18"/>
                <w:rtl/>
              </w:rPr>
              <w:t>גם בנושא שבסמכות ייחודית של בית הדין, ערכאה אחרת רשאית להכריע באופן אגבי (סעיף 76 לחוק בתי המשפט), למשל אם בני זוג נשואים כדמו״י, כשהשאלה מתעוררת אגב תביעת מזונות. ההכרעה האגבית לא יוצרת מעשה בית דין. לפי הפרופ׳ הסמכות האגבית נתונה לכל ערכאה, גם לבית הדין. ראו פרק 1.</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2.4 תנאי 2: "של יהודים"</w:t>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סמכות פרסונלית</w:t>
      </w:r>
    </w:p>
    <w:p>
      <w:pPr>
        <w:bidi/>
        <w:spacing w:before="0" w:after="100" w:line="300" w:lineRule="auto"/>
        <w:jc w:val="both"/>
      </w:pPr>
      <w:r>
        <w:rPr>
          <w:rFonts w:ascii="Arial" w:hAnsi="Arial" w:cs="Arial" w:eastAsia="Arial"/>
          <w:color w:val="1F2430"/>
          <w:sz w:val="19"/>
          <w:szCs w:val="19"/>
          <w:rtl/>
        </w:rPr>
        <w:t xml:space="preserve">סמכות בית הדין הרבני היא </w:t>
      </w:r>
      <w:r>
        <w:rPr>
          <w:rFonts w:ascii="Arial" w:hAnsi="Arial" w:cs="Arial" w:eastAsia="Arial"/>
          <w:color w:val="1F2430"/>
          <w:sz w:val="19"/>
          <w:szCs w:val="19"/>
          <w:highlight w:val="yellow"/>
          <w:rtl/>
        </w:rPr>
        <w:t>סמכות פרסונלית</w:t>
      </w:r>
      <w:r>
        <w:rPr>
          <w:rFonts w:ascii="Arial" w:hAnsi="Arial" w:cs="Arial" w:eastAsia="Arial"/>
          <w:color w:val="1F2430"/>
          <w:sz w:val="19"/>
          <w:szCs w:val="19"/>
          <w:rtl/>
        </w:rPr>
        <w:t>. היא נקבעת לפי הזהות האישית של בעלי הדין, ולא לפי מקום המגורים שלהם, מקום עריכת הנישואין או מקום הרכוש.</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מיהו יהודי לצורך סעיף 1</w:t>
            </w:r>
          </w:p>
          <w:p>
            <w:pPr>
              <w:bidi/>
              <w:spacing w:before="0" w:after="60" w:line="300" w:lineRule="auto"/>
              <w:jc w:val="both"/>
            </w:pPr>
            <w:r>
              <w:rPr>
                <w:rFonts w:ascii="Arial" w:hAnsi="Arial" w:cs="Arial" w:eastAsia="Arial"/>
                <w:color w:val="1F2430"/>
                <w:sz w:val="18"/>
                <w:szCs w:val="18"/>
                <w:rtl/>
              </w:rPr>
              <w:t xml:space="preserve">מי שנולד לאם יהודייה או שהתגייר כהלכה (ואינו בן דת אחרת). </w:t>
            </w:r>
            <w:r>
              <w:rPr>
                <w:rFonts w:ascii="Arial" w:hAnsi="Arial" w:cs="Arial" w:eastAsia="Arial"/>
                <w:color w:val="1F2430"/>
                <w:sz w:val="18"/>
                <w:szCs w:val="18"/>
                <w:highlight w:val="yellow"/>
                <w:rtl/>
              </w:rPr>
              <w:t>את התנאי הזה אי אפשר לעקוף בהסכמה</w:t>
            </w:r>
            <w:r>
              <w:rPr>
                <w:rFonts w:ascii="Arial" w:hAnsi="Arial" w:cs="Arial" w:eastAsia="Arial"/>
                <w:color w:val="1F2430"/>
                <w:sz w:val="18"/>
                <w:szCs w:val="18"/>
                <w:rtl/>
              </w:rPr>
              <w:t>. השאלה היא אם שני בני הזוג צריכים להיות יהודים.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אוה בסן נ׳ בית הדין הרבני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האישה הגישה לבית הדין הרבני תביעת מזונות אישה. הבעל טען שהיא אינה יהודייה, ובית הדין הגיע למסקנה שהיא "ספק יהודייה". בית הדין הרבני הגדול קבע: ספק יהודייה, ולכן </w:t>
            </w:r>
            <w:r>
              <w:rPr>
                <w:rFonts w:ascii="Arial" w:hAnsi="Arial" w:cs="Arial" w:eastAsia="Arial"/>
                <w:color w:val="1F2430"/>
                <w:sz w:val="18"/>
                <w:szCs w:val="18"/>
                <w:highlight w:val="yellow"/>
                <w:rtl/>
              </w:rPr>
              <w:t>גט לחומרה ואין כתובה ומזונות</w:t>
            </w:r>
            <w:r>
              <w:rPr>
                <w:rFonts w:ascii="Arial" w:hAnsi="Arial" w:cs="Arial" w:eastAsia="Arial"/>
                <w:color w:val="1F2430"/>
                <w:sz w:val="18"/>
                <w:szCs w:val="18"/>
                <w:rtl/>
              </w:rPr>
              <w:t xml:space="preserve">. "גט לחומרה" פירושו חיוב בגט מחשש שמא האישה יהודייה, כדי שלא ייווצר בעתיד ספק לגבי המעמד האישי שלה. כל עוד לא הוכח שהייתה נשואה, אין לה מזונות. האישה עתרה לבג״ץ.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הסביר את הדילמה. אם מחילים את הדין הדתי על שניהם, כופים דת על מי שאולי אינו בן אותה דת. אם מחילים אותו על אחד בלבד, נוצר </w:t>
            </w:r>
            <w:r>
              <w:rPr>
                <w:rFonts w:ascii="Arial" w:hAnsi="Arial" w:cs="Arial" w:eastAsia="Arial"/>
                <w:color w:val="1F2430"/>
                <w:sz w:val="18"/>
                <w:szCs w:val="18"/>
                <w:highlight w:val="yellow"/>
                <w:rtl/>
              </w:rPr>
              <w:t>פיצול סטטוס</w:t>
            </w:r>
            <w:r>
              <w:rPr>
                <w:rFonts w:ascii="Arial" w:hAnsi="Arial" w:cs="Arial" w:eastAsia="Arial"/>
                <w:color w:val="1F2430"/>
                <w:sz w:val="18"/>
                <w:szCs w:val="18"/>
                <w:rtl/>
              </w:rPr>
              <w:t xml:space="preserve">. לכן כדי שתהיה לבית הדין סמכות ייחודית לפי סעיף 1, </w:t>
            </w:r>
            <w:r>
              <w:rPr>
                <w:rFonts w:ascii="Arial" w:hAnsi="Arial" w:cs="Arial" w:eastAsia="Arial"/>
                <w:color w:val="1F2430"/>
                <w:sz w:val="18"/>
                <w:szCs w:val="18"/>
                <w:highlight w:val="yellow"/>
                <w:rtl/>
              </w:rPr>
              <w:t>שני בני הזוג חייבים להיות יהודים</w:t>
            </w:r>
            <w:r>
              <w:rPr>
                <w:rFonts w:ascii="Arial" w:hAnsi="Arial" w:cs="Arial" w:eastAsia="Arial"/>
                <w:color w:val="1F2430"/>
                <w:sz w:val="18"/>
                <w:szCs w:val="18"/>
                <w:rtl/>
              </w:rPr>
              <w:t xml:space="preserve">. ברגע שבית הדין קבע שהאישה ספק יהודייה, הוא איבד את סמכותו. בני הזוג הופנו לחוק שיפוט בענייני התרת נישואין.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אם אחד מבני הזוג אינו יהודי או שיהדותו בספק, אין סמכות לבית הדין לפי סעיף 1. ההלכה הזאת מסבירה גם למה כל הכריכות נופלות כשמתברר בהמשך שאחד הצדדים לא יהודי.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פיצול סטטוס</w:t>
            </w:r>
          </w:p>
          <w:p>
            <w:pPr>
              <w:bidi/>
              <w:spacing w:before="0" w:after="60" w:line="300" w:lineRule="auto"/>
              <w:jc w:val="both"/>
            </w:pPr>
            <w:r>
              <w:rPr>
                <w:rFonts w:ascii="Arial" w:hAnsi="Arial" w:cs="Arial" w:eastAsia="Arial"/>
                <w:color w:val="1F2430"/>
                <w:sz w:val="18"/>
                <w:szCs w:val="18"/>
                <w:rtl/>
              </w:rPr>
              <w:t>מצב שבו כל אחד מבני הזוג שייך למערכת דינים אחרת. למשל, אחד נחשב נשוי לפי הדין היהודי והשני לא. מצב כזה יוצר חוסר אחידות במעמד האישי של בני הזוג, ולכן בג״ץ סירב לו.</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האם של הבעל אינה יהודייה</w:t>
            </w:r>
          </w:p>
          <w:p>
            <w:pPr>
              <w:bidi/>
              <w:spacing w:before="0" w:after="60" w:line="300" w:lineRule="auto"/>
              <w:jc w:val="both"/>
            </w:pPr>
            <w:r>
              <w:rPr>
                <w:rFonts w:ascii="Arial" w:hAnsi="Arial" w:cs="Arial" w:eastAsia="Arial"/>
                <w:color w:val="1F2430"/>
                <w:sz w:val="18"/>
                <w:szCs w:val="18"/>
                <w:rtl/>
              </w:rPr>
              <w:t>בני זוג נשואים כדמו״י, אזרחים ותושבים, והאישה הגישה תביעת גירושין לבית הדין הרבני. במהלך הדיון מתברר שאמו של הבעל אינה יהודייה. לכן הבעל אינו יהודי, ולבית הדין אין סמכות. הסמכות עוברת לבית המשפט לענייני משפחה לפי חוק המקרים המיוחדים. באחד הסיכומים מוזכר באותו הקשר גם פס״ד בולוקובסקי לגבי ספק יהודי.</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2.5 זוגות מעורבים: חוק שיפוט בענייני התרת נישואין (מקרים מיוחדים), 1969</w:t>
      </w:r>
    </w:p>
    <w:p>
      <w:pPr>
        <w:bidi/>
        <w:spacing w:before="0" w:after="100" w:line="300" w:lineRule="auto"/>
        <w:jc w:val="both"/>
      </w:pPr>
      <w:r>
        <w:rPr>
          <w:rFonts w:ascii="Arial" w:hAnsi="Arial" w:cs="Arial" w:eastAsia="Arial"/>
          <w:color w:val="1F2430"/>
          <w:sz w:val="19"/>
          <w:szCs w:val="19"/>
          <w:rtl/>
        </w:rPr>
        <w:t xml:space="preserve">אחרי אוה בסן ברור שאי אפשר לקחת בני זוג מדתות שונות לבית דין דתי אחד. אם מחילים את הדין הדתי של אחד על השני כופים עליו דין זר, ואם כל אחד נידון לפי דין אחר נוצר פיצול סטטוס. הפתרון הוא </w:t>
      </w:r>
      <w:r>
        <w:rPr>
          <w:rFonts w:ascii="Arial" w:hAnsi="Arial" w:cs="Arial" w:eastAsia="Arial"/>
          <w:color w:val="1F2430"/>
          <w:sz w:val="19"/>
          <w:szCs w:val="19"/>
          <w:highlight w:val="yellow"/>
          <w:rtl/>
        </w:rPr>
        <w:t>חוק שיפוט בענייני התרת נישואין (מקרים מיוחדים וסמכות בין-לאומית), התשכ״ט-1969</w:t>
      </w:r>
      <w:r>
        <w:rPr>
          <w:rFonts w:ascii="Arial" w:hAnsi="Arial" w:cs="Arial" w:eastAsia="Arial"/>
          <w:color w:val="1F2430"/>
          <w:sz w:val="19"/>
          <w:szCs w:val="19"/>
          <w:rtl/>
        </w:rPr>
        <w:t xml:space="preserve">. לפי סיכום הקורס זה </w:t>
      </w:r>
      <w:r>
        <w:rPr>
          <w:rFonts w:ascii="Arial" w:hAnsi="Arial" w:cs="Arial" w:eastAsia="Arial"/>
          <w:color w:val="1F2430"/>
          <w:sz w:val="19"/>
          <w:szCs w:val="19"/>
          <w:highlight w:val="yellow"/>
          <w:rtl/>
        </w:rPr>
        <w:t>חשוב למבחן</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בענייני התרת נישואין (מקרים מיוחדים), סעיף 3(א)(1)</w:t>
            </w:r>
          </w:p>
          <w:p>
            <w:pPr>
              <w:bidi/>
              <w:spacing w:before="0" w:after="60" w:line="300" w:lineRule="auto"/>
              <w:jc w:val="both"/>
            </w:pPr>
            <w:r>
              <w:rPr>
                <w:rFonts w:ascii="Arial" w:hAnsi="Arial" w:cs="Arial" w:eastAsia="Arial"/>
                <w:color w:val="1F2430"/>
                <w:sz w:val="18"/>
                <w:szCs w:val="18"/>
                <w:rtl/>
              </w:rPr>
              <w:t>"הוגשה לבית המשפט בקשה להתרת נישואין ואחד מבני הזוג הוא יהודי, מוסלמי, דרוזי או בן אחת העדות הנוצריות המקיימות בישראל בית דין דתי, או התעורר ספק ביחס להשתייכותו של אחד מבני הזוג לעדה דתית כאמור (בחוק זה – בן דת מוכרת), או ששני בני הזוג הם בני דתות מוכרות שונות, יפנה סגן נשיא בית המשפט או שופט מוסמך בכתב, לראש בית הדין הנוגע בדבר, כדי שיקבע אם יש צורך בגירושין על פי הדין הדתי שלפיו הוא דן, ולו מספק, כדי שבן הזוג שעליו חל אותו דין דתי יוכל להינשא מחדש."</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ההליך עובד בשלבים:</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1. </w:t>
      </w:r>
      <w:r>
        <w:tab/>
      </w:r>
      <w:r>
        <w:rPr>
          <w:rFonts w:ascii="Arial" w:hAnsi="Arial" w:cs="Arial" w:eastAsia="Arial"/>
          <w:b/>
          <w:bCs/>
          <w:color w:val="1F2430"/>
          <w:sz w:val="19"/>
          <w:szCs w:val="19"/>
          <w:rtl/>
        </w:rPr>
        <w:t>פתיחה בבית המשפט האזרחי.</w:t>
      </w:r>
      <w:r>
        <w:rPr>
          <w:rFonts w:ascii="Arial" w:hAnsi="Arial" w:cs="Arial" w:eastAsia="Arial"/>
          <w:color w:val="1F2430"/>
          <w:sz w:val="19"/>
          <w:szCs w:val="19"/>
          <w:rtl/>
        </w:rPr>
        <w:t xml:space="preserve"> כשבני הזוג מעורבים מבחינה דתית, או שיש ספק לגבי דתו של אחד מהם, ההליך להתרת הנישואין חייב להיפתח בבית המשפט האזרחי (כיום בית המשפט לענייני משפחה). אי אפשר לפנות לבית דין של אחת העדות, כי הוא מפעיל את הדין הדתי שלו.</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2. </w:t>
      </w:r>
      <w:r>
        <w:tab/>
      </w:r>
      <w:r>
        <w:rPr>
          <w:rFonts w:ascii="Arial" w:hAnsi="Arial" w:cs="Arial" w:eastAsia="Arial"/>
          <w:b/>
          <w:bCs/>
          <w:color w:val="1F2430"/>
          <w:sz w:val="19"/>
          <w:szCs w:val="19"/>
          <w:rtl/>
        </w:rPr>
        <w:t>פנייה לבתי הדין הדתיים.</w:t>
      </w:r>
      <w:r>
        <w:rPr>
          <w:rFonts w:ascii="Arial" w:hAnsi="Arial" w:cs="Arial" w:eastAsia="Arial"/>
          <w:color w:val="1F2430"/>
          <w:sz w:val="19"/>
          <w:szCs w:val="19"/>
          <w:rtl/>
        </w:rPr>
        <w:t xml:space="preserve"> סגן הנשיא או שופט מוסמך פונה בכתב לראשי בתי הדין של הדתות המעורבות ושואל אם לפי הדין שלהם צריך פרוצדורה דתית (למשל גט, ולו מספק) כדי שבן הזוג יוכל להינשא מחדש.</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3. </w:t>
      </w:r>
      <w:r>
        <w:tab/>
      </w:r>
      <w:r>
        <w:rPr>
          <w:rFonts w:ascii="Arial" w:hAnsi="Arial" w:cs="Arial" w:eastAsia="Arial"/>
          <w:b/>
          <w:bCs/>
          <w:color w:val="1F2430"/>
          <w:sz w:val="19"/>
          <w:szCs w:val="19"/>
          <w:rtl/>
        </w:rPr>
        <w:t>השלמת ההליך.</w:t>
      </w:r>
      <w:r>
        <w:rPr>
          <w:rFonts w:ascii="Arial" w:hAnsi="Arial" w:cs="Arial" w:eastAsia="Arial"/>
          <w:color w:val="1F2430"/>
          <w:sz w:val="19"/>
          <w:szCs w:val="19"/>
          <w:rtl/>
        </w:rPr>
        <w:t xml:space="preserve"> אחרי שמתקבלת התייחסות בתי הדין, בית המשפט נותן פסק דין שמתיר את הנישואין ופועל לרישום בני הזוג כגרושים. אם בית הדין הרבני סבר שצריך גט, רק עניין הגט מועבר אליו, ושאר העניינים נדונים בבית המשפט לענייני משפחה.</w:t>
      </w:r>
    </w:p>
    <w:p>
      <w:pPr>
        <w:bidi/>
        <w:spacing w:before="0" w:after="100" w:line="300" w:lineRule="auto"/>
        <w:jc w:val="both"/>
      </w:pPr>
      <w:r>
        <w:rPr>
          <w:rFonts w:ascii="Arial" w:hAnsi="Arial" w:cs="Arial" w:eastAsia="Arial"/>
          <w:color w:val="1F2430"/>
          <w:sz w:val="19"/>
          <w:szCs w:val="19"/>
          <w:rtl/>
        </w:rPr>
        <w:t>הרעיון הוא לא לכפות על אחד מבני הזוג את הדת של השני ולא ליצור פיצול סטטוס.</w:t>
      </w:r>
    </w:p>
    <w:tbl>
      <w:tblPr>
        <w:tblW w:type="dxa" w:w="10206"/>
        <w:jc w:val="center"/>
        <w:tblLook w:firstColumn="1" w:firstRow="1" w:lastColumn="0" w:lastRow="0" w:noHBand="0" w:noVBand="1" w:val="04A0"/>
        <w:bidiVisual/>
        <w:tblLayout w:type="fixed"/>
      </w:tblPr>
      <w:tblGrid>
        <w:gridCol w:w="4082"/>
        <w:gridCol w:w="6123"/>
      </w:tblGrid>
      <w:tr>
        <w:trPr>
          <w:tblHeader/>
        </w:trPr>
        <w:tc>
          <w:tcPr>
            <w:tcW w:type="dxa" w:w="4082"/>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6123"/>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 מתיר את הנישואין?</w:t>
            </w:r>
          </w:p>
        </w:tc>
      </w:tr>
      <w:tr>
        <w:trPr>
          <w:cantSplit/>
        </w:trPr>
        <w:tc>
          <w:tcPr>
            <w:tcW w:type="dxa" w:w="408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שני יהודים, נישאו כדמו״י</w:t>
            </w:r>
          </w:p>
        </w:tc>
        <w:tc>
          <w:tcPr>
            <w:tcW w:type="dxa" w:w="61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הדין הרבני (סעיף 1)</w:t>
            </w:r>
          </w:p>
        </w:tc>
      </w:tr>
      <w:tr>
        <w:trPr>
          <w:cantSplit/>
        </w:trPr>
        <w:tc>
          <w:tcPr>
            <w:tcW w:type="dxa" w:w="408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שני יהודים, נישאו אזרחית (למשל בקפריסין)</w:t>
            </w:r>
          </w:p>
        </w:tc>
        <w:tc>
          <w:tcPr>
            <w:tcW w:type="dxa" w:w="61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בית הדין הרבני (סעיף 1, הלכת ורבר). בודק אם יש צורך בגט מספק, ואם קבע שאין נישואין דתיים כלל, נותן פסק דין להתרת נישואין</w:t>
            </w:r>
          </w:p>
        </w:tc>
      </w:tr>
      <w:tr>
        <w:trPr>
          <w:cantSplit/>
        </w:trPr>
        <w:tc>
          <w:tcPr>
            <w:tcW w:type="dxa" w:w="408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יהודי ולא יהודי / ספק יהודי</w:t>
            </w:r>
          </w:p>
        </w:tc>
        <w:tc>
          <w:tcPr>
            <w:tcW w:type="dxa" w:w="61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המשפט לענייני משפחה לפי חוק המקרים המיוחדים</w:t>
            </w:r>
          </w:p>
        </w:tc>
      </w:tr>
      <w:tr>
        <w:trPr>
          <w:cantSplit/>
        </w:trPr>
        <w:tc>
          <w:tcPr>
            <w:tcW w:type="dxa" w:w="408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בני אותו מין שנישאו אזרחית</w:t>
            </w:r>
          </w:p>
        </w:tc>
        <w:tc>
          <w:tcPr>
            <w:tcW w:type="dxa" w:w="61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בית המשפט לענייני משפחה, כמו בנישואי תערובת</w:t>
            </w:r>
          </w:p>
        </w:tc>
      </w:tr>
      <w:tr>
        <w:trPr>
          <w:cantSplit/>
        </w:trPr>
        <w:tc>
          <w:tcPr>
            <w:tcW w:type="dxa" w:w="408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חסרי דת (ברית הזוגיות)</w:t>
            </w:r>
          </w:p>
        </w:tc>
        <w:tc>
          <w:tcPr>
            <w:tcW w:type="dxa" w:w="61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הליך אזרחי בבית המשפט לענייני משפחה (תשובת הפרופ׳)</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זוג מעורב לא נכנס לבית הדין גם בהסכמה</w:t>
            </w:r>
          </w:p>
          <w:p>
            <w:pPr>
              <w:bidi/>
              <w:spacing w:before="0" w:after="60" w:line="300" w:lineRule="auto"/>
              <w:jc w:val="both"/>
            </w:pPr>
            <w:r>
              <w:rPr>
                <w:rFonts w:ascii="Arial" w:hAnsi="Arial" w:cs="Arial" w:eastAsia="Arial"/>
                <w:color w:val="1F2430"/>
                <w:sz w:val="18"/>
                <w:szCs w:val="18"/>
                <w:rtl/>
              </w:rPr>
              <w:t>בבג״ץ סרגובי (2006) נקבע שסעיף 9 (סמכות בהסכמה) חל רק כששני בני הזוג יהודים. הסכמה של זוג מעורב לא מקנה לבית הדין הרבני סמכות להתיר את נישואיו. ראו פרק 4.</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2.6 תנאי 3: "בישראל"</w:t>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מה צריך להיות בישראל?</w:t>
      </w:r>
    </w:p>
    <w:p>
      <w:pPr>
        <w:bidi/>
        <w:spacing w:before="0" w:after="100" w:line="300" w:lineRule="auto"/>
        <w:jc w:val="both"/>
      </w:pPr>
      <w:r>
        <w:rPr>
          <w:rFonts w:ascii="Arial" w:hAnsi="Arial" w:cs="Arial" w:eastAsia="Arial"/>
          <w:color w:val="1F2430"/>
          <w:sz w:val="19"/>
          <w:szCs w:val="19"/>
          <w:rtl/>
        </w:rPr>
        <w:t>לשון הסעיף מעוררת שאלה: על מה המילה "בישראל" מוסבה? על הנישואין, כלומר נישואין שנערכו בישראל, או על היהודים, כלומר יהודים שנמצאים בישראל? תכלית התיבה היא שסמכות בית הדין לא תשתרע על כל יהודי באשר הוא.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5385/95 ורבר</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המונח "בישראל" מתייחס </w:t>
            </w:r>
            <w:r>
              <w:rPr>
                <w:rFonts w:ascii="Arial" w:hAnsi="Arial" w:cs="Arial" w:eastAsia="Arial"/>
                <w:color w:val="1F2430"/>
                <w:sz w:val="18"/>
                <w:szCs w:val="18"/>
                <w:highlight w:val="yellow"/>
                <w:rtl/>
              </w:rPr>
              <w:t>לנוכחות היהודים בישראל בעת הגשת התביעה</w:t>
            </w:r>
            <w:r>
              <w:rPr>
                <w:rFonts w:ascii="Arial" w:hAnsi="Arial" w:cs="Arial" w:eastAsia="Arial"/>
                <w:color w:val="1F2430"/>
                <w:sz w:val="18"/>
                <w:szCs w:val="18"/>
                <w:rtl/>
              </w:rPr>
              <w:t xml:space="preserve">, ולא למקום עריכת הנישואין או למקום שבו גרו בעבר. לכן גם נישואין אזרחיים של יהודים, שנערכו בכל מקום בעולם, הם בסמכות הייחודית של בית הדין הרבני, בתנאי שהיהודים בישראל כשמוגשת תביעת הגירושין. בבית הדין, אם יש ספק דתי, עשוי להינתן גט לחומרה. </w:t>
            </w:r>
            <w:r>
              <w:rPr>
                <w:rFonts w:ascii="Arial" w:hAnsi="Arial" w:cs="Arial" w:eastAsia="Arial"/>
                <w:b/>
                <w:bCs/>
                <w:color w:val="1F2430"/>
                <w:sz w:val="18"/>
                <w:szCs w:val="18"/>
                <w:rtl/>
              </w:rPr>
              <w:t>הבהרות נוספות שיוחסו לפס״ד בקורס:</w:t>
            </w:r>
            <w:r>
              <w:rPr>
                <w:rFonts w:ascii="Arial" w:hAnsi="Arial" w:cs="Arial" w:eastAsia="Arial"/>
                <w:color w:val="1F2430"/>
                <w:sz w:val="18"/>
                <w:szCs w:val="18"/>
                <w:rtl/>
              </w:rPr>
              <w:t xml:space="preserve"> (1) זוג תיירים יהודים שמטייל בארץ לא יכול לפנות לבית הדין הרבני, כי הם לא אזרחים או תושבים: נוכחות בלבד לא מספיקה. (2) לצד בג״ץ ביגר, אזרח שאינו תושב ייחשב נוכח רק אם יש לו זיקה ממשית לישראל. (3) בפס״ד מבחינים בין תביעת הגירושין לתביעות אחרות. ההרחבה הוכרה לגבי הגירושין, בגלל האינטרס הממלכתי ויכולת הביצוע, ואילו התביעות האחרות נדחו.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מי שנישא אזרחית כדי לא לעבור דרך הצינורות הדתיים יתגרש בכל זאת בבית הדין הרבני, אם הוא בישראל.</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נישואי קפריסין</w:t>
            </w:r>
          </w:p>
          <w:p>
            <w:pPr>
              <w:bidi/>
              <w:spacing w:before="0" w:after="60" w:line="300" w:lineRule="auto"/>
              <w:jc w:val="both"/>
            </w:pPr>
            <w:r>
              <w:rPr>
                <w:rFonts w:ascii="Arial" w:hAnsi="Arial" w:cs="Arial" w:eastAsia="Arial"/>
                <w:color w:val="1F2430"/>
                <w:sz w:val="18"/>
                <w:szCs w:val="18"/>
                <w:rtl/>
              </w:rPr>
              <w:t>זוג יהודים, אזרחים ותושבים, התחתנו בקפריסין וחזרו לארץ. עכשיו הם רוצים להתגרש. לפי ורבר הסמכות היא של בית הדין הרבני בלבד, והוא יבחן אם יש חשש לספק נישואין שמחייב גט, כדי למנוע ממזרות.</w:t>
            </w:r>
          </w:p>
        </w:tc>
      </w:tr>
    </w:tbl>
    <w:p>
      <w:pPr>
        <w:bidi/>
        <w:spacing w:after="0" w:before="0" w:line="120" w:lineRule="exact"/>
      </w:pPr>
      <w:r>
        <w:rPr>
          <w:sz w:val="2"/>
        </w:rPr>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הבעיה: יהודים בחו״ל וסרבנות גט</w:t>
      </w:r>
    </w:p>
    <w:p>
      <w:pPr>
        <w:bidi/>
        <w:spacing w:before="0" w:after="100" w:line="300" w:lineRule="auto"/>
        <w:jc w:val="both"/>
      </w:pPr>
      <w:r>
        <w:rPr>
          <w:rFonts w:ascii="Arial" w:hAnsi="Arial" w:cs="Arial" w:eastAsia="Arial"/>
          <w:color w:val="1F2430"/>
          <w:sz w:val="19"/>
          <w:szCs w:val="19"/>
          <w:rtl/>
        </w:rPr>
        <w:t>זוג ישראלי עבר לארצות הברית והחליט להתגרש שם. בית משפט אמריקאי יכול לגרש אותם רק אזרחית, כי הוא מפריד בין דת למדינה. לפי הדין העברי, כל עוד לא ניתן גט הם עדיין נשואים: "את גרושה אזרחית אבל לא גרושה דתית". האישה לא יכולה להינשא לאחר בלי השלכות הלכתיות קשות.</w:t>
      </w:r>
    </w:p>
    <w:p>
      <w:pPr>
        <w:bidi/>
        <w:spacing w:before="0" w:after="100" w:line="300" w:lineRule="auto"/>
        <w:jc w:val="both"/>
      </w:pPr>
      <w:r>
        <w:rPr>
          <w:rFonts w:ascii="Arial" w:hAnsi="Arial" w:cs="Arial" w:eastAsia="Arial"/>
          <w:color w:val="1F2430"/>
          <w:sz w:val="19"/>
          <w:szCs w:val="19"/>
          <w:highlight w:val="yellow"/>
          <w:rtl/>
        </w:rPr>
        <w:t>אין בית דין בעולם שיש לו סמכות שיפוט על אנשים כמו לבית הדין הרבני בישראל</w:t>
      </w:r>
      <w:r>
        <w:rPr>
          <w:rFonts w:ascii="Arial" w:hAnsi="Arial" w:cs="Arial" w:eastAsia="Arial"/>
          <w:color w:val="1F2430"/>
          <w:sz w:val="19"/>
          <w:szCs w:val="19"/>
          <w:rtl/>
        </w:rPr>
        <w:t>. רק לו יש מנופי לחץ: עיכוב יציאה מהארץ, צווים שונים וסנקציות לפי החוק. בית דין בחו״ל פועל רק בהסכמת שני הצדדים. לכן אישה שבעלה סרבן גט יודעת שרק בית הדין הרבני בישראל יכול לעזור לה. בית הדין רואה כאן זוג יהודים שעדיין נשוי ונוטה לומר שיש לו סמכות. הבעל עותר לבג״ץ וטוען שהתנאי "בישראל" לא מתקיים.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297/77 חן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אזרחי ישראל שגרו בארה״ב. האישה הגיעה לביקור בארץ, ותביעת הגירושין הוגשה בשמה באמצעות אביה. בית הדין הרבני הוציא לבעל צו עיכוב יציאה מהארץ. הבעל טען שהאישה לא הייתה פיזית בישראל ולכן לא יכלה להגיש. </w:t>
            </w:r>
            <w:r>
              <w:rPr>
                <w:rFonts w:ascii="Arial" w:hAnsi="Arial" w:cs="Arial" w:eastAsia="Arial"/>
                <w:b/>
                <w:bCs/>
                <w:color w:val="1F2430"/>
                <w:sz w:val="18"/>
                <w:szCs w:val="18"/>
                <w:rtl/>
              </w:rPr>
              <w:t>הלכה (רוב):</w:t>
            </w:r>
            <w:r>
              <w:rPr>
                <w:rFonts w:ascii="Arial" w:hAnsi="Arial" w:cs="Arial" w:eastAsia="Arial"/>
                <w:color w:val="1F2430"/>
                <w:sz w:val="18"/>
                <w:szCs w:val="18"/>
                <w:rtl/>
              </w:rPr>
              <w:t xml:space="preserve"> טענת הבעל התקבלה. התנאי "בישראל" פורש באופן דווקני. </w:t>
            </w:r>
            <w:r>
              <w:rPr>
                <w:rFonts w:ascii="Arial" w:hAnsi="Arial" w:cs="Arial" w:eastAsia="Arial"/>
                <w:b/>
                <w:bCs/>
                <w:color w:val="1F2430"/>
                <w:sz w:val="18"/>
                <w:szCs w:val="18"/>
                <w:rtl/>
              </w:rPr>
              <w:t>דעת המיעוט (השופט לנדוי):</w:t>
            </w:r>
            <w:r>
              <w:rPr>
                <w:rFonts w:ascii="Arial" w:hAnsi="Arial" w:cs="Arial" w:eastAsia="Arial"/>
                <w:color w:val="1F2430"/>
                <w:sz w:val="18"/>
                <w:szCs w:val="18"/>
                <w:rtl/>
              </w:rPr>
              <w:t xml:space="preserve"> מה זה משנה אם התובע מגיש את התביעה בעצמו או שולח אותה לארץ? אם מגיש התביעה מוכן לקבל את מרות בית הדין הרבני בישראל, אין בעיה.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דעת המיעוט של לנדוי הפכה להלכה בבג״ץ הראל</w:t>
            </w:r>
            <w:r>
              <w:rPr>
                <w:rFonts w:ascii="Arial" w:hAnsi="Arial" w:cs="Arial" w:eastAsia="Arial"/>
                <w:color w:val="1F2430"/>
                <w:sz w:val="18"/>
                <w:szCs w:val="18"/>
                <w:rtl/>
              </w:rPr>
              <w:t>.</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2.7 נוכחות קונסטרוקטיבית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נוכחות קונסטרוקטיבית</w:t>
            </w:r>
          </w:p>
          <w:p>
            <w:pPr>
              <w:bidi/>
              <w:spacing w:before="0" w:after="60" w:line="300" w:lineRule="auto"/>
              <w:jc w:val="both"/>
            </w:pPr>
            <w:r>
              <w:rPr>
                <w:rFonts w:ascii="Arial" w:hAnsi="Arial" w:cs="Arial" w:eastAsia="Arial"/>
                <w:color w:val="1F2430"/>
                <w:sz w:val="18"/>
                <w:szCs w:val="18"/>
                <w:rtl/>
              </w:rPr>
              <w:t>מצב שבו אדם לא נמצא פיזית בישראל, אבל בגלל הקשר שלו לישראל המשפט מתייחס אליו כאילו הוא נוכח בה. במילים אחרות: "אני רואה אותו כאילו הוא כאן".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השאלה היא אם כדי שבית הדין יקנה סמכות האדם חייב להיות בישראל ממש, או שאפשר להסתפק בקשר שלו לישראל. </w:t>
      </w:r>
      <w:r>
        <w:rPr>
          <w:rFonts w:ascii="Arial" w:hAnsi="Arial" w:cs="Arial" w:eastAsia="Arial"/>
          <w:color w:val="1F2430"/>
          <w:sz w:val="19"/>
          <w:szCs w:val="19"/>
          <w:highlight w:val="yellow"/>
          <w:rtl/>
        </w:rPr>
        <w:t>צריך להבחין בין תובע לנתבע</w:t>
      </w:r>
      <w:r>
        <w:rPr>
          <w:rFonts w:ascii="Arial" w:hAnsi="Arial" w:cs="Arial" w:eastAsia="Arial"/>
          <w:color w:val="1F2430"/>
          <w:sz w:val="19"/>
          <w:szCs w:val="19"/>
          <w:rtl/>
        </w:rPr>
        <w:t>. התובע בוחר לפתוח בהליך, ולכן קל להכיר בנוכחות קונסטרוקטיבית שלו. הנתבע לא בחר להתדיין, והכלל הוא ש"התובע הולך אחר הנתבע". חוץ מזה, כשהנתבע לא בישראל קשה להפעיל נגדו את סמכויות האכיפה.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238/81 הראל – התובע</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לגבי </w:t>
            </w:r>
            <w:r>
              <w:rPr>
                <w:rFonts w:ascii="Arial" w:hAnsi="Arial" w:cs="Arial" w:eastAsia="Arial"/>
                <w:color w:val="1F2430"/>
                <w:sz w:val="18"/>
                <w:szCs w:val="18"/>
                <w:highlight w:val="yellow"/>
                <w:rtl/>
              </w:rPr>
              <w:t>תובע אין חובה לנוכחות פיזית בישראל</w:t>
            </w:r>
            <w:r>
              <w:rPr>
                <w:rFonts w:ascii="Arial" w:hAnsi="Arial" w:cs="Arial" w:eastAsia="Arial"/>
                <w:color w:val="1F2430"/>
                <w:sz w:val="18"/>
                <w:szCs w:val="18"/>
                <w:rtl/>
              </w:rPr>
              <w:t xml:space="preserve">. אפשר להגיש את התביעה מרחוק באמצעות שלוח (עורך דין, בא כוח), וזה מספיק. בג״ץ אימץ כאן את דעת המיעוט של לנדוי בפס״ד חן, ונקט גישה גמישה לפרשנות "בישראל" כדי שבני זוג יהודים לא יישארו נשואים מבחינה דתית בלי שום ערכאה בעולם שיכולה לסיים את הנישואין.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אישה שנמצאת בחו״ל ועורך הדין שלה מגיש בשמה תביעה לבית הדין הרבני: יש סמכות (בהנחה ששאר התנאים מתקיימים).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871/86 קריב – נתבע שהוא תושב קבע</w:t>
            </w:r>
          </w:p>
          <w:p>
            <w:pPr>
              <w:bidi/>
              <w:spacing w:before="0" w:after="60" w:line="300" w:lineRule="auto"/>
              <w:jc w:val="both"/>
            </w:pPr>
            <w:r>
              <w:rPr>
                <w:rFonts w:ascii="Arial" w:hAnsi="Arial" w:cs="Arial" w:eastAsia="Arial"/>
                <w:b/>
                <w:bCs/>
                <w:color w:val="1F2430"/>
                <w:sz w:val="18"/>
                <w:szCs w:val="18"/>
                <w:rtl/>
              </w:rPr>
              <w:t>עובדות (לפי המקראה):</w:t>
            </w:r>
            <w:r>
              <w:rPr>
                <w:rFonts w:ascii="Arial" w:hAnsi="Arial" w:cs="Arial" w:eastAsia="Arial"/>
                <w:color w:val="1F2430"/>
                <w:sz w:val="18"/>
                <w:szCs w:val="18"/>
                <w:rtl/>
              </w:rPr>
              <w:t xml:space="preserve"> האישה נסעה להוריה בחו״ל. הבעל הגיש תביעת שלום בית ולחלופין תביעת גירושין. בא כוח האישה טען לחוסר סמכות כי היא לא בישראל. השופט גולדברג הדגיש שהיא השאירה חפצים בארץ ולא סגרה חשבונות.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תושב קבע של ישראל, שמרכז חייו עדיין בישראל, </w:t>
            </w:r>
            <w:r>
              <w:rPr>
                <w:rFonts w:ascii="Arial" w:hAnsi="Arial" w:cs="Arial" w:eastAsia="Arial"/>
                <w:color w:val="1F2430"/>
                <w:sz w:val="18"/>
                <w:szCs w:val="18"/>
                <w:highlight w:val="yellow"/>
                <w:rtl/>
              </w:rPr>
              <w:t>שלא סגר חשבונות, לא מכר נדל״ן ולא סיים את ענייניו בארץ, ופשוט "ארז מזוודה ועלה על מטוס"</w:t>
            </w:r>
            <w:r>
              <w:rPr>
                <w:rFonts w:ascii="Arial" w:hAnsi="Arial" w:cs="Arial" w:eastAsia="Arial"/>
                <w:color w:val="1F2430"/>
                <w:sz w:val="18"/>
                <w:szCs w:val="18"/>
                <w:rtl/>
              </w:rPr>
              <w:t xml:space="preserve">, נחשב כאילו הוא כאן. אדם כזה לא יכול לברוח לחו״ל כשהוא מבין שיש נגדו תביעה ואז לטעון שאין סמכות. מספיקה </w:t>
            </w:r>
            <w:r>
              <w:rPr>
                <w:rFonts w:ascii="Arial" w:hAnsi="Arial" w:cs="Arial" w:eastAsia="Arial"/>
                <w:color w:val="1F2430"/>
                <w:sz w:val="18"/>
                <w:szCs w:val="18"/>
                <w:highlight w:val="yellow"/>
                <w:rtl/>
              </w:rPr>
              <w:t>זיקה מסוימת</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הלכת הראל הורחבה לנתבע. אפשר לפתוח תיק ולקבל צו עיכוב יציאה מהארץ, וכשהנתבע יחזור הוא לא יוכל לברוח שוב.</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3664/92 ביגר – נתבע שהוא אזרח בלבד</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אזרחים שאינם תושבים. האישה בחו״ל ביקשה לפתוח תביעה בישראל ולהוציא לבעל צו עיכוב יציאה. </w:t>
            </w:r>
            <w:r>
              <w:rPr>
                <w:rFonts w:ascii="Arial" w:hAnsi="Arial" w:cs="Arial" w:eastAsia="Arial"/>
                <w:b/>
                <w:bCs/>
                <w:color w:val="1F2430"/>
                <w:sz w:val="18"/>
                <w:szCs w:val="18"/>
                <w:rtl/>
              </w:rPr>
              <w:t>הלכה (השופט נתניהו):</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אזרחות לבדה לא מספיקה</w:t>
            </w:r>
            <w:r>
              <w:rPr>
                <w:rFonts w:ascii="Arial" w:hAnsi="Arial" w:cs="Arial" w:eastAsia="Arial"/>
                <w:color w:val="1F2430"/>
                <w:sz w:val="18"/>
                <w:szCs w:val="18"/>
                <w:rtl/>
              </w:rPr>
              <w:t xml:space="preserve">, אבל "אזרחות פלוס" כן: אזרחות יחד עם זיקה ממשית לישראל, כמו חשבונות פעילים, דירה, ביקורים, נכסים, קשרים כלכליים או משפחה בארץ. במצב כזה רואים את הנתבע כאילו הוא כאן, ובית הדין יכול לפתוח תיק.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"אזרח על הנייר" שחי שנים בחו״ל בלי ביקורים, חשבון או נכסים בארץ לא ייחשב נוכח. אזרח עם חשבונות פעילים וביקורים קבועים כן ייחשב. כך עולה גם מבג״ץ ורבר.</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2822"/>
        <w:gridCol w:w="3257"/>
        <w:gridCol w:w="4125"/>
      </w:tblGrid>
      <w:tr>
        <w:trPr>
          <w:tblHeader/>
        </w:trPr>
        <w:tc>
          <w:tcPr>
            <w:tcW w:type="dxa" w:w="2823"/>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w:t>
            </w:r>
          </w:p>
        </w:tc>
        <w:tc>
          <w:tcPr>
            <w:tcW w:type="dxa" w:w="325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412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נדרש?</w:t>
            </w:r>
          </w:p>
        </w:tc>
      </w:tr>
      <w:tr>
        <w:trPr>
          <w:cantSplit/>
        </w:trPr>
        <w:tc>
          <w:tcPr>
            <w:tcW w:type="dxa" w:w="28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תובע בחו״ל</w:t>
            </w:r>
          </w:p>
        </w:tc>
        <w:tc>
          <w:tcPr>
            <w:tcW w:type="dxa" w:w="325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הראל (על בסיס מיעוט לנדוי בחן)</w:t>
            </w:r>
          </w:p>
        </w:tc>
        <w:tc>
          <w:tcPr>
            <w:tcW w:type="dxa" w:w="41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מספיקה הגשה מרחוק באמצעות שלוח</w:t>
            </w:r>
          </w:p>
        </w:tc>
      </w:tr>
      <w:tr>
        <w:trPr>
          <w:cantSplit/>
        </w:trPr>
        <w:tc>
          <w:tcPr>
            <w:tcW w:type="dxa" w:w="28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נתבע תושב קבע שעזב</w:t>
            </w:r>
          </w:p>
        </w:tc>
        <w:tc>
          <w:tcPr>
            <w:tcW w:type="dxa" w:w="325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קריב</w:t>
            </w:r>
          </w:p>
        </w:tc>
        <w:tc>
          <w:tcPr>
            <w:tcW w:type="dxa" w:w="41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מרכז חיים בישראל שלא נותק, זיקה מסוימת</w:t>
            </w:r>
          </w:p>
        </w:tc>
      </w:tr>
      <w:tr>
        <w:trPr>
          <w:cantSplit/>
        </w:trPr>
        <w:tc>
          <w:tcPr>
            <w:tcW w:type="dxa" w:w="28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נתבע אזרח בלבד</w:t>
            </w:r>
          </w:p>
        </w:tc>
        <w:tc>
          <w:tcPr>
            <w:tcW w:type="dxa" w:w="325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ביגר, ורבר</w:t>
            </w:r>
          </w:p>
        </w:tc>
        <w:tc>
          <w:tcPr>
            <w:tcW w:type="dxa" w:w="41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אזרחות + זיקה ממשית</w:t>
            </w:r>
          </w:p>
        </w:tc>
      </w:tr>
      <w:tr>
        <w:trPr>
          <w:cantSplit/>
        </w:trPr>
        <w:tc>
          <w:tcPr>
            <w:tcW w:type="dxa" w:w="282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נתבע שאינו אזרח ואינו תושב</w:t>
            </w:r>
          </w:p>
        </w:tc>
        <w:tc>
          <w:tcPr>
            <w:tcW w:type="dxa" w:w="325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סבג</w:t>
            </w:r>
          </w:p>
        </w:tc>
        <w:tc>
          <w:tcPr>
            <w:tcW w:type="dxa" w:w="412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אין סמכות לפי סעיף 1 (ראו להלן)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הנתבע שהגיש בעצמו תביעות בארץ</w:t>
            </w:r>
          </w:p>
          <w:p>
            <w:pPr>
              <w:bidi/>
              <w:spacing w:before="0" w:after="60" w:line="300" w:lineRule="auto"/>
              <w:jc w:val="both"/>
            </w:pPr>
            <w:r>
              <w:rPr>
                <w:rFonts w:ascii="Arial" w:hAnsi="Arial" w:cs="Arial" w:eastAsia="Arial"/>
                <w:color w:val="1F2430"/>
                <w:sz w:val="18"/>
                <w:szCs w:val="18"/>
                <w:rtl/>
              </w:rPr>
              <w:t>נתבע שמקום מושבו לא בישראל אבל הגיש בעצמו תביעות בבית המשפט לענייני משפחה בישראל מראה שיש לו זיקה ממשית לארץ. אפשר להסתפק לגביו בנוכחות קונסטרוקטיבית.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קריב לא חל על מי שעבר לחו״ל באמת</w:t>
            </w:r>
          </w:p>
          <w:p>
            <w:pPr>
              <w:bidi/>
              <w:spacing w:before="0" w:after="60" w:line="300" w:lineRule="auto"/>
              <w:jc w:val="both"/>
            </w:pPr>
            <w:r>
              <w:rPr>
                <w:rFonts w:ascii="Arial" w:hAnsi="Arial" w:cs="Arial" w:eastAsia="Arial"/>
                <w:color w:val="1F2430"/>
                <w:sz w:val="18"/>
                <w:szCs w:val="18"/>
                <w:rtl/>
              </w:rPr>
              <w:t>נתבע שלא היה בישראל בעת הגשת התביעה ושמקום מושבו הקבוע כבר לא בישראל (ניתק את זיקתו) לא נכנס להלכת קריב. אם הוא לא אזרח עם זיקה ממשית (ביגר), אין סמכות לפי סעיף 1. במקרה כזה בודקים את סעיף 4א.</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2.8 תנאי 4: "אזרחי המדינה או תושביה"</w:t>
      </w:r>
    </w:p>
    <w:p>
      <w:pPr>
        <w:bidi/>
        <w:spacing w:before="0" w:after="100" w:line="300" w:lineRule="auto"/>
        <w:jc w:val="both"/>
      </w:pPr>
      <w:r>
        <w:rPr>
          <w:rFonts w:ascii="Arial" w:hAnsi="Arial" w:cs="Arial" w:eastAsia="Arial"/>
          <w:color w:val="1F2430"/>
          <w:sz w:val="19"/>
          <w:szCs w:val="19"/>
          <w:rtl/>
        </w:rPr>
        <w:t xml:space="preserve">התנאי הרביעי הוא שכל אחד מבני הזוג יהיה אזרח ישראלי או תושב ישראל. כך המחוקק נתן לבית הדין הרבני סמכות רחבה אבל הגביל אותה לבעלי </w:t>
      </w:r>
      <w:r>
        <w:rPr>
          <w:rFonts w:ascii="Arial" w:hAnsi="Arial" w:cs="Arial" w:eastAsia="Arial"/>
          <w:color w:val="1F2430"/>
          <w:sz w:val="19"/>
          <w:szCs w:val="19"/>
          <w:highlight w:val="yellow"/>
          <w:rtl/>
        </w:rPr>
        <w:t>זיקה אישית לישראל</w:t>
      </w:r>
      <w:r>
        <w:rPr>
          <w:rFonts w:ascii="Arial" w:hAnsi="Arial" w:cs="Arial" w:eastAsia="Arial"/>
          <w:color w:val="1F2430"/>
          <w:sz w:val="19"/>
          <w:szCs w:val="19"/>
          <w:rtl/>
        </w:rPr>
        <w:t>. לבית הדין עצמו זה פחות משנה, אבל את הגבולות שלו קובע המחוקק. מחוץ לישראל אין לבית הדין הרבני שום סמכות.</w:t>
      </w:r>
    </w:p>
    <w:tbl>
      <w:tblPr>
        <w:tblW w:type="dxa" w:w="10206"/>
        <w:jc w:val="center"/>
        <w:tblLook w:firstColumn="1" w:firstRow="1" w:lastColumn="0" w:lastRow="0" w:noHBand="0" w:noVBand="1" w:val="04A0"/>
        <w:bidiVisual/>
        <w:tblLayout w:type="fixed"/>
      </w:tblPr>
      <w:tblGrid>
        <w:gridCol w:w="1237"/>
        <w:gridCol w:w="3587"/>
        <w:gridCol w:w="5381"/>
      </w:tblGrid>
      <w:tr>
        <w:trPr>
          <w:tblHeader/>
        </w:trPr>
        <w:tc>
          <w:tcPr>
            <w:tcW w:type="dxa" w:w="123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מושג</w:t>
            </w:r>
          </w:p>
        </w:tc>
        <w:tc>
          <w:tcPr>
            <w:tcW w:type="dxa" w:w="358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5380"/>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משמעות</w:t>
            </w:r>
          </w:p>
        </w:tc>
      </w:tr>
      <w:tr>
        <w:trPr>
          <w:cantSplit/>
        </w:trPr>
        <w:tc>
          <w:tcPr>
            <w:tcW w:type="dxa" w:w="12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אזרח</w:t>
            </w:r>
          </w:p>
        </w:tc>
        <w:tc>
          <w:tcPr>
            <w:tcW w:type="dxa" w:w="358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1 לחוק האזרחות</w:t>
            </w:r>
          </w:p>
        </w:tc>
        <w:tc>
          <w:tcPr>
            <w:tcW w:type="dxa" w:w="538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מי שרשום כאזרח המדינה. אפשר להיות אזרח בלי לגור בארץ אף פעם, למשל מי שנולד לשני הורים אזרחים ישראלים הוא אזרח אוטומטית</w:t>
            </w:r>
          </w:p>
        </w:tc>
      </w:tr>
      <w:tr>
        <w:trPr>
          <w:cantSplit/>
        </w:trPr>
        <w:tc>
          <w:tcPr>
            <w:tcW w:type="dxa" w:w="12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תושב</w:t>
            </w:r>
          </w:p>
        </w:tc>
        <w:tc>
          <w:tcPr>
            <w:tcW w:type="dxa" w:w="358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סעיף 80 לחוק הכשרות המשפטית והאפוטרופסות</w:t>
            </w:r>
          </w:p>
        </w:tc>
        <w:tc>
          <w:tcPr>
            <w:tcW w:type="dxa" w:w="538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"מקום מושב": "המקום בו נמצא מרכז חייו של אדם". חי כאן בפועל ויש לו קשרים אמיתיים למדינה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ההבדל בין המושגים הוא הבסיס להבחנה בין קריב (תושב) לבין ביגר (אזרח בלבד) שראינו בסעיף הקודם. בנוסף, יש מצבים שבהם בכל מקרה פונים למסלול האזרחי, כי לא מתקיים תנאי אחר: זוגות להט״ב, חסרי דת, וידועים בציבור שלא נישאו.</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2.9 בג״ץ סבג: גבולות סעיף 1 במקרה בין-לאומי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6751/04 סבג</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יהודים אמידים שחיו בחו״ל, לא אזרחים ולא תושבים, ובלי שום זיקה לארץ חוץ מהיותם יהודים. ב-1983 נישאו במונקו גם כדת משה וישראל וגם אזרחית, ונולדו להם שני ילדים. ב-2000 התגרשו במונקו </w:t>
            </w:r>
            <w:r>
              <w:rPr>
                <w:rFonts w:ascii="Arial" w:hAnsi="Arial" w:cs="Arial" w:eastAsia="Arial"/>
                <w:color w:val="1F2430"/>
                <w:sz w:val="18"/>
                <w:szCs w:val="18"/>
                <w:highlight w:val="yellow"/>
                <w:rtl/>
              </w:rPr>
              <w:t>אזרחית בלבד</w:t>
            </w:r>
            <w:r>
              <w:rPr>
                <w:rFonts w:ascii="Arial" w:hAnsi="Arial" w:cs="Arial" w:eastAsia="Arial"/>
                <w:color w:val="1F2430"/>
                <w:sz w:val="18"/>
                <w:szCs w:val="18"/>
                <w:rtl/>
              </w:rPr>
              <w:t xml:space="preserve">. הבעל סירב לתת גט. בדין הדתי צריך הסכמה של שני הצדדים, ולכן ההליך הדתי טוב למי שרוצה להישאר בנישואין ורע למי שרוצה לצאת. בית דין במונקו לא יכול לכפות גט, ובית משפט אזרחי לא מתעסק בבעיה הדתית. האישה פנתה באמצעות עורך דין לבית הדין הרבני בישראל והגישה </w:t>
            </w:r>
            <w:r>
              <w:rPr>
                <w:rFonts w:ascii="Arial" w:hAnsi="Arial" w:cs="Arial" w:eastAsia="Arial"/>
                <w:color w:val="1F2430"/>
                <w:sz w:val="18"/>
                <w:szCs w:val="18"/>
                <w:highlight w:val="yellow"/>
                <w:rtl/>
              </w:rPr>
              <w:t>תביעת גירושין ותביעת מזונות אישה</w:t>
            </w:r>
            <w:r>
              <w:rPr>
                <w:rFonts w:ascii="Arial" w:hAnsi="Arial" w:cs="Arial" w:eastAsia="Arial"/>
                <w:color w:val="1F2430"/>
                <w:sz w:val="18"/>
                <w:szCs w:val="18"/>
                <w:rtl/>
              </w:rPr>
              <w:t xml:space="preserve">. הבעל הגיע לביקור של עשרה ימים ועוכב בנתב״ג בצו עיכוב יציאה. הוא טען: "שנינו לא אזרחים ולא תושבים, ולכן אין סמכות". בית הדין האזורי ובית הדין הרבני הגדול קבעו שיש סמכות. הבעל עתר לבג״ץ. </w:t>
            </w:r>
            <w:r>
              <w:rPr>
                <w:rFonts w:ascii="Arial" w:hAnsi="Arial" w:cs="Arial" w:eastAsia="Arial"/>
                <w:b/>
                <w:bCs/>
                <w:color w:val="1F2430"/>
                <w:sz w:val="18"/>
                <w:szCs w:val="18"/>
                <w:rtl/>
              </w:rPr>
              <w:t>הלכה (דעת הרוב, השופטת פרוקצ׳יה):</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אין לבית הדין הרבני סמכות לדון בתביעת הגירושין</w:t>
            </w:r>
            <w:r>
              <w:rPr>
                <w:rFonts w:ascii="Arial" w:hAnsi="Arial" w:cs="Arial" w:eastAsia="Arial"/>
                <w:color w:val="1F2430"/>
                <w:sz w:val="18"/>
                <w:szCs w:val="18"/>
                <w:rtl/>
              </w:rPr>
              <w:t xml:space="preserve">. סעיף 1 דורש אזרחות או תושבות, ובני הזוג אמנם יהודים אבל אינם אזרחים, אינם תושבים ואין להם זיקה לישראל. </w:t>
            </w:r>
            <w:r>
              <w:rPr>
                <w:rFonts w:ascii="Arial" w:hAnsi="Arial" w:cs="Arial" w:eastAsia="Arial"/>
                <w:b/>
                <w:bCs/>
                <w:color w:val="1F2430"/>
                <w:sz w:val="18"/>
                <w:szCs w:val="18"/>
                <w:rtl/>
              </w:rPr>
              <w:t>דעת המיעוט (השופט רובינשטיין):</w:t>
            </w:r>
            <w:r>
              <w:rPr>
                <w:rFonts w:ascii="Arial" w:hAnsi="Arial" w:cs="Arial" w:eastAsia="Arial"/>
                <w:color w:val="1F2430"/>
                <w:sz w:val="18"/>
                <w:szCs w:val="18"/>
                <w:rtl/>
              </w:rPr>
              <w:t xml:space="preserve"> יש סמכות לבית הדין הרבני.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סבג צמצם את סמכות בית הדין במקרים בין-לאומיים. עצם היותם של בני הזוג יהודים לא פותח אוטומטית את הדלת לבית הדין בישראל, וצריך גם קשר לישראל לפי החוק. בעקבותיו המחוקק הגיב במהירות וחוקק את סעיף 4א.</w:t>
            </w:r>
          </w:p>
        </w:tc>
      </w:tr>
    </w:tbl>
    <w:p>
      <w:pPr>
        <w:bidi/>
        <w:spacing w:after="0" w:before="0" w:line="120" w:lineRule="exact"/>
      </w:pPr>
      <w:r>
        <w:rPr>
          <w:sz w:val="2"/>
        </w:rPr>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גירושין מול מזונות בסבג</w:t>
      </w:r>
    </w:p>
    <w:p>
      <w:pPr>
        <w:bidi/>
        <w:spacing w:before="0" w:after="100" w:line="300" w:lineRule="auto"/>
        <w:jc w:val="both"/>
      </w:pPr>
      <w:r>
        <w:rPr>
          <w:rFonts w:ascii="Arial" w:hAnsi="Arial" w:cs="Arial" w:eastAsia="Arial"/>
          <w:color w:val="1F2430"/>
          <w:sz w:val="19"/>
          <w:szCs w:val="19"/>
          <w:rtl/>
        </w:rPr>
        <w:t xml:space="preserve">תביעת הגירושין נכשלה. לגבי תביעת המזונות, לפי סיכום הקורס ייתכן שהייתה לבית הדין סמכות לפי </w:t>
      </w:r>
      <w:r>
        <w:rPr>
          <w:rFonts w:ascii="Arial" w:hAnsi="Arial" w:cs="Arial" w:eastAsia="Arial"/>
          <w:color w:val="1F2430"/>
          <w:sz w:val="19"/>
          <w:szCs w:val="19"/>
          <w:highlight w:val="yellow"/>
          <w:rtl/>
        </w:rPr>
        <w:t>סעיף 4</w:t>
      </w:r>
      <w:r>
        <w:rPr>
          <w:rFonts w:ascii="Arial" w:hAnsi="Arial" w:cs="Arial" w:eastAsia="Arial"/>
          <w:color w:val="1F2430"/>
          <w:sz w:val="19"/>
          <w:szCs w:val="19"/>
          <w:rtl/>
        </w:rPr>
        <w:t xml:space="preserve">, שמאפשר לאישה יהודייה לתבוע מזונות מבעלה היהודי שלא אגב גירושין. סעיף 4 לא דורש בלשונו אזרחות, תושבות או נוכחות, אבל לפי הפסיקה (קנול, גולדנברג) נדרשת </w:t>
      </w:r>
      <w:r>
        <w:rPr>
          <w:rFonts w:ascii="Arial" w:hAnsi="Arial" w:cs="Arial" w:eastAsia="Arial"/>
          <w:color w:val="1F2430"/>
          <w:sz w:val="19"/>
          <w:szCs w:val="19"/>
          <w:highlight w:val="yellow"/>
          <w:rtl/>
        </w:rPr>
        <w:t>זיקה מסוימת</w:t>
      </w:r>
      <w:r>
        <w:rPr>
          <w:rFonts w:ascii="Arial" w:hAnsi="Arial" w:cs="Arial" w:eastAsia="Arial"/>
          <w:color w:val="1F2430"/>
          <w:sz w:val="19"/>
          <w:szCs w:val="19"/>
          <w:rtl/>
        </w:rPr>
        <w:t xml:space="preserve"> לישראל. ההרחבה בפרק 3.</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אמרת האגב של פרוקצ׳יה</w:t>
            </w:r>
          </w:p>
          <w:p>
            <w:pPr>
              <w:bidi/>
              <w:spacing w:before="0" w:after="60" w:line="300" w:lineRule="auto"/>
              <w:jc w:val="both"/>
            </w:pPr>
            <w:r>
              <w:rPr>
                <w:rFonts w:ascii="Arial" w:hAnsi="Arial" w:cs="Arial" w:eastAsia="Arial"/>
                <w:color w:val="1F2430"/>
                <w:sz w:val="18"/>
                <w:szCs w:val="18"/>
                <w:rtl/>
              </w:rPr>
              <w:t xml:space="preserve">בסבג אמרה השופטת פרוקצ׳יה באמרת אגב שכל התנאים של סעיף 1 חלים על כל סעיפי החוק, וביניהם סעיף 4. לפי גישה זו המחוקק כתב אותם פעם אחת כ"כותרת" בסעיף 1 ולא חזר עליהם. </w:t>
            </w:r>
            <w:r>
              <w:rPr>
                <w:rFonts w:ascii="Arial" w:hAnsi="Arial" w:cs="Arial" w:eastAsia="Arial"/>
                <w:color w:val="1F2430"/>
                <w:sz w:val="18"/>
                <w:szCs w:val="18"/>
                <w:highlight w:val="yellow"/>
                <w:rtl/>
              </w:rPr>
              <w:t>זו אמרת אגב בלבד, ולכן אינה מחייבת</w:t>
            </w:r>
            <w:r>
              <w:rPr>
                <w:rFonts w:ascii="Arial" w:hAnsi="Arial" w:cs="Arial" w:eastAsia="Arial"/>
                <w:color w:val="1F2430"/>
                <w:sz w:val="18"/>
                <w:szCs w:val="18"/>
                <w:rtl/>
              </w:rPr>
              <w:t>. ההלכה המחייבת בסעיף 4 היא דרישת הזיקה המסוימת. זו שאלת מבחן אהובה: "מהי אמרת האגב של פרוקצ׳יה?"</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2.10 סעיף 4א: סמכות בין-לאומית בתביעת גירושין</w:t>
      </w:r>
    </w:p>
    <w:p>
      <w:pPr>
        <w:bidi/>
        <w:spacing w:before="0" w:after="100" w:line="300" w:lineRule="auto"/>
        <w:jc w:val="both"/>
      </w:pPr>
      <w:r>
        <w:rPr>
          <w:rFonts w:ascii="Arial" w:hAnsi="Arial" w:cs="Arial" w:eastAsia="Arial"/>
          <w:color w:val="1F2430"/>
          <w:sz w:val="19"/>
          <w:szCs w:val="19"/>
          <w:rtl/>
        </w:rPr>
        <w:t>המחוקק רצה להרחיב את סמכות בית הדין הרבני במקרים בין-לאומיים, כדי לטפל בתופעת העגינות של נשים בחו״ל, ששם אין גוף שיכול לעזור לאישה מסורבת גט. הפתרון הוא הגמשת דרישת האזרחות או התושבות שבסעיף 1.</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4א(א)</w:t>
            </w:r>
          </w:p>
          <w:p>
            <w:pPr>
              <w:bidi/>
              <w:spacing w:before="0" w:after="60" w:line="300" w:lineRule="auto"/>
              <w:jc w:val="both"/>
            </w:pPr>
            <w:r>
              <w:rPr>
                <w:rFonts w:ascii="Arial" w:hAnsi="Arial" w:cs="Arial" w:eastAsia="Arial"/>
                <w:color w:val="1F2430"/>
                <w:sz w:val="18"/>
                <w:szCs w:val="18"/>
                <w:rtl/>
              </w:rPr>
              <w:t>"בלי לגרוע מסמכויות השיפוט לפי סעיף 1, לבית דין רבני יהיה שיפוט ייחודי בתביעה לגירושין בין בני זוג יהודים שנישאו על פי דין תורה, בהתקיים אחת מהזיקות האלו: (1) מקום מושבו של הנתבע בישראל; (2) שני בני הזוג הם אזרחים ישראלים; (3) מקום מושבו של התובע בישראל, ובלבד שהתגורר בה במשך שנה לפחות בסמוך להגשת התביעה; (4) מקום מושבו של התובע בישראל, ובלבד שמקום מושבם המשותף האחרון של בני הזוג היה בישראל; (5) התובע הוא אזרח ישראלי ומקום מושבו בישראל; (6) התובע הוא אזרח ישראלי והתגורר בה במשך שנה במהלך השנתיים שקדמו למועד הגשת התביעה."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highlight w:val="yellow"/>
          <w:rtl/>
        </w:rPr>
        <w:t>הזיקות אינן מצטברות</w:t>
      </w:r>
      <w:r>
        <w:rPr>
          <w:rFonts w:ascii="Arial" w:hAnsi="Arial" w:cs="Arial" w:eastAsia="Arial"/>
          <w:color w:val="1F2430"/>
          <w:sz w:val="19"/>
          <w:szCs w:val="19"/>
          <w:rtl/>
        </w:rPr>
        <w:t xml:space="preserve">. מספיקה אחת מהן. בנוסף צריכים להתקיים שני תנאי סף: </w:t>
      </w:r>
      <w:r>
        <w:rPr>
          <w:rFonts w:ascii="Arial" w:hAnsi="Arial" w:cs="Arial" w:eastAsia="Arial"/>
          <w:color w:val="1F2430"/>
          <w:sz w:val="19"/>
          <w:szCs w:val="19"/>
          <w:highlight w:val="yellow"/>
          <w:rtl/>
        </w:rPr>
        <w:t>שני בני הזוג יהודים</w:t>
      </w:r>
      <w:r>
        <w:rPr>
          <w:rFonts w:ascii="Arial" w:hAnsi="Arial" w:cs="Arial" w:eastAsia="Arial"/>
          <w:color w:val="1F2430"/>
          <w:sz w:val="19"/>
          <w:szCs w:val="19"/>
          <w:rtl/>
        </w:rPr>
        <w:t>, ו</w:t>
      </w:r>
      <w:r>
        <w:rPr>
          <w:rFonts w:ascii="Arial" w:hAnsi="Arial" w:cs="Arial" w:eastAsia="Arial"/>
          <w:color w:val="1F2430"/>
          <w:sz w:val="19"/>
          <w:szCs w:val="19"/>
          <w:highlight w:val="yellow"/>
          <w:rtl/>
        </w:rPr>
        <w:t>נישאו על פי דין תורה</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09"/>
        <w:gridCol w:w="3116"/>
        <w:gridCol w:w="3116"/>
        <w:gridCol w:w="2763"/>
      </w:tblGrid>
      <w:tr>
        <w:trPr>
          <w:tblHeader/>
        </w:trPr>
        <w:tc>
          <w:tcPr>
            <w:tcW w:type="dxa" w:w="1209"/>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חלופה</w:t>
            </w:r>
          </w:p>
        </w:tc>
        <w:tc>
          <w:tcPr>
            <w:tcW w:type="dxa" w:w="3116"/>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הזיקה</w:t>
            </w:r>
          </w:p>
        </w:tc>
        <w:tc>
          <w:tcPr>
            <w:tcW w:type="dxa" w:w="3116"/>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החידוש</w:t>
            </w:r>
          </w:p>
        </w:tc>
        <w:tc>
          <w:tcPr>
            <w:tcW w:type="dxa" w:w="2763"/>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דוגמה</w:t>
            </w:r>
          </w:p>
        </w:tc>
      </w:tr>
      <w:tr>
        <w:trPr>
          <w:cantSplit/>
        </w:trPr>
        <w:tc>
          <w:tcPr>
            <w:tcW w:type="dxa" w:w="1209"/>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4א(1)</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מקום מושב הנתבע בישראל</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דורשים דבר מהתובע. הוא יכול להיות לא אזרח ולא תושב</w:t>
            </w:r>
          </w:p>
        </w:tc>
        <w:tc>
          <w:tcPr>
            <w:tcW w:type="dxa" w:w="276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האישה גרה בחו״ל ואינה אזרחית, הבעל גר בישראל</w:t>
            </w:r>
          </w:p>
        </w:tc>
      </w:tr>
      <w:tr>
        <w:trPr>
          <w:cantSplit/>
        </w:trPr>
        <w:tc>
          <w:tcPr>
            <w:tcW w:type="dxa" w:w="1209"/>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4א(2)</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שני בני הזוג אזרחים ישראלים</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לא צריך להוכיח זיקה ממשית נוספת או לגור בארץ</w:t>
            </w:r>
          </w:p>
        </w:tc>
        <w:tc>
          <w:tcPr>
            <w:tcW w:type="dxa" w:w="276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זוג ישראלי שחי בחו״ל עם אזרחות ישראלית</w:t>
            </w:r>
          </w:p>
        </w:tc>
      </w:tr>
      <w:tr>
        <w:trPr>
          <w:cantSplit/>
        </w:trPr>
        <w:tc>
          <w:tcPr>
            <w:tcW w:type="dxa" w:w="1209"/>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4א(3)</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מושב התובע בישראל + שנה לפחות סמוך להגשה</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משנה שהנתבע לא תושב</w:t>
            </w:r>
          </w:p>
        </w:tc>
        <w:tc>
          <w:tcPr>
            <w:tcW w:type="dxa" w:w="276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האישה גרה בארץ שנה לפני התביעה, הבעל בחו״ל</w:t>
            </w:r>
          </w:p>
        </w:tc>
      </w:tr>
      <w:tr>
        <w:trPr>
          <w:cantSplit/>
        </w:trPr>
        <w:tc>
          <w:tcPr>
            <w:tcW w:type="dxa" w:w="1209"/>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4א(4)</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מושב התובע בישראל + המושב המשותף האחרון בישראל</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לא משנה איפה הנתבע</w:t>
            </w:r>
          </w:p>
        </w:tc>
        <w:tc>
          <w:tcPr>
            <w:tcW w:type="dxa" w:w="276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הזוג חי יחד בארץ, אחד עבר לחו״ל והתובע נשאר</w:t>
            </w:r>
          </w:p>
        </w:tc>
      </w:tr>
      <w:tr>
        <w:trPr>
          <w:cantSplit/>
        </w:trPr>
        <w:tc>
          <w:tcPr>
            <w:tcW w:type="dxa" w:w="1209"/>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4א(5)</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התובע אזרח ישראלי + מושבו בישראל</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שני הרכיבים יחד</w:t>
            </w:r>
          </w:p>
        </w:tc>
        <w:tc>
          <w:tcPr>
            <w:tcW w:type="dxa" w:w="276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בעל אזרח שגר בארץ תובע אישה שבחו״ל</w:t>
            </w:r>
          </w:p>
        </w:tc>
      </w:tr>
      <w:tr>
        <w:trPr>
          <w:cantSplit/>
        </w:trPr>
        <w:tc>
          <w:tcPr>
            <w:tcW w:type="dxa" w:w="1209"/>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4א(6)</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התובע אזרח + גר בישראל שנה במהלך השנתיים שקדמו לתביעה</w:t>
            </w:r>
          </w:p>
        </w:tc>
        <w:tc>
          <w:tcPr>
            <w:tcW w:type="dxa" w:w="31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לא חייב לגור בארץ ביום ההגשה</w:t>
            </w:r>
          </w:p>
        </w:tc>
        <w:tc>
          <w:tcPr>
            <w:tcW w:type="dxa" w:w="276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אזרח שגר בארץ 13 חודשים ועבר לחו״ל לפני חצי שנה</w:t>
            </w:r>
          </w:p>
        </w:tc>
      </w:tr>
    </w:tbl>
    <w:p>
      <w:pPr>
        <w:bidi/>
        <w:spacing w:after="0" w:before="0" w:line="120" w:lineRule="exact"/>
      </w:pPr>
      <w:r>
        <w:rPr>
          <w:sz w:val="2"/>
        </w:rPr>
      </w:r>
    </w:p>
    <w:p>
      <w:pPr>
        <w:keepNext/>
        <w:bidi/>
        <w:spacing w:before="160" w:after="60" w:line="300" w:lineRule="auto"/>
      </w:pPr>
      <w:r>
        <w:rPr>
          <w:rFonts w:ascii="Arial" w:hAnsi="Arial" w:cs="Arial" w:eastAsia="Arial"/>
          <w:color w:val="0F7C7A"/>
          <w:sz w:val="22"/>
          <w:szCs w:val="22"/>
          <w:rtl/>
        </w:rPr>
        <w:t xml:space="preserve">▌ </w:t>
      </w:r>
      <w:r>
        <w:rPr>
          <w:rFonts w:ascii="Arial" w:hAnsi="Arial" w:cs="Arial" w:eastAsia="Arial"/>
          <w:b/>
          <w:bCs/>
          <w:color w:val="0F7C7A"/>
          <w:sz w:val="22"/>
          <w:szCs w:val="22"/>
          <w:rtl/>
        </w:rPr>
        <w:t>סעיף 4א(ה): גירושין בלבד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4א(ה)</w:t>
            </w:r>
          </w:p>
          <w:p>
            <w:pPr>
              <w:bidi/>
              <w:spacing w:before="0" w:after="60" w:line="300" w:lineRule="auto"/>
              <w:jc w:val="both"/>
            </w:pPr>
            <w:r>
              <w:rPr>
                <w:rFonts w:ascii="Arial" w:hAnsi="Arial" w:cs="Arial" w:eastAsia="Arial"/>
                <w:color w:val="1F2430"/>
                <w:sz w:val="18"/>
                <w:szCs w:val="18"/>
                <w:rtl/>
              </w:rPr>
              <w:t>"אין בהוראות סעיף זה כדי להקנות לבית הדין הרבני סמכות שיפוט בענינים הכרוכים בגירושין."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זה חשוב למבחן. </w:t>
      </w:r>
      <w:r>
        <w:rPr>
          <w:rFonts w:ascii="Arial" w:hAnsi="Arial" w:cs="Arial" w:eastAsia="Arial"/>
          <w:color w:val="1F2430"/>
          <w:sz w:val="19"/>
          <w:szCs w:val="19"/>
          <w:highlight w:val="yellow"/>
          <w:rtl/>
        </w:rPr>
        <w:t>דרך סעיף 4א אפשר להגיש רק תביעת גירושין</w:t>
      </w:r>
      <w:r>
        <w:rPr>
          <w:rFonts w:ascii="Arial" w:hAnsi="Arial" w:cs="Arial" w:eastAsia="Arial"/>
          <w:color w:val="1F2430"/>
          <w:sz w:val="19"/>
          <w:szCs w:val="19"/>
          <w:rtl/>
        </w:rPr>
        <w:t>, בלי כריכות: לא מזונות, לא רכוש, לא משמורת ולא עניינים נוספים. ההיגיון הוא שמדינת ישראל באה לעזור ליהודי העולם רק בעניין שאין לו מענה בשום מקום אחר, הגט. מזונות, משמורת ורכוש אפשר להשיג בחו״ל, ושם צריך לתבוע אותם.</w:t>
      </w:r>
    </w:p>
    <w:tbl>
      <w:tblPr>
        <w:tblW w:type="dxa" w:w="10206"/>
        <w:jc w:val="center"/>
        <w:tblLook w:firstColumn="1" w:firstRow="1" w:lastColumn="0" w:lastRow="0" w:noHBand="0" w:noVBand="1" w:val="04A0"/>
        <w:bidiVisual/>
        <w:tblLayout w:type="fixed"/>
      </w:tblPr>
      <w:tblGrid>
        <w:gridCol w:w="1458"/>
        <w:gridCol w:w="5832"/>
        <w:gridCol w:w="2916"/>
      </w:tblGrid>
      <w:tr>
        <w:trPr>
          <w:tblHeader/>
        </w:trPr>
        <w:tc>
          <w:tcPr>
            <w:tcW w:type="dxa" w:w="1458"/>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p>
        </w:tc>
        <w:tc>
          <w:tcPr>
            <w:tcW w:type="dxa" w:w="5831"/>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1</w:t>
            </w:r>
          </w:p>
        </w:tc>
        <w:tc>
          <w:tcPr>
            <w:tcW w:type="dxa" w:w="2916"/>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4א</w:t>
            </w:r>
          </w:p>
        </w:tc>
      </w:tr>
      <w:tr>
        <w:trPr>
          <w:cantSplit/>
        </w:trPr>
        <w:tc>
          <w:tcPr>
            <w:tcW w:type="dxa" w:w="145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היקף</w:t>
            </w:r>
          </w:p>
        </w:tc>
        <w:tc>
          <w:tcPr>
            <w:tcW w:type="dxa" w:w="5831"/>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ענייני הנישואין והגירושין, ודרכו כריכה לפי סעיף 3</w:t>
            </w:r>
          </w:p>
        </w:tc>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תביעת גירושין בלבד (4א(ה))</w:t>
            </w:r>
          </w:p>
        </w:tc>
      </w:tr>
      <w:tr>
        <w:trPr>
          <w:cantSplit/>
        </w:trPr>
        <w:tc>
          <w:tcPr>
            <w:tcW w:type="dxa" w:w="145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יהדות</w:t>
            </w:r>
          </w:p>
        </w:tc>
        <w:tc>
          <w:tcPr>
            <w:tcW w:type="dxa" w:w="5831"/>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שני בני הזוג</w:t>
            </w:r>
          </w:p>
        </w:tc>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שני בני הזוג</w:t>
            </w:r>
          </w:p>
        </w:tc>
      </w:tr>
      <w:tr>
        <w:trPr>
          <w:cantSplit/>
        </w:trPr>
        <w:tc>
          <w:tcPr>
            <w:tcW w:type="dxa" w:w="145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צורת הנישואין</w:t>
            </w:r>
          </w:p>
        </w:tc>
        <w:tc>
          <w:tcPr>
            <w:tcW w:type="dxa" w:w="5831"/>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נישואין, גם אזרחיים (ורבר)</w:t>
            </w:r>
          </w:p>
        </w:tc>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נישואין על פי דין תורה</w:t>
            </w:r>
          </w:p>
        </w:tc>
      </w:tr>
      <w:tr>
        <w:trPr>
          <w:cantSplit/>
        </w:trPr>
        <w:tc>
          <w:tcPr>
            <w:tcW w:type="dxa" w:w="145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זיקה לישראל</w:t>
            </w:r>
          </w:p>
        </w:tc>
        <w:tc>
          <w:tcPr>
            <w:tcW w:type="dxa" w:w="5831"/>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ארבעה תנאים מצטברים: "בישראל" + אזרחים או תושבים</w:t>
            </w:r>
          </w:p>
        </w:tc>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אחת משש זיקות חלופיות</w:t>
            </w:r>
          </w:p>
        </w:tc>
      </w:tr>
      <w:tr>
        <w:trPr>
          <w:cantSplit/>
        </w:trPr>
        <w:tc>
          <w:tcPr>
            <w:tcW w:type="dxa" w:w="145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סוג הסמכות</w:t>
            </w:r>
          </w:p>
        </w:tc>
        <w:tc>
          <w:tcPr>
            <w:tcW w:type="dxa" w:w="5831"/>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w:t>
            </w:r>
          </w:p>
        </w:tc>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באיזה סעיף עדיף לתובע להשתמש?</w:t>
            </w:r>
          </w:p>
          <w:p>
            <w:pPr>
              <w:bidi/>
              <w:spacing w:before="0" w:after="60" w:line="300" w:lineRule="auto"/>
              <w:jc w:val="both"/>
            </w:pPr>
            <w:r>
              <w:rPr>
                <w:rFonts w:ascii="Arial" w:hAnsi="Arial" w:cs="Arial" w:eastAsia="Arial"/>
                <w:color w:val="1F2430"/>
                <w:sz w:val="18"/>
                <w:szCs w:val="18"/>
                <w:highlight w:val="yellow"/>
                <w:rtl/>
              </w:rPr>
              <w:t>בסעיף 1</w:t>
            </w:r>
            <w:r>
              <w:rPr>
                <w:rFonts w:ascii="Arial" w:hAnsi="Arial" w:cs="Arial" w:eastAsia="Arial"/>
                <w:color w:val="1F2430"/>
                <w:sz w:val="18"/>
                <w:szCs w:val="18"/>
                <w:rtl/>
              </w:rPr>
              <w:t>, כי דרכו אפשר להביא את הגירושין ואת כל הנושאים יחד. לסעיף 4א פונים כשאי אפשר להיכנס דרך סעיף 1, וזוכרים שהוא נותן רק את הגירושין עצמם. ומהצד השני: מי שרוצה רק להתגרש, בלי כריכות, יכול להשתמש בסעיף 4א, שבו מספיקה זיקה אחת. אישה שכרכה עניינים לתביעתה צריכה את סעיף 1, וסעיף 4א לא רלוונטי לה.</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2.11 סעיף 4ב: התיקון של 2018 לנשים מעוגנות</w:t>
      </w:r>
    </w:p>
    <w:p>
      <w:pPr>
        <w:bidi/>
        <w:spacing w:before="0" w:after="100" w:line="300" w:lineRule="auto"/>
        <w:jc w:val="both"/>
      </w:pPr>
      <w:r>
        <w:rPr>
          <w:rFonts w:ascii="Arial" w:hAnsi="Arial" w:cs="Arial" w:eastAsia="Arial"/>
          <w:color w:val="1F2430"/>
          <w:sz w:val="19"/>
          <w:szCs w:val="19"/>
          <w:rtl/>
        </w:rPr>
        <w:t>מה עם יהודים שאינם אזרחים, אינם תושבים ואין להם אף אחת מזיקות סעיף 4א? ב-2018 עשתה ישראל צעד ש</w:t>
      </w:r>
      <w:r>
        <w:rPr>
          <w:rFonts w:ascii="Arial" w:hAnsi="Arial" w:cs="Arial" w:eastAsia="Arial"/>
          <w:color w:val="1F2430"/>
          <w:sz w:val="19"/>
          <w:szCs w:val="19"/>
          <w:highlight w:val="yellow"/>
          <w:rtl/>
        </w:rPr>
        <w:t>פוגע מאוד בנימוס הבין-לאומי</w:t>
      </w:r>
      <w:r>
        <w:rPr>
          <w:rFonts w:ascii="Arial" w:hAnsi="Arial" w:cs="Arial" w:eastAsia="Arial"/>
          <w:color w:val="1F2430"/>
          <w:sz w:val="19"/>
          <w:szCs w:val="19"/>
          <w:rtl/>
        </w:rPr>
        <w:t xml:space="preserve"> ושמדינות חוץ התנגדו לו בחריפות. הוראת השעה נחקקה לשלוש שנים, וכשהתברר שהיא מועילה הפכה </w:t>
      </w:r>
      <w:r>
        <w:rPr>
          <w:rFonts w:ascii="Arial" w:hAnsi="Arial" w:cs="Arial" w:eastAsia="Arial"/>
          <w:color w:val="1F2430"/>
          <w:sz w:val="19"/>
          <w:szCs w:val="19"/>
          <w:highlight w:val="yellow"/>
          <w:rtl/>
        </w:rPr>
        <w:t>להוראת קבע</w:t>
      </w:r>
      <w:r>
        <w:rPr>
          <w:rFonts w:ascii="Arial" w:hAnsi="Arial" w:cs="Arial" w:eastAsia="Arial"/>
          <w:color w:val="1F2430"/>
          <w:sz w:val="19"/>
          <w:szCs w:val="19"/>
          <w:rtl/>
        </w:rPr>
        <w:t>. בסיכום הקורס היא מסומנת כסעיף 4ב(1)(א), ובמקורות אחרים כ-4ב1.</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4ב (התיקון של 2018)</w:t>
            </w:r>
          </w:p>
          <w:p>
            <w:pPr>
              <w:bidi/>
              <w:spacing w:before="0" w:after="60" w:line="300" w:lineRule="auto"/>
              <w:jc w:val="both"/>
            </w:pPr>
            <w:r>
              <w:rPr>
                <w:rFonts w:ascii="Arial" w:hAnsi="Arial" w:cs="Arial" w:eastAsia="Arial"/>
                <w:color w:val="1F2430"/>
                <w:sz w:val="18"/>
                <w:szCs w:val="18"/>
                <w:rtl/>
              </w:rPr>
              <w:t>"...לבית דין רבני יהיה שיפוט ייחודי בתביעת גט לפי דין תורה שהגישה אישה יהודייה נגד אישה היהודי, אף אם לא מתקיימות לגביהם הזיקות המנויות בסעיף 4א(א), ובלבד שהנישואין נערכו על פי דין תורה והאישה לא קיבלה גט מנישואין אלה בבית דין מחוץ לישראל, ומתקיים אחד מאלה..." (שלוש החלופות מפורטות להלן).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מה צריך לפי סעיף 4ב:</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מי תובעת:</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רק אישה</w:t>
      </w:r>
      <w:r>
        <w:rPr>
          <w:rFonts w:ascii="Arial" w:hAnsi="Arial" w:cs="Arial" w:eastAsia="Arial"/>
          <w:color w:val="1F2430"/>
          <w:sz w:val="19"/>
          <w:szCs w:val="19"/>
          <w:rtl/>
        </w:rPr>
        <w:t xml:space="preserve"> יהודייה, נגד בעלה היהודי. בלי דרישת אזרחות, תושבות או זיקה. מספיק שהם יהודים.</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מה תובעים: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רק גט</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תנאים נוספים:</w:t>
      </w:r>
      <w:r>
        <w:rPr>
          <w:rFonts w:ascii="Arial" w:hAnsi="Arial" w:cs="Arial" w:eastAsia="Arial"/>
          <w:color w:val="1F2430"/>
          <w:sz w:val="19"/>
          <w:szCs w:val="19"/>
          <w:rtl/>
        </w:rPr>
        <w:t xml:space="preserve"> נישואין על פי דין תורה, והאישה לא קיבלה גט בבית דין מחוץ לישראל.</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ועוד אחת מהחלופות:</w:t>
      </w:r>
    </w:p>
    <w:p>
      <w:pPr>
        <w:bidi/>
        <w:tabs>
          <w:tab w:val="left" w:pos="623"/>
        </w:tabs>
        <w:spacing w:before="0" w:after="40" w:line="288" w:lineRule="auto"/>
        <w:ind w:right="623"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אין בית דין בחו״ל, במקום מושבו של הנתבע או של התובעת, שיכול לערוך גט. אם האישה פנתה לבית דין בחו״ל, היא לא יכולה לטעון שאין בית דין, אלא אם אותו בית דין קבע שאינו יכול לערוך גט.</w:t>
      </w:r>
    </w:p>
    <w:p>
      <w:pPr>
        <w:bidi/>
        <w:tabs>
          <w:tab w:val="left" w:pos="623"/>
        </w:tabs>
        <w:spacing w:before="0" w:after="40" w:line="288" w:lineRule="auto"/>
        <w:ind w:right="623"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 xml:space="preserve">הבעל לא התייצב לבית הדין בחו״ל </w:t>
      </w:r>
      <w:r>
        <w:rPr>
          <w:rFonts w:ascii="Arial" w:hAnsi="Arial" w:cs="Arial" w:eastAsia="Arial"/>
          <w:color w:val="1F2430"/>
          <w:sz w:val="19"/>
          <w:szCs w:val="19"/>
          <w:highlight w:val="yellow"/>
          <w:rtl/>
        </w:rPr>
        <w:t>ארבעה חודשים</w:t>
      </w:r>
      <w:r>
        <w:rPr>
          <w:rFonts w:ascii="Arial" w:hAnsi="Arial" w:cs="Arial" w:eastAsia="Arial"/>
          <w:color w:val="1F2430"/>
          <w:sz w:val="19"/>
          <w:szCs w:val="19"/>
          <w:rtl/>
        </w:rPr>
        <w:t xml:space="preserve"> מיום שזומן.</w:t>
      </w:r>
    </w:p>
    <w:p>
      <w:pPr>
        <w:bidi/>
        <w:tabs>
          <w:tab w:val="left" w:pos="623"/>
        </w:tabs>
        <w:spacing w:before="0" w:after="40" w:line="288" w:lineRule="auto"/>
        <w:ind w:right="623"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 xml:space="preserve">בית דין בחו״ל קבע שהבעל ייתן גט, ולמרות מאמץ סביר לאכוף זאת הגט לא ניתן </w:t>
      </w:r>
      <w:r>
        <w:rPr>
          <w:rFonts w:ascii="Arial" w:hAnsi="Arial" w:cs="Arial" w:eastAsia="Arial"/>
          <w:color w:val="1F2430"/>
          <w:sz w:val="19"/>
          <w:szCs w:val="19"/>
          <w:highlight w:val="yellow"/>
          <w:rtl/>
        </w:rPr>
        <w:t>שישה חודשים</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למה רק לאישה?</w:t>
            </w:r>
          </w:p>
          <w:p>
            <w:pPr>
              <w:bidi/>
              <w:spacing w:before="0" w:after="60" w:line="300" w:lineRule="auto"/>
              <w:jc w:val="both"/>
            </w:pPr>
            <w:r>
              <w:rPr>
                <w:rFonts w:ascii="Arial" w:hAnsi="Arial" w:cs="Arial" w:eastAsia="Arial"/>
                <w:color w:val="1F2430"/>
                <w:sz w:val="18"/>
                <w:szCs w:val="18"/>
                <w:rtl/>
              </w:rPr>
              <w:t>גבר שאשתו מסרבת לגט יכול לקבל היתר להינשא לאישה נוספת, וההיתר אפשרי גם בחו״ל. לאישה אין אפשרות כזאת, וכל עוד אין גט היא מעוגנת. לכן הסעיף פתוח רק לה.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שלוש דלתות לגירושין בין-לאומיים</w:t>
            </w:r>
          </w:p>
          <w:p>
            <w:pPr>
              <w:bidi/>
              <w:spacing w:before="0" w:after="60" w:line="300" w:lineRule="auto"/>
              <w:jc w:val="both"/>
            </w:pPr>
            <w:r>
              <w:rPr>
                <w:rFonts w:ascii="Arial" w:hAnsi="Arial" w:cs="Arial" w:eastAsia="Arial"/>
                <w:b/>
                <w:bCs/>
                <w:color w:val="1F2430"/>
                <w:sz w:val="18"/>
                <w:szCs w:val="18"/>
                <w:rtl/>
              </w:rPr>
              <w:t>סעיף 1:</w:t>
            </w:r>
            <w:r>
              <w:rPr>
                <w:rFonts w:ascii="Arial" w:hAnsi="Arial" w:cs="Arial" w:eastAsia="Arial"/>
                <w:color w:val="1F2430"/>
                <w:sz w:val="18"/>
                <w:szCs w:val="18"/>
                <w:rtl/>
              </w:rPr>
              <w:t xml:space="preserve"> ארבעת התנאים, הכול כולל כריכה. </w:t>
            </w:r>
            <w:r>
              <w:rPr>
                <w:rFonts w:ascii="Arial" w:hAnsi="Arial" w:cs="Arial" w:eastAsia="Arial"/>
                <w:b/>
                <w:bCs/>
                <w:color w:val="1F2430"/>
                <w:sz w:val="18"/>
                <w:szCs w:val="18"/>
                <w:rtl/>
              </w:rPr>
              <w:t>סעיף 4א:</w:t>
            </w:r>
            <w:r>
              <w:rPr>
                <w:rFonts w:ascii="Arial" w:hAnsi="Arial" w:cs="Arial" w:eastAsia="Arial"/>
                <w:color w:val="1F2430"/>
                <w:sz w:val="18"/>
                <w:szCs w:val="18"/>
                <w:rtl/>
              </w:rPr>
              <w:t xml:space="preserve"> דין תורה + זיקה אחת, גירושין בלבד. </w:t>
            </w:r>
            <w:r>
              <w:rPr>
                <w:rFonts w:ascii="Arial" w:hAnsi="Arial" w:cs="Arial" w:eastAsia="Arial"/>
                <w:b/>
                <w:bCs/>
                <w:color w:val="1F2430"/>
                <w:sz w:val="18"/>
                <w:szCs w:val="18"/>
                <w:rtl/>
              </w:rPr>
              <w:t>סעיף 4ב:</w:t>
            </w:r>
            <w:r>
              <w:rPr>
                <w:rFonts w:ascii="Arial" w:hAnsi="Arial" w:cs="Arial" w:eastAsia="Arial"/>
                <w:color w:val="1F2430"/>
                <w:sz w:val="18"/>
                <w:szCs w:val="18"/>
                <w:rtl/>
              </w:rPr>
              <w:t xml:space="preserve"> אישה, דין תורה, חלופה אחת, גט בלבד.</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2.12 מבט רחב: כל הדלתות לבית הדין הרבני</w:t>
      </w:r>
    </w:p>
    <w:p>
      <w:pPr>
        <w:bidi/>
        <w:spacing w:before="0" w:after="100" w:line="300" w:lineRule="auto"/>
        <w:jc w:val="both"/>
      </w:pPr>
      <w:r>
        <w:rPr>
          <w:rFonts w:ascii="Arial" w:hAnsi="Arial" w:cs="Arial" w:eastAsia="Arial"/>
          <w:color w:val="1F2430"/>
          <w:sz w:val="19"/>
          <w:szCs w:val="19"/>
          <w:rtl/>
        </w:rPr>
        <w:t>אלה כל הדלתות לבית הדין הרבני. הפירוט בפרקים 3 ו-4.</w:t>
      </w:r>
    </w:p>
    <w:tbl>
      <w:tblPr>
        <w:tblW w:type="dxa" w:w="10206"/>
        <w:jc w:val="center"/>
        <w:tblLook w:firstColumn="1" w:firstRow="1" w:lastColumn="0" w:lastRow="0" w:noHBand="0" w:noVBand="1" w:val="04A0"/>
        <w:bidiVisual/>
        <w:tblLayout w:type="fixed"/>
      </w:tblPr>
      <w:tblGrid>
        <w:gridCol w:w="1235"/>
        <w:gridCol w:w="5597"/>
        <w:gridCol w:w="2137"/>
        <w:gridCol w:w="1235"/>
      </w:tblGrid>
      <w:tr>
        <w:trPr>
          <w:tblHeader/>
        </w:trPr>
        <w:tc>
          <w:tcPr>
            <w:tcW w:type="dxa" w:w="123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דלת</w:t>
            </w:r>
          </w:p>
        </w:tc>
        <w:tc>
          <w:tcPr>
            <w:tcW w:type="dxa" w:w="559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 / מה</w:t>
            </w:r>
          </w:p>
        </w:tc>
        <w:tc>
          <w:tcPr>
            <w:tcW w:type="dxa" w:w="213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אופי</w:t>
            </w:r>
          </w:p>
        </w:tc>
        <w:tc>
          <w:tcPr>
            <w:tcW w:type="dxa" w:w="123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פרק</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1</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וגירושין של יהודים, ארבעה תנאים</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 הדלת הראשית</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סעיף 3</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כריכה לתביעת גירושין (רק אחרי סעיף 1) + מבחן משולש</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הופכת עניין לייחודי</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3</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4</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אישה יהודייה, מזונות אישה שלא אגב גירושין + זיקה מסוימת</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3</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סעיף 4א</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גירושין בין-לאומיים, אחת משש זיקות</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ייחודית, גירושין בלבד</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2</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4ב</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אישה יהודייה, גט, בלי זיקה</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 גט בלבד</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סעיף 9</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ענייני מעמד אישי בהסכמת כל הצדדים (לא רכוש)</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בהסכמה</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4</w:t>
            </w:r>
          </w:p>
        </w:tc>
      </w:tr>
      <w:tr>
        <w:trPr>
          <w:cantSplit/>
        </w:trPr>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סמכות נמשכת</w:t>
            </w:r>
          </w:p>
        </w:tc>
        <w:tc>
          <w:tcPr>
            <w:tcW w:type="dxa" w:w="559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 ומשמורת בשינוי נסיבות</w:t>
            </w:r>
          </w:p>
        </w:tc>
        <w:tc>
          <w:tcPr>
            <w:tcW w:type="dxa" w:w="213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המשך</w:t>
            </w:r>
          </w:p>
        </w:tc>
        <w:tc>
          <w:tcPr>
            <w:tcW w:type="dxa" w:w="123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4</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זוג שאינו עומד בסעיף 1 אבל מסכים</w:t>
            </w:r>
          </w:p>
          <w:p>
            <w:pPr>
              <w:bidi/>
              <w:spacing w:before="0" w:after="60" w:line="300" w:lineRule="auto"/>
              <w:jc w:val="both"/>
            </w:pPr>
            <w:r>
              <w:rPr>
                <w:rFonts w:ascii="Arial" w:hAnsi="Arial" w:cs="Arial" w:eastAsia="Arial"/>
                <w:color w:val="1F2430"/>
                <w:sz w:val="18"/>
                <w:szCs w:val="18"/>
                <w:rtl/>
              </w:rPr>
              <w:t>זוג יהודים תיירים (לא אזרחים ולא תושבים) שרוצה להתגרש בהסכמה: אין הכרעה חד-משמעית, אבל הנטייה היא לאפשר זאת לפי סעיף 9. בלי הסכמת שניהם אין סעיף 9, ובלי סעיף 1 אין כריכות. בזוג מעורב ההסכמה לא עוזרת (סרגובי). ראו פרק 4.</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2.13 עץ החלטה למבחן</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1. </w:t>
      </w:r>
      <w:r>
        <w:tab/>
      </w:r>
      <w:r>
        <w:rPr>
          <w:rFonts w:ascii="Arial" w:hAnsi="Arial" w:cs="Arial" w:eastAsia="Arial"/>
          <w:b/>
          <w:bCs/>
          <w:color w:val="1F2430"/>
          <w:sz w:val="19"/>
          <w:szCs w:val="19"/>
          <w:rtl/>
        </w:rPr>
        <w:t>מה הנושא?</w:t>
      </w:r>
      <w:r>
        <w:rPr>
          <w:rFonts w:ascii="Arial" w:hAnsi="Arial" w:cs="Arial" w:eastAsia="Arial"/>
          <w:color w:val="1F2430"/>
          <w:sz w:val="19"/>
          <w:szCs w:val="19"/>
          <w:rtl/>
        </w:rPr>
        <w:t xml:space="preserve"> נישואין או גירושין, כולל כתובה, שלום בית ומורדת? אם כן, ממשיכים בסעיף 1. אם זה רכוש, מזונות או ילדים, עוברים לפרק 3 (סעיפים 3 ו-4) או לבית המשפט לענייני משפחה.</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2. </w:t>
      </w:r>
      <w:r>
        <w:tab/>
      </w:r>
      <w:r>
        <w:rPr>
          <w:rFonts w:ascii="Arial" w:hAnsi="Arial" w:cs="Arial" w:eastAsia="Arial"/>
          <w:b/>
          <w:bCs/>
          <w:color w:val="1F2430"/>
          <w:sz w:val="19"/>
          <w:szCs w:val="19"/>
          <w:rtl/>
        </w:rPr>
        <w:t>האם שניהם יהודים?</w:t>
      </w:r>
      <w:r>
        <w:rPr>
          <w:rFonts w:ascii="Arial" w:hAnsi="Arial" w:cs="Arial" w:eastAsia="Arial"/>
          <w:color w:val="1F2430"/>
          <w:sz w:val="19"/>
          <w:szCs w:val="19"/>
          <w:rtl/>
        </w:rPr>
        <w:t xml:space="preserve"> אם אחד מהם לא יהודי או ספק יהודי, אין סמכות (אוה בסן), וההליך הוא בבית המשפט לענייני משפחה לפי חוק המקרים המיוחדים. גם הסכמה לא תעזור (סרגובי).</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3. </w:t>
      </w:r>
      <w:r>
        <w:tab/>
      </w:r>
      <w:r>
        <w:rPr>
          <w:rFonts w:ascii="Arial" w:hAnsi="Arial" w:cs="Arial" w:eastAsia="Arial"/>
          <w:b/>
          <w:bCs/>
          <w:color w:val="1F2430"/>
          <w:sz w:val="19"/>
          <w:szCs w:val="19"/>
          <w:rtl/>
        </w:rPr>
        <w:t>האם הם "בישראל" בעת הגשת התביעה?</w:t>
      </w:r>
      <w:r>
        <w:rPr>
          <w:rFonts w:ascii="Arial" w:hAnsi="Arial" w:cs="Arial" w:eastAsia="Arial"/>
          <w:color w:val="1F2430"/>
          <w:sz w:val="19"/>
          <w:szCs w:val="19"/>
          <w:rtl/>
        </w:rPr>
        <w:t xml:space="preserve"> מקום הנישואין לא חשוב (ורבר). תובע בחו״ל יכול להגיש באמצעות שלוח (הראל). נתבע תושב קבע שברח: זיקה מסוימת (קריב). נתבע אזרח בלבד: אזרחות + זיקה ממשית (ביגר, ורבר).</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4. </w:t>
      </w:r>
      <w:r>
        <w:tab/>
      </w:r>
      <w:r>
        <w:rPr>
          <w:rFonts w:ascii="Arial" w:hAnsi="Arial" w:cs="Arial" w:eastAsia="Arial"/>
          <w:b/>
          <w:bCs/>
          <w:color w:val="1F2430"/>
          <w:sz w:val="19"/>
          <w:szCs w:val="19"/>
          <w:rtl/>
        </w:rPr>
        <w:t>האם כל אחד מהם אזרח או תושב?</w:t>
      </w:r>
      <w:r>
        <w:rPr>
          <w:rFonts w:ascii="Arial" w:hAnsi="Arial" w:cs="Arial" w:eastAsia="Arial"/>
          <w:color w:val="1F2430"/>
          <w:sz w:val="19"/>
          <w:szCs w:val="19"/>
          <w:rtl/>
        </w:rPr>
        <w:t xml:space="preserve"> אם כן, יש סמכות ייחודית לפי סעיף 1, ואפשר לעבור לכריכות.</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5. </w:t>
      </w:r>
      <w:r>
        <w:tab/>
      </w:r>
      <w:r>
        <w:rPr>
          <w:rFonts w:ascii="Arial" w:hAnsi="Arial" w:cs="Arial" w:eastAsia="Arial"/>
          <w:b/>
          <w:bCs/>
          <w:color w:val="1F2430"/>
          <w:sz w:val="19"/>
          <w:szCs w:val="19"/>
          <w:rtl/>
        </w:rPr>
        <w:t>אם סעיף 1 נכשל:</w:t>
      </w:r>
      <w:r>
        <w:rPr>
          <w:rFonts w:ascii="Arial" w:hAnsi="Arial" w:cs="Arial" w:eastAsia="Arial"/>
          <w:color w:val="1F2430"/>
          <w:sz w:val="19"/>
          <w:szCs w:val="19"/>
          <w:rtl/>
        </w:rPr>
        <w:t xml:space="preserve"> האם נישאו כדין תורה ומתקיימת אחת מזיקות סעיף 4א? אם כן, יש סמכות לגירושין בלבד.</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6. </w:t>
      </w:r>
      <w:r>
        <w:tab/>
      </w:r>
      <w:r>
        <w:rPr>
          <w:rFonts w:ascii="Arial" w:hAnsi="Arial" w:cs="Arial" w:eastAsia="Arial"/>
          <w:b/>
          <w:bCs/>
          <w:color w:val="1F2430"/>
          <w:sz w:val="19"/>
          <w:szCs w:val="19"/>
          <w:rtl/>
        </w:rPr>
        <w:t>אם גם 4א נכשל:</w:t>
      </w:r>
      <w:r>
        <w:rPr>
          <w:rFonts w:ascii="Arial" w:hAnsi="Arial" w:cs="Arial" w:eastAsia="Arial"/>
          <w:color w:val="1F2430"/>
          <w:sz w:val="19"/>
          <w:szCs w:val="19"/>
          <w:rtl/>
        </w:rPr>
        <w:t xml:space="preserve"> האם מדובר באישה יהודייה שתובעת גט, ומתקיימת אחת מחלופות סעיף 4ב? אם כן, יש סמכות לגט בלבד.</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7. </w:t>
      </w:r>
      <w:r>
        <w:tab/>
      </w:r>
      <w:r>
        <w:rPr>
          <w:rFonts w:ascii="Arial" w:hAnsi="Arial" w:cs="Arial" w:eastAsia="Arial"/>
          <w:b/>
          <w:bCs/>
          <w:color w:val="1F2430"/>
          <w:sz w:val="19"/>
          <w:szCs w:val="19"/>
          <w:rtl/>
        </w:rPr>
        <w:t>ובנוסף:</w:t>
      </w:r>
      <w:r>
        <w:rPr>
          <w:rFonts w:ascii="Arial" w:hAnsi="Arial" w:cs="Arial" w:eastAsia="Arial"/>
          <w:color w:val="1F2430"/>
          <w:sz w:val="19"/>
          <w:szCs w:val="19"/>
          <w:rtl/>
        </w:rPr>
        <w:t xml:space="preserve"> מזונות אישה לפי סעיף 4 (זיקה מסוימת), או הסכמה לפי סעיף 9.</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2.14 מלכודות נפוצות</w:t>
      </w:r>
    </w:p>
    <w:p>
      <w:pPr>
        <w:bidi/>
        <w:spacing w:before="0" w:after="100" w:line="300" w:lineRule="auto"/>
        <w:jc w:val="both"/>
      </w:pPr>
      <w:r>
        <w:rPr>
          <w:rFonts w:ascii="Arial" w:hAnsi="Arial" w:cs="Arial" w:eastAsia="Arial"/>
          <w:color w:val="1F2430"/>
          <w:sz w:val="19"/>
          <w:szCs w:val="19"/>
          <w:rtl/>
        </w:rPr>
        <w:t>כל המשפטים הבאים שגויים, ולצד כל אחד התיקון:</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"מספיק שאחד מבני הזוג יהודי". שניהם חייבים להיות יהודים (אוה בסן).</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"'בישראל' פירושו נישואין שנערכו בישראל". הכוונה ליהודים שבישראל בעת ההגשה (ורבר).</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"תובע חייב להגיע פיזית לישראל". אפשר באמצעות שלוח (הראל).</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"אזרחות לבדה מספיקה לגבי נתבע". צריך גם זיקה ממשית (ביגר).</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"בסבג נקבע שיש סמכות". הרוב קבע שאין, ורובינשטיין היה במיעוט.</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"דרך סעיף 4א אפשר לכרוך מזונות". גירושין בלבד (4א(ה)).</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"הזיקות בסעיף 4א מצטברות". הן חלופיות.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"סעיף 4א חל על כל נישואין". רק על נישואין על פי דין תורה.</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"סעיף 4ב פתוח לשני בני הזוג". רק לאישה.</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"אמרת האגב של פרוקצ׳יה מחייבת". היא אינה מחייבת.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"סעיף 2 קובע סמכות". הוא קובע ברירת 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סיכום הפרק</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סעיפים 1 ו-2:</w:t>
            </w:r>
            <w:r>
              <w:rPr>
                <w:rFonts w:ascii="Arial" w:hAnsi="Arial" w:cs="Arial" w:eastAsia="Arial"/>
                <w:color w:val="1F2430"/>
                <w:sz w:val="18"/>
                <w:szCs w:val="18"/>
                <w:rtl/>
              </w:rPr>
              <w:t xml:space="preserve"> נישואין וגירושין של יהודים בסמכות ייחודית של בית הדין הרבני, לפי דין תורה. מזונות, כלכלה ואפוטרופסות נשארו בסמכות מקבילה.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ארבעה תנאים מצטברים:</w:t>
            </w:r>
            <w:r>
              <w:rPr>
                <w:rFonts w:ascii="Arial" w:hAnsi="Arial" w:cs="Arial" w:eastAsia="Arial"/>
                <w:color w:val="1F2430"/>
                <w:sz w:val="18"/>
                <w:szCs w:val="18"/>
                <w:rtl/>
              </w:rPr>
              <w:t xml:space="preserve"> ענייני נישואין וגירושין (סידיס: בלי ממון, למעט כתובה); שניהם יהודים (אוה בסן); בישראל בעת ההגשה (ורבר); אזרחים או תושבים.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זוג מעורב או ספק יהודי:</w:t>
            </w:r>
            <w:r>
              <w:rPr>
                <w:rFonts w:ascii="Arial" w:hAnsi="Arial" w:cs="Arial" w:eastAsia="Arial"/>
                <w:color w:val="1F2430"/>
                <w:sz w:val="18"/>
                <w:szCs w:val="18"/>
                <w:rtl/>
              </w:rPr>
              <w:t xml:space="preserve"> חוק המקרים המיוחדים, סעיף 3(א)(1).</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נוכחות קונסטרוקטיבית:</w:t>
            </w:r>
            <w:r>
              <w:rPr>
                <w:rFonts w:ascii="Arial" w:hAnsi="Arial" w:cs="Arial" w:eastAsia="Arial"/>
                <w:color w:val="1F2430"/>
                <w:sz w:val="18"/>
                <w:szCs w:val="18"/>
                <w:rtl/>
              </w:rPr>
              <w:t xml:space="preserve"> תובע באמצעות שלוח (הראל/חן); נתבע תושב קבע (קריב); נתבע אזרח + זיקה ממשית (ביגר, ורבר).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סבג:</w:t>
            </w:r>
            <w:r>
              <w:rPr>
                <w:rFonts w:ascii="Arial" w:hAnsi="Arial" w:cs="Arial" w:eastAsia="Arial"/>
                <w:color w:val="1F2430"/>
                <w:sz w:val="18"/>
                <w:szCs w:val="18"/>
                <w:rtl/>
              </w:rPr>
              <w:t xml:space="preserve"> אין סמכות לגירושין כשאין אזרחות, תושבות וזיקה.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סעיף 4א:</w:t>
            </w:r>
            <w:r>
              <w:rPr>
                <w:rFonts w:ascii="Arial" w:hAnsi="Arial" w:cs="Arial" w:eastAsia="Arial"/>
                <w:color w:val="1F2430"/>
                <w:sz w:val="18"/>
                <w:szCs w:val="18"/>
                <w:rtl/>
              </w:rPr>
              <w:t xml:space="preserve"> דין תורה + אחת משש זיקות, גירושין בלבד. </w:t>
            </w:r>
            <w:r>
              <w:rPr>
                <w:rFonts w:ascii="Arial" w:hAnsi="Arial" w:cs="Arial" w:eastAsia="Arial"/>
                <w:b/>
                <w:bCs/>
                <w:color w:val="1F2430"/>
                <w:sz w:val="18"/>
                <w:szCs w:val="18"/>
                <w:rtl/>
              </w:rPr>
              <w:t>סעיף 4ב:</w:t>
            </w:r>
            <w:r>
              <w:rPr>
                <w:rFonts w:ascii="Arial" w:hAnsi="Arial" w:cs="Arial" w:eastAsia="Arial"/>
                <w:color w:val="1F2430"/>
                <w:sz w:val="18"/>
                <w:szCs w:val="18"/>
                <w:rtl/>
              </w:rPr>
              <w:t xml:space="preserve"> אישה, גט בלבד, בלי זיקה.</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6B3FA0"/>
            <w:tcBorders>
              <w:top w:val="single" w:sz="4" w:space="0" w:color="6B3FA0"/>
              <w:left w:val="single" w:sz="4" w:space="0" w:color="6B3FA0"/>
              <w:bottom w:val="single" w:sz="4" w:space="0" w:color="6B3FA0"/>
              <w:right w:val="single" w:sz="4" w:space="0" w:color="6B3FA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3</w:t>
            </w:r>
          </w:p>
          <w:p>
            <w:pPr>
              <w:bidi/>
              <w:spacing w:before="0" w:after="0" w:line="264" w:lineRule="auto"/>
              <w:outlineLvl w:val="0"/>
            </w:pPr>
            <w:r>
              <w:rPr>
                <w:rFonts w:ascii="Arial" w:hAnsi="Arial" w:cs="Arial" w:eastAsia="Arial"/>
                <w:b/>
                <w:bCs/>
                <w:color w:val="FFFFFF"/>
                <w:sz w:val="42"/>
                <w:szCs w:val="42"/>
                <w:rtl/>
              </w:rPr>
              <w:t>כריכה ומירוץ סמכויות</w:t>
            </w:r>
          </w:p>
        </w:tc>
      </w:tr>
    </w:tbl>
    <w:p>
      <w:pPr>
        <w:bidi/>
        <w:spacing w:after="0" w:before="0" w:line="20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3.1 מבוא: למה זה הפרק הכי "מבחני" בקורס</w:t>
      </w:r>
    </w:p>
    <w:p>
      <w:pPr>
        <w:bidi/>
        <w:spacing w:before="0" w:after="100" w:line="300" w:lineRule="auto"/>
        <w:jc w:val="both"/>
      </w:pPr>
      <w:r>
        <w:rPr>
          <w:rFonts w:ascii="Arial" w:hAnsi="Arial" w:cs="Arial" w:eastAsia="Arial"/>
          <w:color w:val="1F2430"/>
          <w:sz w:val="19"/>
          <w:szCs w:val="19"/>
          <w:rtl/>
        </w:rPr>
        <w:t xml:space="preserve">בדיני המשפחה בישראל יש שתי כתובות: בית הדין הרבני ובית המשפט לענייני משפחה. בענייני נישואין וגירושין של יהודים הסמכות ייחודית לבית הדין הרבני (סעיף 1 לחוק שיפוט בתי דין רבניים, ראו פרק 2), אבל כמעט כל שאר הנושאים שמלווים פירוק של משפחה – מזונות, החזקת ילדים, חינוך, רכוש – נמצאים בסמכות מקבילה. בסמכות מקבילה הכלל פשוט: </w:t>
      </w:r>
      <w:r>
        <w:rPr>
          <w:rFonts w:ascii="Arial" w:hAnsi="Arial" w:cs="Arial" w:eastAsia="Arial"/>
          <w:color w:val="1F2430"/>
          <w:sz w:val="19"/>
          <w:szCs w:val="19"/>
          <w:highlight w:val="yellow"/>
          <w:rtl/>
        </w:rPr>
        <w:t>מי שמגיע ראשון בוחר את הערכאה</w:t>
      </w:r>
      <w:r>
        <w:rPr>
          <w:rFonts w:ascii="Arial" w:hAnsi="Arial" w:cs="Arial" w:eastAsia="Arial"/>
          <w:color w:val="1F2430"/>
          <w:sz w:val="19"/>
          <w:szCs w:val="19"/>
          <w:rtl/>
        </w:rPr>
        <w:t>. מכאן נולד "מירוץ הסמכויות".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מירוץ סמכויות</w:t>
            </w:r>
          </w:p>
          <w:p>
            <w:pPr>
              <w:bidi/>
              <w:spacing w:before="0" w:after="60" w:line="300" w:lineRule="auto"/>
              <w:jc w:val="both"/>
            </w:pPr>
            <w:r>
              <w:rPr>
                <w:rFonts w:ascii="Arial" w:hAnsi="Arial" w:cs="Arial" w:eastAsia="Arial"/>
                <w:color w:val="1F2430"/>
                <w:sz w:val="18"/>
                <w:szCs w:val="18"/>
                <w:rtl/>
              </w:rPr>
              <w:t>מצב שבו לשתי ערכאות יש סמכות לדון באותו עניין, וכל אחד מבני הזוג מנסה להגיש ראשון את התביעה לערכאה שנראית לו נוחה יותר. למשל, הבעל יעדיף לרוב את בית הדין הרבני והאישה את בית המשפט לענייני משפחה, ולכן כל אחד ממהר לפתוח הליך.</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הכלי המרכזי במירוץ הוא </w:t>
      </w:r>
      <w:r>
        <w:rPr>
          <w:rFonts w:ascii="Arial" w:hAnsi="Arial" w:cs="Arial" w:eastAsia="Arial"/>
          <w:color w:val="1F2430"/>
          <w:sz w:val="19"/>
          <w:szCs w:val="19"/>
          <w:highlight w:val="yellow"/>
          <w:rtl/>
        </w:rPr>
        <w:t>הכריכה</w:t>
      </w:r>
      <w:r>
        <w:rPr>
          <w:rFonts w:ascii="Arial" w:hAnsi="Arial" w:cs="Arial" w:eastAsia="Arial"/>
          <w:color w:val="1F2430"/>
          <w:sz w:val="19"/>
          <w:szCs w:val="19"/>
          <w:rtl/>
        </w:rPr>
        <w:t xml:space="preserve"> לפי סעיף 3 לחוק השיפוט: מגישים תביעת גירושין לבית הדין הרבני, "מצמידים" אליה נושאים נוספים וכך תופסים גם אותם. מנגד, הפסיקה פיתחה בלמים: מבחן משולש (גבעולי), כללים לכל נושא (וינטר נ' בארי, אמיר, שרגאי, ברית המילה) וכלל להכרעה כשהערכאות חלוקות (פלמן). נלמד גם את סעיף 4 – "השער הנוסף" של האישה – ואת הדין שיחול על כל נושא כרוך.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למבחן</w:t>
            </w:r>
          </w:p>
          <w:p>
            <w:pPr>
              <w:bidi/>
              <w:spacing w:before="0" w:after="60" w:line="300" w:lineRule="auto"/>
              <w:jc w:val="both"/>
            </w:pPr>
            <w:r>
              <w:rPr>
                <w:rFonts w:ascii="Arial" w:hAnsi="Arial" w:cs="Arial" w:eastAsia="Arial"/>
                <w:color w:val="1F2430"/>
                <w:sz w:val="18"/>
                <w:szCs w:val="18"/>
                <w:rtl/>
              </w:rPr>
              <w:t>לפי מה שנלמד, במבחן תהיה כמעט בוודאות שאלה על כריכה. פרקו כל אירוע לפי השלבים שבסוף הפרק.</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סוגי הסמכויות שכדאי להכיר בהקשר הזה</w:t>
      </w:r>
    </w:p>
    <w:tbl>
      <w:tblPr>
        <w:tblW w:type="dxa" w:w="10206"/>
        <w:jc w:val="center"/>
        <w:tblLook w:firstColumn="1" w:firstRow="1" w:lastColumn="0" w:lastRow="0" w:noHBand="0" w:noVBand="1" w:val="04A0"/>
        <w:bidiVisual/>
        <w:tblLayout w:type="fixed"/>
      </w:tblPr>
      <w:tblGrid>
        <w:gridCol w:w="1293"/>
        <w:gridCol w:w="5292"/>
        <w:gridCol w:w="3620"/>
      </w:tblGrid>
      <w:tr>
        <w:trPr>
          <w:tblHeader/>
        </w:trPr>
        <w:tc>
          <w:tcPr>
            <w:tcW w:type="dxa" w:w="1293"/>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 סמכות</w:t>
            </w:r>
          </w:p>
        </w:tc>
        <w:tc>
          <w:tcPr>
            <w:tcW w:type="dxa" w:w="5291"/>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משמעות</w:t>
            </w:r>
          </w:p>
        </w:tc>
        <w:tc>
          <w:tcPr>
            <w:tcW w:type="dxa" w:w="3620"/>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דוגמה</w:t>
            </w:r>
          </w:p>
        </w:tc>
      </w:tr>
      <w:tr>
        <w:trPr>
          <w:cantSplit/>
        </w:trPr>
        <w:tc>
          <w:tcPr>
            <w:tcW w:type="dxa" w:w="129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ייחודית</w:t>
            </w:r>
          </w:p>
        </w:tc>
        <w:tc>
          <w:tcPr>
            <w:tcW w:type="dxa" w:w="52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ערכאה אחת רשאית לדון</w:t>
            </w:r>
          </w:p>
        </w:tc>
        <w:tc>
          <w:tcPr>
            <w:tcW w:type="dxa" w:w="362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וגירושין, כתובה (סעיף 1)</w:t>
            </w:r>
          </w:p>
        </w:tc>
      </w:tr>
      <w:tr>
        <w:trPr>
          <w:cantSplit/>
        </w:trPr>
        <w:tc>
          <w:tcPr>
            <w:tcW w:type="dxa" w:w="129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מקבילה</w:t>
            </w:r>
          </w:p>
        </w:tc>
        <w:tc>
          <w:tcPr>
            <w:tcW w:type="dxa" w:w="52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שתי ערכאות מוסמכות, מי שקודם זוכה</w:t>
            </w:r>
          </w:p>
        </w:tc>
        <w:tc>
          <w:tcPr>
            <w:tcW w:type="dxa" w:w="362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מזונות אישה, מזונות ילדים, משמורת, רכוש</w:t>
            </w:r>
          </w:p>
        </w:tc>
      </w:tr>
      <w:tr>
        <w:trPr>
          <w:cantSplit/>
        </w:trPr>
        <w:tc>
          <w:tcPr>
            <w:tcW w:type="dxa" w:w="129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נכרכת (משנית)</w:t>
            </w:r>
          </w:p>
        </w:tc>
        <w:tc>
          <w:tcPr>
            <w:tcW w:type="dxa" w:w="52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נוצרת רק בבית הדין הרבני, ורק בתנאי מקדים – תביעת גירושין</w:t>
            </w:r>
          </w:p>
        </w:tc>
        <w:tc>
          <w:tcPr>
            <w:tcW w:type="dxa" w:w="362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3</w:t>
            </w:r>
          </w:p>
        </w:tc>
      </w:tr>
      <w:tr>
        <w:trPr>
          <w:cantSplit/>
        </w:trPr>
        <w:tc>
          <w:tcPr>
            <w:tcW w:type="dxa" w:w="129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ראשית מקבילה</w:t>
            </w:r>
          </w:p>
        </w:tc>
        <w:tc>
          <w:tcPr>
            <w:tcW w:type="dxa" w:w="52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כניסה ישירה בלי תנאי מקדים</w:t>
            </w:r>
          </w:p>
        </w:tc>
        <w:tc>
          <w:tcPr>
            <w:tcW w:type="dxa" w:w="362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סעיף 4 – מזונות אישה בבודדת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(סמכות מוסכמת לפי סעיף 9 וסמכות נמשכת – ראו פרק 4.)</w:t>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3.2 למה בכלל נלחמים על הערכאה?</w:t>
      </w:r>
    </w:p>
    <w:p>
      <w:pPr>
        <w:bidi/>
        <w:spacing w:before="0" w:after="100" w:line="300" w:lineRule="auto"/>
        <w:jc w:val="both"/>
      </w:pPr>
      <w:r>
        <w:rPr>
          <w:rFonts w:ascii="Arial" w:hAnsi="Arial" w:cs="Arial" w:eastAsia="Arial"/>
          <w:color w:val="1F2430"/>
          <w:sz w:val="19"/>
          <w:szCs w:val="19"/>
          <w:rtl/>
        </w:rPr>
        <w:t>לכאורה, אם בשני המקומות יחול אותו דין, לא משנה איפה נדון התיק. בפועל זה משנה מאוד, מכמה סיבות:</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1. </w:t>
      </w:r>
      <w:r>
        <w:tab/>
      </w:r>
      <w:r>
        <w:rPr>
          <w:rFonts w:ascii="Arial" w:hAnsi="Arial" w:cs="Arial" w:eastAsia="Arial"/>
          <w:b/>
          <w:bCs/>
          <w:color w:val="1F2430"/>
          <w:sz w:val="19"/>
          <w:szCs w:val="19"/>
          <w:rtl/>
        </w:rPr>
        <w:t>פרשנות שונה לאותו דין.</w:t>
      </w:r>
      <w:r>
        <w:rPr>
          <w:rFonts w:ascii="Arial" w:hAnsi="Arial" w:cs="Arial" w:eastAsia="Arial"/>
          <w:color w:val="1F2430"/>
          <w:sz w:val="19"/>
          <w:szCs w:val="19"/>
          <w:rtl/>
        </w:rPr>
        <w:t xml:space="preserve"> גם כשהדין זהה (למשל דין אישי במזונות אישה), כל ערכאה מפרשת אותו אחרת, בעיקר כשמדובר בדין אישי שמשאיר מקום רב לפרשנות. דוגמה מוכרת היא שאלת המדור הספציפי (פרשות כליפה ואקנין, ראו פרק 6): העליון פסק שהמדור אינו חייב להיות בדירה שבה גרו, ובית הדין פסק לפי אותו דין תורה שהאישה נשארת בדירה – ובג״ץ סירב להתערב.</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2. </w:t>
      </w:r>
      <w:r>
        <w:tab/>
      </w:r>
      <w:r>
        <w:rPr>
          <w:rFonts w:ascii="Arial" w:hAnsi="Arial" w:cs="Arial" w:eastAsia="Arial"/>
          <w:b/>
          <w:bCs/>
          <w:color w:val="1F2430"/>
          <w:sz w:val="19"/>
          <w:szCs w:val="19"/>
          <w:rtl/>
        </w:rPr>
        <w:t>רכוש.</w:t>
      </w:r>
      <w:r>
        <w:rPr>
          <w:rFonts w:ascii="Arial" w:hAnsi="Arial" w:cs="Arial" w:eastAsia="Arial"/>
          <w:color w:val="1F2430"/>
          <w:sz w:val="19"/>
          <w:szCs w:val="19"/>
          <w:rtl/>
        </w:rPr>
        <w:t xml:space="preserve"> מי שהנכסים רשומים על שמו העדיף היסטורית את בית הדין הרבני, שבדק את הרישום. לכן בג״ץ בבלי חייב את בית הדין להחיל את חזקת השיתוף (ראו פרקים 1 ו-11).</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3. </w:t>
      </w:r>
      <w:r>
        <w:tab/>
      </w:r>
      <w:r>
        <w:rPr>
          <w:rFonts w:ascii="Arial" w:hAnsi="Arial" w:cs="Arial" w:eastAsia="Arial"/>
          <w:b/>
          <w:bCs/>
          <w:color w:val="1F2430"/>
          <w:sz w:val="19"/>
          <w:szCs w:val="19"/>
          <w:rtl/>
        </w:rPr>
        <w:t>מזונות ילדים.</w:t>
      </w:r>
      <w:r>
        <w:rPr>
          <w:rFonts w:ascii="Arial" w:hAnsi="Arial" w:cs="Arial" w:eastAsia="Arial"/>
          <w:color w:val="1F2430"/>
          <w:sz w:val="19"/>
          <w:szCs w:val="19"/>
          <w:rtl/>
        </w:rPr>
        <w:t xml:space="preserve"> בתי הדין נטו לפסוק סכומים נמוכים יותר; לאחר בע״מ 919/15 המגמה התהפכה (פירוט בהמשך).</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4. </w:t>
      </w:r>
      <w:r>
        <w:tab/>
      </w:r>
      <w:r>
        <w:rPr>
          <w:rFonts w:ascii="Arial" w:hAnsi="Arial" w:cs="Arial" w:eastAsia="Arial"/>
          <w:b/>
          <w:bCs/>
          <w:color w:val="1F2430"/>
          <w:sz w:val="19"/>
          <w:szCs w:val="19"/>
          <w:rtl/>
        </w:rPr>
        <w:t>סמכות נמשכת.</w:t>
      </w:r>
      <w:r>
        <w:rPr>
          <w:rFonts w:ascii="Arial" w:hAnsi="Arial" w:cs="Arial" w:eastAsia="Arial"/>
          <w:color w:val="1F2430"/>
          <w:sz w:val="19"/>
          <w:szCs w:val="19"/>
          <w:rtl/>
        </w:rPr>
        <w:t xml:space="preserve"> מי שתפס ערכאה, בדרך כלל יחזור אליה גם בעתיד כשיהיה שינוי נסיבות (ראו פרק 4).</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המחיר של המירוץ</w:t>
      </w:r>
    </w:p>
    <w:p>
      <w:pPr>
        <w:bidi/>
        <w:spacing w:before="0" w:after="100" w:line="300" w:lineRule="auto"/>
        <w:jc w:val="both"/>
      </w:pPr>
      <w:r>
        <w:rPr>
          <w:rFonts w:ascii="Arial" w:hAnsi="Arial" w:cs="Arial" w:eastAsia="Arial"/>
          <w:color w:val="1F2430"/>
          <w:sz w:val="19"/>
          <w:szCs w:val="19"/>
          <w:rtl/>
        </w:rPr>
        <w:t>המירוץ פוגע בניסיון הפיוס, דוחף לריצה מיידית לעורך דין, יוצר הסלמה וחשדנות, מייקר את ההליך ומבזבז זמן שיפוטי – "היחיד שמרוויח כאן הוא עורכי הדין". במשפט האזרחי הרגיל אין משמעות לשאלה מי הגיש ראשון; בדיני המשפחה – יש.</w:t>
      </w:r>
    </w:p>
    <w:p>
      <w:pPr>
        <w:bidi/>
        <w:spacing w:before="0" w:after="100" w:line="300" w:lineRule="auto"/>
        <w:jc w:val="both"/>
      </w:pPr>
      <w:r>
        <w:rPr>
          <w:rFonts w:ascii="Arial" w:hAnsi="Arial" w:cs="Arial" w:eastAsia="Arial"/>
          <w:color w:val="1F2430"/>
          <w:sz w:val="19"/>
          <w:szCs w:val="19"/>
          <w:rtl/>
        </w:rPr>
        <w:t>הכלל הפורמלי מעוגן גם בסעיף 25(ב) לחוק בית המשפט לענייני משפחה: בית הדין קונה סמכות ייחודית בעניין כרוך רק כאשר בן הזוג השני לא פתח הליך קודם בבית המשפט – ולהיפך.</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ניסיונות לרכך את המירוץ</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החוק להסדר התדיינויות בסכסוכי משפחה</w:t>
      </w:r>
      <w:r>
        <w:rPr>
          <w:rFonts w:ascii="Arial" w:hAnsi="Arial" w:cs="Arial" w:eastAsia="Arial"/>
          <w:color w:val="1F2430"/>
          <w:sz w:val="19"/>
          <w:szCs w:val="19"/>
          <w:rtl/>
        </w:rPr>
        <w:t xml:space="preserve"> (ראו פרק 5): אי אפשר להגיש תביעה לפני בקשה ליישוב סכסוך. אבל </w:t>
      </w:r>
      <w:r>
        <w:rPr>
          <w:rFonts w:ascii="Arial" w:hAnsi="Arial" w:cs="Arial" w:eastAsia="Arial"/>
          <w:color w:val="1F2430"/>
          <w:sz w:val="19"/>
          <w:szCs w:val="19"/>
          <w:highlight w:val="yellow"/>
          <w:rtl/>
        </w:rPr>
        <w:t>מי שהגיש ראשון את הבקשה ליישוב סכסוך מקבל זכות קדימה</w:t>
      </w:r>
      <w:r>
        <w:rPr>
          <w:rFonts w:ascii="Arial" w:hAnsi="Arial" w:cs="Arial" w:eastAsia="Arial"/>
          <w:color w:val="1F2430"/>
          <w:sz w:val="19"/>
          <w:szCs w:val="19"/>
          <w:rtl/>
        </w:rPr>
        <w:t>: בתום תקופת עיכוב ההליכים יש לו 15 ימים להגיש תביעות לכל ערכאה מוסמכת (סעיף 4 לחוק). רק בנושאים שלא הגיש בהם – רשאי הצד השני להגיש. המירוץ לא נעלם – הוא רק הוקדם.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הצעות שעלו: ועדה לבחינת המירוץ, הסכם בתחילת הדרך, נוסחה למזונות ילדים שתצמצם את פער התוצאות, וצמצום סעיף 3 (רוזן-צבי).</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הסכמה מראש:</w:t>
      </w:r>
      <w:r>
        <w:rPr>
          <w:rFonts w:ascii="Arial" w:hAnsi="Arial" w:cs="Arial" w:eastAsia="Arial"/>
          <w:color w:val="1F2430"/>
          <w:sz w:val="19"/>
          <w:szCs w:val="19"/>
          <w:rtl/>
        </w:rPr>
        <w:t xml:space="preserve"> לפי תשובת הפרופ', אפשר להסכים מראש בכתב שסכסוכי מעמד אישי יתנהלו בבית הדין, אבל </w:t>
      </w:r>
      <w:r>
        <w:rPr>
          <w:rFonts w:ascii="Arial" w:hAnsi="Arial" w:cs="Arial" w:eastAsia="Arial"/>
          <w:color w:val="1F2430"/>
          <w:sz w:val="19"/>
          <w:szCs w:val="19"/>
          <w:highlight w:val="yellow"/>
          <w:rtl/>
        </w:rPr>
        <w:t>אי אפשר לחסום אדם מללכת לבית המשפט</w:t>
      </w:r>
      <w:r>
        <w:rPr>
          <w:rFonts w:ascii="Arial" w:hAnsi="Arial" w:cs="Arial" w:eastAsia="Arial"/>
          <w:color w:val="1F2430"/>
          <w:sz w:val="19"/>
          <w:szCs w:val="19"/>
          <w:rtl/>
        </w:rPr>
        <w:t xml:space="preserve"> – הסכמה כזו רק מאפשרת לראשון ללכת לבית הדין, ולא מונעת מהשני להקדים ולפנות לבית המשפט.</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בבג״ץ 2862/14 פלונית צוין שכתב התביעה בבית הדין הוא טופס סטנדרטי מנגיש, ובעלי דין לא מיוצגים פונים לבית הדין פי 30 יותר מאשר לבית המשפט.</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שים לב – על הגירושין עצמם אין מירוץ</w:t>
            </w:r>
          </w:p>
          <w:p>
            <w:pPr>
              <w:bidi/>
              <w:spacing w:before="0" w:after="60" w:line="300" w:lineRule="auto"/>
              <w:jc w:val="both"/>
            </w:pPr>
            <w:r>
              <w:rPr>
                <w:rFonts w:ascii="Arial" w:hAnsi="Arial" w:cs="Arial" w:eastAsia="Arial"/>
                <w:color w:val="1F2430"/>
                <w:sz w:val="18"/>
                <w:szCs w:val="18"/>
                <w:rtl/>
              </w:rPr>
              <w:t>תביעת הגירושין תתנהל תמיד ורק בבית הדין הרבני, כך שאין טעם "למהר" להגיש אותה לשמה. ממהרים להגיש אותה רק כדי לכרוך. ויותר מזה – אישה שמצהירה "אני רוצה להתגרש" בלי הצדקה רצינית עלולה להפסיד כתובה, להיחשב מורדת ולהפסיד מזונות (תשובת הפרופ'). לכן אישה בדרך כלל תעדיף לפתוח תביעות בודדות בבית המשפט ולא תביעת גירושין.</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3.3 סעיף 4: תביעת מזונות אישה "בבודדת"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4</w:t>
            </w:r>
          </w:p>
          <w:p>
            <w:pPr>
              <w:bidi/>
              <w:spacing w:before="0" w:after="60" w:line="300" w:lineRule="auto"/>
              <w:jc w:val="both"/>
            </w:pPr>
            <w:r>
              <w:rPr>
                <w:rFonts w:ascii="Arial" w:hAnsi="Arial" w:cs="Arial" w:eastAsia="Arial"/>
                <w:color w:val="1F2430"/>
                <w:sz w:val="18"/>
                <w:szCs w:val="18"/>
                <w:rtl/>
              </w:rPr>
              <w:t>"הגישה אשה יהודיה לבית דין רבני תביעת מזונות, שלא אגב גירושין, נגד בעלה היהודי או נגד עזבונו, לא תישמע טענת הנתבע שאין לבית דין רבני שיפוט בענין."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המשמעות: אישה יהודייה יכולה לתבוע מזונות אישה בבית הדין הרבני </w:t>
      </w:r>
      <w:r>
        <w:rPr>
          <w:rFonts w:ascii="Arial" w:hAnsi="Arial" w:cs="Arial" w:eastAsia="Arial"/>
          <w:color w:val="1F2430"/>
          <w:sz w:val="19"/>
          <w:szCs w:val="19"/>
          <w:highlight w:val="yellow"/>
          <w:rtl/>
        </w:rPr>
        <w:t>בלי להגיש תביעת גירושין</w:t>
      </w:r>
      <w:r>
        <w:rPr>
          <w:rFonts w:ascii="Arial" w:hAnsi="Arial" w:cs="Arial" w:eastAsia="Arial"/>
          <w:color w:val="1F2430"/>
          <w:sz w:val="19"/>
          <w:szCs w:val="19"/>
          <w:rtl/>
        </w:rPr>
        <w:t>. אם הבעל יטען לחוסר סמכות – טענתו לא תישמע. דוגמה: אישה שלא רוצה כרגע להתגרש אבל רוצה מזונות מבעלה.</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ארבעה הבדלים בין סעיף 1 לסעיף 4</w:t>
      </w:r>
    </w:p>
    <w:tbl>
      <w:tblPr>
        <w:tblW w:type="dxa" w:w="10206"/>
        <w:jc w:val="center"/>
        <w:tblLook w:firstColumn="1" w:firstRow="1" w:lastColumn="0" w:lastRow="0" w:noHBand="0" w:noVBand="1" w:val="04A0"/>
        <w:bidiVisual/>
        <w:tblLayout w:type="fixed"/>
      </w:tblPr>
      <w:tblGrid>
        <w:gridCol w:w="1817"/>
        <w:gridCol w:w="2236"/>
        <w:gridCol w:w="6151"/>
      </w:tblGrid>
      <w:tr>
        <w:trPr>
          <w:tblHeader/>
        </w:trPr>
        <w:tc>
          <w:tcPr>
            <w:tcW w:type="dxa" w:w="1817"/>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2237"/>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1</w:t>
            </w:r>
          </w:p>
        </w:tc>
        <w:tc>
          <w:tcPr>
            <w:tcW w:type="dxa" w:w="6151"/>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4</w:t>
            </w:r>
          </w:p>
        </w:tc>
      </w:tr>
      <w:tr>
        <w:trPr>
          <w:cantSplit/>
        </w:trPr>
        <w:tc>
          <w:tcPr>
            <w:tcW w:type="dxa" w:w="181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אזרחות/תושבות</w:t>
            </w:r>
          </w:p>
        </w:tc>
        <w:tc>
          <w:tcPr>
            <w:tcW w:type="dxa" w:w="223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נדרשת</w:t>
            </w:r>
          </w:p>
        </w:tc>
        <w:tc>
          <w:tcPr>
            <w:tcW w:type="dxa" w:w="61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נדרשת</w:t>
            </w:r>
          </w:p>
        </w:tc>
      </w:tr>
      <w:tr>
        <w:trPr>
          <w:cantSplit/>
        </w:trPr>
        <w:tc>
          <w:tcPr>
            <w:tcW w:type="dxa" w:w="181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נוכחות בישראל</w:t>
            </w:r>
          </w:p>
        </w:tc>
        <w:tc>
          <w:tcPr>
            <w:tcW w:type="dxa" w:w="223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נדרשת ("בישראל")</w:t>
            </w:r>
          </w:p>
        </w:tc>
        <w:tc>
          <w:tcPr>
            <w:tcW w:type="dxa" w:w="61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לא נדרשת – האישה יכולה להיות בחו"ל</w:t>
            </w:r>
          </w:p>
        </w:tc>
      </w:tr>
      <w:tr>
        <w:trPr>
          <w:cantSplit/>
        </w:trPr>
        <w:tc>
          <w:tcPr>
            <w:tcW w:type="dxa" w:w="181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סוג הסמכות</w:t>
            </w:r>
          </w:p>
        </w:tc>
        <w:tc>
          <w:tcPr>
            <w:tcW w:type="dxa" w:w="223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w:t>
            </w:r>
          </w:p>
        </w:tc>
        <w:tc>
          <w:tcPr>
            <w:tcW w:type="dxa" w:w="61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 – האישה בוחרת בין בית הדין לבית המשפט</w:t>
            </w:r>
          </w:p>
        </w:tc>
      </w:tr>
      <w:tr>
        <w:trPr>
          <w:cantSplit/>
        </w:trPr>
        <w:tc>
          <w:tcPr>
            <w:tcW w:type="dxa" w:w="181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מי רשאי</w:t>
            </w:r>
          </w:p>
        </w:tc>
        <w:tc>
          <w:tcPr>
            <w:tcW w:type="dxa" w:w="223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כל צד</w:t>
            </w:r>
          </w:p>
        </w:tc>
        <w:tc>
          <w:tcPr>
            <w:tcW w:type="dxa" w:w="61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רק האישה</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הדרישה הפסיקתית: "זיקה מסוימת"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קנול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עלתה השאלה האם כל אישה יהודייה בעולם יכולה לתבוע בישראל מזונות מבעלה היהודי, אף שאין להם כל קשר לארץ.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 זילברג קבע שאין זה הגיוני לפתוח את השער לכל אישה יהודייה בעולם, ולכן נדרשת </w:t>
            </w:r>
            <w:r>
              <w:rPr>
                <w:rFonts w:ascii="Arial" w:hAnsi="Arial" w:cs="Arial" w:eastAsia="Arial"/>
                <w:color w:val="1F2430"/>
                <w:sz w:val="18"/>
                <w:szCs w:val="18"/>
                <w:highlight w:val="yellow"/>
                <w:rtl/>
              </w:rPr>
              <w:t>זיקה מסוימת</w:t>
            </w:r>
            <w:r>
              <w:rPr>
                <w:rFonts w:ascii="Arial" w:hAnsi="Arial" w:cs="Arial" w:eastAsia="Arial"/>
                <w:color w:val="1F2430"/>
                <w:sz w:val="18"/>
                <w:szCs w:val="18"/>
                <w:rtl/>
              </w:rPr>
              <w:t xml:space="preserve"> לישראל – לא זיקה ממשית וחזקה, אלא זיקה כלשהי. באותו מקרה הספיק שבני הזוג נישאו כדת משה וישראל.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בשאלה "האם מספיק ששני הצדדים יהודים?" – התשובה היא לא; נדרשת גם זיקה כלשהי (בעיקר של הנתבע) לישראל. הלכה זו חזרה גם בפסק דין גולדנברג.</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בבג״ץ סבג הוסיפה השופטת פרוקצ'יה </w:t>
      </w:r>
      <w:r>
        <w:rPr>
          <w:rFonts w:ascii="Arial" w:hAnsi="Arial" w:cs="Arial" w:eastAsia="Arial"/>
          <w:color w:val="1F2430"/>
          <w:sz w:val="19"/>
          <w:szCs w:val="19"/>
          <w:highlight w:val="yellow"/>
          <w:rtl/>
        </w:rPr>
        <w:t>אמרת אגב</w:t>
      </w:r>
      <w:r>
        <w:rPr>
          <w:rFonts w:ascii="Arial" w:hAnsi="Arial" w:cs="Arial" w:eastAsia="Arial"/>
          <w:color w:val="1F2430"/>
          <w:sz w:val="19"/>
          <w:szCs w:val="19"/>
          <w:rtl/>
        </w:rPr>
        <w:t xml:space="preserve"> שלפיה כל תנאי סעיף 1 (כולל אזרחות/תושבות) חלים גם על סעיף 4, כי המחוקק כתב אותם "ככותרת" לחוק כולו. זו אמרת אגב בלבד ולכן אינה מחייבת. באירוע מהתרגול הספיקו כזיקה: הבעל נישא בישראל, הוא אזרח, ילדיו ונכסיו בארץ והוא שלח כספים לארץ.</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סבג – ההבדל בין גירושין למזונות</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עורך הדין של האישה הגיש שתי תביעות לבית הדין הרבני – גירושין ומזונות אישה.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תביעת הגירושין נכשלה, כי לא התקיימו תנאי הסמכות לגירושין. אבל תביעת המזונות יכולה הייתה להתברר – כי סמכות לפי סעיף 4 עומדת בפני עצמה.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אישה יכולה לבחור איפה לתבוע מזונות גם בלי תביעת גירושין. גבר שרוצה להביא עניינים לבית הדין חייב, ככלל, לפתוח תביעת גירושין ולכרוך.</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למה רק האישה?</w:t>
      </w:r>
    </w:p>
    <w:p>
      <w:pPr>
        <w:bidi/>
        <w:spacing w:before="0" w:after="100" w:line="300" w:lineRule="auto"/>
        <w:jc w:val="both"/>
      </w:pPr>
      <w:r>
        <w:rPr>
          <w:rFonts w:ascii="Arial" w:hAnsi="Arial" w:cs="Arial" w:eastAsia="Arial"/>
          <w:color w:val="1F2430"/>
          <w:sz w:val="19"/>
          <w:szCs w:val="19"/>
          <w:rtl/>
        </w:rPr>
        <w:t xml:space="preserve">האישה נחשבת לצד החלש בהליך, והמחוקק רצה לאפשר לה סעד של מזונות בלי לחייב אותה "להתלכלך" בתביעת גירושין. </w:t>
      </w:r>
      <w:r>
        <w:rPr>
          <w:rFonts w:ascii="Arial" w:hAnsi="Arial" w:cs="Arial" w:eastAsia="Arial"/>
          <w:color w:val="1F2430"/>
          <w:sz w:val="19"/>
          <w:szCs w:val="19"/>
          <w:highlight w:val="yellow"/>
          <w:rtl/>
        </w:rPr>
        <w:t>הבעל יכול להביא את מזונות האישה לבית הדין רק בדרך של כריכה לתביעת גירושין</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שלוש דרכים להביא מזונות אישה לבית הדין הרבני</w:t>
      </w:r>
    </w:p>
    <w:tbl>
      <w:tblPr>
        <w:tblW w:type="dxa" w:w="10206"/>
        <w:jc w:val="center"/>
        <w:tblLook w:firstColumn="1" w:firstRow="1" w:lastColumn="0" w:lastRow="0" w:noHBand="0" w:noVBand="1" w:val="04A0"/>
        <w:bidiVisual/>
        <w:tblLayout w:type="fixed"/>
      </w:tblPr>
      <w:tblGrid>
        <w:gridCol w:w="3875"/>
        <w:gridCol w:w="1679"/>
        <w:gridCol w:w="4650"/>
      </w:tblGrid>
      <w:tr>
        <w:trPr>
          <w:tblHeader/>
        </w:trPr>
        <w:tc>
          <w:tcPr>
            <w:tcW w:type="dxa" w:w="3875"/>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דרך</w:t>
            </w:r>
          </w:p>
        </w:tc>
        <w:tc>
          <w:tcPr>
            <w:tcW w:type="dxa" w:w="1679"/>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w:t>
            </w:r>
          </w:p>
        </w:tc>
        <w:tc>
          <w:tcPr>
            <w:tcW w:type="dxa" w:w="4650"/>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הערות</w:t>
            </w:r>
          </w:p>
        </w:tc>
      </w:tr>
      <w:tr>
        <w:trPr>
          <w:cantSplit/>
        </w:trPr>
        <w:tc>
          <w:tcPr>
            <w:tcW w:type="dxa" w:w="3875"/>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4 – תביעה בבודדת</w:t>
            </w:r>
          </w:p>
        </w:tc>
        <w:tc>
          <w:tcPr>
            <w:tcW w:type="dxa" w:w="167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האישה</w:t>
            </w:r>
          </w:p>
        </w:tc>
        <w:tc>
          <w:tcPr>
            <w:tcW w:type="dxa" w:w="46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מקבילה; נדרשת זיקה מסוימת</w:t>
            </w:r>
          </w:p>
        </w:tc>
      </w:tr>
      <w:tr>
        <w:trPr>
          <w:cantSplit/>
        </w:trPr>
        <w:tc>
          <w:tcPr>
            <w:tcW w:type="dxa" w:w="3875"/>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סעיף 9 – הסכמה</w:t>
            </w:r>
          </w:p>
        </w:tc>
        <w:tc>
          <w:tcPr>
            <w:tcW w:type="dxa" w:w="167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שני הצדדים</w:t>
            </w:r>
          </w:p>
        </w:tc>
        <w:tc>
          <w:tcPr>
            <w:tcW w:type="dxa" w:w="46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ראו פרק 4</w:t>
            </w:r>
          </w:p>
        </w:tc>
      </w:tr>
      <w:tr>
        <w:trPr>
          <w:cantSplit/>
        </w:trPr>
        <w:tc>
          <w:tcPr>
            <w:tcW w:type="dxa" w:w="3875"/>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3 – כריכה מפורשת לגירושין</w:t>
            </w:r>
          </w:p>
        </w:tc>
        <w:tc>
          <w:tcPr>
            <w:tcW w:type="dxa" w:w="167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האישה או הבעל</w:t>
            </w:r>
          </w:p>
        </w:tc>
        <w:tc>
          <w:tcPr>
            <w:tcW w:type="dxa" w:w="46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כפוף למבחן המשולש ולכך שלא נתפס קודם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בבית המשפט – מכוח חוק בית המשפט לענייני משפחה (ראו פרק 5).</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הדין שיחול על מזונות אישה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סעיף 2(א) לחוק לתיקון דיני המשפחה (מזונות):</w:t>
      </w:r>
      <w:r>
        <w:rPr>
          <w:rFonts w:ascii="Arial" w:hAnsi="Arial" w:cs="Arial" w:eastAsia="Arial"/>
          <w:color w:val="1F2430"/>
          <w:sz w:val="19"/>
          <w:szCs w:val="19"/>
          <w:rtl/>
        </w:rPr>
        <w:t xml:space="preserve"> "אדם חייב במזונות בן זוגו על פי הוראות הדין האישי" – לכן בשתי הערכאות יחול </w:t>
      </w:r>
      <w:r>
        <w:rPr>
          <w:rFonts w:ascii="Arial" w:hAnsi="Arial" w:cs="Arial" w:eastAsia="Arial"/>
          <w:color w:val="1F2430"/>
          <w:sz w:val="19"/>
          <w:szCs w:val="19"/>
          <w:highlight w:val="yellow"/>
          <w:rtl/>
        </w:rPr>
        <w:t>דין אישי</w:t>
      </w:r>
      <w:r>
        <w:rPr>
          <w:rFonts w:ascii="Arial" w:hAnsi="Arial" w:cs="Arial" w:eastAsia="Arial"/>
          <w:color w:val="1F2430"/>
          <w:sz w:val="19"/>
          <w:szCs w:val="19"/>
          <w:rtl/>
        </w:rPr>
        <w:t>, גם בבית המשפט האזרחי. כאן לא חל הכלל "הדין הולך אחר הדיין".</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סעיף 2(ב):</w:t>
      </w:r>
      <w:r>
        <w:rPr>
          <w:rFonts w:ascii="Arial" w:hAnsi="Arial" w:cs="Arial" w:eastAsia="Arial"/>
          <w:color w:val="1F2430"/>
          <w:sz w:val="19"/>
          <w:szCs w:val="19"/>
          <w:rtl/>
        </w:rPr>
        <w:t xml:space="preserve"> כשאין דין אישי – חסרי דת, ידועים בציבור, זוגות חד-מיניים, זוגות מעורבים – יחול דין טריטוריאלי (אזרחי).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מזונות אישה אינם מזונות ילדים</w:t>
            </w:r>
          </w:p>
          <w:p>
            <w:pPr>
              <w:bidi/>
              <w:spacing w:before="0" w:after="60" w:line="300" w:lineRule="auto"/>
              <w:jc w:val="both"/>
            </w:pPr>
            <w:r>
              <w:rPr>
                <w:rFonts w:ascii="Arial" w:hAnsi="Arial" w:cs="Arial" w:eastAsia="Arial"/>
                <w:color w:val="1F2430"/>
                <w:sz w:val="18"/>
                <w:szCs w:val="18"/>
                <w:rtl/>
              </w:rPr>
              <w:t xml:space="preserve">מזונות אישה נובעים מהקשר הזוגי </w:t>
            </w:r>
            <w:r>
              <w:rPr>
                <w:rFonts w:ascii="Arial" w:hAnsi="Arial" w:cs="Arial" w:eastAsia="Arial"/>
                <w:color w:val="1F2430"/>
                <w:sz w:val="18"/>
                <w:szCs w:val="18"/>
                <w:highlight w:val="yellow"/>
                <w:rtl/>
              </w:rPr>
              <w:t>בזמן שהם נשואים</w:t>
            </w:r>
            <w:r>
              <w:rPr>
                <w:rFonts w:ascii="Arial" w:hAnsi="Arial" w:cs="Arial" w:eastAsia="Arial"/>
                <w:color w:val="1F2430"/>
                <w:sz w:val="18"/>
                <w:szCs w:val="18"/>
                <w:rtl/>
              </w:rPr>
              <w:t>; מזונות ילדים נובעים מחובת ההורים כלפי הילדים. ההפרדה נלמדת גם מפסק דין שרגאי. ככלל, אחרי הגירושין אין מזונות אישה. את הדין המהותי של מזונות אישה – ראו פרק 6.</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3.4 סעיף 3: הכריכה – היסודות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סעיף 3</w:t>
            </w:r>
          </w:p>
          <w:p>
            <w:pPr>
              <w:bidi/>
              <w:spacing w:before="0" w:after="60" w:line="300" w:lineRule="auto"/>
              <w:jc w:val="both"/>
            </w:pPr>
            <w:r>
              <w:rPr>
                <w:rFonts w:ascii="Arial" w:hAnsi="Arial" w:cs="Arial" w:eastAsia="Arial"/>
                <w:color w:val="1F2430"/>
                <w:sz w:val="18"/>
                <w:szCs w:val="18"/>
                <w:rtl/>
              </w:rPr>
              <w:t>"הוגשה לבית דין רבני תביעת גירושין בין יהודים, אם על ידי האשה ואם על ידי האיש, יהא לבית דין רבני שיפוט ייחודי בכל ענין הכרוך בתביעת הגירושין, לרבות מזונות לאשה ולילדי הזוג."</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הרציונל</w:t>
      </w:r>
    </w:p>
    <w:p>
      <w:pPr>
        <w:bidi/>
        <w:spacing w:before="0" w:after="100" w:line="300" w:lineRule="auto"/>
        <w:jc w:val="both"/>
      </w:pPr>
      <w:r>
        <w:rPr>
          <w:rFonts w:ascii="Arial" w:hAnsi="Arial" w:cs="Arial" w:eastAsia="Arial"/>
          <w:color w:val="1F2430"/>
          <w:sz w:val="19"/>
          <w:szCs w:val="19"/>
          <w:rtl/>
        </w:rPr>
        <w:t>לפי דברי הכנסת מ-1953, פיצול הדיון בין ערכאות "הורס משפחות"; המחוקק (ביוזמת מפלגה דתית) רצה הסדר אחד כולל בערכאה אחת, יעיל ומהיר, ולכן נתן לבית הדין סמכות רחבה – רחבה יותר ממה שנתן דבר המלך במועצתו. כפי שהסביר הפרופ': "אם אתה רוצה כבר להתגרש, בוא ניתן לך לנהל את הכל בבית הדין".</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האפקט: הכריכה "ממגנטת" נושאים</w:t>
      </w:r>
    </w:p>
    <w:p>
      <w:pPr>
        <w:bidi/>
        <w:spacing w:before="0" w:after="100" w:line="300" w:lineRule="auto"/>
        <w:jc w:val="both"/>
      </w:pPr>
      <w:r>
        <w:rPr>
          <w:rFonts w:ascii="Arial" w:hAnsi="Arial" w:cs="Arial" w:eastAsia="Arial"/>
          <w:color w:val="1F2430"/>
          <w:sz w:val="19"/>
          <w:szCs w:val="19"/>
          <w:rtl/>
        </w:rPr>
        <w:t>נושא שבדרך כלל נמצא בסמכות מקבילה הופך, בתיק הספציפי, ל</w:t>
      </w:r>
      <w:r>
        <w:rPr>
          <w:rFonts w:ascii="Arial" w:hAnsi="Arial" w:cs="Arial" w:eastAsia="Arial"/>
          <w:color w:val="1F2430"/>
          <w:sz w:val="19"/>
          <w:szCs w:val="19"/>
          <w:highlight w:val="yellow"/>
          <w:rtl/>
        </w:rPr>
        <w:t>סמכות ייחודית</w:t>
      </w:r>
      <w:r>
        <w:rPr>
          <w:rFonts w:ascii="Arial" w:hAnsi="Arial" w:cs="Arial" w:eastAsia="Arial"/>
          <w:color w:val="1F2430"/>
          <w:sz w:val="19"/>
          <w:szCs w:val="19"/>
          <w:rtl/>
        </w:rPr>
        <w:t xml:space="preserve"> של בית הדין. אפשר לכרוך גם ללא הסכמת הצד השני, ואף עניינים שאינם ענייני מעמד אישי (כמו רכוש).</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הכללים הבסיסיים</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1. </w:t>
      </w:r>
      <w:r>
        <w:tab/>
      </w:r>
      <w:r>
        <w:rPr>
          <w:rFonts w:ascii="Arial" w:hAnsi="Arial" w:cs="Arial" w:eastAsia="Arial"/>
          <w:b/>
          <w:bCs/>
          <w:color w:val="1F2430"/>
          <w:sz w:val="19"/>
          <w:szCs w:val="19"/>
          <w:rtl/>
        </w:rPr>
        <w:t>קודם סעיף 1, אחר כך סעיף 3.</w:t>
      </w:r>
      <w:r>
        <w:rPr>
          <w:rFonts w:ascii="Arial" w:hAnsi="Arial" w:cs="Arial" w:eastAsia="Arial"/>
          <w:color w:val="1F2430"/>
          <w:sz w:val="19"/>
          <w:szCs w:val="19"/>
          <w:rtl/>
        </w:rPr>
        <w:t xml:space="preserve"> כריכה היא סמכות משנית – היא נשענת על תביעת גירושין שבית הדין מוסמך לדון בה. </w:t>
      </w:r>
      <w:r>
        <w:rPr>
          <w:rFonts w:ascii="Arial" w:hAnsi="Arial" w:cs="Arial" w:eastAsia="Arial"/>
          <w:color w:val="1F2430"/>
          <w:sz w:val="19"/>
          <w:szCs w:val="19"/>
          <w:highlight w:val="yellow"/>
          <w:rtl/>
        </w:rPr>
        <w:t>אם אין סמכות לפי סעיף 1 – אין כריכה</w:t>
      </w:r>
      <w:r>
        <w:rPr>
          <w:rFonts w:ascii="Arial" w:hAnsi="Arial" w:cs="Arial" w:eastAsia="Arial"/>
          <w:color w:val="1F2430"/>
          <w:sz w:val="19"/>
          <w:szCs w:val="19"/>
          <w:rtl/>
        </w:rPr>
        <w:t>. לכן בודקים את ארבעת התנאים (ענייני נישואין וגירושין, יהודים, בישראל, אזרחים או תושבים) גם לגבי התובע וגם לגבי הנתבע. אם באמצע ההליך מתברר שאחד הצדדים אינו יהודי – גם הכריכות נופלות.</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2. </w:t>
      </w:r>
      <w:r>
        <w:tab/>
      </w:r>
      <w:r>
        <w:rPr>
          <w:rFonts w:ascii="Arial" w:hAnsi="Arial" w:cs="Arial" w:eastAsia="Arial"/>
          <w:b/>
          <w:bCs/>
          <w:color w:val="1F2430"/>
          <w:sz w:val="19"/>
          <w:szCs w:val="19"/>
          <w:rtl/>
        </w:rPr>
        <w:t>רק לתביעת גירושין.</w:t>
      </w:r>
      <w:r>
        <w:rPr>
          <w:rFonts w:ascii="Arial" w:hAnsi="Arial" w:cs="Arial" w:eastAsia="Arial"/>
          <w:color w:val="1F2430"/>
          <w:sz w:val="19"/>
          <w:szCs w:val="19"/>
          <w:rtl/>
        </w:rPr>
        <w:t xml:space="preserve"> אי אפשר לכרוך לתביעת שלום בית, כי צריך להראות שרוצים להתגרש (תשובת הפרופ'). בנוסף, תביעת הגירושין צריכה להישאר על כנה לאורך ההליך; בעל שעובר לתבוע שלום בית מפיל את הכריכות.</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3. </w:t>
      </w:r>
      <w:r>
        <w:tab/>
      </w:r>
      <w:r>
        <w:rPr>
          <w:rFonts w:ascii="Arial" w:hAnsi="Arial" w:cs="Arial" w:eastAsia="Arial"/>
          <w:b/>
          <w:bCs/>
          <w:color w:val="1F2430"/>
          <w:sz w:val="19"/>
          <w:szCs w:val="19"/>
          <w:rtl/>
        </w:rPr>
        <w:t>מי כורך?</w:t>
      </w:r>
      <w:r>
        <w:rPr>
          <w:rFonts w:ascii="Arial" w:hAnsi="Arial" w:cs="Arial" w:eastAsia="Arial"/>
          <w:color w:val="1F2430"/>
          <w:sz w:val="19"/>
          <w:szCs w:val="19"/>
          <w:rtl/>
        </w:rPr>
        <w:t xml:space="preserve"> גם הבעל וגם האישה, וגם </w:t>
      </w:r>
      <w:r>
        <w:rPr>
          <w:rFonts w:ascii="Arial" w:hAnsi="Arial" w:cs="Arial" w:eastAsia="Arial"/>
          <w:color w:val="1F2430"/>
          <w:sz w:val="19"/>
          <w:szCs w:val="19"/>
          <w:highlight w:val="yellow"/>
          <w:rtl/>
        </w:rPr>
        <w:t>הנתבע</w:t>
      </w:r>
      <w:r>
        <w:rPr>
          <w:rFonts w:ascii="Arial" w:hAnsi="Arial" w:cs="Arial" w:eastAsia="Arial"/>
          <w:color w:val="1F2430"/>
          <w:sz w:val="19"/>
          <w:szCs w:val="19"/>
          <w:rtl/>
        </w:rPr>
        <w:t xml:space="preserve"> (למשל: האישה תבעה גירושין והבעל כורך אליה רכוש).</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4. </w:t>
      </w:r>
      <w:r>
        <w:tab/>
      </w:r>
      <w:r>
        <w:rPr>
          <w:rFonts w:ascii="Arial" w:hAnsi="Arial" w:cs="Arial" w:eastAsia="Arial"/>
          <w:b/>
          <w:bCs/>
          <w:color w:val="1F2430"/>
          <w:sz w:val="19"/>
          <w:szCs w:val="19"/>
          <w:rtl/>
        </w:rPr>
        <w:t>מתי?</w:t>
      </w:r>
      <w:r>
        <w:rPr>
          <w:rFonts w:ascii="Arial" w:hAnsi="Arial" w:cs="Arial" w:eastAsia="Arial"/>
          <w:color w:val="1F2430"/>
          <w:sz w:val="19"/>
          <w:szCs w:val="19"/>
          <w:rtl/>
        </w:rPr>
        <w:t xml:space="preserve"> בכתב התביעה, או מאוחר יותר – גם בעל פה באמצע הדיון.</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5. </w:t>
      </w:r>
      <w:r>
        <w:tab/>
      </w:r>
      <w:r>
        <w:rPr>
          <w:rFonts w:ascii="Arial" w:hAnsi="Arial" w:cs="Arial" w:eastAsia="Arial"/>
          <w:b/>
          <w:bCs/>
          <w:color w:val="1F2430"/>
          <w:sz w:val="19"/>
          <w:szCs w:val="19"/>
          <w:rtl/>
        </w:rPr>
        <w:t>בתנאי שהנושא לא "נתפס" קודם.</w:t>
      </w:r>
      <w:r>
        <w:rPr>
          <w:rFonts w:ascii="Arial" w:hAnsi="Arial" w:cs="Arial" w:eastAsia="Arial"/>
          <w:color w:val="1F2430"/>
          <w:sz w:val="19"/>
          <w:szCs w:val="19"/>
          <w:rtl/>
        </w:rPr>
        <w:t xml:space="preserve"> אם בית המשפט לענייני משפחה כבר תפס את הנושא, אי אפשר לבוא לבית הדין ולכרוך אותו. למשל: אישה הגישה מזונות בבית המשפט – הבעל לא יכול אחר כך להגיש גירושין ולהעביר את המזונות בכריכה.</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6. </w:t>
      </w:r>
      <w:r>
        <w:tab/>
      </w:r>
      <w:r>
        <w:rPr>
          <w:rFonts w:ascii="Arial" w:hAnsi="Arial" w:cs="Arial" w:eastAsia="Arial"/>
          <w:b/>
          <w:bCs/>
          <w:color w:val="1F2430"/>
          <w:sz w:val="19"/>
          <w:szCs w:val="19"/>
          <w:rtl/>
        </w:rPr>
        <w:t>כריכה קיימת רק בבית הדין הרבני.</w:t>
      </w:r>
      <w:r>
        <w:rPr>
          <w:rFonts w:ascii="Arial" w:hAnsi="Arial" w:cs="Arial" w:eastAsia="Arial"/>
          <w:color w:val="1F2430"/>
          <w:sz w:val="19"/>
          <w:szCs w:val="19"/>
          <w:rtl/>
        </w:rPr>
        <w:t xml:space="preserve"> בבית המשפט לענייני משפחה מגישים כל תביעה בנפרד ("בבודדת"), אין כריכות ולכן גם אין מבחן משולש.</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מי שמגיש ראשון – תופס</w:t>
            </w:r>
          </w:p>
          <w:p>
            <w:pPr>
              <w:bidi/>
              <w:spacing w:before="0" w:after="60" w:line="300" w:lineRule="auto"/>
              <w:jc w:val="both"/>
            </w:pPr>
            <w:r>
              <w:rPr>
                <w:rFonts w:ascii="Arial" w:hAnsi="Arial" w:cs="Arial" w:eastAsia="Arial"/>
                <w:color w:val="1F2430"/>
                <w:sz w:val="18"/>
                <w:szCs w:val="18"/>
                <w:rtl/>
              </w:rPr>
              <w:t>הבעל מגיש תביעת גירושין לבית הדין הרבני וכורך מזונות אישה, מזונות ילדים ורכוש. שבוע לאחר מכן האישה מגישה תביעות לבית המשפט באותם נושאים. ככלל – בית הדין תפס ראשון, אלא אם האישה תצליח להפיל את הכריכה במבחן המשולש.</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שלוש קטגוריות של כריכה (פסק דין גולדמן)</w:t>
      </w:r>
    </w:p>
    <w:tbl>
      <w:tblPr>
        <w:tblW w:type="dxa" w:w="10206"/>
        <w:jc w:val="center"/>
        <w:tblLook w:firstColumn="1" w:firstRow="1" w:lastColumn="0" w:lastRow="0" w:noHBand="0" w:noVBand="1" w:val="04A0"/>
        <w:bidiVisual/>
        <w:tblLayout w:type="fixed"/>
      </w:tblPr>
      <w:tblGrid>
        <w:gridCol w:w="1490"/>
        <w:gridCol w:w="4013"/>
        <w:gridCol w:w="4701"/>
      </w:tblGrid>
      <w:tr>
        <w:trPr>
          <w:tblHeader/>
        </w:trPr>
        <w:tc>
          <w:tcPr>
            <w:tcW w:type="dxa" w:w="1491"/>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קטגוריה</w:t>
            </w:r>
          </w:p>
        </w:tc>
        <w:tc>
          <w:tcPr>
            <w:tcW w:type="dxa" w:w="4013"/>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זה</w:t>
            </w:r>
          </w:p>
        </w:tc>
        <w:tc>
          <w:tcPr>
            <w:tcW w:type="dxa" w:w="4701"/>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בודקים</w:t>
            </w:r>
          </w:p>
        </w:tc>
      </w:tr>
      <w:tr>
        <w:trPr>
          <w:cantSplit/>
        </w:trPr>
        <w:tc>
          <w:tcPr>
            <w:tcW w:type="dxa" w:w="14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כריכה מהותית</w:t>
            </w:r>
          </w:p>
        </w:tc>
        <w:tc>
          <w:tcPr>
            <w:tcW w:type="dxa" w:w="401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נושא שכרוך מעצם טיבו וטבעו בגירושין</w:t>
            </w:r>
          </w:p>
        </w:tc>
        <w:tc>
          <w:tcPr>
            <w:tcW w:type="dxa" w:w="470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קדימות כרונולוגית ושתביעת הגירושין כנה</w:t>
            </w:r>
          </w:p>
        </w:tc>
      </w:tr>
      <w:tr>
        <w:trPr>
          <w:cantSplit/>
        </w:trPr>
        <w:tc>
          <w:tcPr>
            <w:tcW w:type="dxa" w:w="14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כריכה דיונית</w:t>
            </w:r>
          </w:p>
        </w:tc>
        <w:tc>
          <w:tcPr>
            <w:tcW w:type="dxa" w:w="401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נושא שיש לכרוך במפורש</w:t>
            </w:r>
          </w:p>
        </w:tc>
        <w:tc>
          <w:tcPr>
            <w:tcW w:type="dxa" w:w="470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האם ניתן לכרוך + מבחן משולש מלא</w:t>
            </w:r>
          </w:p>
        </w:tc>
      </w:tr>
      <w:tr>
        <w:trPr>
          <w:cantSplit/>
        </w:trPr>
        <w:tc>
          <w:tcPr>
            <w:tcW w:type="dxa" w:w="149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לא ניתן לכרוך</w:t>
            </w:r>
          </w:p>
        </w:tc>
        <w:tc>
          <w:tcPr>
            <w:tcW w:type="dxa" w:w="4013"/>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נושא שאינו נכרך בכלל</w:t>
            </w:r>
          </w:p>
        </w:tc>
        <w:tc>
          <w:tcPr>
            <w:tcW w:type="dxa" w:w="470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3.5 ששת נושאי הכריכה</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1. החזקת ילדים (משמורת פיזית)</w:t>
      </w:r>
    </w:p>
    <w:p>
      <w:pPr>
        <w:bidi/>
        <w:spacing w:before="0" w:after="100" w:line="300" w:lineRule="auto"/>
        <w:jc w:val="both"/>
      </w:pPr>
      <w:r>
        <w:rPr>
          <w:rFonts w:ascii="Arial" w:hAnsi="Arial" w:cs="Arial" w:eastAsia="Arial"/>
          <w:color w:val="1F2430"/>
          <w:sz w:val="19"/>
          <w:szCs w:val="19"/>
          <w:rtl/>
        </w:rPr>
        <w:t xml:space="preserve">משמורת פיזית עונה על השאלה הפשוטה: </w:t>
      </w:r>
      <w:r>
        <w:rPr>
          <w:rFonts w:ascii="Arial" w:hAnsi="Arial" w:cs="Arial" w:eastAsia="Arial"/>
          <w:color w:val="1F2430"/>
          <w:sz w:val="19"/>
          <w:szCs w:val="19"/>
          <w:highlight w:val="yellow"/>
          <w:rtl/>
        </w:rPr>
        <w:t>איפה הילדים ישנים בלילה?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בד״מ 1/60 וינטר נ' בארי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נדונה השאלה האם החזקת ילדים צריכה להיכרך במפורש לתביעת הגירושין.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החזקת הילדים </w:t>
            </w:r>
            <w:r>
              <w:rPr>
                <w:rFonts w:ascii="Arial" w:hAnsi="Arial" w:cs="Arial" w:eastAsia="Arial"/>
                <w:color w:val="1F2430"/>
                <w:sz w:val="18"/>
                <w:szCs w:val="18"/>
                <w:highlight w:val="yellow"/>
                <w:rtl/>
              </w:rPr>
              <w:t>כרוכה מעצם טיבה וטבעה</w:t>
            </w:r>
            <w:r>
              <w:rPr>
                <w:rFonts w:ascii="Arial" w:hAnsi="Arial" w:cs="Arial" w:eastAsia="Arial"/>
                <w:color w:val="1F2430"/>
                <w:sz w:val="18"/>
                <w:szCs w:val="18"/>
                <w:rtl/>
              </w:rPr>
              <w:t xml:space="preserve"> בתביעת הגירושין. עצם הגשת תביעת הגירושין מביאה לכך שהנושא נכרך אוטומטית, גם אם לא נכתב דבר.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זה הנושא היחיד מבין הנושאים שנכרך אוטומטית. התנאי: תביעת הגירושין הוגשה ראשונה, לפני תביעת משמורת בבית המשפט.</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בבג״ץ רון הוסבר הטעם: מדובר ב</w:t>
      </w:r>
      <w:r>
        <w:rPr>
          <w:rFonts w:ascii="Arial" w:hAnsi="Arial" w:cs="Arial" w:eastAsia="Arial"/>
          <w:color w:val="1F2430"/>
          <w:sz w:val="19"/>
          <w:szCs w:val="19"/>
          <w:highlight w:val="yellow"/>
          <w:rtl/>
        </w:rPr>
        <w:t>נושא רגיש הדורש פתרון מיידי בצמוד לגירושי הצדדים</w:t>
      </w:r>
      <w:r>
        <w:rPr>
          <w:rFonts w:ascii="Arial" w:hAnsi="Arial" w:cs="Arial" w:eastAsia="Arial"/>
          <w:color w:val="1F2430"/>
          <w:sz w:val="19"/>
          <w:szCs w:val="19"/>
          <w:rtl/>
        </w:rPr>
        <w:t xml:space="preserve"> – אי אפשר להשאיר פתוחה את השאלה אצל מי יגורו הילדים.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אוטומטי – אבל לא בכל מחיר</w:t>
            </w:r>
          </w:p>
          <w:p>
            <w:pPr>
              <w:bidi/>
              <w:spacing w:before="0" w:after="60" w:line="300" w:lineRule="auto"/>
              <w:jc w:val="both"/>
            </w:pPr>
            <w:r>
              <w:rPr>
                <w:rFonts w:ascii="Arial" w:hAnsi="Arial" w:cs="Arial" w:eastAsia="Arial"/>
                <w:color w:val="1F2430"/>
                <w:sz w:val="18"/>
                <w:szCs w:val="18"/>
                <w:rtl/>
              </w:rPr>
              <w:t>אם תביעת משמורת כבר הוגשה קודם לבית המשפט לענייני משפחה, הנושא נתפס שם ולא "עובר" לבית הדין, גם אם אחר כך הוגשה תביעת גירושין. ובנוסף – גם בהחזקת ילדים בודקים שתביעת הגירושין עצמה כנה.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הדין שיחול: אזרחי – מכוח סעיף 79 לחוק הכשרות המשפטית והאפוטרופסות.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הכשרות המשפטית והאפוטרופסות, סעיף 79</w:t>
            </w:r>
          </w:p>
          <w:p>
            <w:pPr>
              <w:bidi/>
              <w:spacing w:before="0" w:after="60" w:line="300" w:lineRule="auto"/>
              <w:jc w:val="both"/>
            </w:pPr>
            <w:r>
              <w:rPr>
                <w:rFonts w:ascii="Arial" w:hAnsi="Arial" w:cs="Arial" w:eastAsia="Arial"/>
                <w:color w:val="1F2430"/>
                <w:sz w:val="18"/>
                <w:szCs w:val="18"/>
                <w:rtl/>
              </w:rPr>
              <w:t>"חוק זה אינו בא לפגוע בדיני נישואין וגירושין; הוא אינו בא להוסיף על סמכויות השיפוט של בתי-דין דתיים ולא לגרוע מהן; ומקום שבית דין דתי מוסמך על-פי דין לשפוט, יראו כל הוראה בחוק זה – פרט לסעיף 75 – שמדובר בה בבית משפט כאילו מדובר בה בבית דין דתי."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המשמעות: כשכתוב בחוק הכשרות "בית משפט" – הכוונה גם לבית הדין הדתי. החידוש: אפוטרופסות היא עדיין עניין של מעמד אישי (לעניין סמכות), אבל מבחינת הדין היא </w:t>
      </w:r>
      <w:r>
        <w:rPr>
          <w:rFonts w:ascii="Arial" w:hAnsi="Arial" w:cs="Arial" w:eastAsia="Arial"/>
          <w:color w:val="1F2430"/>
          <w:sz w:val="19"/>
          <w:szCs w:val="19"/>
          <w:highlight w:val="yellow"/>
          <w:rtl/>
        </w:rPr>
        <w:t>כפופה לדין האזרחי</w:t>
      </w:r>
      <w:r>
        <w:rPr>
          <w:rFonts w:ascii="Arial" w:hAnsi="Arial" w:cs="Arial" w:eastAsia="Arial"/>
          <w:color w:val="1F2430"/>
          <w:sz w:val="19"/>
          <w:szCs w:val="19"/>
          <w:rtl/>
        </w:rPr>
        <w:t>. לכן בית הדין הרבני שדן במשמורת כפוף לעקרונות חוק הכשרות (טובת הילד וכו', ראו פרק 10).</w:t>
      </w:r>
    </w:p>
    <w:p>
      <w:pPr>
        <w:bidi/>
        <w:spacing w:before="0" w:after="100" w:line="300" w:lineRule="auto"/>
        <w:jc w:val="both"/>
      </w:pPr>
      <w:r>
        <w:rPr>
          <w:rFonts w:ascii="Arial" w:hAnsi="Arial" w:cs="Arial" w:eastAsia="Arial"/>
          <w:color w:val="1F2430"/>
          <w:sz w:val="19"/>
          <w:szCs w:val="19"/>
          <w:rtl/>
        </w:rPr>
        <w:t>הערת אגב מהשיעור: בית הדין עשוי שלא לסדר גט כשבני הזוג מתכוונים להמשיך לגור יחד, מחשש לספק הלכתי של חזרה לנישואין.</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2. מזונות אישה</w:t>
      </w:r>
    </w:p>
    <w:p>
      <w:pPr>
        <w:bidi/>
        <w:spacing w:before="0" w:after="100" w:line="300" w:lineRule="auto"/>
        <w:jc w:val="both"/>
      </w:pPr>
      <w:r>
        <w:rPr>
          <w:rFonts w:ascii="Arial" w:hAnsi="Arial" w:cs="Arial" w:eastAsia="Arial"/>
          <w:color w:val="1F2430"/>
          <w:sz w:val="19"/>
          <w:szCs w:val="19"/>
          <w:rtl/>
        </w:rPr>
        <w:t xml:space="preserve">אפשר לכרוך – בהחלט, אבל </w:t>
      </w:r>
      <w:r>
        <w:rPr>
          <w:rFonts w:ascii="Arial" w:hAnsi="Arial" w:cs="Arial" w:eastAsia="Arial"/>
          <w:color w:val="1F2430"/>
          <w:sz w:val="19"/>
          <w:szCs w:val="19"/>
          <w:highlight w:val="yellow"/>
          <w:rtl/>
        </w:rPr>
        <w:t>במפורש</w:t>
      </w:r>
      <w:r>
        <w:rPr>
          <w:rFonts w:ascii="Arial" w:hAnsi="Arial" w:cs="Arial" w:eastAsia="Arial"/>
          <w:color w:val="1F2430"/>
          <w:sz w:val="19"/>
          <w:szCs w:val="19"/>
          <w:rtl/>
        </w:rPr>
        <w:t xml:space="preserve"> (כריכה דיונית, כפופה למבחן המשולש). מאחר שהאישה יכולה ממילא לתבוע לפי סעיף 4, </w:t>
      </w:r>
      <w:r>
        <w:rPr>
          <w:rFonts w:ascii="Arial" w:hAnsi="Arial" w:cs="Arial" w:eastAsia="Arial"/>
          <w:color w:val="1F2430"/>
          <w:sz w:val="19"/>
          <w:szCs w:val="19"/>
          <w:highlight w:val="yellow"/>
          <w:rtl/>
        </w:rPr>
        <w:t>בדרך כלל הבעל הוא זה שמעוניין לכרוך את מזונות האישה</w:t>
      </w:r>
      <w:r>
        <w:rPr>
          <w:rFonts w:ascii="Arial" w:hAnsi="Arial" w:cs="Arial" w:eastAsia="Arial"/>
          <w:color w:val="1F2430"/>
          <w:sz w:val="19"/>
          <w:szCs w:val="19"/>
          <w:rtl/>
        </w:rPr>
        <w:t xml:space="preserve"> – זו הדרך היחידה שלו להביא אותם לבית הדין. ושוב: אם הנושא כבר נתפס קודם בערכאה אחרת – אי אפשר לכרוך. </w:t>
      </w:r>
      <w:r>
        <w:rPr>
          <w:rFonts w:ascii="Arial" w:hAnsi="Arial" w:cs="Arial" w:eastAsia="Arial"/>
          <w:b/>
          <w:bCs/>
          <w:color w:val="1F2430"/>
          <w:sz w:val="19"/>
          <w:szCs w:val="19"/>
          <w:rtl/>
        </w:rPr>
        <w:t>הדין: אישי/דתי</w:t>
      </w:r>
      <w:r>
        <w:rPr>
          <w:rFonts w:ascii="Arial" w:hAnsi="Arial" w:cs="Arial" w:eastAsia="Arial"/>
          <w:color w:val="1F2430"/>
          <w:sz w:val="19"/>
          <w:szCs w:val="19"/>
          <w:rtl/>
        </w:rPr>
        <w:t xml:space="preserve"> (סעיף 2(א) לחוק המזונות).</w:t>
      </w:r>
    </w:p>
    <w:p>
      <w:pPr>
        <w:bidi/>
        <w:spacing w:before="0" w:after="100" w:line="300" w:lineRule="auto"/>
        <w:jc w:val="both"/>
      </w:pPr>
      <w:r>
        <w:rPr>
          <w:rFonts w:ascii="Arial" w:hAnsi="Arial" w:cs="Arial" w:eastAsia="Arial"/>
          <w:color w:val="1F2430"/>
          <w:sz w:val="19"/>
          <w:szCs w:val="19"/>
          <w:rtl/>
        </w:rPr>
        <w:t>מזונות אישה אינם יכולים להיות כריכה מהותית: גירושין עניינם סיום הנישואין, ומזונות אישה ניתנים כל עוד היא נשואה – אלה שתי תביעות שונות במהותן.</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3. מזונות ילדים – "המלחמה" והוראת השעה</w:t>
      </w:r>
    </w:p>
    <w:p>
      <w:pPr>
        <w:bidi/>
        <w:spacing w:before="0" w:after="100" w:line="300" w:lineRule="auto"/>
        <w:jc w:val="both"/>
      </w:pPr>
      <w:r>
        <w:rPr>
          <w:rFonts w:ascii="Arial" w:hAnsi="Arial" w:cs="Arial" w:eastAsia="Arial"/>
          <w:color w:val="1F2430"/>
          <w:sz w:val="19"/>
          <w:szCs w:val="19"/>
          <w:rtl/>
        </w:rPr>
        <w:t>כאן התנהלה במשך שנים מלחמה בין בית המשפט העליון לבתי הדין הרבניים. בתי המשפט ראו שבתי הדין פוסקים מזונות ילדים נמוכים יותר, והייתה מגמה להוציא את הנושא מבית הדין.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פסק דין שרגאי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נדרשה פרשנות המילים "לרבות מזונות... לילדי הזוג" בסעיף 3.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המשפט העליון הבחין בין שני סוגים: (א) </w:t>
            </w:r>
            <w:r>
              <w:rPr>
                <w:rFonts w:ascii="Arial" w:hAnsi="Arial" w:cs="Arial" w:eastAsia="Arial"/>
                <w:color w:val="1F2430"/>
                <w:sz w:val="18"/>
                <w:szCs w:val="18"/>
                <w:highlight w:val="yellow"/>
                <w:rtl/>
              </w:rPr>
              <w:t>מזונות מסוג השבה</w:t>
            </w:r>
            <w:r>
              <w:rPr>
                <w:rFonts w:ascii="Arial" w:hAnsi="Arial" w:cs="Arial" w:eastAsia="Arial"/>
                <w:color w:val="1F2430"/>
                <w:sz w:val="18"/>
                <w:szCs w:val="18"/>
                <w:rtl/>
              </w:rPr>
              <w:t xml:space="preserve"> – החזר כספים שהורה (בדרך כלל האם) הוציא על הילדים בעבר, למשל כשהבעל עזב ולא השתתף בהוצאות. לזה התכוון המחוקק, ואת זה אפשר לכרוך. (ב) </w:t>
            </w:r>
            <w:r>
              <w:rPr>
                <w:rFonts w:ascii="Arial" w:hAnsi="Arial" w:cs="Arial" w:eastAsia="Arial"/>
                <w:color w:val="1F2430"/>
                <w:sz w:val="18"/>
                <w:szCs w:val="18"/>
                <w:highlight w:val="yellow"/>
                <w:rtl/>
              </w:rPr>
              <w:t>מזונות ילדים לעתיד</w:t>
            </w:r>
            <w:r>
              <w:rPr>
                <w:rFonts w:ascii="Arial" w:hAnsi="Arial" w:cs="Arial" w:eastAsia="Arial"/>
                <w:color w:val="1F2430"/>
                <w:sz w:val="18"/>
                <w:szCs w:val="18"/>
                <w:rtl/>
              </w:rPr>
              <w:t xml:space="preserve"> – כמה ישולם מכאן והלאה. זו זכות עצמאית של הילד, שלא "נבלעת" בתביעת הגירושין של ההורים, ולכן אי אפשר לכרוך אותה.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לפי שרגאי, גם בעל שהקדים והגיש גירושין יכול היה לתבוע בבית הדין רק את ההשבה; מזונות לעתיד הגיעו לבית הדין רק בהסכמה לפי סעיף 9. ההלכה אושרה שוב בבע״מ 7628/17 (במקראה מוזכר בהקשר זה גם בג״ץ 5933/14).</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המאבק של בתי הדין:</w:t>
      </w:r>
      <w:r>
        <w:rPr>
          <w:rFonts w:ascii="Arial" w:hAnsi="Arial" w:cs="Arial" w:eastAsia="Arial"/>
          <w:color w:val="1F2430"/>
          <w:sz w:val="19"/>
          <w:szCs w:val="19"/>
          <w:rtl/>
        </w:rPr>
        <w:t xml:space="preserve"> בתי הדין הרבניים לא קיבלו את הלכת שרגאי והמשיכו לקבל כריכות של מזונות ילדים לעתיד. ההצדקה שלהם: שרגאי ניתן בערעור אזרחי ולא בבג״ץ נגד בית הדין; לפי סעיף 20 לחוק יסוד: השפיטה הלכה של העליון מחייבת את "בתי המשפט" שמתחתיו – ובית הדין אינו בית משפט. "איתי אפשר לדבר רק בבג״ץ".</w:t>
      </w:r>
    </w:p>
    <w:p>
      <w:pPr>
        <w:bidi/>
        <w:spacing w:before="0" w:after="100" w:line="300" w:lineRule="auto"/>
        <w:jc w:val="both"/>
      </w:pPr>
      <w:r>
        <w:rPr>
          <w:rFonts w:ascii="Arial" w:hAnsi="Arial" w:cs="Arial" w:eastAsia="Arial"/>
          <w:b/>
          <w:bCs/>
          <w:color w:val="1F2430"/>
          <w:sz w:val="19"/>
          <w:szCs w:val="19"/>
          <w:rtl/>
        </w:rPr>
        <w:t>ההיפוך שאחרי בע״מ 919/15:</w:t>
      </w:r>
      <w:r>
        <w:rPr>
          <w:rFonts w:ascii="Arial" w:hAnsi="Arial" w:cs="Arial" w:eastAsia="Arial"/>
          <w:color w:val="1F2430"/>
          <w:sz w:val="19"/>
          <w:szCs w:val="19"/>
          <w:rtl/>
        </w:rPr>
        <w:t xml:space="preserve"> בית המשפט העליון פירש את חובת המזונות מגיל 6 ומעלה כך שגם האם נושאת בהם יחד עם האב (ראו פרק 10). בתי הדין התנגדו – לשיטתם החובה מוטלת על האב בלבד. התוצאה: לראשונה, נשים העדיפו לרוץ לבית הדין הרבני. ארבעה גברים עתרו לבג״ץ (בשיעור צוין ההליך 5988/21), ובג״ץ "דיבר ישירות" לבתי הדין: </w:t>
      </w:r>
      <w:r>
        <w:rPr>
          <w:rFonts w:ascii="Arial" w:hAnsi="Arial" w:cs="Arial" w:eastAsia="Arial"/>
          <w:color w:val="1F2430"/>
          <w:sz w:val="19"/>
          <w:szCs w:val="19"/>
          <w:highlight w:val="yellow"/>
          <w:rtl/>
        </w:rPr>
        <w:t>בית הדין חורג מסמכותו, והלכת שרגאי מחייבת גם אותו</w:t>
      </w:r>
      <w:r>
        <w:rPr>
          <w:rFonts w:ascii="Arial" w:hAnsi="Arial" w:cs="Arial" w:eastAsia="Arial"/>
          <w:color w:val="1F2430"/>
          <w:sz w:val="19"/>
          <w:szCs w:val="19"/>
          <w:rtl/>
        </w:rPr>
        <w:t>. כלומר, גם אז עדיין אי אפשר היה לכרוך מזונות לעתיד.</w:t>
      </w:r>
    </w:p>
    <w:p>
      <w:pPr>
        <w:bidi/>
        <w:spacing w:before="0" w:after="100" w:line="300" w:lineRule="auto"/>
        <w:jc w:val="both"/>
      </w:pPr>
      <w:r>
        <w:rPr>
          <w:rFonts w:ascii="Arial" w:hAnsi="Arial" w:cs="Arial" w:eastAsia="Arial"/>
          <w:b/>
          <w:bCs/>
          <w:color w:val="1F2430"/>
          <w:sz w:val="19"/>
          <w:szCs w:val="19"/>
          <w:rtl/>
        </w:rPr>
        <w:t>התערבות המחוקק – הוראת שעה:</w:t>
      </w:r>
      <w:r>
        <w:rPr>
          <w:rFonts w:ascii="Arial" w:hAnsi="Arial" w:cs="Arial" w:eastAsia="Arial"/>
          <w:color w:val="1F2430"/>
          <w:sz w:val="19"/>
          <w:szCs w:val="19"/>
          <w:rtl/>
        </w:rPr>
        <w:t xml:space="preserve"> חברי הכנסת הדתיים קידמו תיקון חקיקה בדרך של הוראת שעה לשנתיים (התיקון אינו מופיע בספר החקיקה של הקורס; באחד הסיכומים צוין שנעשה בדצמבר 2025). המחוקק פירש בו את המונח "מזונות ילדים" באופן רחב: </w:t>
      </w:r>
      <w:r>
        <w:rPr>
          <w:rFonts w:ascii="Arial" w:hAnsi="Arial" w:cs="Arial" w:eastAsia="Arial"/>
          <w:color w:val="1F2430"/>
          <w:sz w:val="19"/>
          <w:szCs w:val="19"/>
          <w:highlight w:val="yellow"/>
          <w:rtl/>
        </w:rPr>
        <w:t>לעבר, השבה, לעתיד – וגם הוצאות רפואה</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המצב היום – לפי מה שנלמד בקורס</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אפשר לכרוך את </w:t>
            </w:r>
            <w:r>
              <w:rPr>
                <w:rFonts w:ascii="Arial" w:hAnsi="Arial" w:cs="Arial" w:eastAsia="Arial"/>
                <w:color w:val="1F2430"/>
                <w:sz w:val="18"/>
                <w:szCs w:val="18"/>
                <w:highlight w:val="yellow"/>
                <w:rtl/>
              </w:rPr>
              <w:t>כל סוגי מזונות הילדים</w:t>
            </w:r>
            <w:r>
              <w:rPr>
                <w:rFonts w:ascii="Arial" w:hAnsi="Arial" w:cs="Arial" w:eastAsia="Arial"/>
                <w:color w:val="1F2430"/>
                <w:sz w:val="18"/>
                <w:szCs w:val="18"/>
                <w:rtl/>
              </w:rPr>
              <w:t>; אין עוד הבחנה בין השבה לעתיד לצורך הכריכה.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הכריכה כפופה לכלל ה"תפיסה" (לא הוגשה קודם תביעה בבית המשפט) ולמבחן המשולש.</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יש בחירה בין הערכאות; הדין – אישי/דתי.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סיכומים ישנים יותר (2023) ושאלות ישנות מציגים את הלכת שרגאי כמצב המחייב – במבחן יש לענות לפי המצב העדכני שנלמד, ואפשר לציין את ההיסטוריה.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הדין על מזונות ילדים – סעיף 3 לחוק המזונות: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סעיף 3(א) ו-3(ב)</w:t>
            </w:r>
          </w:p>
          <w:p>
            <w:pPr>
              <w:bidi/>
              <w:spacing w:before="0" w:after="60" w:line="300" w:lineRule="auto"/>
              <w:jc w:val="both"/>
            </w:pPr>
            <w:r>
              <w:rPr>
                <w:rFonts w:ascii="Arial" w:hAnsi="Arial" w:cs="Arial" w:eastAsia="Arial"/>
                <w:color w:val="1F2430"/>
                <w:sz w:val="18"/>
                <w:szCs w:val="18"/>
                <w:rtl/>
              </w:rPr>
              <w:t>(א) "אדם חייב במזונות הילדים הקטינים שלו והילדים הקטינים של בן זוגו לפי הוראות הדין האישי החל עליו, והוראות חוק זה לא יחולו על מזונות אלה." (ב) "אדם שאינו חייב במזונות הילדים הקטינים שלו והילדים הקטינים של בן זוגו לפי הוראות הדין האישי החל עליו, או שלא חל עליו דין אישי, חייב במזונותיהם, והוראות חוק זה יחולו על מזונות אלה."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מי שיש לו דין אישי – הדין האישי חל עליו, גם אם נישא בנישואין אזרחיים. צורת הנישואין לא קובעת אם יש לאדם דין אישי, וגם לא קובעת לבדה איפה יתנהל התיק. אצל ידועים בציבור יהודים: אין דין אישי ביניהם לעניין מזונות בני זוג, אבל במזונות ילדים – יחול דין אישי.</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4. חינוך ילדים (משמורת "רוחנית")</w:t>
      </w:r>
    </w:p>
    <w:p>
      <w:pPr>
        <w:bidi/>
        <w:spacing w:before="0" w:after="100" w:line="300" w:lineRule="auto"/>
        <w:jc w:val="both"/>
      </w:pPr>
      <w:r>
        <w:rPr>
          <w:rFonts w:ascii="Arial" w:hAnsi="Arial" w:cs="Arial" w:eastAsia="Arial"/>
          <w:color w:val="1F2430"/>
          <w:sz w:val="19"/>
          <w:szCs w:val="19"/>
          <w:rtl/>
        </w:rPr>
        <w:t>משמורת = איפה ישנים; חינוך = איפה לומדים (באיזה זרם ומסגרת).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5507/95 אמיר</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האישה רצתה שהילד ילמד במסגרת דתית והגישה תביעת משמורת לבית המשפט האזרחי. הבעל, כדי "לקחת חלק מהתיק", הגיש תביעת גירושין לבית הדין הרבני וכרך אליה את נושא החינוך (וביקש שהילד ילמד בחב"ד). בית הדין טען: "את הגשת משמורת, אני לקחתי רק את החינוך".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בתי המשפט האזרחיים הם "הלב הראשי" של המערכת והסביבה הטבעית של התיקים. לכן </w:t>
            </w:r>
            <w:r>
              <w:rPr>
                <w:rFonts w:ascii="Arial" w:hAnsi="Arial" w:cs="Arial" w:eastAsia="Arial"/>
                <w:color w:val="1F2430"/>
                <w:sz w:val="18"/>
                <w:szCs w:val="18"/>
                <w:highlight w:val="yellow"/>
                <w:rtl/>
              </w:rPr>
              <w:t>תביעת משמורת בבית המשפט האזרחי כוללת מכללא גם את החינוך</w:t>
            </w:r>
            <w:r>
              <w:rPr>
                <w:rFonts w:ascii="Arial" w:hAnsi="Arial" w:cs="Arial" w:eastAsia="Arial"/>
                <w:color w:val="1F2430"/>
                <w:sz w:val="18"/>
                <w:szCs w:val="18"/>
                <w:rtl/>
              </w:rPr>
              <w:t xml:space="preserve">, גם בלי לומר דבר. אבל זה לא עובד הפוך: תביעת גירושין (שגוררת משמורת) בבית הדין </w:t>
            </w:r>
            <w:r>
              <w:rPr>
                <w:rFonts w:ascii="Arial" w:hAnsi="Arial" w:cs="Arial" w:eastAsia="Arial"/>
                <w:color w:val="1F2430"/>
                <w:sz w:val="18"/>
                <w:szCs w:val="18"/>
                <w:highlight w:val="yellow"/>
                <w:rtl/>
              </w:rPr>
              <w:t>אינה</w:t>
            </w:r>
            <w:r>
              <w:rPr>
                <w:rFonts w:ascii="Arial" w:hAnsi="Arial" w:cs="Arial" w:eastAsia="Arial"/>
                <w:color w:val="1F2430"/>
                <w:sz w:val="18"/>
                <w:szCs w:val="18"/>
                <w:rtl/>
              </w:rPr>
              <w:t xml:space="preserve"> כוללת את החינוך – את החינוך צריך לכרוך במפורש, ולהגיע ראשון.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אסימטריה קלאסית למבחן. אם נפתחה קודם משמורת באזרחי – גם החינוך נתפס שם. רוצים חינוך בבית הדין? כריכה מפורשת, לפני שהנושא נתפס.</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הדין: אזרחי/טריטוריאלי – סעיף 79 לחוק הכשרות.</w:t>
      </w:r>
      <w:r>
        <w:rPr>
          <w:rFonts w:ascii="Arial" w:hAnsi="Arial" w:cs="Arial" w:eastAsia="Arial"/>
          <w:color w:val="1F2430"/>
          <w:sz w:val="19"/>
          <w:szCs w:val="19"/>
          <w:rtl/>
        </w:rPr>
        <w:t xml:space="preserve"> הערה: לפי תשובת הפרופ', אפוטרופסות כוללת חינוך, ולכן אפשר להביא סכסוך חינוך לבית הדין גם בתביעה בודדת מכוח הסכמה לפי סעיף 9 (ראו פרק 4).</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5. חלוקת רכוש</w:t>
      </w:r>
    </w:p>
    <w:p>
      <w:pPr>
        <w:bidi/>
        <w:spacing w:before="0" w:after="100" w:line="300" w:lineRule="auto"/>
        <w:jc w:val="both"/>
      </w:pPr>
      <w:r>
        <w:rPr>
          <w:rFonts w:ascii="Arial" w:hAnsi="Arial" w:cs="Arial" w:eastAsia="Arial"/>
          <w:color w:val="1F2430"/>
          <w:sz w:val="19"/>
          <w:szCs w:val="19"/>
          <w:rtl/>
        </w:rPr>
        <w:t xml:space="preserve">אפשר לכרוך – במפורש, בכפוף למבחן המשולש ולכך שהנושא לא נתפס קודם באזרחי (בסיכומי התרגול מוזכר לכך פסק דין נופר בר). זה </w:t>
      </w:r>
      <w:r>
        <w:rPr>
          <w:rFonts w:ascii="Arial" w:hAnsi="Arial" w:cs="Arial" w:eastAsia="Arial"/>
          <w:color w:val="1F2430"/>
          <w:sz w:val="19"/>
          <w:szCs w:val="19"/>
          <w:highlight w:val="yellow"/>
          <w:rtl/>
        </w:rPr>
        <w:t>חידוש</w:t>
      </w:r>
      <w:r>
        <w:rPr>
          <w:rFonts w:ascii="Arial" w:hAnsi="Arial" w:cs="Arial" w:eastAsia="Arial"/>
          <w:color w:val="1F2430"/>
          <w:sz w:val="19"/>
          <w:szCs w:val="19"/>
          <w:rtl/>
        </w:rPr>
        <w:t>, כי רכוש אינו חלק מהנישואין עצמם. "מי שיתפוס ראשון – יתפוס וירוויח".</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הדין: אזרחי/טריטוריאלי</w:t>
      </w:r>
      <w:r>
        <w:rPr>
          <w:rFonts w:ascii="Arial" w:hAnsi="Arial" w:cs="Arial" w:eastAsia="Arial"/>
          <w:color w:val="1F2430"/>
          <w:sz w:val="19"/>
          <w:szCs w:val="19"/>
          <w:rtl/>
        </w:rPr>
        <w:t xml:space="preserve"> – כי הרכוש אינו חלק מהנישואין. בבג״ץ בבלי נקבע שבית הדין חייב להחיל את הלכת השיתוף (סעיף 1 לחוק שיווי זכויות האישה); כיום חל גם חוק יחסי ממון (ראו פרקים 11–12).</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חריג:</w:t>
      </w:r>
      <w:r>
        <w:rPr>
          <w:rFonts w:ascii="Arial" w:hAnsi="Arial" w:cs="Arial" w:eastAsia="Arial"/>
          <w:color w:val="1F2430"/>
          <w:sz w:val="19"/>
          <w:szCs w:val="19"/>
          <w:rtl/>
        </w:rPr>
        <w:t xml:space="preserve"> לפי סעיף 13(ב) לחוק יחסי ממון, אם הצדדים מסכימים במפורש שיחול דין דתי – יחול דין דתי. ההסכמה היא על </w:t>
      </w:r>
      <w:r>
        <w:rPr>
          <w:rFonts w:ascii="Arial" w:hAnsi="Arial" w:cs="Arial" w:eastAsia="Arial"/>
          <w:color w:val="1F2430"/>
          <w:sz w:val="19"/>
          <w:szCs w:val="19"/>
          <w:highlight w:val="yellow"/>
          <w:rtl/>
        </w:rPr>
        <w:t>הדין</w:t>
      </w:r>
      <w:r>
        <w:rPr>
          <w:rFonts w:ascii="Arial" w:hAnsi="Arial" w:cs="Arial" w:eastAsia="Arial"/>
          <w:color w:val="1F2430"/>
          <w:sz w:val="19"/>
          <w:szCs w:val="19"/>
          <w:rtl/>
        </w:rPr>
        <w:t>, לא על הסמכות.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כתובה</w:t>
      </w:r>
      <w:r>
        <w:rPr>
          <w:rFonts w:ascii="Arial" w:hAnsi="Arial" w:cs="Arial" w:eastAsia="Arial"/>
          <w:color w:val="1F2430"/>
          <w:sz w:val="19"/>
          <w:szCs w:val="19"/>
          <w:rtl/>
        </w:rPr>
        <w:t xml:space="preserve"> – בסמכות ייחודית של בית הדין לפי סעיף 1, ולכן </w:t>
      </w:r>
      <w:r>
        <w:rPr>
          <w:rFonts w:ascii="Arial" w:hAnsi="Arial" w:cs="Arial" w:eastAsia="Arial"/>
          <w:color w:val="1F2430"/>
          <w:sz w:val="19"/>
          <w:szCs w:val="19"/>
          <w:highlight w:val="yellow"/>
          <w:rtl/>
        </w:rPr>
        <w:t>אין צורך לכרוך אותה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רכוש לא ניתן להביא בהסכמה לפי סעיף 9</w:t>
      </w:r>
      <w:r>
        <w:rPr>
          <w:rFonts w:ascii="Arial" w:hAnsi="Arial" w:cs="Arial" w:eastAsia="Arial"/>
          <w:color w:val="1F2430"/>
          <w:sz w:val="19"/>
          <w:szCs w:val="19"/>
          <w:rtl/>
        </w:rPr>
        <w:t xml:space="preserve"> (סימה אמיר, ראו פרק 4), כי אינו עניין של מעמד אישי. הדרך להביא רכוש לבית הדין היא כריכה. ולמה כריכה כן והסכמה לא? הפרופ' הסביר: בסעיף 3 נתן המחוקק סמכות רחבה במיוחד למי שכבר מתגרש, ואילו סעיף 9 עוסק בתביעות בודדות.</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6. ברית מילה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8533/13 (ברית המילה)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אישה בהיריון, בני הזוג הסתכסכו, והאם סירבה למסור את התינוק לברית מילה. האב כרך את נושא ברית המילה לתביעת הגירושין. בית הדין דחה את טענת חוסר הסמכות ואף קבע שאם לא תמסור את הילד לברית – תחויב בקנס של 500 ש"ח לכל יום. ארגון נשים עתר לבג״ץ, שדן בהרכב של 7 שופטים.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דעת הרוב (6 שופטים): </w:t>
            </w:r>
            <w:r>
              <w:rPr>
                <w:rFonts w:ascii="Arial" w:hAnsi="Arial" w:cs="Arial" w:eastAsia="Arial"/>
                <w:color w:val="1F2430"/>
                <w:sz w:val="18"/>
                <w:szCs w:val="18"/>
                <w:highlight w:val="yellow"/>
                <w:rtl/>
              </w:rPr>
              <w:t>אי אפשר לכרוך ברית מילה</w:t>
            </w:r>
            <w:r>
              <w:rPr>
                <w:rFonts w:ascii="Arial" w:hAnsi="Arial" w:cs="Arial" w:eastAsia="Arial"/>
                <w:color w:val="1F2430"/>
                <w:sz w:val="18"/>
                <w:szCs w:val="18"/>
                <w:rtl/>
              </w:rPr>
              <w:t xml:space="preserve"> לתביעת גירושין – זו סוגיה בפני עצמה. דעת מיעוט: השופט רובינשטיין – ניתן לכרוך.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ברית מילה לא נכרכת; רק בית המשפט האזרחי מוסמך לדון בה; הדין – אזרחי.</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ועוד נושא: אבהות</w:t>
      </w:r>
    </w:p>
    <w:p>
      <w:pPr>
        <w:bidi/>
        <w:spacing w:before="0" w:after="100" w:line="300" w:lineRule="auto"/>
        <w:jc w:val="both"/>
      </w:pPr>
      <w:r>
        <w:rPr>
          <w:rFonts w:ascii="Arial" w:hAnsi="Arial" w:cs="Arial" w:eastAsia="Arial"/>
          <w:color w:val="1F2430"/>
          <w:sz w:val="19"/>
          <w:szCs w:val="19"/>
          <w:rtl/>
        </w:rPr>
        <w:t>לפי טבלת הסיכום של המרצה, גם אבהות נמצאת בסמכות מקבילה וניתן להביאה לבית הדין רק בכריכה מפורשת. הדין – אזרחי, כי אבהות אינה מענייני המעמד האישי (ע"א 201/82).</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טבלת סיכום – נושאי הכריכה</w:t>
      </w:r>
    </w:p>
    <w:tbl>
      <w:tblPr>
        <w:tblW w:type="dxa" w:w="10206"/>
        <w:jc w:val="center"/>
        <w:tblLook w:firstColumn="1" w:firstRow="1" w:lastColumn="0" w:lastRow="0" w:noHBand="0" w:noVBand="1" w:val="04A0"/>
        <w:bidiVisual/>
        <w:tblLayout w:type="fixed"/>
      </w:tblPr>
      <w:tblGrid>
        <w:gridCol w:w="1286"/>
        <w:gridCol w:w="2397"/>
        <w:gridCol w:w="3932"/>
        <w:gridCol w:w="2589"/>
      </w:tblGrid>
      <w:tr>
        <w:trPr>
          <w:tblHeader/>
        </w:trPr>
        <w:tc>
          <w:tcPr>
            <w:tcW w:type="dxa" w:w="1287"/>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2397"/>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ניתן לכרוך?</w:t>
            </w:r>
          </w:p>
        </w:tc>
        <w:tc>
          <w:tcPr>
            <w:tcW w:type="dxa" w:w="3932"/>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אופן ותנאים</w:t>
            </w:r>
          </w:p>
        </w:tc>
        <w:tc>
          <w:tcPr>
            <w:tcW w:type="dxa" w:w="2589"/>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החזקת ילדים</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 אוטומטית</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אלא אם קדמה תביעה באזרחי; רק תביעה כנה</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 – סעיף 79</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מזונות אישה</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כן</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מפורש; מבחן משולש; לא נתפס</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אישי – סעיף 2 לחוק המזונות</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כל הסוגים (הוראת שעה)</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מפורש; מבחן משולש; לא נתפס</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אישי – סעיף 3 לחוק המזונות</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חינוך</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כן</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מפורש; משמורת קודמת באזרחי תופסת גם חינוך</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אזרחי – סעיף 79</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רכוש</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(כתובה – אין צורך)</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מפורש; מבחן משולש; לא נתפס</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 בהסכמה – דתי (13(ב))</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ברית מילה</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לא</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רק בית המשפט האזרחי</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אזרחי</w:t>
            </w:r>
          </w:p>
        </w:tc>
      </w:tr>
      <w:tr>
        <w:trPr>
          <w:cantSplit/>
        </w:trPr>
        <w:tc>
          <w:tcPr>
            <w:tcW w:type="dxa" w:w="128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אבהות</w:t>
            </w:r>
          </w:p>
        </w:tc>
        <w:tc>
          <w:tcPr>
            <w:tcW w:type="dxa" w:w="239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3932"/>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מפורש</w:t>
            </w:r>
          </w:p>
        </w:tc>
        <w:tc>
          <w:tcPr>
            <w:tcW w:type="dxa" w:w="258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3.6 המבחן המשולש – בג״ץ גבעולי</w:t>
      </w:r>
    </w:p>
    <w:p>
      <w:pPr>
        <w:bidi/>
        <w:spacing w:before="0" w:after="100" w:line="300" w:lineRule="auto"/>
        <w:jc w:val="both"/>
      </w:pPr>
      <w:r>
        <w:rPr>
          <w:rFonts w:ascii="Arial" w:hAnsi="Arial" w:cs="Arial" w:eastAsia="Arial"/>
          <w:color w:val="1F2430"/>
          <w:sz w:val="19"/>
          <w:szCs w:val="19"/>
          <w:rtl/>
        </w:rPr>
        <w:t xml:space="preserve">בית המשפט העליון "לא כל כך אוהב כריכות". לכן נקבעו מבחנים שמטרתם </w:t>
      </w:r>
      <w:r>
        <w:rPr>
          <w:rFonts w:ascii="Arial" w:hAnsi="Arial" w:cs="Arial" w:eastAsia="Arial"/>
          <w:color w:val="1F2430"/>
          <w:sz w:val="19"/>
          <w:szCs w:val="19"/>
          <w:highlight w:val="yellow"/>
          <w:rtl/>
        </w:rPr>
        <w:t>לסייג ולצמצם</w:t>
      </w:r>
      <w:r>
        <w:rPr>
          <w:rFonts w:ascii="Arial" w:hAnsi="Arial" w:cs="Arial" w:eastAsia="Arial"/>
          <w:color w:val="1F2430"/>
          <w:sz w:val="19"/>
          <w:szCs w:val="19"/>
          <w:rtl/>
        </w:rPr>
        <w:t xml:space="preserve"> את הכריכות. בבית המשפט – מי שפותח ראשון מכריע; בבית הדין יש "מסננת" נוספת, ולא תמיד מי שפתח ראשון ינצח. הפרופ' תיאר זאת כ"דלת שקופה": לא מספיק לעמוד בתנאי סעיף 1, כי עדיין אפשר להפיל את הכריכה.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המבחן המשולש (מצטבר)</w:t>
            </w:r>
          </w:p>
          <w:p>
            <w:pPr>
              <w:bidi/>
              <w:tabs>
                <w:tab w:val="left" w:pos="311"/>
              </w:tabs>
              <w:spacing w:before="0" w:after="40" w:line="288" w:lineRule="auto"/>
              <w:ind w:right="311" w:hanging="255"/>
            </w:pPr>
            <w:r>
              <w:rPr>
                <w:rFonts w:ascii="Arial" w:hAnsi="Arial" w:cs="Arial" w:eastAsia="Arial"/>
                <w:b/>
                <w:bCs/>
                <w:color w:val="2F6FD6"/>
                <w:sz w:val="18"/>
                <w:szCs w:val="18"/>
                <w:rtl/>
              </w:rPr>
              <w:t xml:space="preserve">1. </w:t>
            </w:r>
            <w:r>
              <w:tab/>
            </w:r>
            <w:r>
              <w:rPr>
                <w:rFonts w:ascii="Arial" w:hAnsi="Arial" w:cs="Arial" w:eastAsia="Arial"/>
                <w:b/>
                <w:bCs/>
                <w:color w:val="1F2430"/>
                <w:sz w:val="18"/>
                <w:szCs w:val="18"/>
                <w:rtl/>
              </w:rPr>
              <w:t>תביעת גירושין כנה</w:t>
            </w:r>
            <w:r>
              <w:rPr>
                <w:rFonts w:ascii="Arial" w:hAnsi="Arial" w:cs="Arial" w:eastAsia="Arial"/>
                <w:color w:val="1F2430"/>
                <w:sz w:val="18"/>
                <w:szCs w:val="18"/>
                <w:rtl/>
              </w:rPr>
              <w:t xml:space="preserve"> – האם התובע באמת רוצה להתגרש?</w:t>
            </w:r>
          </w:p>
          <w:p>
            <w:pPr>
              <w:bidi/>
              <w:tabs>
                <w:tab w:val="left" w:pos="311"/>
              </w:tabs>
              <w:spacing w:before="0" w:after="40" w:line="288" w:lineRule="auto"/>
              <w:ind w:right="311" w:hanging="255"/>
            </w:pPr>
            <w:r>
              <w:rPr>
                <w:rFonts w:ascii="Arial" w:hAnsi="Arial" w:cs="Arial" w:eastAsia="Arial"/>
                <w:b/>
                <w:bCs/>
                <w:color w:val="2F6FD6"/>
                <w:sz w:val="18"/>
                <w:szCs w:val="18"/>
                <w:rtl/>
              </w:rPr>
              <w:t xml:space="preserve">2. </w:t>
            </w:r>
            <w:r>
              <w:tab/>
            </w:r>
            <w:r>
              <w:rPr>
                <w:rFonts w:ascii="Arial" w:hAnsi="Arial" w:cs="Arial" w:eastAsia="Arial"/>
                <w:b/>
                <w:bCs/>
                <w:color w:val="1F2430"/>
                <w:sz w:val="18"/>
                <w:szCs w:val="18"/>
                <w:rtl/>
              </w:rPr>
              <w:t>כריכה כדין</w:t>
            </w:r>
            <w:r>
              <w:rPr>
                <w:rFonts w:ascii="Arial" w:hAnsi="Arial" w:cs="Arial" w:eastAsia="Arial"/>
                <w:color w:val="1F2430"/>
                <w:sz w:val="18"/>
                <w:szCs w:val="18"/>
                <w:rtl/>
              </w:rPr>
              <w:t xml:space="preserve"> – האם הכריכה מפורטת, מפורשת ולא סתמית?</w:t>
            </w:r>
          </w:p>
          <w:p>
            <w:pPr>
              <w:bidi/>
              <w:tabs>
                <w:tab w:val="left" w:pos="311"/>
              </w:tabs>
              <w:spacing w:before="0" w:after="40" w:line="288" w:lineRule="auto"/>
              <w:ind w:right="311" w:hanging="255"/>
            </w:pPr>
            <w:r>
              <w:rPr>
                <w:rFonts w:ascii="Arial" w:hAnsi="Arial" w:cs="Arial" w:eastAsia="Arial"/>
                <w:b/>
                <w:bCs/>
                <w:color w:val="2F6FD6"/>
                <w:sz w:val="18"/>
                <w:szCs w:val="18"/>
                <w:rtl/>
              </w:rPr>
              <w:t xml:space="preserve">3. </w:t>
            </w:r>
            <w:r>
              <w:tab/>
            </w:r>
            <w:r>
              <w:rPr>
                <w:rFonts w:ascii="Arial" w:hAnsi="Arial" w:cs="Arial" w:eastAsia="Arial"/>
                <w:b/>
                <w:bCs/>
                <w:color w:val="1F2430"/>
                <w:sz w:val="18"/>
                <w:szCs w:val="18"/>
                <w:rtl/>
              </w:rPr>
              <w:t>כריכה כנה</w:t>
            </w:r>
            <w:r>
              <w:rPr>
                <w:rFonts w:ascii="Arial" w:hAnsi="Arial" w:cs="Arial" w:eastAsia="Arial"/>
                <w:color w:val="1F2430"/>
                <w:sz w:val="18"/>
                <w:szCs w:val="18"/>
                <w:rtl/>
              </w:rPr>
              <w:t xml:space="preserve"> – האם מטרת הכריכה באמת לרכז, לייעל ולזרז את ההליכים?</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מבחן 1: תביעת גירושין כנה</w:t>
      </w:r>
    </w:p>
    <w:p>
      <w:pPr>
        <w:bidi/>
        <w:spacing w:before="0" w:after="100" w:line="300" w:lineRule="auto"/>
        <w:jc w:val="both"/>
      </w:pPr>
      <w:r>
        <w:rPr>
          <w:rFonts w:ascii="Arial" w:hAnsi="Arial" w:cs="Arial" w:eastAsia="Arial"/>
          <w:color w:val="1F2430"/>
          <w:sz w:val="19"/>
          <w:szCs w:val="19"/>
          <w:rtl/>
        </w:rPr>
        <w:t>שאלה מהותית: האם מי שהגיש באמת רוצה להתגרש, או שהגיש רק כדי "לתפוס" סמכויות? (במקראה מוזכר בהקשר זה רע"א 9357/96.) דוגמאות מהפסיקה לחוסר כנות: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הגשת התביעה </w:t>
      </w:r>
      <w:r>
        <w:rPr>
          <w:rFonts w:ascii="Arial" w:hAnsi="Arial" w:cs="Arial" w:eastAsia="Arial"/>
          <w:color w:val="1F2430"/>
          <w:sz w:val="19"/>
          <w:szCs w:val="19"/>
          <w:highlight w:val="yellow"/>
          <w:rtl/>
        </w:rPr>
        <w:t>באמצע טיפול זוגי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הגשה זמן קצר אחרי ש</w:t>
      </w:r>
      <w:r>
        <w:rPr>
          <w:rFonts w:ascii="Arial" w:hAnsi="Arial" w:cs="Arial" w:eastAsia="Arial"/>
          <w:color w:val="1F2430"/>
          <w:sz w:val="19"/>
          <w:szCs w:val="19"/>
          <w:highlight w:val="yellow"/>
          <w:rtl/>
        </w:rPr>
        <w:t>ערך לאשתו מסיבת יום הולדת</w:t>
      </w:r>
      <w:r>
        <w:rPr>
          <w:rFonts w:ascii="Arial" w:hAnsi="Arial" w:cs="Arial" w:eastAsia="Arial"/>
          <w:color w:val="1F2430"/>
          <w:sz w:val="19"/>
          <w:szCs w:val="19"/>
          <w:rtl/>
        </w:rPr>
        <w:t xml:space="preserve"> (במקראה מוזכרים גם מכתבי אהבה).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highlight w:val="yellow"/>
          <w:rtl/>
        </w:rPr>
        <w:t>דרישות לא ריאליות</w:t>
      </w:r>
      <w:r>
        <w:rPr>
          <w:rFonts w:ascii="Arial" w:hAnsi="Arial" w:cs="Arial" w:eastAsia="Arial"/>
          <w:color w:val="1F2430"/>
          <w:sz w:val="19"/>
          <w:szCs w:val="19"/>
          <w:rtl/>
        </w:rPr>
        <w:t xml:space="preserve"> או הצבת תנאים לגט – למשל "תשאירו לי את החנות המשותפת" – שמלמדות על ניסיון לסחוט ולא על רצון להתגרש.</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הגשה במקביל לתביעת שלום בית.</w:t>
      </w:r>
    </w:p>
    <w:p>
      <w:pPr>
        <w:bidi/>
        <w:spacing w:before="0" w:after="100" w:line="300" w:lineRule="auto"/>
        <w:jc w:val="both"/>
      </w:pPr>
      <w:r>
        <w:rPr>
          <w:rFonts w:ascii="Arial" w:hAnsi="Arial" w:cs="Arial" w:eastAsia="Arial"/>
          <w:color w:val="1F2430"/>
          <w:sz w:val="19"/>
          <w:szCs w:val="19"/>
          <w:rtl/>
        </w:rPr>
        <w:t xml:space="preserve">בשלושת המקרים הראשונים הפסיקה קבעה שהכריכה לא כנה והתיקים הלכו לאזרחי. </w:t>
      </w:r>
      <w:r>
        <w:rPr>
          <w:rFonts w:ascii="Arial" w:hAnsi="Arial" w:cs="Arial" w:eastAsia="Arial"/>
          <w:color w:val="1F2430"/>
          <w:sz w:val="19"/>
          <w:szCs w:val="19"/>
          <w:highlight w:val="yellow"/>
          <w:rtl/>
        </w:rPr>
        <w:t>אם תביעת הגירושין לא כנה – כל הכריכות נופלות</w:t>
      </w:r>
      <w:r>
        <w:rPr>
          <w:rFonts w:ascii="Arial" w:hAnsi="Arial" w:cs="Arial" w:eastAsia="Arial"/>
          <w:color w:val="1F2430"/>
          <w:sz w:val="19"/>
          <w:szCs w:val="19"/>
          <w:rtl/>
        </w:rPr>
        <w:t>, גם אם הכורך הגיש ראשון.</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מבחן 2: כריכה כדין</w:t>
      </w:r>
    </w:p>
    <w:p>
      <w:pPr>
        <w:bidi/>
        <w:spacing w:before="0" w:after="100" w:line="300" w:lineRule="auto"/>
        <w:jc w:val="both"/>
      </w:pPr>
      <w:r>
        <w:rPr>
          <w:rFonts w:ascii="Arial" w:hAnsi="Arial" w:cs="Arial" w:eastAsia="Arial"/>
          <w:color w:val="1F2430"/>
          <w:sz w:val="19"/>
          <w:szCs w:val="19"/>
          <w:rtl/>
        </w:rPr>
        <w:t xml:space="preserve">מבחן טכני (במקראה מוזכר בג״ץ 5747/03): הכריכה צריכה להיות </w:t>
      </w:r>
      <w:r>
        <w:rPr>
          <w:rFonts w:ascii="Arial" w:hAnsi="Arial" w:cs="Arial" w:eastAsia="Arial"/>
          <w:color w:val="1F2430"/>
          <w:sz w:val="19"/>
          <w:szCs w:val="19"/>
          <w:highlight w:val="yellow"/>
          <w:rtl/>
        </w:rPr>
        <w:t>מפורטת ומפורשת</w:t>
      </w:r>
      <w:r>
        <w:rPr>
          <w:rFonts w:ascii="Arial" w:hAnsi="Arial" w:cs="Arial" w:eastAsia="Arial"/>
          <w:color w:val="1F2430"/>
          <w:sz w:val="19"/>
          <w:szCs w:val="19"/>
          <w:rtl/>
        </w:rPr>
        <w:t>. יש לציין במפורש מה כורכים, לפרט ולצרף מסמכים רלוונטיים (למשל תלושי שכר). אי אפשר לכתוב כותרת כללית ולסיים.</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מבחן 3: כריכה כנה</w:t>
      </w:r>
    </w:p>
    <w:p>
      <w:pPr>
        <w:bidi/>
        <w:spacing w:before="0" w:after="100" w:line="300" w:lineRule="auto"/>
        <w:jc w:val="both"/>
      </w:pPr>
      <w:r>
        <w:rPr>
          <w:rFonts w:ascii="Arial" w:hAnsi="Arial" w:cs="Arial" w:eastAsia="Arial"/>
          <w:color w:val="1F2430"/>
          <w:sz w:val="19"/>
          <w:szCs w:val="19"/>
          <w:rtl/>
        </w:rPr>
        <w:t xml:space="preserve">האם הכורך מבקש באמת לקדם יעילות ומהירות – כמטרת הסעיף – או רק לסכל פנייה לערכאה האזרחית? סימן מובהק לחוסר כנות: </w:t>
      </w:r>
      <w:r>
        <w:rPr>
          <w:rFonts w:ascii="Arial" w:hAnsi="Arial" w:cs="Arial" w:eastAsia="Arial"/>
          <w:color w:val="1F2430"/>
          <w:sz w:val="19"/>
          <w:szCs w:val="19"/>
          <w:highlight w:val="yellow"/>
          <w:rtl/>
        </w:rPr>
        <w:t>פיצול התביעות</w:t>
      </w:r>
      <w:r>
        <w:rPr>
          <w:rFonts w:ascii="Arial" w:hAnsi="Arial" w:cs="Arial" w:eastAsia="Arial"/>
          <w:color w:val="1F2430"/>
          <w:sz w:val="19"/>
          <w:szCs w:val="19"/>
          <w:rtl/>
        </w:rPr>
        <w:t xml:space="preserve"> – הכורך מביא חלק מהנושאים לבית הדין וחלק לערכאה אחרת. ערכאה יכולה לשאול: "אם באמת רצית יעילות, למה פיצלת?". אבל אם הפיצול נגרם על ידי מישהו אחר ולא על ידי הכורך עצמו – זה שונה. פיצול כשלעצמו מותר; הוא רק עשוי להעיד על חוסר כנות.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כריכה לא כנה בנישואין אזרחיים</w:t>
            </w:r>
          </w:p>
          <w:p>
            <w:pPr>
              <w:bidi/>
              <w:spacing w:before="0" w:after="60" w:line="300" w:lineRule="auto"/>
              <w:jc w:val="both"/>
            </w:pPr>
            <w:r>
              <w:rPr>
                <w:rFonts w:ascii="Arial" w:hAnsi="Arial" w:cs="Arial" w:eastAsia="Arial"/>
                <w:color w:val="1F2430"/>
                <w:sz w:val="18"/>
                <w:szCs w:val="18"/>
                <w:rtl/>
              </w:rPr>
              <w:t xml:space="preserve">לפי סיכומי התרגול, בפסק דין פלונית (2003) נקבע שכאשר בני זוג יהודים נישאו בנישואין אזרחיים, כריכה של מזונות האישה על ידי הבעל </w:t>
            </w:r>
            <w:r>
              <w:rPr>
                <w:rFonts w:ascii="Arial" w:hAnsi="Arial" w:cs="Arial" w:eastAsia="Arial"/>
                <w:color w:val="1F2430"/>
                <w:sz w:val="18"/>
                <w:szCs w:val="18"/>
                <w:highlight w:val="yellow"/>
                <w:rtl/>
              </w:rPr>
              <w:t>אינה כנה</w:t>
            </w:r>
            <w:r>
              <w:rPr>
                <w:rFonts w:ascii="Arial" w:hAnsi="Arial" w:cs="Arial" w:eastAsia="Arial"/>
                <w:color w:val="1F2430"/>
                <w:sz w:val="18"/>
                <w:szCs w:val="18"/>
                <w:rtl/>
              </w:rPr>
              <w:t>: בית הדין לא יפסוק מזונות אישה לאישה שנישאה אזרחית, ולכן הכריכה נועדה רק לחסום את מזונותיה. בחלק מהסיכומים הדבר הורחב לכל העניינים הממוניים (מזונות, רכוש). אם האישה היא שכורכת – אולי זה לא מהלך חכם, אבל לא ייקבע שהכריכה לא כנה. (על נישואין אזרחיים – ראו פרק 8.)</w:t>
            </w:r>
          </w:p>
        </w:tc>
      </w:tr>
    </w:tbl>
    <w:p>
      <w:pPr>
        <w:bidi/>
        <w:spacing w:after="0" w:before="0" w:line="120" w:lineRule="exact"/>
      </w:pPr>
      <w:r>
        <w:rPr>
          <w:sz w:val="2"/>
        </w:rPr>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מה נופל כשמבחן נכשל?</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תביעת גירושין לא כנה</w:t>
      </w:r>
      <w:r>
        <w:rPr>
          <w:rFonts w:ascii="Arial" w:hAnsi="Arial" w:cs="Arial" w:eastAsia="Arial"/>
          <w:color w:val="1F2430"/>
          <w:sz w:val="19"/>
          <w:szCs w:val="19"/>
          <w:rtl/>
        </w:rPr>
        <w:t xml:space="preserve"> – כל הכריכות נופלות יחד.</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כריכה לא כנה</w:t>
      </w:r>
      <w:r>
        <w:rPr>
          <w:rFonts w:ascii="Arial" w:hAnsi="Arial" w:cs="Arial" w:eastAsia="Arial"/>
          <w:color w:val="1F2430"/>
          <w:sz w:val="19"/>
          <w:szCs w:val="19"/>
          <w:rtl/>
        </w:rPr>
        <w:t xml:space="preserve"> – לפי תשובת הפרופ', "לרוב כריכה כנה תפיל את הכל".</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b/>
          <w:bCs/>
          <w:color w:val="1F2430"/>
          <w:sz w:val="19"/>
          <w:szCs w:val="19"/>
          <w:rtl/>
        </w:rPr>
        <w:t>כריכה לא כדין בנושא מסוים</w:t>
      </w:r>
      <w:r>
        <w:rPr>
          <w:rFonts w:ascii="Arial" w:hAnsi="Arial" w:cs="Arial" w:eastAsia="Arial"/>
          <w:color w:val="1F2430"/>
          <w:sz w:val="19"/>
          <w:szCs w:val="19"/>
          <w:rtl/>
        </w:rPr>
        <w:t xml:space="preserve"> – "קצת סימן שאלה": אם רק כריכה אחת לא הייתה מפורטת, הגיוני שרק היא תיפול ושאר הכריכות יעמדו.</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החריג: החזקת ילדים</w:t>
      </w:r>
    </w:p>
    <w:p>
      <w:pPr>
        <w:bidi/>
        <w:spacing w:before="0" w:after="100" w:line="300" w:lineRule="auto"/>
        <w:jc w:val="both"/>
      </w:pPr>
      <w:r>
        <w:rPr>
          <w:rFonts w:ascii="Arial" w:hAnsi="Arial" w:cs="Arial" w:eastAsia="Arial"/>
          <w:color w:val="1F2430"/>
          <w:sz w:val="19"/>
          <w:szCs w:val="19"/>
          <w:rtl/>
        </w:rPr>
        <w:t xml:space="preserve">מאחר שהחזקת הילדים כרוכה מעצם טבעה, לא האדם כרך אותה – היא נכנסת אוטומטית. לכן </w:t>
      </w:r>
      <w:r>
        <w:rPr>
          <w:rFonts w:ascii="Arial" w:hAnsi="Arial" w:cs="Arial" w:eastAsia="Arial"/>
          <w:color w:val="1F2430"/>
          <w:sz w:val="19"/>
          <w:szCs w:val="19"/>
          <w:highlight w:val="yellow"/>
          <w:rtl/>
        </w:rPr>
        <w:t>לא בודקים "כריכה כדין" ו"כריכה כנה"; בודקים רק שתביעת הגירושין עצמה כנה</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6B3FA0"/>
          <w:sz w:val="22"/>
          <w:szCs w:val="22"/>
          <w:rtl/>
        </w:rPr>
        <w:t xml:space="preserve">▌ </w:t>
      </w:r>
      <w:r>
        <w:rPr>
          <w:rFonts w:ascii="Arial" w:hAnsi="Arial" w:cs="Arial" w:eastAsia="Arial"/>
          <w:b/>
          <w:bCs/>
          <w:color w:val="6B3FA0"/>
          <w:sz w:val="22"/>
          <w:szCs w:val="22"/>
          <w:rtl/>
        </w:rPr>
        <w:t>נטל ההוכחה – על הכורך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גבעולי – נטל ההוכחה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נקבע בהקשר של כריכת מזונות, בתקופה שבה תביעות אלה נדונו בבית המשפט המחוזי.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"מי שמבקש למנוע דיון בבית המשפט... עליו הנטל להוכיח כי הוגשה תביעה לבית הדין הרבני וכי נכרך בה עניין המזונות כדין ובאופן כן". כלומר – </w:t>
            </w:r>
            <w:r>
              <w:rPr>
                <w:rFonts w:ascii="Arial" w:hAnsi="Arial" w:cs="Arial" w:eastAsia="Arial"/>
                <w:color w:val="1F2430"/>
                <w:sz w:val="18"/>
                <w:szCs w:val="18"/>
                <w:highlight w:val="yellow"/>
                <w:rtl/>
              </w:rPr>
              <w:t>הנטל על הכורך</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הכורך עושה מעשה חריג: מוציא נושאים מבית המשפט האזרחי, "הבית הטבעי" שלהם. לכן עליו להוכיח שהוא עומד בתנאים. אם השופט מתלבט "חמישים-חמישים" – מי שנושא בנטל מפסיד, והכריכה נופלת.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היגיון</w:t>
            </w:r>
          </w:p>
          <w:p>
            <w:pPr>
              <w:bidi/>
              <w:spacing w:before="0" w:after="60" w:line="300" w:lineRule="auto"/>
              <w:jc w:val="both"/>
            </w:pPr>
            <w:r>
              <w:rPr>
                <w:rFonts w:ascii="Arial" w:hAnsi="Arial" w:cs="Arial" w:eastAsia="Arial"/>
                <w:color w:val="1F2430"/>
                <w:sz w:val="18"/>
                <w:szCs w:val="18"/>
                <w:rtl/>
              </w:rPr>
              <w:t>לכאורה הגיוני שהנטל על התוקף (הכורך "פעל לפי הספר"), אבל לפי גבעולי – הנטל על הכורך.</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3.7 מי מכריע אם הכריכה תקפה? בג״ץ פלמן ו"מירוץ ההחלטות"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8497/00 פלמן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הזוג היו ידועים בציבור 9 שנים; בעקבות היריון נישאו. אחרי שלוש שנים הבעל גילה שהילד אינו שלו, והדבר הוביל לגירושין. הבעל הגיש תביעת גירושין לבית הדין וכרך את הרכוש. האישה מיהרה להגיש תביעת רכוש לבית המשפט לענייני משפחה וטענה שהכריכה נכשלת במבחן המשולש. בחקירה נשאל הבעל: "אם כל נושא הרכוש כבר היה מטופל – היית נותן גט?" ופעמיים ענה: "לא חשבתי על זה". בית המשפט הסיק שתביעת הגירושין אינה כנה, הכריכה נפלה ולבית המשפט סמכות. גם המחוזי אישר. במקביל, בית הדין הרבני (וגם בית הדין הגדול) קבע שיש לו סמכות, ושרק בית הדין הגדול יכול להורות לו. התיק הגיע לבג״ץ.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השופטת ביניש: </w:t>
            </w:r>
            <w:r>
              <w:rPr>
                <w:rFonts w:ascii="Arial" w:hAnsi="Arial" w:cs="Arial" w:eastAsia="Arial"/>
                <w:color w:val="1F2430"/>
                <w:sz w:val="18"/>
                <w:szCs w:val="18"/>
                <w:highlight w:val="yellow"/>
                <w:rtl/>
              </w:rPr>
              <w:t>להבדיל מתביעת הגירושין עצמה, ההכרעה בשאלה אם תנאי הכריכה התקיימו נתונה לשתי הערכאות</w:t>
            </w:r>
            <w:r>
              <w:rPr>
                <w:rFonts w:ascii="Arial" w:hAnsi="Arial" w:cs="Arial" w:eastAsia="Arial"/>
                <w:color w:val="1F2430"/>
                <w:sz w:val="18"/>
                <w:szCs w:val="18"/>
                <w:rtl/>
              </w:rPr>
              <w:t xml:space="preserve">. כדי למנוע "מירוץ החלטות", חל </w:t>
            </w:r>
            <w:r>
              <w:rPr>
                <w:rFonts w:ascii="Arial" w:hAnsi="Arial" w:cs="Arial" w:eastAsia="Arial"/>
                <w:color w:val="1F2430"/>
                <w:sz w:val="18"/>
                <w:szCs w:val="18"/>
                <w:highlight w:val="yellow"/>
                <w:rtl/>
              </w:rPr>
              <w:t>עיקרון הכיבוד ההדדי</w:t>
            </w:r>
            <w:r>
              <w:rPr>
                <w:rFonts w:ascii="Arial" w:hAnsi="Arial" w:cs="Arial" w:eastAsia="Arial"/>
                <w:color w:val="1F2430"/>
                <w:sz w:val="18"/>
                <w:szCs w:val="18"/>
                <w:rtl/>
              </w:rPr>
              <w:t xml:space="preserve">: הערכאה שהחליטה ראשונה בשאלת המבחן המשולש – החלטתה מכובדת, והערכאה השנייה תכבד אותה. חריג: "טעם מיוחד" – למשל כשההחלטה הראשונה ניתנה בלי דיון אמיתי בשאלת הסמכות, בחופזה, בלי נימוקים כנדרש או באופן לא תקין.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הדין המרכזי להבנת מירוץ הסמכויות. גם המצב בפלמן הוא מירוץ – הפעם על מי יחליט ראשון.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לפי תשובת הפרופ', ההלכה </w:t>
      </w:r>
      <w:r>
        <w:rPr>
          <w:rFonts w:ascii="Arial" w:hAnsi="Arial" w:cs="Arial" w:eastAsia="Arial"/>
          <w:color w:val="1F2430"/>
          <w:sz w:val="19"/>
          <w:szCs w:val="19"/>
          <w:highlight w:val="yellow"/>
          <w:rtl/>
        </w:rPr>
        <w:t>דו-צדדית</w:t>
      </w:r>
      <w:r>
        <w:rPr>
          <w:rFonts w:ascii="Arial" w:hAnsi="Arial" w:cs="Arial" w:eastAsia="Arial"/>
          <w:color w:val="1F2430"/>
          <w:sz w:val="19"/>
          <w:szCs w:val="19"/>
          <w:rtl/>
        </w:rPr>
        <w:t>: כשם שבית המשפט יכבד החלטה קודמת של בית הדין, גם בית הדין יכבד החלטה קודמת של בית המשפט – וגם בית הדין, אם יראה "טעם מיוחד", יכול לבטל את החלטת בית המשפט ולדון מחדש. במקראה צוינו החששות שבבסיס: מועדי הדיונים (מי יקבע דיון מוקדם יותר) ואיכות ההנמקה.</w:t>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3.8 ברירת הדין בעניינים כרוכים</w:t>
      </w:r>
    </w:p>
    <w:p>
      <w:pPr>
        <w:bidi/>
        <w:spacing w:before="0" w:after="100" w:line="300" w:lineRule="auto"/>
        <w:jc w:val="both"/>
      </w:pPr>
      <w:r>
        <w:rPr>
          <w:rFonts w:ascii="Arial" w:hAnsi="Arial" w:cs="Arial" w:eastAsia="Arial"/>
          <w:color w:val="1F2430"/>
          <w:sz w:val="19"/>
          <w:szCs w:val="19"/>
          <w:rtl/>
        </w:rPr>
        <w:t xml:space="preserve">עיקרון יסוד: </w:t>
      </w:r>
      <w:r>
        <w:rPr>
          <w:rFonts w:ascii="Arial" w:hAnsi="Arial" w:cs="Arial" w:eastAsia="Arial"/>
          <w:color w:val="1F2430"/>
          <w:sz w:val="19"/>
          <w:szCs w:val="19"/>
          <w:highlight w:val="yellow"/>
          <w:rtl/>
        </w:rPr>
        <w:t>המקום שבו מתנהל התיק לא קובע את הדין</w:t>
      </w:r>
      <w:r>
        <w:rPr>
          <w:rFonts w:ascii="Arial" w:hAnsi="Arial" w:cs="Arial" w:eastAsia="Arial"/>
          <w:color w:val="1F2430"/>
          <w:sz w:val="19"/>
          <w:szCs w:val="19"/>
          <w:rtl/>
        </w:rPr>
        <w:t>. הכלל "הדין הולך אחר הדיין" חל רק כשאין הוראת חוק אחרת, ולגבי רוב הנושאים יש הוראה כזו.</w:t>
      </w:r>
    </w:p>
    <w:tbl>
      <w:tblPr>
        <w:tblW w:type="dxa" w:w="10206"/>
        <w:jc w:val="center"/>
        <w:tblLook w:firstColumn="1" w:firstRow="1" w:lastColumn="0" w:lastRow="0" w:noHBand="0" w:noVBand="1" w:val="04A0"/>
        <w:bidiVisual/>
        <w:tblLayout w:type="fixed"/>
      </w:tblPr>
      <w:tblGrid>
        <w:gridCol w:w="1876"/>
        <w:gridCol w:w="3050"/>
        <w:gridCol w:w="5278"/>
      </w:tblGrid>
      <w:tr>
        <w:trPr>
          <w:tblHeader/>
        </w:trPr>
        <w:tc>
          <w:tcPr>
            <w:tcW w:type="dxa" w:w="1877"/>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3050"/>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w:t>
            </w:r>
          </w:p>
        </w:tc>
        <w:tc>
          <w:tcPr>
            <w:tcW w:type="dxa" w:w="5278"/>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המקור</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וגירושין</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אישי (דין תורה)</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2 לחוק השיפוט</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כתובה</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אישי</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סעיף 2 לחוק השיפוט</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אישה</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אישי (ובהיעדרו – אזרחי)</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2(א)–(ב) לחוק המזונות</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מזונות ילדים</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אישי (ובהיעדרו – אזרחי)</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סעיף 3(א)–(ב) לחוק המזונות</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משמורת וחינוך</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79 לחוק הכשרות</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רכוש</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אזרחי; בהסכמה מפורשת – דתי</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הלכת השיתוף (בבלי), חוק יחסי ממון, סעיף 13(ב)</w:t>
            </w:r>
          </w:p>
        </w:tc>
      </w:tr>
      <w:tr>
        <w:trPr>
          <w:cantSplit/>
        </w:trPr>
        <w:tc>
          <w:tcPr>
            <w:tcW w:type="dxa" w:w="1877"/>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אבהות, ברית מילה</w:t>
            </w:r>
          </w:p>
        </w:tc>
        <w:tc>
          <w:tcPr>
            <w:tcW w:type="dxa" w:w="305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w:t>
            </w:r>
          </w:p>
        </w:tc>
        <w:tc>
          <w:tcPr>
            <w:tcW w:type="dxa" w:w="527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ע"א 201/82; בג״ץ 8533/13</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שאלה חוזרת</w:t>
            </w:r>
          </w:p>
          <w:p>
            <w:pPr>
              <w:bidi/>
              <w:spacing w:before="0" w:after="60" w:line="300" w:lineRule="auto"/>
              <w:jc w:val="both"/>
            </w:pPr>
            <w:r>
              <w:rPr>
                <w:rFonts w:ascii="Arial" w:hAnsi="Arial" w:cs="Arial" w:eastAsia="Arial"/>
                <w:color w:val="1F2430"/>
                <w:sz w:val="18"/>
                <w:szCs w:val="18"/>
                <w:rtl/>
              </w:rPr>
              <w:t>"מזונות אישה בבית המשפט לענייני משפחה – איזה דין?" התשובה: דין אישי, כי סעיף 2(א) לחוק המזונות מפנה לדין האישי – ולא בגלל "הדין הולך אחר הדיין". ולהיפך: "רכוש בבית הדין הרבני – איזה דין?" דין אזרחי, אלא אם הצדדים הסכימו במפורש לדין דתי.</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3.9 אסטרטגיה למבחן: איך מפרקים אירוע של כריכה</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1. </w:t>
      </w:r>
      <w:r>
        <w:tab/>
      </w:r>
      <w:r>
        <w:rPr>
          <w:rFonts w:ascii="Arial" w:hAnsi="Arial" w:cs="Arial" w:eastAsia="Arial"/>
          <w:b/>
          <w:bCs/>
          <w:color w:val="1F2430"/>
          <w:sz w:val="19"/>
          <w:szCs w:val="19"/>
          <w:rtl/>
        </w:rPr>
        <w:t>ציר זמן:</w:t>
      </w:r>
      <w:r>
        <w:rPr>
          <w:rFonts w:ascii="Arial" w:hAnsi="Arial" w:cs="Arial" w:eastAsia="Arial"/>
          <w:color w:val="1F2430"/>
          <w:sz w:val="19"/>
          <w:szCs w:val="19"/>
          <w:rtl/>
        </w:rPr>
        <w:t xml:space="preserve"> רשמו מסודר מי הגיש, מה, לאיזו ערכאה ובאיזה סדר (כולל בקשה ליישוב סכסוך – מי הגיש ראשון ומתי חלפו התקופות).</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2. </w:t>
      </w:r>
      <w:r>
        <w:tab/>
      </w:r>
      <w:r>
        <w:rPr>
          <w:rFonts w:ascii="Arial" w:hAnsi="Arial" w:cs="Arial" w:eastAsia="Arial"/>
          <w:b/>
          <w:bCs/>
          <w:color w:val="1F2430"/>
          <w:sz w:val="19"/>
          <w:szCs w:val="19"/>
          <w:rtl/>
        </w:rPr>
        <w:t>תמיד מתחילים בבית הדין הרבני</w:t>
      </w:r>
      <w:r>
        <w:rPr>
          <w:rFonts w:ascii="Arial" w:hAnsi="Arial" w:cs="Arial" w:eastAsia="Arial"/>
          <w:color w:val="1F2430"/>
          <w:sz w:val="19"/>
          <w:szCs w:val="19"/>
          <w:rtl/>
        </w:rPr>
        <w:t xml:space="preserve"> – מה שלא בסמכותו יגיע לבית המשפט לענייני משפחה (סמכות שיורית).</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3. </w:t>
      </w:r>
      <w:r>
        <w:tab/>
      </w:r>
      <w:r>
        <w:rPr>
          <w:rFonts w:ascii="Arial" w:hAnsi="Arial" w:cs="Arial" w:eastAsia="Arial"/>
          <w:b/>
          <w:bCs/>
          <w:color w:val="1F2430"/>
          <w:sz w:val="19"/>
          <w:szCs w:val="19"/>
          <w:rtl/>
        </w:rPr>
        <w:t>סעיף 1:</w:t>
      </w:r>
      <w:r>
        <w:rPr>
          <w:rFonts w:ascii="Arial" w:hAnsi="Arial" w:cs="Arial" w:eastAsia="Arial"/>
          <w:color w:val="1F2430"/>
          <w:sz w:val="19"/>
          <w:szCs w:val="19"/>
          <w:rtl/>
        </w:rPr>
        <w:t xml:space="preserve"> ארבעת התנאים, לתובע ולנתבע. אין סעיף 1 – אין כריכה (רק אפשרויות אחרות: סעיף 4 לאישה, סעיף 9 בהסכמה, וגירושין בלבד לפי סעיף 4א – ראו פרק 2).</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4. </w:t>
      </w:r>
      <w:r>
        <w:tab/>
      </w:r>
      <w:r>
        <w:rPr>
          <w:rFonts w:ascii="Arial" w:hAnsi="Arial" w:cs="Arial" w:eastAsia="Arial"/>
          <w:b/>
          <w:bCs/>
          <w:color w:val="1F2430"/>
          <w:sz w:val="19"/>
          <w:szCs w:val="19"/>
          <w:rtl/>
        </w:rPr>
        <w:t>סיווג כל נושא:</w:t>
      </w:r>
      <w:r>
        <w:rPr>
          <w:rFonts w:ascii="Arial" w:hAnsi="Arial" w:cs="Arial" w:eastAsia="Arial"/>
          <w:color w:val="1F2430"/>
          <w:sz w:val="19"/>
          <w:szCs w:val="19"/>
          <w:rtl/>
        </w:rPr>
        <w:t xml:space="preserve"> אוטומטי (משמורת), מפורש (מזונות, חינוך, רכוש, אבהות), לא נכרך (ברית מילה), לא צריך (כתובה).</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5. </w:t>
      </w:r>
      <w:r>
        <w:tab/>
      </w:r>
      <w:r>
        <w:rPr>
          <w:rFonts w:ascii="Arial" w:hAnsi="Arial" w:cs="Arial" w:eastAsia="Arial"/>
          <w:b/>
          <w:bCs/>
          <w:color w:val="1F2430"/>
          <w:sz w:val="19"/>
          <w:szCs w:val="19"/>
          <w:rtl/>
        </w:rPr>
        <w:t>נתפס קודם?</w:t>
      </w:r>
      <w:r>
        <w:rPr>
          <w:rFonts w:ascii="Arial" w:hAnsi="Arial" w:cs="Arial" w:eastAsia="Arial"/>
          <w:color w:val="1F2430"/>
          <w:sz w:val="19"/>
          <w:szCs w:val="19"/>
          <w:rtl/>
        </w:rPr>
        <w:t xml:space="preserve"> אם הנושא נתפס באזרחי קודם – לא נכרך. זכרו את אמיר: משמורת באזרחי תופסת גם חינוך.</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6. </w:t>
      </w:r>
      <w:r>
        <w:tab/>
      </w:r>
      <w:r>
        <w:rPr>
          <w:rFonts w:ascii="Arial" w:hAnsi="Arial" w:cs="Arial" w:eastAsia="Arial"/>
          <w:b/>
          <w:bCs/>
          <w:color w:val="1F2430"/>
          <w:sz w:val="19"/>
          <w:szCs w:val="19"/>
          <w:rtl/>
        </w:rPr>
        <w:t>המבחן המשולש</w:t>
      </w:r>
      <w:r>
        <w:rPr>
          <w:rFonts w:ascii="Arial" w:hAnsi="Arial" w:cs="Arial" w:eastAsia="Arial"/>
          <w:color w:val="1F2430"/>
          <w:sz w:val="19"/>
          <w:szCs w:val="19"/>
          <w:rtl/>
        </w:rPr>
        <w:t xml:space="preserve"> על כל נושא שנכרך במפורש; במשמורת – רק כנות התביעה. הנטל על הכורך.</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7. </w:t>
      </w:r>
      <w:r>
        <w:tab/>
      </w:r>
      <w:r>
        <w:rPr>
          <w:rFonts w:ascii="Arial" w:hAnsi="Arial" w:cs="Arial" w:eastAsia="Arial"/>
          <w:b/>
          <w:bCs/>
          <w:color w:val="1F2430"/>
          <w:sz w:val="19"/>
          <w:szCs w:val="19"/>
          <w:rtl/>
        </w:rPr>
        <w:t>החלטות סותרות?</w:t>
      </w:r>
      <w:r>
        <w:rPr>
          <w:rFonts w:ascii="Arial" w:hAnsi="Arial" w:cs="Arial" w:eastAsia="Arial"/>
          <w:color w:val="1F2430"/>
          <w:sz w:val="19"/>
          <w:szCs w:val="19"/>
          <w:rtl/>
        </w:rPr>
        <w:t xml:space="preserve"> פלמן – כיבוד ההחלטה הראשונה, אלא אם טעם מיוחד.</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8. </w:t>
      </w:r>
      <w:r>
        <w:tab/>
      </w:r>
      <w:r>
        <w:rPr>
          <w:rFonts w:ascii="Arial" w:hAnsi="Arial" w:cs="Arial" w:eastAsia="Arial"/>
          <w:b/>
          <w:bCs/>
          <w:color w:val="1F2430"/>
          <w:sz w:val="19"/>
          <w:szCs w:val="19"/>
          <w:rtl/>
        </w:rPr>
        <w:t>ברירת הדין</w:t>
      </w:r>
      <w:r>
        <w:rPr>
          <w:rFonts w:ascii="Arial" w:hAnsi="Arial" w:cs="Arial" w:eastAsia="Arial"/>
          <w:color w:val="1F2430"/>
          <w:sz w:val="19"/>
          <w:szCs w:val="19"/>
          <w:rtl/>
        </w:rPr>
        <w:t xml:space="preserve"> לכל נושא.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אירוע מסכם</w:t>
            </w:r>
          </w:p>
          <w:p>
            <w:pPr>
              <w:bidi/>
              <w:spacing w:before="0" w:after="60" w:line="300" w:lineRule="auto"/>
              <w:jc w:val="both"/>
            </w:pPr>
            <w:r>
              <w:rPr>
                <w:rFonts w:ascii="Arial" w:hAnsi="Arial" w:cs="Arial" w:eastAsia="Arial"/>
                <w:color w:val="1F2430"/>
                <w:sz w:val="18"/>
                <w:szCs w:val="18"/>
                <w:rtl/>
              </w:rPr>
              <w:t>בני זוג יהודים, אזרחים, נשואים כדת משה וישראל. האישה הגישה לבית הדין הרבני תביעת גירושין וכרכה מזונות אישה, מזונות ילדים וחלוקת רכוש. אחר כך הגיש הבעל לבית המשפט לענייני משפחה תביעת החזקת ילדים ושינוי מוסדות החינוך.</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גירושין – סמכות ייחודית של בית הדין (סעיף 1 מתקיים לגבי שניהם).</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מזונות אישה ורכוש – כריכה מפורשת, ובכפוף למבחן המשולש – בבית הדין.</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מזונות ילדים – לפי המצב שנלמד ב-2026 (הוראת השעה) נכרכים בבית הדין; לפי הלכת שרגאי, שבה השתמשו בסיכומים הישנים, היו עוברים לבית המשפט.</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החזקת ילדים – תביעת הגירושין קדמה, ולכן המשמורת נכרכה אוטומטית לבית הדין (וינטר נ' בארי), אף שהאישה לא ביקשה.</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חינוך – לא נכרך במפורש, ולכן ידון בבית המשפט לבקשת הבעל (אמיר).</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ואילו הבעל היה מגיש ראשון תביעת משמורת באזרחי – גם המשמורת וגם החינוך היו נדונים שם.</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מלכודות נפוצות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"גם הבעל יכול לתבוע מזונות אישה בבודדת" – לא. סעיף 4 פתוח רק לאישה.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"מספיק ששני הצדדים יהודים לסעיף 4" – לא. נדרשת זיקה מסוימת (קנול).</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"כורכים גם לשלום בית" – לא, רק לגירושין, ורק אחרי סעיף 1.</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"משמורת בבית הדין כוללת חינוך" – לא. רק משמורת באזרחי כוללת חינוך (אמיר).</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"הנטל על מי שתוקף את הכריכה" – לא, על הכורך (גבעולי).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"רק בית המשפט מכריע אם הכריכה כנה" – לא. שתי הערכאות; ההחלטה הראשונה מכובדת (פלמן), דו-צדדי.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"בבית הדין הרבני חל תמיד דין דתי" – לא. במשמורת, חינוך ורכוש חל דין אזרחי.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"כתובה צריך לכרוך" – לא. היא ממילא בסמכות ייחודית.</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סיכום הפרק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בסמכות מקבילה – הראשון זוכה; הכריכה היא הכלי המרכזי במירוץ, והחוק ליישוב סכסוך רק הקדים את המירוץ לשלב הבקשה.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4: רק אישה יהודייה, מזונות בלי גירושין, בלי אזרחות, תושבות או נוכחות, סמכות מקבילה, בכפוף לזיקה מסוימת.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3: רק בבית הדין, רק לגירושין, רק אחרי סעיף 1, כל צד, בכתב או בעל פה, אם הנושא לא נתפס קודם.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משמורת – אוטומטית; מזונות אישה – מפורש; מזונות ילדים – היום כל הסוגים (הוראת שעה); חינוך – מפורש (אמיר); רכוש – מפורש; ברית מילה – לא.</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גבעולי: שלושה מבחנים מצטברים, הנטל על הכורך. פלמן: הראשונה שהחליטה – מכובדת, אלא אם טעם מיוחד.</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B5304A"/>
            <w:tcBorders>
              <w:top w:val="single" w:sz="4" w:space="0" w:color="B5304A"/>
              <w:left w:val="single" w:sz="4" w:space="0" w:color="B5304A"/>
              <w:bottom w:val="single" w:sz="4" w:space="0" w:color="B5304A"/>
              <w:right w:val="single" w:sz="4" w:space="0" w:color="B5304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4</w:t>
            </w:r>
          </w:p>
          <w:p>
            <w:pPr>
              <w:bidi/>
              <w:spacing w:before="0" w:after="0" w:line="264" w:lineRule="auto"/>
              <w:outlineLvl w:val="0"/>
            </w:pPr>
            <w:r>
              <w:rPr>
                <w:rFonts w:ascii="Arial" w:hAnsi="Arial" w:cs="Arial" w:eastAsia="Arial"/>
                <w:b/>
                <w:bCs/>
                <w:color w:val="FFFFFF"/>
                <w:sz w:val="42"/>
                <w:szCs w:val="42"/>
                <w:rtl/>
              </w:rPr>
              <w:t>סמכות נמשכת, סמכות בהסכמה (סעיף 9), בוררות בבתי הדין ומעמדו העצמאי של הקטין</w:t>
            </w:r>
          </w:p>
        </w:tc>
      </w:tr>
    </w:tbl>
    <w:p>
      <w:pPr>
        <w:bidi/>
        <w:spacing w:after="0" w:before="0" w:line="20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4.1 מבוא: הדלתות הראשיות והדלתות הצדדיות לבית הדין הרבני</w:t>
      </w:r>
    </w:p>
    <w:p>
      <w:pPr>
        <w:bidi/>
        <w:spacing w:before="0" w:after="100" w:line="300" w:lineRule="auto"/>
        <w:jc w:val="both"/>
      </w:pPr>
      <w:r>
        <w:rPr>
          <w:rFonts w:ascii="Arial" w:hAnsi="Arial" w:cs="Arial" w:eastAsia="Arial"/>
          <w:color w:val="1F2430"/>
          <w:sz w:val="19"/>
          <w:szCs w:val="19"/>
          <w:rtl/>
        </w:rPr>
        <w:t xml:space="preserve">בית הדין הרבני הוא ערכאה בעלת סמכות מוגבלת: </w:t>
      </w:r>
      <w:r>
        <w:rPr>
          <w:rFonts w:ascii="Arial" w:hAnsi="Arial" w:cs="Arial" w:eastAsia="Arial"/>
          <w:color w:val="1F2430"/>
          <w:sz w:val="19"/>
          <w:szCs w:val="19"/>
          <w:highlight w:val="yellow"/>
          <w:rtl/>
        </w:rPr>
        <w:t>אם לא מוצאים דלת שכתובה בחוק – לא ניתן להיכנס</w:t>
      </w:r>
      <w:r>
        <w:rPr>
          <w:rFonts w:ascii="Arial" w:hAnsi="Arial" w:cs="Arial" w:eastAsia="Arial"/>
          <w:color w:val="1F2430"/>
          <w:sz w:val="19"/>
          <w:szCs w:val="19"/>
          <w:rtl/>
        </w:rPr>
        <w:t>. לבית המשפט לענייני משפחה אפשר להגיש כל תביעה משפחתית שבסמכותו, בלי לבדוק כריכה, כנות או הסכמה; לבית הדין הרבני – רק דרך אחת הדלתות.</w:t>
      </w:r>
    </w:p>
    <w:p>
      <w:pPr>
        <w:bidi/>
        <w:spacing w:before="0" w:after="100" w:line="300" w:lineRule="auto"/>
        <w:jc w:val="both"/>
      </w:pPr>
      <w:r>
        <w:rPr>
          <w:rFonts w:ascii="Arial" w:hAnsi="Arial" w:cs="Arial" w:eastAsia="Arial"/>
          <w:color w:val="1F2430"/>
          <w:sz w:val="19"/>
          <w:szCs w:val="19"/>
          <w:rtl/>
        </w:rPr>
        <w:t>פרק זה עוסק בדלתות שאינן "הדלת הראשית" של תביעת גירושין: הסמכות הנמשכת (דלת צדדית שיצרה הפסיקה), הסמכות מכוח הסכמה לפי סעיף 9 לחוק שיפוט בתי דין רבניים (נישואין וגירושין), התשי"ג-1953 (להלן: חשבד"ר), שאלת הבוררות בבתי הדין, ולבסוף – זכותו של הקטין לפתוח מחדש הסדר שנקבע בין הוריו, מכוח מעמדו העצמאי.</w:t>
      </w:r>
    </w:p>
    <w:tbl>
      <w:tblPr>
        <w:tblW w:type="dxa" w:w="10206"/>
        <w:jc w:val="center"/>
        <w:tblLook w:firstColumn="1" w:firstRow="1" w:lastColumn="0" w:lastRow="0" w:noHBand="0" w:noVBand="1" w:val="04A0"/>
        <w:bidiVisual/>
        <w:tblLayout w:type="fixed"/>
      </w:tblPr>
      <w:tblGrid>
        <w:gridCol w:w="3720"/>
        <w:gridCol w:w="1222"/>
        <w:gridCol w:w="4039"/>
        <w:gridCol w:w="1222"/>
      </w:tblGrid>
      <w:tr>
        <w:trPr>
          <w:tblHeader/>
        </w:trPr>
        <w:tc>
          <w:tcPr>
            <w:tcW w:type="dxa" w:w="3720"/>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דרך הכניסה</w:t>
            </w:r>
          </w:p>
        </w:tc>
        <w:tc>
          <w:tcPr>
            <w:tcW w:type="dxa" w:w="1222"/>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4039"/>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עיקר הדרישה</w:t>
            </w:r>
          </w:p>
        </w:tc>
        <w:tc>
          <w:tcPr>
            <w:tcW w:type="dxa" w:w="1222"/>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פירוט</w:t>
            </w:r>
          </w:p>
        </w:tc>
      </w:tr>
      <w:tr>
        <w:trPr>
          <w:cantSplit/>
        </w:trPr>
        <w:tc>
          <w:tcPr>
            <w:tcW w:type="dxa" w:w="3720"/>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1 – נישואין וגירושין</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חשבד"ר</w:t>
            </w:r>
          </w:p>
        </w:tc>
        <w:tc>
          <w:tcPr>
            <w:tcW w:type="dxa" w:w="403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יהודים, בישראל, אזרחים או תושבים</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ראו פרק 2</w:t>
            </w:r>
          </w:p>
        </w:tc>
      </w:tr>
      <w:tr>
        <w:trPr>
          <w:cantSplit/>
        </w:trPr>
        <w:tc>
          <w:tcPr>
            <w:tcW w:type="dxa" w:w="3720"/>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סעיף 3 – כריכה</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חשבד"ר</w:t>
            </w:r>
          </w:p>
        </w:tc>
        <w:tc>
          <w:tcPr>
            <w:tcW w:type="dxa" w:w="403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תביעת גירושין + מבחן משולש</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ראו פרק 3</w:t>
            </w:r>
          </w:p>
        </w:tc>
      </w:tr>
      <w:tr>
        <w:trPr>
          <w:cantSplit/>
        </w:trPr>
        <w:tc>
          <w:tcPr>
            <w:tcW w:type="dxa" w:w="3720"/>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4 – מזונות אישה</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חשבד"ר</w:t>
            </w:r>
          </w:p>
        </w:tc>
        <w:tc>
          <w:tcPr>
            <w:tcW w:type="dxa" w:w="403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אישה יהודייה + זיקה לישראל</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ראו פרק 3</w:t>
            </w:r>
          </w:p>
        </w:tc>
      </w:tr>
      <w:tr>
        <w:trPr>
          <w:cantSplit/>
        </w:trPr>
        <w:tc>
          <w:tcPr>
            <w:tcW w:type="dxa" w:w="3720"/>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סעיפים 4א, 4ב(1) – סמכות בין-לאומית</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חשבד"ר</w:t>
            </w:r>
          </w:p>
        </w:tc>
        <w:tc>
          <w:tcPr>
            <w:tcW w:type="dxa" w:w="403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החלופות שבחוק</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ראו פרק 2</w:t>
            </w:r>
          </w:p>
        </w:tc>
      </w:tr>
      <w:tr>
        <w:trPr>
          <w:cantSplit/>
        </w:trPr>
        <w:tc>
          <w:tcPr>
            <w:tcW w:type="dxa" w:w="3720"/>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סמכות נמשכת</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פסיקה</w:t>
            </w:r>
          </w:p>
        </w:tc>
        <w:tc>
          <w:tcPr>
            <w:tcW w:type="dxa" w:w="403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נושא מתמשך + שינוי נסיבות + אותה ערכאה</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פרק זה</w:t>
            </w:r>
          </w:p>
        </w:tc>
      </w:tr>
      <w:tr>
        <w:trPr>
          <w:cantSplit/>
        </w:trPr>
        <w:tc>
          <w:tcPr>
            <w:tcW w:type="dxa" w:w="3720"/>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סעיף 9 – הסכמה</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חשבד"ר</w:t>
            </w:r>
          </w:p>
        </w:tc>
        <w:tc>
          <w:tcPr>
            <w:tcW w:type="dxa" w:w="403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ענייני מעמד אישי + הסכמת כל הצדדים</w:t>
            </w:r>
          </w:p>
        </w:tc>
        <w:tc>
          <w:tcPr>
            <w:tcW w:type="dxa" w:w="12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פרק זה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תביעה שנייה – לא מחפשים כריכה</w:t>
            </w:r>
          </w:p>
          <w:p>
            <w:pPr>
              <w:bidi/>
              <w:spacing w:before="0" w:after="60" w:line="300" w:lineRule="auto"/>
              <w:jc w:val="both"/>
            </w:pPr>
            <w:r>
              <w:rPr>
                <w:rFonts w:ascii="Arial" w:hAnsi="Arial" w:cs="Arial" w:eastAsia="Arial"/>
                <w:color w:val="1F2430"/>
                <w:sz w:val="18"/>
                <w:szCs w:val="18"/>
                <w:rtl/>
              </w:rPr>
              <w:t>באירוע שבו יש "תביעה שנייה" אחרי פסק דין או הסכם, בדרך כלל אין עוד תביעת גירושין תלויה ועומדת, ולכן אין למה לכרוך. שאלו: האם יש סמכות נמשכת? הסכמה לפי סעיף 9? תביעה מכוח מעמדו העצמאי של הקטין?</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4.2 סמכות נמשכת</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הכלל: סופיות הדיון – והחריג של דיני המשפחה</w:t>
      </w:r>
    </w:p>
    <w:p>
      <w:pPr>
        <w:bidi/>
        <w:spacing w:before="0" w:after="100" w:line="300" w:lineRule="auto"/>
        <w:jc w:val="both"/>
      </w:pPr>
      <w:r>
        <w:rPr>
          <w:rFonts w:ascii="Arial" w:hAnsi="Arial" w:cs="Arial" w:eastAsia="Arial"/>
          <w:color w:val="1F2430"/>
          <w:sz w:val="19"/>
          <w:szCs w:val="19"/>
          <w:rtl/>
        </w:rPr>
        <w:t xml:space="preserve">במשפט הישראלי חל בדרך כלל עקרון </w:t>
      </w:r>
      <w:r>
        <w:rPr>
          <w:rFonts w:ascii="Arial" w:hAnsi="Arial" w:cs="Arial" w:eastAsia="Arial"/>
          <w:color w:val="1F2430"/>
          <w:sz w:val="19"/>
          <w:szCs w:val="19"/>
          <w:highlight w:val="yellow"/>
          <w:rtl/>
        </w:rPr>
        <w:t>מעשה בית דין וסופיות הדיון</w:t>
      </w:r>
      <w:r>
        <w:rPr>
          <w:rFonts w:ascii="Arial" w:hAnsi="Arial" w:cs="Arial" w:eastAsia="Arial"/>
          <w:color w:val="1F2430"/>
          <w:sz w:val="19"/>
          <w:szCs w:val="19"/>
          <w:rtl/>
        </w:rPr>
        <w:t>: משניתן פסק דין, אי אפשר לפתוח את אותו עניין שוב ושוב. יש חשיבות לכך שבשלב מסוים הסכסוך ייגמר ותהיה יציבות.</w:t>
      </w:r>
    </w:p>
    <w:p>
      <w:pPr>
        <w:bidi/>
        <w:spacing w:before="0" w:after="100" w:line="300" w:lineRule="auto"/>
        <w:jc w:val="both"/>
      </w:pPr>
      <w:r>
        <w:rPr>
          <w:rFonts w:ascii="Arial" w:hAnsi="Arial" w:cs="Arial" w:eastAsia="Arial"/>
          <w:color w:val="1F2430"/>
          <w:sz w:val="19"/>
          <w:szCs w:val="19"/>
          <w:rtl/>
        </w:rPr>
        <w:t xml:space="preserve">בדיני המשפחה קבעה הפסיקה חריג. יש נושאים שהם </w:t>
      </w:r>
      <w:r>
        <w:rPr>
          <w:rFonts w:ascii="Arial" w:hAnsi="Arial" w:cs="Arial" w:eastAsia="Arial"/>
          <w:color w:val="1F2430"/>
          <w:sz w:val="19"/>
          <w:szCs w:val="19"/>
          <w:highlight w:val="yellow"/>
          <w:rtl/>
        </w:rPr>
        <w:t>מתמשכים מטבעם</w:t>
      </w:r>
      <w:r>
        <w:rPr>
          <w:rFonts w:ascii="Arial" w:hAnsi="Arial" w:cs="Arial" w:eastAsia="Arial"/>
          <w:color w:val="1F2430"/>
          <w:sz w:val="19"/>
          <w:szCs w:val="19"/>
          <w:rtl/>
        </w:rPr>
        <w:t>: פסק הדין בהם אינו מסדיר אירוע שהסתיים, אלא קובע הסדר חודשי לעתיד. המציאות שעליה התבסס פסק הדין יכולה להשתנות, ולכן שינוי מהותי במציאות יכול להצדיק שינוי בהחלטה. כפי שתואר בתרגול: "כל לקוח הוא כרטיסייה" – התיק אינו נסגר לעולם בנושאים אלה.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נמשכת</w:t>
            </w:r>
          </w:p>
          <w:p>
            <w:pPr>
              <w:bidi/>
              <w:spacing w:before="0" w:after="60" w:line="300" w:lineRule="auto"/>
              <w:jc w:val="both"/>
            </w:pPr>
            <w:r>
              <w:rPr>
                <w:rFonts w:ascii="Arial" w:hAnsi="Arial" w:cs="Arial" w:eastAsia="Arial"/>
                <w:color w:val="1F2430"/>
                <w:sz w:val="18"/>
                <w:szCs w:val="18"/>
                <w:rtl/>
              </w:rPr>
              <w:t>סמכותה של הערכאה שדנה ופסקה בעניין מתמשך (משמורת, מזונות אישה, מזונות ילדים) לשוב ולדון בו כאשר חל שינוי נסיבות מהותי, בלי שהצד הפונה צריך להראות מחדש מקור סמכות (כריכה או הסכמה). הסמכות אינה כתובה בחוק – היא יציר הפסיקה, ולכן מכונה "דלת צדדית".</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שלושת הנושאים המתמשכים – ורק הם</w:t>
      </w:r>
    </w:p>
    <w:p>
      <w:pPr>
        <w:bidi/>
        <w:spacing w:before="0" w:after="100" w:line="300" w:lineRule="auto"/>
        <w:jc w:val="both"/>
      </w:pPr>
      <w:r>
        <w:rPr>
          <w:rFonts w:ascii="Arial" w:hAnsi="Arial" w:cs="Arial" w:eastAsia="Arial"/>
          <w:color w:val="1F2430"/>
          <w:sz w:val="19"/>
          <w:szCs w:val="19"/>
          <w:rtl/>
        </w:rPr>
        <w:t>לפי מה שנלמד בקורס, סמכות נמשכת קיימת בשלושה נושאים בלבד:</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משמורת / החזקת ילדים</w:t>
      </w:r>
      <w:r>
        <w:rPr>
          <w:rFonts w:ascii="Arial" w:hAnsi="Arial" w:cs="Arial" w:eastAsia="Arial"/>
          <w:color w:val="1F2430"/>
          <w:sz w:val="19"/>
          <w:szCs w:val="19"/>
          <w:rtl/>
        </w:rPr>
        <w:t xml:space="preserve"> – הקביעה חלה לכל ימי קטנותו של הקטין, ולכן היא "עילה נמשכת".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מזונות אישה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b/>
          <w:bCs/>
          <w:color w:val="1F2430"/>
          <w:sz w:val="19"/>
          <w:szCs w:val="19"/>
          <w:rtl/>
        </w:rPr>
        <w:t>מזונות ילדים</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color w:val="1F2430"/>
          <w:sz w:val="19"/>
          <w:szCs w:val="19"/>
          <w:rtl/>
        </w:rPr>
        <w:t>למה דווקא אלה? כי אלה פסקי דין שנמשכים מחודש לחודש.</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רכוש – אין סמכות נמשכת!</w:t>
            </w:r>
          </w:p>
          <w:p>
            <w:pPr>
              <w:bidi/>
              <w:spacing w:before="0" w:after="60" w:line="300" w:lineRule="auto"/>
              <w:jc w:val="both"/>
            </w:pPr>
            <w:r>
              <w:rPr>
                <w:rFonts w:ascii="Arial" w:hAnsi="Arial" w:cs="Arial" w:eastAsia="Arial"/>
                <w:color w:val="1F2430"/>
                <w:sz w:val="18"/>
                <w:szCs w:val="18"/>
                <w:rtl/>
              </w:rPr>
              <w:t xml:space="preserve">זו אחת הנקודות החשובות בפרק. </w:t>
            </w:r>
            <w:r>
              <w:rPr>
                <w:rFonts w:ascii="Arial" w:hAnsi="Arial" w:cs="Arial" w:eastAsia="Arial"/>
                <w:b/>
                <w:bCs/>
                <w:color w:val="1F2430"/>
                <w:sz w:val="18"/>
                <w:szCs w:val="18"/>
                <w:rtl/>
              </w:rPr>
              <w:t>חלוקת רכוש אינה פסק דין מתמשך.</w:t>
            </w:r>
            <w:r>
              <w:rPr>
                <w:rFonts w:ascii="Arial" w:hAnsi="Arial" w:cs="Arial" w:eastAsia="Arial"/>
                <w:color w:val="1F2430"/>
                <w:sz w:val="18"/>
                <w:szCs w:val="18"/>
                <w:rtl/>
              </w:rPr>
              <w:t xml:space="preserve"> אם חילקו את הדירה, החשבונות והכספים – העניין הסתיים. לכן אי אפשר לפתוח מחדש חלוקת רכוש רק משום שהנסיבות השתנו. הפרופ' חידד זאת בתשובה לשאלת סטודנט: ברכוש מדובר ב"פסק דין סופי ואי אפשר לפתוח אותו משום עילה".</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לאיזו ערכאה חוזרים? "דן ופסק" ועקרון הכיבוד ההדדי</w:t>
      </w:r>
    </w:p>
    <w:p>
      <w:pPr>
        <w:bidi/>
        <w:spacing w:before="0" w:after="100" w:line="300" w:lineRule="auto"/>
        <w:jc w:val="both"/>
      </w:pPr>
      <w:r>
        <w:rPr>
          <w:rFonts w:ascii="Arial" w:hAnsi="Arial" w:cs="Arial" w:eastAsia="Arial"/>
          <w:color w:val="1F2430"/>
          <w:sz w:val="19"/>
          <w:szCs w:val="19"/>
          <w:rtl/>
        </w:rPr>
        <w:t>נניח שהיה תיק בבית הדין הרבני, ניתן פסק דין, ולאחר מכן חל שינוי נסיבות מהותי. האם הצד המעוניין בשינוי יכול לבחור עכשיו ללכת לבית המשפט לענייני משפחה?</w:t>
      </w:r>
    </w:p>
    <w:p>
      <w:pPr>
        <w:bidi/>
        <w:spacing w:before="0" w:after="100" w:line="300" w:lineRule="auto"/>
        <w:jc w:val="both"/>
      </w:pPr>
      <w:r>
        <w:rPr>
          <w:rFonts w:ascii="Arial" w:hAnsi="Arial" w:cs="Arial" w:eastAsia="Arial"/>
          <w:color w:val="1F2430"/>
          <w:sz w:val="19"/>
          <w:szCs w:val="19"/>
          <w:rtl/>
        </w:rPr>
        <w:t xml:space="preserve">התשובה: </w:t>
      </w:r>
      <w:r>
        <w:rPr>
          <w:rFonts w:ascii="Arial" w:hAnsi="Arial" w:cs="Arial" w:eastAsia="Arial"/>
          <w:color w:val="1F2430"/>
          <w:sz w:val="19"/>
          <w:szCs w:val="19"/>
          <w:highlight w:val="yellow"/>
          <w:rtl/>
        </w:rPr>
        <w:t>אם הערכאה הראשונה באמת דנה ופסקה בעניין – הסמכות שלה נמשכת</w:t>
      </w:r>
      <w:r>
        <w:rPr>
          <w:rFonts w:ascii="Arial" w:hAnsi="Arial" w:cs="Arial" w:eastAsia="Arial"/>
          <w:color w:val="1F2430"/>
          <w:sz w:val="19"/>
          <w:szCs w:val="19"/>
          <w:rtl/>
        </w:rPr>
        <w:t>, ויש לחזור לאותה ערכאה. "דן ופסק" פירושו שהתקיים דיון אמיתי: נשמעו טענות, אולי התקבלו חוות דעת – ולא רק ניתן אישור טכני. הכלל נובע גם מ</w:t>
      </w:r>
      <w:r>
        <w:rPr>
          <w:rFonts w:ascii="Arial" w:hAnsi="Arial" w:cs="Arial" w:eastAsia="Arial"/>
          <w:b/>
          <w:bCs/>
          <w:color w:val="1F2430"/>
          <w:sz w:val="19"/>
          <w:szCs w:val="19"/>
          <w:rtl/>
        </w:rPr>
        <w:t>עקרון הכיבוד ההדדי בין הערכאות</w:t>
      </w:r>
      <w:r>
        <w:rPr>
          <w:rFonts w:ascii="Arial" w:hAnsi="Arial" w:cs="Arial" w:eastAsia="Arial"/>
          <w:color w:val="1F2430"/>
          <w:sz w:val="19"/>
          <w:szCs w:val="19"/>
          <w:rtl/>
        </w:rPr>
        <w:t xml:space="preserve"> ומשיקולי יעילות: הערכאה הראשונה כבר מכירה את התיק.</w:t>
      </w:r>
    </w:p>
    <w:p>
      <w:pPr>
        <w:bidi/>
        <w:spacing w:before="0" w:after="100" w:line="300" w:lineRule="auto"/>
        <w:jc w:val="both"/>
      </w:pPr>
      <w:r>
        <w:rPr>
          <w:rFonts w:ascii="Arial" w:hAnsi="Arial" w:cs="Arial" w:eastAsia="Arial"/>
          <w:color w:val="1F2430"/>
          <w:sz w:val="19"/>
          <w:szCs w:val="19"/>
          <w:rtl/>
        </w:rPr>
        <w:t xml:space="preserve">הנקודה המעשית החשובה: כשחוזרים לאותה ערכאה </w:t>
      </w:r>
      <w:r>
        <w:rPr>
          <w:rFonts w:ascii="Arial" w:hAnsi="Arial" w:cs="Arial" w:eastAsia="Arial"/>
          <w:b/>
          <w:bCs/>
          <w:color w:val="1F2430"/>
          <w:sz w:val="19"/>
          <w:szCs w:val="19"/>
          <w:rtl/>
        </w:rPr>
        <w:t>אין צורך להראות שוב כריכה או הסכמה</w:t>
      </w:r>
      <w:r>
        <w:rPr>
          <w:rFonts w:ascii="Arial" w:hAnsi="Arial" w:cs="Arial" w:eastAsia="Arial"/>
          <w:color w:val="1F2430"/>
          <w:sz w:val="19"/>
          <w:szCs w:val="19"/>
          <w:rtl/>
        </w:rPr>
        <w:t>. הסמכות אינה נובעת מכריכה חדשה, אלא מכך ש"היינו כאן בעבר, הערכאה דנה ופסקה, ולכן היא ממשיכה לדון בנושא". הצד הפונה "מתלבש" על תיק קיים. כך, למשל, אם הדיון הראשון הגיע לבית הדין מכוח כריכה או מכוח הסכמה – בפעם השנייה לא צריך שוב לא כריכה ולא הסכמה.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יוסי וחדווה – סמכות נמשכת גם אחרי עזיבת הארץ</w:t>
            </w:r>
          </w:p>
          <w:p>
            <w:pPr>
              <w:bidi/>
              <w:spacing w:before="0" w:after="60" w:line="300" w:lineRule="auto"/>
              <w:jc w:val="both"/>
            </w:pPr>
            <w:r>
              <w:rPr>
                <w:rFonts w:ascii="Arial" w:hAnsi="Arial" w:cs="Arial" w:eastAsia="Arial"/>
                <w:color w:val="1F2430"/>
                <w:sz w:val="18"/>
                <w:szCs w:val="18"/>
                <w:rtl/>
              </w:rPr>
              <w:t xml:space="preserve">יוסי וחדווה ניהלו בבית הדין הרבני הליך גירושין בכריכה. לאחר שנים עזבו את הארץ, מכרו את רכושם, ואינם עוד אזרחים או תושבים: חדווה גרה במנהטן ויוסי בסין, והכנסותיו גדלו פלאים. חדווה רוצה להגיש תביעה להגדלת מזונות. לאן? </w:t>
            </w:r>
            <w:r>
              <w:rPr>
                <w:rFonts w:ascii="Arial" w:hAnsi="Arial" w:cs="Arial" w:eastAsia="Arial"/>
                <w:b/>
                <w:bCs/>
                <w:color w:val="1F2430"/>
                <w:sz w:val="18"/>
                <w:szCs w:val="18"/>
                <w:rtl/>
              </w:rPr>
              <w:t>לבית הדין הרבני – מכוח סמכות נמשכת.</w:t>
            </w:r>
            <w:r>
              <w:rPr>
                <w:rFonts w:ascii="Arial" w:hAnsi="Arial" w:cs="Arial" w:eastAsia="Arial"/>
                <w:color w:val="1F2430"/>
                <w:sz w:val="18"/>
                <w:szCs w:val="18"/>
                <w:rtl/>
              </w:rPr>
              <w:t xml:space="preserve"> אין צורך לבדוק מחדש את תנאי סעיף 1 – זו המשך של הסמכות שכבר נקנתה.</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תנאי הסמכות הנמשכת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הנוסחה</w:t>
            </w:r>
          </w:p>
          <w:p>
            <w:pPr>
              <w:bidi/>
              <w:spacing w:before="0" w:after="60" w:line="300" w:lineRule="auto"/>
              <w:jc w:val="both"/>
            </w:pPr>
            <w:r>
              <w:rPr>
                <w:rFonts w:ascii="Arial" w:hAnsi="Arial" w:cs="Arial" w:eastAsia="Arial"/>
                <w:b/>
                <w:bCs/>
                <w:color w:val="1F2430"/>
                <w:sz w:val="18"/>
                <w:szCs w:val="18"/>
                <w:rtl/>
              </w:rPr>
              <w:t>סמכות נמשכת = נושא מתמשך + שינוי נסיבות מהותי + אותה ערכאה.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בתגבור פורקו התנאים לפרטים, וכדאי להכירם:</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color w:val="1F2430"/>
          <w:sz w:val="19"/>
          <w:szCs w:val="19"/>
          <w:rtl/>
        </w:rPr>
        <w:t xml:space="preserve">הערכאה ישבה בתיק המקורי, </w:t>
      </w:r>
      <w:r>
        <w:rPr>
          <w:rFonts w:ascii="Arial" w:hAnsi="Arial" w:cs="Arial" w:eastAsia="Arial"/>
          <w:b/>
          <w:bCs/>
          <w:color w:val="1F2430"/>
          <w:sz w:val="19"/>
          <w:szCs w:val="19"/>
          <w:rtl/>
        </w:rPr>
        <w:t>קיבלה</w:t>
      </w:r>
      <w:r>
        <w:rPr>
          <w:rFonts w:ascii="Arial" w:hAnsi="Arial" w:cs="Arial" w:eastAsia="Arial"/>
          <w:color w:val="1F2430"/>
          <w:sz w:val="19"/>
          <w:szCs w:val="19"/>
          <w:rtl/>
        </w:rPr>
        <w:t xml:space="preserve"> את התביעה ונתנה פסק דין לעתיד (ולא דחתה אותה).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color w:val="1F2430"/>
          <w:sz w:val="19"/>
          <w:szCs w:val="19"/>
          <w:rtl/>
        </w:rPr>
        <w:t>הנושא בעל אופי מתמשך – מזונות אישה, מזונות ילדים, משמורת.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color w:val="1F2430"/>
          <w:sz w:val="19"/>
          <w:szCs w:val="19"/>
          <w:rtl/>
        </w:rPr>
        <w:t>שינוי נסיבות מהותי – "מסד הנתונים" שעמד לפני הערכאה ביום פסק הדין השתנה באופן מהותי.</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color w:val="1F2430"/>
          <w:sz w:val="19"/>
          <w:szCs w:val="19"/>
          <w:rtl/>
        </w:rPr>
        <w:t>"דן ופסק" – הערכאה באמת הכירה את התיק ודנה בו לעומק, ולא רק נתנה תוקף בלי לנהל הליך.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סמכות נמשכת אינה רק של בית הדין הרבני</w:t>
            </w:r>
          </w:p>
          <w:p>
            <w:pPr>
              <w:bidi/>
              <w:spacing w:before="0" w:after="60" w:line="300" w:lineRule="auto"/>
              <w:jc w:val="both"/>
            </w:pPr>
            <w:r>
              <w:rPr>
                <w:rFonts w:ascii="Arial" w:hAnsi="Arial" w:cs="Arial" w:eastAsia="Arial"/>
                <w:color w:val="1F2430"/>
                <w:sz w:val="18"/>
                <w:szCs w:val="18"/>
                <w:rtl/>
              </w:rPr>
              <w:t xml:space="preserve">באחד מחומרי העזר (התגבור) נכתב שהסמכות הנמשכת "שייכת רק לבית הדין הדתי". לפי מה שנלמד בקורס, הכלל הוא כללי: </w:t>
            </w:r>
            <w:r>
              <w:rPr>
                <w:rFonts w:ascii="Arial" w:hAnsi="Arial" w:cs="Arial" w:eastAsia="Arial"/>
                <w:b/>
                <w:bCs/>
                <w:color w:val="1F2430"/>
                <w:sz w:val="18"/>
                <w:szCs w:val="18"/>
                <w:rtl/>
              </w:rPr>
              <w:t>הערכאה שדנה ופסקה</w:t>
            </w:r>
            <w:r>
              <w:rPr>
                <w:rFonts w:ascii="Arial" w:hAnsi="Arial" w:cs="Arial" w:eastAsia="Arial"/>
                <w:color w:val="1F2430"/>
                <w:sz w:val="18"/>
                <w:szCs w:val="18"/>
                <w:rtl/>
              </w:rPr>
              <w:t xml:space="preserve"> – בין אם בית הדין הרבני ובין אם בית המשפט לענייני משפחה – היא שתדון בשינוי הנסיבות. בשאלות אמריקאיות הניסוח הנכון הוא בדרך כלל "בשינוי נסיבות ניתן להגיש תביעה לבית הדין הרבני אם התביעה הראשונית התנהלה בו".</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מהו "שינוי נסיבות מהותי"?</w:t>
      </w:r>
    </w:p>
    <w:p>
      <w:pPr>
        <w:bidi/>
        <w:spacing w:before="0" w:after="100" w:line="300" w:lineRule="auto"/>
        <w:jc w:val="both"/>
      </w:pPr>
      <w:r>
        <w:rPr>
          <w:rFonts w:ascii="Arial" w:hAnsi="Arial" w:cs="Arial" w:eastAsia="Arial"/>
          <w:color w:val="1F2430"/>
          <w:sz w:val="19"/>
          <w:szCs w:val="19"/>
          <w:rtl/>
        </w:rPr>
        <w:t>אין רשימה סגורה, ומי שמחליט אם השינוי מהותי הוא בית המשפט או בית הדין. דוגמאות שעלו בקורס:</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מעבר מגורים</w:t>
      </w:r>
      <w:r>
        <w:rPr>
          <w:rFonts w:ascii="Arial" w:hAnsi="Arial" w:cs="Arial" w:eastAsia="Arial"/>
          <w:color w:val="1F2430"/>
          <w:sz w:val="19"/>
          <w:szCs w:val="19"/>
          <w:rtl/>
        </w:rPr>
        <w:t>: בני זוג התגרשו והסכימו לגור במרחק של עד 20 ק"מ זה מזה כדי לא להקשות על הילדים. אחרי שנה האישה רוצה לעבור לצפון. המעבר יכול לשנות לחלוטין את סדרי החיים של הילדים, ולכן אפשר לבקש לפתוח את הנושא מחדש.</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פיטורין</w:t>
      </w:r>
      <w:r>
        <w:rPr>
          <w:rFonts w:ascii="Arial" w:hAnsi="Arial" w:cs="Arial" w:eastAsia="Arial"/>
          <w:color w:val="1F2430"/>
          <w:sz w:val="19"/>
          <w:szCs w:val="19"/>
          <w:rtl/>
        </w:rPr>
        <w:t>: ראובן כרך הכול לתביעת גירושין, כולל מזונות ילדים; ניתן פסק דין וגט. לאחר שלוש שנים פוטר ומרוויח הרבה פחות. עליו להגיש תביעה להפחתת מזונות – לבית הדין הרבני, שדן ופסק. סעיף 1 לא תופס (הם כבר גרושים), סעיף 3 מחייב תביעת גירושין, ואין הסכמה לפי סעיף 9 – ולכן הדלת היחידה היא הסמכות הנמשכת.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בגידה אחרי פסק דין למזונות אישה</w:t>
      </w:r>
      <w:r>
        <w:rPr>
          <w:rFonts w:ascii="Arial" w:hAnsi="Arial" w:cs="Arial" w:eastAsia="Arial"/>
          <w:color w:val="1F2430"/>
          <w:sz w:val="19"/>
          <w:szCs w:val="19"/>
          <w:rtl/>
        </w:rPr>
        <w:t>: בני זוג פרודים, ניתן פסק דין למזונות אישה עד הגט, הגט טרם ניתן, והאישה בגדה. הפרופ' השיב: "בוודאי – זה שינוי נסיבות", אם כי ייתכן שהבעל עדיין יחויב אם היא "מעוכבת" מחמתו להינשא (כשהוא מעכב את הגט). הדין המהותי – ראו פרק 6.</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שינוי הלכה אינו כשלעצמו שינוי נסיבות</w:t>
      </w:r>
      <w:r>
        <w:rPr>
          <w:rFonts w:ascii="Arial" w:hAnsi="Arial" w:cs="Arial" w:eastAsia="Arial"/>
          <w:color w:val="1F2430"/>
          <w:sz w:val="19"/>
          <w:szCs w:val="19"/>
          <w:rtl/>
        </w:rPr>
        <w:t>: לפי המקראה, הלכת בע"מ 919/15 (מזונות ילדים) אינה כשלעצמה שינוי נסיבות מהותי. צריך קודם שינוי עובדתי מהותי (למשל, הילדים עוברים לגור יותר אצל האב), ורק אז תיושם ההלכה החדשה ביחס לרכיב שהשתנה. ראו פרק 10.</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4.3 סעיף 9 לחשבד"ר – סמכות מכוח הסכמה</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נוסח הסעיף ומשמעותו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רבניים (נישואין וגירושין), סעיף 9 – שיפוט על פי הסכמה</w:t>
            </w:r>
          </w:p>
          <w:p>
            <w:pPr>
              <w:bidi/>
              <w:spacing w:before="0" w:after="60" w:line="300" w:lineRule="auto"/>
              <w:jc w:val="both"/>
            </w:pPr>
            <w:r>
              <w:rPr>
                <w:rFonts w:ascii="Arial" w:hAnsi="Arial" w:cs="Arial" w:eastAsia="Arial"/>
                <w:color w:val="1F2430"/>
                <w:sz w:val="18"/>
                <w:szCs w:val="18"/>
                <w:rtl/>
              </w:rPr>
              <w:t>"בעניני המעמד האישי של יהודים כמפורט בסעיף 51 ל'דבר המלך במועצתו על ארץ-ישראל 1947-1922' או בפקודת הירושה, אשר בהם אין לבית דין רבני שיפוט יחודי לפי חוק זה, יהא לבית דין רבני שיפוט לאחר שכל הצדדים הנוגעים בדבר הביעו הסכמתם לכך."</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סעיף 9 מאפשר להביא לבית הדין הרבני </w:t>
      </w:r>
      <w:r>
        <w:rPr>
          <w:rFonts w:ascii="Arial" w:hAnsi="Arial" w:cs="Arial" w:eastAsia="Arial"/>
          <w:color w:val="1F2430"/>
          <w:sz w:val="19"/>
          <w:szCs w:val="19"/>
          <w:highlight w:val="yellow"/>
          <w:rtl/>
        </w:rPr>
        <w:t>תביעה עצמאית ("בודדת")</w:t>
      </w:r>
      <w:r>
        <w:rPr>
          <w:rFonts w:ascii="Arial" w:hAnsi="Arial" w:cs="Arial" w:eastAsia="Arial"/>
          <w:color w:val="1F2430"/>
          <w:sz w:val="19"/>
          <w:szCs w:val="19"/>
          <w:rtl/>
        </w:rPr>
        <w:t xml:space="preserve"> – כלומר בלי תביעת גירושין ובלי כריכה – בענייני מעמד אישי, ובלבד ש</w:t>
      </w:r>
      <w:r>
        <w:rPr>
          <w:rFonts w:ascii="Arial" w:hAnsi="Arial" w:cs="Arial" w:eastAsia="Arial"/>
          <w:b/>
          <w:bCs/>
          <w:color w:val="1F2430"/>
          <w:sz w:val="19"/>
          <w:szCs w:val="19"/>
          <w:rtl/>
        </w:rPr>
        <w:t>כל הצדדים</w:t>
      </w:r>
      <w:r>
        <w:rPr>
          <w:rFonts w:ascii="Arial" w:hAnsi="Arial" w:cs="Arial" w:eastAsia="Arial"/>
          <w:color w:val="1F2430"/>
          <w:sz w:val="19"/>
          <w:szCs w:val="19"/>
          <w:rtl/>
        </w:rPr>
        <w:t xml:space="preserve"> מסכימים. מכאן ארבעה רכיבים:</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ענייני מעמד אישי</w:t>
      </w:r>
      <w:r>
        <w:rPr>
          <w:rFonts w:ascii="Arial" w:hAnsi="Arial" w:cs="Arial" w:eastAsia="Arial"/>
          <w:color w:val="1F2430"/>
          <w:sz w:val="19"/>
          <w:szCs w:val="19"/>
          <w:rtl/>
        </w:rPr>
        <w:t xml:space="preserve"> – כפי שהם מפורטים בסימן 51 לדבר המלך במועצתו, או ענייני ירושה לפי פקודת הירושה.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של יהודים</w:t>
      </w:r>
      <w:r>
        <w:rPr>
          <w:rFonts w:ascii="Arial" w:hAnsi="Arial" w:cs="Arial" w:eastAsia="Arial"/>
          <w:color w:val="1F2430"/>
          <w:sz w:val="19"/>
          <w:szCs w:val="19"/>
          <w:rtl/>
        </w:rPr>
        <w:t xml:space="preserve"> – כל הצדדים יהודים (ראו סרגובי להלן).</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b/>
          <w:bCs/>
          <w:color w:val="1F2430"/>
          <w:sz w:val="19"/>
          <w:szCs w:val="19"/>
          <w:rtl/>
        </w:rPr>
        <w:t>עניינים שאין בהם לבית הדין סמכות ייחודית</w:t>
      </w:r>
      <w:r>
        <w:rPr>
          <w:rFonts w:ascii="Arial" w:hAnsi="Arial" w:cs="Arial" w:eastAsia="Arial"/>
          <w:color w:val="1F2430"/>
          <w:sz w:val="19"/>
          <w:szCs w:val="19"/>
          <w:rtl/>
        </w:rPr>
        <w:t xml:space="preserve"> – סעיף 9 נועד לעניינים שבסמכות מקבילה; בענייני הנישואין והגירושין עצמם הסמכות כבר ייחודית מכוח סעיף 1.</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b/>
          <w:bCs/>
          <w:color w:val="1F2430"/>
          <w:sz w:val="19"/>
          <w:szCs w:val="19"/>
          <w:rtl/>
        </w:rPr>
        <w:t>הסכמת כל הצדדים הנוגעים בדבר</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מה אפשר להביא בהסכמה?</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משמורת / החזקת ילדים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מזונות קטין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אפוטרופסות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חינוך ועניינים נוספים של הילדים</w:t>
      </w:r>
      <w:r>
        <w:rPr>
          <w:rFonts w:ascii="Arial" w:hAnsi="Arial" w:cs="Arial" w:eastAsia="Arial"/>
          <w:color w:val="1F2430"/>
          <w:sz w:val="19"/>
          <w:szCs w:val="19"/>
          <w:rtl/>
        </w:rPr>
        <w:t xml:space="preserve"> – הפרופ' הבהיר: "אפוטרופסות כולל חינוך, ואפשר בבודדת".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ירושה</w:t>
      </w:r>
      <w:r>
        <w:rPr>
          <w:rFonts w:ascii="Arial" w:hAnsi="Arial" w:cs="Arial" w:eastAsia="Arial"/>
          <w:color w:val="1F2430"/>
          <w:sz w:val="19"/>
          <w:szCs w:val="19"/>
          <w:rtl/>
        </w:rPr>
        <w:t xml:space="preserve"> – בהסכמת כל בני המשפחה הנוגעים בדבר (לפי המקראה, הסכמה בענייני ירושה צריכה להיות בכתב).</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ויכוח על חינוך – בלי גירושין</w:t>
            </w:r>
          </w:p>
          <w:p>
            <w:pPr>
              <w:bidi/>
              <w:spacing w:before="0" w:after="60" w:line="300" w:lineRule="auto"/>
              <w:jc w:val="both"/>
            </w:pPr>
            <w:r>
              <w:rPr>
                <w:rFonts w:ascii="Arial" w:hAnsi="Arial" w:cs="Arial" w:eastAsia="Arial"/>
                <w:color w:val="1F2430"/>
                <w:sz w:val="18"/>
                <w:szCs w:val="18"/>
                <w:rtl/>
              </w:rPr>
              <w:t xml:space="preserve">ראובן ושמעון, זוג יהודים שנישאו כדמו"י בישראל, אזרחים שמרכז חייהם בישראל. אחרי שנים של הרמוניה פרץ ביניהם ויכוח על מוסד החינוך של הילדים. הם לא רוצים להתגרש, אבל מבקשים שבית הדין הרבני יכריע מתוך כבוד לדת. האם בית הדין ידון? </w:t>
            </w:r>
            <w:r>
              <w:rPr>
                <w:rFonts w:ascii="Arial" w:hAnsi="Arial" w:cs="Arial" w:eastAsia="Arial"/>
                <w:b/>
                <w:bCs/>
                <w:color w:val="1F2430"/>
                <w:sz w:val="18"/>
                <w:szCs w:val="18"/>
                <w:rtl/>
              </w:rPr>
              <w:t>כן – מכוח סעיף 9</w:t>
            </w:r>
            <w:r>
              <w:rPr>
                <w:rFonts w:ascii="Arial" w:hAnsi="Arial" w:cs="Arial" w:eastAsia="Arial"/>
                <w:color w:val="1F2430"/>
                <w:sz w:val="18"/>
                <w:szCs w:val="18"/>
                <w:rtl/>
              </w:rPr>
              <w:t>: אפוטרופסות (הכוללת חינוך) היא מענייני המעמד האישי, ושני הצדדים מסכימים. כך גם בין גרושים שמתווכחים על מסגרת הלימודים של הילד.</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רכוש אי אפשר להביא לפי סעיף 9!</w:t>
            </w:r>
          </w:p>
          <w:p>
            <w:pPr>
              <w:bidi/>
              <w:spacing w:before="0" w:after="60" w:line="300" w:lineRule="auto"/>
              <w:jc w:val="both"/>
            </w:pPr>
            <w:r>
              <w:rPr>
                <w:rFonts w:ascii="Arial" w:hAnsi="Arial" w:cs="Arial" w:eastAsia="Arial"/>
                <w:color w:val="1F2430"/>
                <w:sz w:val="18"/>
                <w:szCs w:val="18"/>
                <w:rtl/>
              </w:rPr>
              <w:t xml:space="preserve">גם אם שני בני הזוג אומרים "אנחנו מסכימים שבית הדין הרבני ידון ברכוש שלנו" – זה לא מספיק. סעיף 9 מדבר על </w:t>
            </w:r>
            <w:r>
              <w:rPr>
                <w:rFonts w:ascii="Arial" w:hAnsi="Arial" w:cs="Arial" w:eastAsia="Arial"/>
                <w:b/>
                <w:bCs/>
                <w:color w:val="1F2430"/>
                <w:sz w:val="18"/>
                <w:szCs w:val="18"/>
                <w:rtl/>
              </w:rPr>
              <w:t>ענייני מעמד אישי</w:t>
            </w:r>
            <w:r>
              <w:rPr>
                <w:rFonts w:ascii="Arial" w:hAnsi="Arial" w:cs="Arial" w:eastAsia="Arial"/>
                <w:color w:val="1F2430"/>
                <w:sz w:val="18"/>
                <w:szCs w:val="18"/>
                <w:rtl/>
              </w:rPr>
              <w:t xml:space="preserve">, ורכוש אינו עניין של מעמד אישי. הדרך להביא רכוש לבית הדין הרבני היא בעיקר </w:t>
            </w:r>
            <w:r>
              <w:rPr>
                <w:rFonts w:ascii="Arial" w:hAnsi="Arial" w:cs="Arial" w:eastAsia="Arial"/>
                <w:b/>
                <w:bCs/>
                <w:color w:val="1F2430"/>
                <w:sz w:val="18"/>
                <w:szCs w:val="18"/>
                <w:rtl/>
              </w:rPr>
              <w:t>כריכה כדין לתביעת גירושין</w:t>
            </w:r>
            <w:r>
              <w:rPr>
                <w:rFonts w:ascii="Arial" w:hAnsi="Arial" w:cs="Arial" w:eastAsia="Arial"/>
                <w:color w:val="1F2430"/>
                <w:sz w:val="18"/>
                <w:szCs w:val="18"/>
                <w:rtl/>
              </w:rPr>
              <w:t xml:space="preserve"> (סעיף 3). שאלה אמריקאית נפוצה: "במה שונה הסמכות לעניין רכוש מהסמכות לעניין משמורת?" – התשובה: </w:t>
            </w:r>
            <w:r>
              <w:rPr>
                <w:rFonts w:ascii="Arial" w:hAnsi="Arial" w:cs="Arial" w:eastAsia="Arial"/>
                <w:b/>
                <w:bCs/>
                <w:color w:val="1F2430"/>
                <w:sz w:val="18"/>
                <w:szCs w:val="18"/>
                <w:rtl/>
              </w:rPr>
              <w:t>לעניין סעיף 9</w:t>
            </w:r>
            <w:r>
              <w:rPr>
                <w:rFonts w:ascii="Arial" w:hAnsi="Arial" w:cs="Arial" w:eastAsia="Arial"/>
                <w:color w:val="1F2430"/>
                <w:sz w:val="18"/>
                <w:szCs w:val="18"/>
                <w:rtl/>
              </w:rPr>
              <w:t>. משמורת ואפוטרופסות נכנסות בהסכמה; רכוש – רק בכריכה.</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למה רכוש נכנס בכריכה ולא בהסכמה?</w:t>
      </w:r>
    </w:p>
    <w:p>
      <w:pPr>
        <w:bidi/>
        <w:spacing w:before="0" w:after="100" w:line="300" w:lineRule="auto"/>
        <w:jc w:val="both"/>
      </w:pPr>
      <w:r>
        <w:rPr>
          <w:rFonts w:ascii="Arial" w:hAnsi="Arial" w:cs="Arial" w:eastAsia="Arial"/>
          <w:color w:val="1F2430"/>
          <w:sz w:val="19"/>
          <w:szCs w:val="19"/>
          <w:rtl/>
        </w:rPr>
        <w:t xml:space="preserve">סטודנטים שאלו: אם בכריכה צד אחד יכול להביא רכוש לבית הדין גם בלי הסכמת השני, איך ייתכן שכאשר </w:t>
      </w:r>
      <w:r>
        <w:rPr>
          <w:rFonts w:ascii="Arial" w:hAnsi="Arial" w:cs="Arial" w:eastAsia="Arial"/>
          <w:b/>
          <w:bCs/>
          <w:color w:val="1F2430"/>
          <w:sz w:val="19"/>
          <w:szCs w:val="19"/>
          <w:rtl/>
        </w:rPr>
        <w:t>שניהם</w:t>
      </w:r>
      <w:r>
        <w:rPr>
          <w:rFonts w:ascii="Arial" w:hAnsi="Arial" w:cs="Arial" w:eastAsia="Arial"/>
          <w:color w:val="1F2430"/>
          <w:sz w:val="19"/>
          <w:szCs w:val="19"/>
          <w:rtl/>
        </w:rPr>
        <w:t xml:space="preserve"> מסכימים – אין סמכות? תשובת הפרופ': בסעיף 3 נתן המחוקק סמכות נרחבת מאוד, כי אמר: "אם אתה רוצה כבר להתגרש, בוא ניתן לך לנהל את הכול בבית הדין". לעומת זאת, סעיף 9 עוסק ב</w:t>
      </w:r>
      <w:r>
        <w:rPr>
          <w:rFonts w:ascii="Arial" w:hAnsi="Arial" w:cs="Arial" w:eastAsia="Arial"/>
          <w:b/>
          <w:bCs/>
          <w:color w:val="1F2430"/>
          <w:sz w:val="19"/>
          <w:szCs w:val="19"/>
          <w:rtl/>
        </w:rPr>
        <w:t>תביעות בודדות</w:t>
      </w:r>
      <w:r>
        <w:rPr>
          <w:rFonts w:ascii="Arial" w:hAnsi="Arial" w:cs="Arial" w:eastAsia="Arial"/>
          <w:color w:val="1F2430"/>
          <w:sz w:val="19"/>
          <w:szCs w:val="19"/>
          <w:rtl/>
        </w:rPr>
        <w:t>, ושם המחוקק הגביל את הסמכות לענייני מעמד אישי בלבד.</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מזונות ילדים וסעיף 9</w:t>
      </w:r>
    </w:p>
    <w:p>
      <w:pPr>
        <w:bidi/>
        <w:spacing w:before="0" w:after="100" w:line="300" w:lineRule="auto"/>
        <w:jc w:val="both"/>
      </w:pPr>
      <w:r>
        <w:rPr>
          <w:rFonts w:ascii="Arial" w:hAnsi="Arial" w:cs="Arial" w:eastAsia="Arial"/>
          <w:color w:val="1F2430"/>
          <w:sz w:val="19"/>
          <w:szCs w:val="19"/>
          <w:rtl/>
        </w:rPr>
        <w:t>לפי הלכת שרגאי (ראו פרק 3), מזונות ילדים לעתיד הם זכות עצמאית של הילד, ולכן לא ניתן היה לכרוך אותם (אלא רק מזונות מסוג השבה). לפי המקראה, השופט זוסמן ציין בשרגאי שהדרך להקנות לבית הדין סמכות בהם היא ההסכמה לפי סעיף 9 – "רק מכוח הסכמה הדדית של הזוג ולא ככריכה של צד אחד". על השינויים בחקיקה בעניין כריכת מזונות ילדים – ראו פרק 3.</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זוג תיירים יהודים – כשתנאי מתנאי סעיף 1 חסר</w:t>
      </w:r>
    </w:p>
    <w:p>
      <w:pPr>
        <w:bidi/>
        <w:spacing w:before="0" w:after="100" w:line="300" w:lineRule="auto"/>
        <w:jc w:val="both"/>
      </w:pPr>
      <w:r>
        <w:rPr>
          <w:rFonts w:ascii="Arial" w:hAnsi="Arial" w:cs="Arial" w:eastAsia="Arial"/>
          <w:color w:val="1F2430"/>
          <w:sz w:val="19"/>
          <w:szCs w:val="19"/>
          <w:rtl/>
        </w:rPr>
        <w:t xml:space="preserve">נניח ששני בני הזוג יהודים, אבל הם אינם אזרחי ישראל ואינם תושביה – הם בישראל כתיירים – והם רוצים להתגרש בבית הדין הרבני בהסכמה. הם לא נכנסים בהכרח לסעיף 1, ועולה האפשרות להסתמך על סעיף 9. לפי סיכום 2026, </w:t>
      </w:r>
      <w:r>
        <w:rPr>
          <w:rFonts w:ascii="Arial" w:hAnsi="Arial" w:cs="Arial" w:eastAsia="Arial"/>
          <w:color w:val="1F2430"/>
          <w:sz w:val="19"/>
          <w:szCs w:val="19"/>
          <w:highlight w:val="yellow"/>
          <w:rtl/>
        </w:rPr>
        <w:t>הנטייה היא לאפשר זאת כאשר יש הסכמה</w:t>
      </w:r>
      <w:r>
        <w:rPr>
          <w:rFonts w:ascii="Arial" w:hAnsi="Arial" w:cs="Arial" w:eastAsia="Arial"/>
          <w:color w:val="1F2430"/>
          <w:sz w:val="19"/>
          <w:szCs w:val="19"/>
          <w:rtl/>
        </w:rPr>
        <w:t>. המקראה מציינת שלא הייתה הכרעה חד-משמעית בשאלה, אך "כנראה שבית דין רבני לא יגיד שהוא לא מקבל את הצדדים כאשר יש הסכמה".</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בג"ץ סרגובי – האם זוג מעורב יכול להתגרש בבית הדין הרבני בהסכמה?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9476/96 סרגובי נ' בית הדין הרבני ומנהל האוכלוסין (2006)</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בשנות ה-90, בתקופת העלייה הגדולה מרוסיה, הגיעו מאות זוגות מעורבים (יהודי ושאינה יהודייה, או להפך) לבית הדין הרבני וביקשו בהסכמה להתגרש. בית הדין, שבעיניו קשר כזה הוא איסור דתי, ביצע את הגירושין. לזוגות זה היה נוח ומהיר: לפי ההלכה הנישואין כלל לא תופסים, ובית הדין מוציא מיד צו למרשם האוכלוסין. הוגשה עתירה ציבורית לבג"ץ. העתירה הוגשה ב-1996 ופסק הדין ניתן רק ב-2006: הנשיא ברק המתין כעשור לתשובת המדינה ולבסוף הכריע בעצמו.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סעיף 9 חל </w:t>
            </w:r>
            <w:r>
              <w:rPr>
                <w:rFonts w:ascii="Arial" w:hAnsi="Arial" w:cs="Arial" w:eastAsia="Arial"/>
                <w:color w:val="1F2430"/>
                <w:sz w:val="18"/>
                <w:szCs w:val="18"/>
                <w:highlight w:val="yellow"/>
                <w:rtl/>
              </w:rPr>
              <w:t>רק כאשר שני בני הזוג יהודים</w:t>
            </w:r>
            <w:r>
              <w:rPr>
                <w:rFonts w:ascii="Arial" w:hAnsi="Arial" w:cs="Arial" w:eastAsia="Arial"/>
                <w:color w:val="1F2430"/>
                <w:sz w:val="18"/>
                <w:szCs w:val="18"/>
                <w:rtl/>
              </w:rPr>
              <w:t xml:space="preserve">. כאשר מדובר בזוג מעורב, הסכמת הצדדים לבדה אינה מספיקה כדי להקנות לבית הדין הרבני סמכות. בג"ץ מכבד את כל הדתות ואינו מאפשר לבית דין של דת אחת לנהל את ענייניהם של בני זוג משתי דתות שונות.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זוג מעורב אינו יכול "לקנות" סמכות לבית הדין הרבני בהסכמה. הדרך שלהם היא בית המשפט לענייני משפחה לפי חוק שיפוט בענייני התרת נישואין (מקרים מיוחדים וסמכות בין-לאומית) – ראו פרק 2. בשאלה על איגור (לא יהודי) ושרה (יהודייה) שנישאו אזרחית בברית המועצות ועלו לארץ – אף תשובה המבוססת על סעיף 9 אינה נכונה.</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איזו הסכמה נדרשת? הסכמה מפורשת או הסכמה מכללא</w:t>
      </w:r>
    </w:p>
    <w:p>
      <w:pPr>
        <w:bidi/>
        <w:spacing w:before="0" w:after="100" w:line="300" w:lineRule="auto"/>
        <w:jc w:val="both"/>
      </w:pPr>
      <w:r>
        <w:rPr>
          <w:rFonts w:ascii="Arial" w:hAnsi="Arial" w:cs="Arial" w:eastAsia="Arial"/>
          <w:color w:val="1F2430"/>
          <w:sz w:val="19"/>
          <w:szCs w:val="19"/>
          <w:rtl/>
        </w:rPr>
        <w:t>האם צריך הסכמה בכתב? הסכמה מפורשת? או שאפשר ללמוד על ההסכמה מההתנהגות? בית המשפט העליון קבע שההסכמה יכולה להיות: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הסכמה מפורשת</w:t>
      </w:r>
      <w:r>
        <w:rPr>
          <w:rFonts w:ascii="Arial" w:hAnsi="Arial" w:cs="Arial" w:eastAsia="Arial"/>
          <w:color w:val="1F2430"/>
          <w:sz w:val="19"/>
          <w:szCs w:val="19"/>
          <w:rtl/>
        </w:rPr>
        <w:t xml:space="preserve"> – בכתב או בעל פה; או</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הסכמה מכללא</w:t>
      </w:r>
      <w:r>
        <w:rPr>
          <w:rFonts w:ascii="Arial" w:hAnsi="Arial" w:cs="Arial" w:eastAsia="Arial"/>
          <w:color w:val="1F2430"/>
          <w:sz w:val="19"/>
          <w:szCs w:val="19"/>
          <w:rtl/>
        </w:rPr>
        <w:t xml:space="preserve"> – הסכמה הנלמדת מתוך ההתנהגות או השתיקה.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הסכמה בהתנהגות</w:t>
            </w:r>
          </w:p>
          <w:p>
            <w:pPr>
              <w:bidi/>
              <w:spacing w:before="0" w:after="60" w:line="300" w:lineRule="auto"/>
              <w:jc w:val="both"/>
            </w:pPr>
            <w:r>
              <w:rPr>
                <w:rFonts w:ascii="Arial" w:hAnsi="Arial" w:cs="Arial" w:eastAsia="Arial"/>
                <w:color w:val="1F2430"/>
                <w:sz w:val="18"/>
                <w:szCs w:val="18"/>
                <w:rtl/>
              </w:rPr>
              <w:t xml:space="preserve">אישה מקבלת כתב תביעה מבית הדין הרבני. במקום לטעון מיד "אין לבית הדין סמכות", היא מתחילה להשיב לתביעה לגופו של עניין. עצם העובדה שהיא משתתפת בדיון ואינה מתנגדת לסמכות יכולה להיחשב </w:t>
            </w:r>
            <w:r>
              <w:rPr>
                <w:rFonts w:ascii="Arial" w:hAnsi="Arial" w:cs="Arial" w:eastAsia="Arial"/>
                <w:b/>
                <w:bCs/>
                <w:color w:val="1F2430"/>
                <w:sz w:val="18"/>
                <w:szCs w:val="18"/>
                <w:rtl/>
              </w:rPr>
              <w:t>הסכמה בהתנהגות</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הדבר מתחזק מ</w:t>
      </w:r>
      <w:r>
        <w:rPr>
          <w:rFonts w:ascii="Arial" w:hAnsi="Arial" w:cs="Arial" w:eastAsia="Arial"/>
          <w:b/>
          <w:bCs/>
          <w:color w:val="1F2430"/>
          <w:sz w:val="19"/>
          <w:szCs w:val="19"/>
          <w:rtl/>
        </w:rPr>
        <w:t>סעיף 15(ד)(4) לחוק יסוד: השפיטה</w:t>
      </w:r>
      <w:r>
        <w:rPr>
          <w:rFonts w:ascii="Arial" w:hAnsi="Arial" w:cs="Arial" w:eastAsia="Arial"/>
          <w:color w:val="1F2430"/>
          <w:sz w:val="19"/>
          <w:szCs w:val="19"/>
          <w:rtl/>
        </w:rPr>
        <w:t xml:space="preserve"> – הסעיף שמכוחו בג"ץ מתערב בהחלטות בתי הדין הדתיים בשאלות סמכות, ובלבד שהמבקש עורר את שאלת הסמכות </w:t>
      </w:r>
      <w:r>
        <w:rPr>
          <w:rFonts w:ascii="Arial" w:hAnsi="Arial" w:cs="Arial" w:eastAsia="Arial"/>
          <w:color w:val="1F2430"/>
          <w:sz w:val="19"/>
          <w:szCs w:val="19"/>
          <w:highlight w:val="yellow"/>
          <w:rtl/>
        </w:rPr>
        <w:t>בהזדמנות הראשונה</w:t>
      </w:r>
      <w:r>
        <w:rPr>
          <w:rFonts w:ascii="Arial" w:hAnsi="Arial" w:cs="Arial" w:eastAsia="Arial"/>
          <w:color w:val="1F2430"/>
          <w:sz w:val="19"/>
          <w:szCs w:val="19"/>
          <w:rtl/>
        </w:rPr>
        <w:t>. מי שרוצה להתנגד לסמכות בית הדין חייב לעשות זאת מיד – בדיון הראשון או בכתב הטענות הראשון.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בעיית הבלתי מיוצגים</w:t>
            </w:r>
          </w:p>
          <w:p>
            <w:pPr>
              <w:bidi/>
              <w:spacing w:before="0" w:after="60" w:line="300" w:lineRule="auto"/>
              <w:jc w:val="both"/>
            </w:pPr>
            <w:r>
              <w:rPr>
                <w:rFonts w:ascii="Arial" w:hAnsi="Arial" w:cs="Arial" w:eastAsia="Arial"/>
                <w:color w:val="1F2430"/>
                <w:sz w:val="18"/>
                <w:szCs w:val="18"/>
                <w:rtl/>
              </w:rPr>
              <w:t xml:space="preserve">לפי המקראה, בעלי דין שאינם מיוצגים יודעים לענות היטב לגופו של עניין, אבל לא יודעים לנהל פרוצדורה – ולכן עלולים "להסכים" בהתנהגות ולאבד את טענת חוסר הסמכות. אם ייקחו עורך דין כעבור שבועיים – זה כבר לא יעזור: </w:t>
            </w:r>
            <w:r>
              <w:rPr>
                <w:rFonts w:ascii="Arial" w:hAnsi="Arial" w:cs="Arial" w:eastAsia="Arial"/>
                <w:color w:val="1F2430"/>
                <w:sz w:val="18"/>
                <w:szCs w:val="18"/>
                <w:highlight w:val="yellow"/>
                <w:rtl/>
              </w:rPr>
              <w:t>ההזדמנות הראשונה נמדדת לפי בעל הדין עצמו, לא לפי עורך הדין החדש שהגיע</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סוגי הסכמה שונים בהקשרים שונים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סעיף 9 (ענייני מעמד אישי) – מספיקה </w:t>
            </w:r>
            <w:r>
              <w:rPr>
                <w:rFonts w:ascii="Arial" w:hAnsi="Arial" w:cs="Arial" w:eastAsia="Arial"/>
                <w:b/>
                <w:bCs/>
                <w:color w:val="1F2430"/>
                <w:sz w:val="18"/>
                <w:szCs w:val="18"/>
                <w:rtl/>
              </w:rPr>
              <w:t>גם הסכמה מכללא</w:t>
            </w:r>
            <w:r>
              <w:rPr>
                <w:rFonts w:ascii="Arial" w:hAnsi="Arial" w:cs="Arial" w:eastAsia="Arial"/>
                <w:color w:val="1F2430"/>
                <w:sz w:val="18"/>
                <w:szCs w:val="18"/>
                <w:rtl/>
              </w:rPr>
              <w:t>, בהתנהגות או בשתיקה.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ענייני ירושה (לפי המקראה) – ההסכמה צריכה להיות </w:t>
            </w:r>
            <w:r>
              <w:rPr>
                <w:rFonts w:ascii="Arial" w:hAnsi="Arial" w:cs="Arial" w:eastAsia="Arial"/>
                <w:b/>
                <w:bCs/>
                <w:color w:val="1F2430"/>
                <w:sz w:val="18"/>
                <w:szCs w:val="18"/>
                <w:rtl/>
              </w:rPr>
              <w:t>בכתב</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בוררות לפי החוק החדש מ-2026 (סעיף 4.5 להלן) – </w:t>
            </w:r>
            <w:r>
              <w:rPr>
                <w:rFonts w:ascii="Arial" w:hAnsi="Arial" w:cs="Arial" w:eastAsia="Arial"/>
                <w:b/>
                <w:bCs/>
                <w:color w:val="1F2430"/>
                <w:sz w:val="18"/>
                <w:szCs w:val="18"/>
                <w:rtl/>
              </w:rPr>
              <w:t>רק הסכמה בכתב</w:t>
            </w:r>
            <w:r>
              <w:rPr>
                <w:rFonts w:ascii="Arial" w:hAnsi="Arial" w:cs="Arial" w:eastAsia="Arial"/>
                <w:color w:val="1F2430"/>
                <w:sz w:val="18"/>
                <w:szCs w:val="18"/>
                <w:rtl/>
              </w:rPr>
              <w:t>, בחתימה על טופס בוררות. אין הסכמה בשתיקה ואין הסכמה בהתנהגות.</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הסכמה מראש – למשל במעמד החתונה</w:t>
      </w:r>
    </w:p>
    <w:p>
      <w:pPr>
        <w:bidi/>
        <w:spacing w:before="0" w:after="100" w:line="300" w:lineRule="auto"/>
        <w:jc w:val="both"/>
      </w:pPr>
      <w:r>
        <w:rPr>
          <w:rFonts w:ascii="Arial" w:hAnsi="Arial" w:cs="Arial" w:eastAsia="Arial"/>
          <w:color w:val="1F2430"/>
          <w:sz w:val="19"/>
          <w:szCs w:val="19"/>
          <w:rtl/>
        </w:rPr>
        <w:t xml:space="preserve">האם בני זוג יכולים להסכים מראש, בכתב, במעמד החתונה או לפניו, שכל סכסוך עתידי בענייני מעמד אישי יתנהל בבית הדין הרבני? הפרופ' השיב: </w:t>
      </w:r>
      <w:r>
        <w:rPr>
          <w:rFonts w:ascii="Arial" w:hAnsi="Arial" w:cs="Arial" w:eastAsia="Arial"/>
          <w:color w:val="1F2430"/>
          <w:sz w:val="19"/>
          <w:szCs w:val="19"/>
          <w:highlight w:val="yellow"/>
          <w:rtl/>
        </w:rPr>
        <w:t>אפשרי</w:t>
      </w:r>
      <w:r>
        <w:rPr>
          <w:rFonts w:ascii="Arial" w:hAnsi="Arial" w:cs="Arial" w:eastAsia="Arial"/>
          <w:color w:val="1F2430"/>
          <w:sz w:val="19"/>
          <w:szCs w:val="19"/>
          <w:rtl/>
        </w:rPr>
        <w:t xml:space="preserve">, אך יש לכך שתי מגבלות. ראשית, לא רוצים להכניס אנשים לבירור סכסוך עוד לפני שהתחתנו. שנית, ובעיקר: </w:t>
      </w:r>
      <w:r>
        <w:rPr>
          <w:rFonts w:ascii="Arial" w:hAnsi="Arial" w:cs="Arial" w:eastAsia="Arial"/>
          <w:b/>
          <w:bCs/>
          <w:color w:val="1F2430"/>
          <w:sz w:val="19"/>
          <w:szCs w:val="19"/>
          <w:rtl/>
        </w:rPr>
        <w:t>אי אפשר לחסום אדם מללכת לבית המשפט</w:t>
      </w:r>
      <w:r>
        <w:rPr>
          <w:rFonts w:ascii="Arial" w:hAnsi="Arial" w:cs="Arial" w:eastAsia="Arial"/>
          <w:color w:val="1F2430"/>
          <w:sz w:val="19"/>
          <w:szCs w:val="19"/>
          <w:rtl/>
        </w:rPr>
        <w:t>. הסכם כזה ייתן לראשון שפונה אפשרות ללכת לבית הדין, אך לא ימנע מבן הזוג האחר ללכת לבית המשפט אם הוא יקדים. כלומר, הסכמה מראש אינה מבטלת את מירוץ הסמכויות.</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מזונות זמניים בבית הדין – הסכמה לדיון עתידי?</w:t>
      </w:r>
    </w:p>
    <w:p>
      <w:pPr>
        <w:bidi/>
        <w:spacing w:before="0" w:after="100" w:line="300" w:lineRule="auto"/>
        <w:jc w:val="both"/>
      </w:pPr>
      <w:r>
        <w:rPr>
          <w:rFonts w:ascii="Arial" w:hAnsi="Arial" w:cs="Arial" w:eastAsia="Arial"/>
          <w:color w:val="1F2430"/>
          <w:sz w:val="19"/>
          <w:szCs w:val="19"/>
          <w:rtl/>
        </w:rPr>
        <w:t>האם אישה שביקשה מזונות זמניים בבית הדין הרבני הסכימה בכך לסמכותו בדיון עתידי? הפרופ' השיב שבית הדין אכן פוסק מזונות זמניים (סעיף 10 לחוק לתיקון דיני המשפחה (מזונות) הוא דיוני ולכן חל גם בו), ו"בית הדין נוטה לומר שזה מקנה לו סמכות גם בדיון עתידי".</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4.4 בג"ץ סימה אמיר – גבולות ההסכמה והסמכות הנמשכת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8638/03 סימה אמיר</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ערכו הסכם גירושין בבית הדין הרבני; שניהם היו מיוצגים. הבעל היה נכה 100% וחי מקצבה של 1,200 ש"ח בלבד (הסכום חשוב!). לזוג שלושה ילדים, והוסכם שהבעל ישלם 1,000 ש"ח מזונות לשלושתם. בחלוקת הרכוש האישה קיבלה את מחציתה בדירה, והבעל העביר לה גם את מחציתו. בתמורה נקבע שהאישה לא תתבע בעתיד מזונות ילדים נוספים. מאחר שמזונות ילדים הם עניין קוגנטי – ההורים אינם יכולים למחוק בהסכם את זכות הילד – נקבע מנגנון אחר: אם האישה תתבע הגדלה, היא תחזיר לבעל את מחצית הדירה שקיבלה (</w:t>
            </w:r>
            <w:r>
              <w:rPr>
                <w:rFonts w:ascii="Arial" w:hAnsi="Arial" w:cs="Arial" w:eastAsia="Arial"/>
                <w:color w:val="1F2430"/>
                <w:sz w:val="18"/>
                <w:szCs w:val="18"/>
                <w:highlight w:val="yellow"/>
                <w:rtl/>
              </w:rPr>
              <w:t>תניית שיפוי</w:t>
            </w:r>
            <w:r>
              <w:rPr>
                <w:rFonts w:ascii="Arial" w:hAnsi="Arial" w:cs="Arial" w:eastAsia="Arial"/>
                <w:color w:val="1F2430"/>
                <w:sz w:val="18"/>
                <w:szCs w:val="18"/>
                <w:rtl/>
              </w:rPr>
              <w:t xml:space="preserve">). עוד הוסכם שכל דיון עתידי ביניהם יתקיים בבית הדין הרבני. בשנת 1994 חזרה האישה לבית הדין וביקשה הגדלת מזונות מכוח שינוי נסיבות וסמכות נמשכת; בית הדין קבע שאין שינוי נסיבות. שנה אחר כך חזרה – ושוב נדחתה. אז פנתה לבית המשפט לענייני משפחה בעילה אחרת: </w:t>
            </w:r>
            <w:r>
              <w:rPr>
                <w:rFonts w:ascii="Arial" w:hAnsi="Arial" w:cs="Arial" w:eastAsia="Arial"/>
                <w:b/>
                <w:bCs/>
                <w:color w:val="1F2430"/>
                <w:sz w:val="18"/>
                <w:szCs w:val="18"/>
                <w:rtl/>
              </w:rPr>
              <w:t>מעמדו העצמאי של הקטין</w:t>
            </w:r>
            <w:r>
              <w:rPr>
                <w:rFonts w:ascii="Arial" w:hAnsi="Arial" w:cs="Arial" w:eastAsia="Arial"/>
                <w:color w:val="1F2430"/>
                <w:sz w:val="18"/>
                <w:szCs w:val="18"/>
                <w:rtl/>
              </w:rPr>
              <w:t xml:space="preserve">. בית המשפט קיבל את התביעה והעלה את המזונות (לפי המקראה – ל-2,500 ש"ח). הבעל פתח תיק בבית הדין הרבני וביקש לאכוף את תניית השיפוי ולקבל בחזרה את מחצית הדירה. האישה טענה שאין לבית הדין סמכות, ועתרה לבג"ץ.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השופטת פרוקצ'יה קבעה שלבית הדין הרבני </w:t>
            </w:r>
            <w:r>
              <w:rPr>
                <w:rFonts w:ascii="Arial" w:hAnsi="Arial" w:cs="Arial" w:eastAsia="Arial"/>
                <w:color w:val="1F2430"/>
                <w:sz w:val="18"/>
                <w:szCs w:val="18"/>
                <w:highlight w:val="yellow"/>
                <w:rtl/>
              </w:rPr>
              <w:t>אין סמכות</w:t>
            </w:r>
            <w:r>
              <w:rPr>
                <w:rFonts w:ascii="Arial" w:hAnsi="Arial" w:cs="Arial" w:eastAsia="Arial"/>
                <w:color w:val="1F2430"/>
                <w:sz w:val="18"/>
                <w:szCs w:val="18"/>
                <w:rtl/>
              </w:rPr>
              <w:t xml:space="preserve"> לדון בתביעה להחזרת הדירה. אכיפת תניית שיפוי היא תביעה רכושית, ולכן: (1) </w:t>
            </w:r>
            <w:r>
              <w:rPr>
                <w:rFonts w:ascii="Arial" w:hAnsi="Arial" w:cs="Arial" w:eastAsia="Arial"/>
                <w:b/>
                <w:bCs/>
                <w:color w:val="1F2430"/>
                <w:sz w:val="18"/>
                <w:szCs w:val="18"/>
                <w:rtl/>
              </w:rPr>
              <w:t>אין סמכות מקורית</w:t>
            </w:r>
            <w:r>
              <w:rPr>
                <w:rFonts w:ascii="Arial" w:hAnsi="Arial" w:cs="Arial" w:eastAsia="Arial"/>
                <w:color w:val="1F2430"/>
                <w:sz w:val="18"/>
                <w:szCs w:val="18"/>
                <w:rtl/>
              </w:rPr>
              <w:t xml:space="preserve"> – אין סעיף 1 ואין סעיף 3, כי התביעה אינה כרוכה עוד בתביעת גירושין; (2) </w:t>
            </w:r>
            <w:r>
              <w:rPr>
                <w:rFonts w:ascii="Arial" w:hAnsi="Arial" w:cs="Arial" w:eastAsia="Arial"/>
                <w:b/>
                <w:bCs/>
                <w:color w:val="1F2430"/>
                <w:sz w:val="18"/>
                <w:szCs w:val="18"/>
                <w:rtl/>
              </w:rPr>
              <w:t>סעיף 9 לא עוזר</w:t>
            </w:r>
            <w:r>
              <w:rPr>
                <w:rFonts w:ascii="Arial" w:hAnsi="Arial" w:cs="Arial" w:eastAsia="Arial"/>
                <w:color w:val="1F2430"/>
                <w:sz w:val="18"/>
                <w:szCs w:val="18"/>
                <w:rtl/>
              </w:rPr>
              <w:t xml:space="preserve"> – הוא חל רק בענייני מעמד אישי, וזה עניין רכושי; (3) </w:t>
            </w:r>
            <w:r>
              <w:rPr>
                <w:rFonts w:ascii="Arial" w:hAnsi="Arial" w:cs="Arial" w:eastAsia="Arial"/>
                <w:b/>
                <w:bCs/>
                <w:color w:val="1F2430"/>
                <w:sz w:val="18"/>
                <w:szCs w:val="18"/>
                <w:rtl/>
              </w:rPr>
              <w:t>אין סמכות נמשכת</w:t>
            </w:r>
            <w:r>
              <w:rPr>
                <w:rFonts w:ascii="Arial" w:hAnsi="Arial" w:cs="Arial" w:eastAsia="Arial"/>
                <w:color w:val="1F2430"/>
                <w:sz w:val="18"/>
                <w:szCs w:val="18"/>
                <w:rtl/>
              </w:rPr>
              <w:t xml:space="preserve"> – היא קיימת רק במשמורת, מזונות אישה ומזונות ילדים, ורכוש אינו נכלל. גם אם בני הזוג כתבו בהסכם שכל דיון עתידי יהיה בבית הדין, </w:t>
            </w:r>
            <w:r>
              <w:rPr>
                <w:rFonts w:ascii="Arial" w:hAnsi="Arial" w:cs="Arial" w:eastAsia="Arial"/>
                <w:color w:val="1F2430"/>
                <w:sz w:val="18"/>
                <w:szCs w:val="18"/>
                <w:highlight w:val="yellow"/>
                <w:rtl/>
              </w:rPr>
              <w:t>הסכם בין הצדדים אינו יכול ליצור לבית הדין סמכות שהחוק לא נתן לו</w:t>
            </w:r>
            <w:r>
              <w:rPr>
                <w:rFonts w:ascii="Arial" w:hAnsi="Arial" w:cs="Arial" w:eastAsia="Arial"/>
                <w:color w:val="1F2430"/>
                <w:sz w:val="18"/>
                <w:szCs w:val="18"/>
                <w:rtl/>
              </w:rPr>
              <w:t xml:space="preserve">. בנוסף נדחתה </w:t>
            </w:r>
            <w:r>
              <w:rPr>
                <w:rFonts w:ascii="Arial" w:hAnsi="Arial" w:cs="Arial" w:eastAsia="Arial"/>
                <w:b/>
                <w:bCs/>
                <w:color w:val="1F2430"/>
                <w:sz w:val="18"/>
                <w:szCs w:val="18"/>
                <w:rtl/>
              </w:rPr>
              <w:t>טענת הבוררות</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דין "שטלטל את בתי הדין הרבניים". הוא מרכז את כל נושאי הפרק: גבולות סעיף 9, גבולות הסמכות הנמשכת, שלילת הבוררות, ומעמדו העצמאי של הקטין, שבזכותו האישה הצליחה להגדיל את המזונות בערכאה אחרת.</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טענת הבוררות והשאלה הרחבה</w:t>
      </w:r>
    </w:p>
    <w:p>
      <w:pPr>
        <w:bidi/>
        <w:spacing w:before="0" w:after="100" w:line="300" w:lineRule="auto"/>
        <w:jc w:val="both"/>
      </w:pPr>
      <w:r>
        <w:rPr>
          <w:rFonts w:ascii="Arial" w:hAnsi="Arial" w:cs="Arial" w:eastAsia="Arial"/>
          <w:color w:val="1F2430"/>
          <w:sz w:val="19"/>
          <w:szCs w:val="19"/>
          <w:rtl/>
        </w:rPr>
        <w:t xml:space="preserve">בית הדין הרבני טען: הצדדים הסכימו שנדון בסכסוכים העתידיים, ולכן אפשר לראות בנו מעין בוררים. הטענה נדחתה, והשופטת העלתה שאלה רחבה בהרבה: </w:t>
      </w:r>
      <w:r>
        <w:rPr>
          <w:rFonts w:ascii="Arial" w:hAnsi="Arial" w:cs="Arial" w:eastAsia="Arial"/>
          <w:color w:val="1F2430"/>
          <w:sz w:val="19"/>
          <w:szCs w:val="19"/>
          <w:highlight w:val="yellow"/>
          <w:rtl/>
        </w:rPr>
        <w:t>מאין בכלל יש לבתי הדין הרבניים סמכות לדון בסכסוכים ממוניים אזרחיים רגילים בין שני אנשים פרטיים</w:t>
      </w:r>
      <w:r>
        <w:rPr>
          <w:rFonts w:ascii="Arial" w:hAnsi="Arial" w:cs="Arial" w:eastAsia="Arial"/>
          <w:color w:val="1F2430"/>
          <w:sz w:val="19"/>
          <w:szCs w:val="19"/>
          <w:rtl/>
        </w:rPr>
        <w:t>, כשאין מדובר בנישואין, גירושין או מעמד אישי? בית הדין הרבני אינו בית משפט אזרחי, והוא לא יכול להכריע בכל סכסוך כספי רק משום ששני האנשים מסכימים. ההיגיון, כפי שהובא במקראה: ערכאה שיפוטית ממלכתית שמכהנת על פי דין אינה יכולה "לחבוש כובע" של בורר – שופט אינו יכול להיות בורר, ו"אי אפשר להחתים שופטים להסכמה". בעקבות זאת נאלצו בתי הדין לסגור תיקי ממונות מהסוג הזה.</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מה צריך לזכור מסימה אמיר</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אין סמכות נמשכת בענייני רכוש, וההסכמה בין בני הזוג לא יוצרת אותה</w:t>
      </w:r>
      <w:r>
        <w:rPr>
          <w:rFonts w:ascii="Arial" w:hAnsi="Arial" w:cs="Arial" w:eastAsia="Arial"/>
          <w:color w:val="1F2430"/>
          <w:sz w:val="19"/>
          <w:szCs w:val="19"/>
          <w:rtl/>
        </w:rPr>
        <w:t xml:space="preserve"> – גם חתימה מראש על דיון עתידי בבית הדין אינה מספיקה.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בתי הדין אינם יכולים סתם כך לדון בתיקי ממונות אזרחיים בין שני אנשים פרטיים</w:t>
      </w:r>
      <w:r>
        <w:rPr>
          <w:rFonts w:ascii="Arial" w:hAnsi="Arial" w:cs="Arial" w:eastAsia="Arial"/>
          <w:color w:val="1F2430"/>
          <w:sz w:val="19"/>
          <w:szCs w:val="19"/>
          <w:rtl/>
        </w:rPr>
        <w:t xml:space="preserve"> – חוק הבוררות (2026) החזיר אפשרות מוגבלת, אך לא בין בני זוג או בני זוג לשעבר.</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ההשלכות המעשיות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הבעלים נחשפו</w:t>
      </w:r>
      <w:r>
        <w:rPr>
          <w:rFonts w:ascii="Arial" w:hAnsi="Arial" w:cs="Arial" w:eastAsia="Arial"/>
          <w:color w:val="1F2430"/>
          <w:sz w:val="19"/>
          <w:szCs w:val="19"/>
          <w:rtl/>
        </w:rPr>
        <w:t>: האישה יכולה לתבוע בבית המשפט בשם הילד, ותניית השיפוי אינה נאכפת בבית הדין.</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"להפוך את הבית למזונות"</w:t>
      </w:r>
      <w:r>
        <w:rPr>
          <w:rFonts w:ascii="Arial" w:hAnsi="Arial" w:cs="Arial" w:eastAsia="Arial"/>
          <w:color w:val="1F2430"/>
          <w:sz w:val="19"/>
          <w:szCs w:val="19"/>
          <w:rtl/>
        </w:rPr>
        <w:t xml:space="preserve">: לפי המקראה, אילו הדירה הוגדרה כחלק מהמזונות (ולא כרכוש), היה הדבר מועיל לסמכות – מזונות הם נושא מתמשך וגם הסכמה מועילה בהם. לכן </w:t>
      </w:r>
      <w:r>
        <w:rPr>
          <w:rFonts w:ascii="Arial" w:hAnsi="Arial" w:cs="Arial" w:eastAsia="Arial"/>
          <w:color w:val="1F2430"/>
          <w:sz w:val="19"/>
          <w:szCs w:val="19"/>
          <w:highlight w:val="yellow"/>
          <w:rtl/>
        </w:rPr>
        <w:t>כשנותנים רכוש במקום מזונות יש לציין זאת בצורה ברורה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ניסוח הרמטי</w:t>
      </w:r>
      <w:r>
        <w:rPr>
          <w:rFonts w:ascii="Arial" w:hAnsi="Arial" w:cs="Arial" w:eastAsia="Arial"/>
          <w:color w:val="1F2430"/>
          <w:sz w:val="19"/>
          <w:szCs w:val="19"/>
          <w:rtl/>
        </w:rPr>
        <w:t>: יש לנסות לנסח הסכמים בצורה סגורה ככל האפשר, כדי שלא ייפתחו שוב בעתיד.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עיבוד של סימה אמיר לשאלת מבחן</w:t>
            </w:r>
          </w:p>
          <w:p>
            <w:pPr>
              <w:bidi/>
              <w:spacing w:before="0" w:after="60" w:line="300" w:lineRule="auto"/>
              <w:jc w:val="both"/>
            </w:pPr>
            <w:r>
              <w:rPr>
                <w:rFonts w:ascii="Arial" w:hAnsi="Arial" w:cs="Arial" w:eastAsia="Arial"/>
                <w:color w:val="1F2430"/>
                <w:sz w:val="18"/>
                <w:szCs w:val="18"/>
                <w:rtl/>
              </w:rPr>
              <w:t xml:space="preserve">זוג התגרש בהסכמה בבית הדין הרבני. בהסכם נכתב במפורש שהרכוש נשאר אצל האישה כנגד התחייבותה שלא לתבוע הגדלת מזונות, ובסופו נכתב: "הכול שריר וקיים, וכל סעיפי ההסכם על פי דין תורה". כעבור שנה האישה תבעה הגדלה, והאיש תבע את הרכוש בחזרה בבית הדין. </w:t>
            </w:r>
            <w:r>
              <w:rPr>
                <w:rFonts w:ascii="Arial" w:hAnsi="Arial" w:cs="Arial" w:eastAsia="Arial"/>
                <w:b/>
                <w:bCs/>
                <w:color w:val="1F2430"/>
                <w:sz w:val="18"/>
                <w:szCs w:val="18"/>
                <w:rtl/>
              </w:rPr>
              <w:t>האם יש לבית הדין סמכות לדון ברכוש? לא.</w:t>
            </w:r>
            <w:r>
              <w:rPr>
                <w:rFonts w:ascii="Arial" w:hAnsi="Arial" w:cs="Arial" w:eastAsia="Arial"/>
                <w:color w:val="1F2430"/>
                <w:sz w:val="18"/>
                <w:szCs w:val="18"/>
                <w:rtl/>
              </w:rPr>
              <w:t xml:space="preserve"> סעיף 3 לא חל, כי אין תביעת גירושין תלויה ועומדת. סעיף 9 לא חל, כי רכוש אינו ברשימת ענייני המעמד האישי. סמכות נמשכת אינה קיימת ברכוש. ובית הדין אינו מוסמך לשמש בורר או לאכוף חוזים אזרחיים. אם האישה תבעה הגדלה בבית המשפט והאיש "רץ" לבית הדין לתבוע את הרכוש – הסמכות לדון היא של </w:t>
            </w:r>
            <w:r>
              <w:rPr>
                <w:rFonts w:ascii="Arial" w:hAnsi="Arial" w:cs="Arial" w:eastAsia="Arial"/>
                <w:b/>
                <w:bCs/>
                <w:color w:val="1F2430"/>
                <w:sz w:val="18"/>
                <w:szCs w:val="18"/>
                <w:rtl/>
              </w:rPr>
              <w:t>בית המשפט</w:t>
            </w:r>
            <w:r>
              <w:rPr>
                <w:rFonts w:ascii="Arial" w:hAnsi="Arial" w:cs="Arial" w:eastAsia="Arial"/>
                <w:color w:val="1F2430"/>
                <w:sz w:val="18"/>
                <w:szCs w:val="18"/>
                <w:rtl/>
              </w:rPr>
              <w:t>.</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4.5 בוררות בבתי הדין הדתיים – החוק החדש (2026)</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הרקע</w:t>
      </w:r>
    </w:p>
    <w:p>
      <w:pPr>
        <w:bidi/>
        <w:spacing w:before="0" w:after="100" w:line="300" w:lineRule="auto"/>
        <w:jc w:val="both"/>
      </w:pPr>
      <w:r>
        <w:rPr>
          <w:rFonts w:ascii="Arial" w:hAnsi="Arial" w:cs="Arial" w:eastAsia="Arial"/>
          <w:color w:val="1F2430"/>
          <w:sz w:val="19"/>
          <w:szCs w:val="19"/>
          <w:rtl/>
        </w:rPr>
        <w:t>לפי המקראה, כבר ב-2007 הוסכם קואליציונית על תיקון חקיקה שיחזיר לבית הדין סמכות בהסכמה (בכתב) ברכוש לאחר הגירושין ובסכסוכים בין אזרחים, אך התיקון נעצר. בינתיים פנו רבים לבתי דין רבניים פרטיים. לפי סיכום 2026, המחוקק תיקן לאחרונה את המצב.</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שיפוט בתי דין דתיים (בוררות), תשפ"ו-2026</w:t>
            </w:r>
          </w:p>
          <w:p>
            <w:pPr>
              <w:bidi/>
              <w:spacing w:before="0" w:after="60" w:line="300" w:lineRule="auto"/>
              <w:jc w:val="both"/>
            </w:pPr>
            <w:r>
              <w:rPr>
                <w:rFonts w:ascii="Arial" w:hAnsi="Arial" w:cs="Arial" w:eastAsia="Arial"/>
                <w:b/>
                <w:bCs/>
                <w:color w:val="1F2430"/>
                <w:sz w:val="18"/>
                <w:szCs w:val="18"/>
                <w:rtl/>
              </w:rPr>
              <w:t>"בית דין"</w:t>
            </w:r>
            <w:r>
              <w:rPr>
                <w:rFonts w:ascii="Arial" w:hAnsi="Arial" w:cs="Arial" w:eastAsia="Arial"/>
                <w:color w:val="1F2430"/>
                <w:sz w:val="18"/>
                <w:szCs w:val="18"/>
                <w:rtl/>
              </w:rPr>
              <w:t xml:space="preserve"> לעניין החוק: </w:t>
            </w:r>
            <w:r>
              <w:rPr>
                <w:rFonts w:ascii="Arial" w:hAnsi="Arial" w:cs="Arial" w:eastAsia="Arial"/>
                <w:b/>
                <w:bCs/>
                <w:color w:val="1F2430"/>
                <w:sz w:val="18"/>
                <w:szCs w:val="18"/>
                <w:rtl/>
              </w:rPr>
              <w:t>בית דין רבני</w:t>
            </w:r>
            <w:r>
              <w:rPr>
                <w:rFonts w:ascii="Arial" w:hAnsi="Arial" w:cs="Arial" w:eastAsia="Arial"/>
                <w:color w:val="1F2430"/>
                <w:sz w:val="18"/>
                <w:szCs w:val="18"/>
                <w:rtl/>
              </w:rPr>
              <w:t xml:space="preserve"> ו</w:t>
            </w:r>
            <w:r>
              <w:rPr>
                <w:rFonts w:ascii="Arial" w:hAnsi="Arial" w:cs="Arial" w:eastAsia="Arial"/>
                <w:b/>
                <w:bCs/>
                <w:color w:val="1F2430"/>
                <w:sz w:val="18"/>
                <w:szCs w:val="18"/>
                <w:rtl/>
              </w:rPr>
              <w:t>בית דין שרעי</w:t>
            </w:r>
            <w:r>
              <w:rPr>
                <w:rFonts w:ascii="Arial" w:hAnsi="Arial" w:cs="Arial" w:eastAsia="Arial"/>
                <w:color w:val="1F2430"/>
                <w:sz w:val="18"/>
                <w:szCs w:val="18"/>
                <w:rtl/>
              </w:rPr>
              <w:t xml:space="preserve">. החוק מאפשר לבית הדין לדון </w:t>
            </w:r>
            <w:r>
              <w:rPr>
                <w:rFonts w:ascii="Arial" w:hAnsi="Arial" w:cs="Arial" w:eastAsia="Arial"/>
                <w:b/>
                <w:bCs/>
                <w:color w:val="1F2430"/>
                <w:sz w:val="18"/>
                <w:szCs w:val="18"/>
                <w:rtl/>
              </w:rPr>
              <w:t>כבורר בעניין אזרחי</w:t>
            </w:r>
            <w:r>
              <w:rPr>
                <w:rFonts w:ascii="Arial" w:hAnsi="Arial" w:cs="Arial" w:eastAsia="Arial"/>
                <w:color w:val="1F2430"/>
                <w:sz w:val="18"/>
                <w:szCs w:val="18"/>
                <w:rtl/>
              </w:rPr>
              <w:t>, אם מתקיימים התנאים שבחוק.</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התנאים</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הסכמה בכתב</w:t>
      </w:r>
      <w:r>
        <w:rPr>
          <w:rFonts w:ascii="Arial" w:hAnsi="Arial" w:cs="Arial" w:eastAsia="Arial"/>
          <w:color w:val="1F2430"/>
          <w:sz w:val="19"/>
          <w:szCs w:val="19"/>
          <w:rtl/>
        </w:rPr>
        <w:t xml:space="preserve"> – כל הצדדים הנוגעים בדבר צריכים להסכים לבוררות באמצעות </w:t>
      </w:r>
      <w:r>
        <w:rPr>
          <w:rFonts w:ascii="Arial" w:hAnsi="Arial" w:cs="Arial" w:eastAsia="Arial"/>
          <w:b/>
          <w:bCs/>
          <w:color w:val="1F2430"/>
          <w:sz w:val="19"/>
          <w:szCs w:val="19"/>
          <w:rtl/>
        </w:rPr>
        <w:t>חתימה על טופס בוררות</w:t>
      </w:r>
      <w:r>
        <w:rPr>
          <w:rFonts w:ascii="Arial" w:hAnsi="Arial" w:cs="Arial" w:eastAsia="Arial"/>
          <w:color w:val="1F2430"/>
          <w:sz w:val="19"/>
          <w:szCs w:val="19"/>
          <w:rtl/>
        </w:rPr>
        <w:t>. כאן אין הסכמה בשתיקה ואין הסכמה בהתנהגות.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זיקה לבית הדין</w:t>
      </w:r>
      <w:r>
        <w:rPr>
          <w:rFonts w:ascii="Arial" w:hAnsi="Arial" w:cs="Arial" w:eastAsia="Arial"/>
          <w:color w:val="1F2430"/>
          <w:sz w:val="19"/>
          <w:szCs w:val="19"/>
          <w:rtl/>
        </w:rPr>
        <w:t xml:space="preserve"> – לבית הדין צריכה להיות סמכות שיפוט בענייני מעמד אישי </w:t>
      </w:r>
      <w:r>
        <w:rPr>
          <w:rFonts w:ascii="Arial" w:hAnsi="Arial" w:cs="Arial" w:eastAsia="Arial"/>
          <w:color w:val="1F2430"/>
          <w:sz w:val="19"/>
          <w:szCs w:val="19"/>
          <w:highlight w:val="yellow"/>
          <w:rtl/>
        </w:rPr>
        <w:t>לפחות כלפי אחד מהצדדים</w:t>
      </w:r>
      <w:r>
        <w:rPr>
          <w:rFonts w:ascii="Arial" w:hAnsi="Arial" w:cs="Arial" w:eastAsia="Arial"/>
          <w:color w:val="1F2430"/>
          <w:sz w:val="19"/>
          <w:szCs w:val="19"/>
          <w:rtl/>
        </w:rPr>
        <w:t xml:space="preserve">, </w:t>
      </w:r>
      <w:r>
        <w:rPr>
          <w:rFonts w:ascii="Arial" w:hAnsi="Arial" w:cs="Arial" w:eastAsia="Arial"/>
          <w:b/>
          <w:bCs/>
          <w:color w:val="1F2430"/>
          <w:sz w:val="19"/>
          <w:szCs w:val="19"/>
          <w:rtl/>
        </w:rPr>
        <w:t>או</w:t>
      </w:r>
      <w:r>
        <w:rPr>
          <w:rFonts w:ascii="Arial" w:hAnsi="Arial" w:cs="Arial" w:eastAsia="Arial"/>
          <w:color w:val="1F2430"/>
          <w:sz w:val="19"/>
          <w:szCs w:val="19"/>
          <w:rtl/>
        </w:rPr>
        <w:t xml:space="preserve"> שכל הצדדים הם </w:t>
      </w:r>
      <w:r>
        <w:rPr>
          <w:rFonts w:ascii="Arial" w:hAnsi="Arial" w:cs="Arial" w:eastAsia="Arial"/>
          <w:b/>
          <w:bCs/>
          <w:color w:val="1F2430"/>
          <w:sz w:val="19"/>
          <w:szCs w:val="19"/>
          <w:rtl/>
        </w:rPr>
        <w:t>תאגידים</w:t>
      </w:r>
      <w:r>
        <w:rPr>
          <w:rFonts w:ascii="Arial" w:hAnsi="Arial" w:cs="Arial" w:eastAsia="Arial"/>
          <w:color w:val="1F2430"/>
          <w:sz w:val="19"/>
          <w:szCs w:val="19"/>
          <w:rtl/>
        </w:rPr>
        <w:t>. למשל, בסכסוך כספי בין שתי חברות בע"מ החוק מאפשר עקרונית לפנות לבית הדין כבורר בלי לבדוק "מעמד אישי", כי לחברה ממילא אין דת או מעמד אישי. הרעיון: שלא יבואו שני אנשים שאין לבית הדין כל קשר אליהם ויהפכו אותו סתם לבורר.</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מה אינו "עניין אזרחי" שאפשר להביא לבוררות?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עניין פלילי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עניין מנהלי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b/>
          <w:bCs/>
          <w:color w:val="1F2430"/>
          <w:sz w:val="19"/>
          <w:szCs w:val="19"/>
          <w:rtl/>
        </w:rPr>
        <w:t>עניין שכבר נמצא בסמכות השיפוט של בית הדין מכוח חוק</w:t>
      </w:r>
      <w:r>
        <w:rPr>
          <w:rFonts w:ascii="Arial" w:hAnsi="Arial" w:cs="Arial" w:eastAsia="Arial"/>
          <w:color w:val="1F2430"/>
          <w:sz w:val="19"/>
          <w:szCs w:val="19"/>
          <w:rtl/>
        </w:rPr>
        <w:t xml:space="preserve"> – אם יש דרך חוקית להביא את העניין לבית הדין מכוח סמכותו הרגילה, לא משתמשים במסלול הבוררות.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b/>
          <w:bCs/>
          <w:color w:val="1F2430"/>
          <w:sz w:val="19"/>
          <w:szCs w:val="19"/>
          <w:rtl/>
        </w:rPr>
        <w:t>עניין הנוגע להליך בין בני זוג נשואים או בני זוג לשעבר</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החוק החדש אינו הופך את סימה אמיר</w:t>
            </w:r>
          </w:p>
          <w:p>
            <w:pPr>
              <w:bidi/>
              <w:spacing w:before="0" w:after="60" w:line="300" w:lineRule="auto"/>
              <w:jc w:val="both"/>
            </w:pPr>
            <w:r>
              <w:rPr>
                <w:rFonts w:ascii="Arial" w:hAnsi="Arial" w:cs="Arial" w:eastAsia="Arial"/>
                <w:color w:val="1F2430"/>
                <w:sz w:val="18"/>
                <w:szCs w:val="18"/>
                <w:rtl/>
              </w:rPr>
              <w:t xml:space="preserve">החריג הרביעי "מתחבר בדיוק לסימה אמיר": סכסוך רכושי בין בני זוג או גרושים </w:t>
            </w:r>
            <w:r>
              <w:rPr>
                <w:rFonts w:ascii="Arial" w:hAnsi="Arial" w:cs="Arial" w:eastAsia="Arial"/>
                <w:b/>
                <w:bCs/>
                <w:color w:val="1F2430"/>
                <w:sz w:val="18"/>
                <w:szCs w:val="18"/>
                <w:rtl/>
              </w:rPr>
              <w:t>אינו</w:t>
            </w:r>
            <w:r>
              <w:rPr>
                <w:rFonts w:ascii="Arial" w:hAnsi="Arial" w:cs="Arial" w:eastAsia="Arial"/>
                <w:color w:val="1F2430"/>
                <w:sz w:val="18"/>
                <w:szCs w:val="18"/>
                <w:rtl/>
              </w:rPr>
              <w:t xml:space="preserve"> יכול להגיע לבית הדין דרך מסלול הבוררות. לכן גם היום, אחרי החוק החדש, תביעה לאכיפת תניית שיפוי רכושית בין גרושים לא תידון בבית הדין הרבני. בשאלות אמריקאיות היזהרו מתשובה כמו "לאחר חקיקת חוק הבוררות 2026, בית הדין מוסמך לדון ברכוש בין גרושים אם שניהם חתמו על טופס בוררות" – זו תשובה שגויה.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שים לב לעדכון</w:t>
            </w:r>
          </w:p>
          <w:p>
            <w:pPr>
              <w:bidi/>
              <w:spacing w:before="0" w:after="60" w:line="300" w:lineRule="auto"/>
              <w:jc w:val="both"/>
            </w:pPr>
            <w:r>
              <w:rPr>
                <w:rFonts w:ascii="Arial" w:hAnsi="Arial" w:cs="Arial" w:eastAsia="Arial"/>
                <w:color w:val="1F2430"/>
                <w:sz w:val="18"/>
                <w:szCs w:val="18"/>
                <w:rtl/>
              </w:rPr>
              <w:t>המקראה (תשפ"ד) נכתבה לפני החוק וקובעת שאין בוררות בבית הדין הממלכתי. לפי מה שנלמד בקורס (2026), עונים לפי החוק החדש – על תנאיו וחריגיו.</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4.6 מעמדו העצמאי של הקטין</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הרעיון</w:t>
      </w:r>
    </w:p>
    <w:p>
      <w:pPr>
        <w:bidi/>
        <w:spacing w:before="0" w:after="100" w:line="300" w:lineRule="auto"/>
        <w:jc w:val="both"/>
      </w:pPr>
      <w:r>
        <w:rPr>
          <w:rFonts w:ascii="Arial" w:hAnsi="Arial" w:cs="Arial" w:eastAsia="Arial"/>
          <w:color w:val="1F2430"/>
          <w:sz w:val="19"/>
          <w:szCs w:val="19"/>
          <w:rtl/>
        </w:rPr>
        <w:t xml:space="preserve">אפשר לפתוח הסכם גירושין, או פסק דין שאישר אותו, גם מכוח </w:t>
      </w:r>
      <w:r>
        <w:rPr>
          <w:rFonts w:ascii="Arial" w:hAnsi="Arial" w:cs="Arial" w:eastAsia="Arial"/>
          <w:color w:val="1F2430"/>
          <w:sz w:val="19"/>
          <w:szCs w:val="19"/>
          <w:highlight w:val="yellow"/>
          <w:rtl/>
        </w:rPr>
        <w:t>זכות מעמדו העצמאי של הקטין</w:t>
      </w:r>
      <w:r>
        <w:rPr>
          <w:rFonts w:ascii="Arial" w:hAnsi="Arial" w:cs="Arial" w:eastAsia="Arial"/>
          <w:color w:val="1F2430"/>
          <w:sz w:val="19"/>
          <w:szCs w:val="19"/>
          <w:rtl/>
        </w:rPr>
        <w:t xml:space="preserve">. הרציונל נוסח בפסיקה הוותיקה – </w:t>
      </w:r>
      <w:r>
        <w:rPr>
          <w:rFonts w:ascii="Arial" w:hAnsi="Arial" w:cs="Arial" w:eastAsia="Arial"/>
          <w:b/>
          <w:bCs/>
          <w:color w:val="1F2430"/>
          <w:sz w:val="19"/>
          <w:szCs w:val="19"/>
          <w:rtl/>
        </w:rPr>
        <w:t>ע"א 42/49 משקה</w:t>
      </w:r>
      <w:r>
        <w:rPr>
          <w:rFonts w:ascii="Arial" w:hAnsi="Arial" w:cs="Arial" w:eastAsia="Arial"/>
          <w:color w:val="1F2430"/>
          <w:sz w:val="19"/>
          <w:szCs w:val="19"/>
          <w:rtl/>
        </w:rPr>
        <w:t xml:space="preserve"> ו</w:t>
      </w:r>
      <w:r>
        <w:rPr>
          <w:rFonts w:ascii="Arial" w:hAnsi="Arial" w:cs="Arial" w:eastAsia="Arial"/>
          <w:b/>
          <w:bCs/>
          <w:color w:val="1F2430"/>
          <w:sz w:val="19"/>
          <w:szCs w:val="19"/>
          <w:rtl/>
        </w:rPr>
        <w:t>ע"א 404/70 עברון</w:t>
      </w:r>
      <w:r>
        <w:rPr>
          <w:rFonts w:ascii="Arial" w:hAnsi="Arial" w:cs="Arial" w:eastAsia="Arial"/>
          <w:color w:val="1F2430"/>
          <w:sz w:val="19"/>
          <w:szCs w:val="19"/>
          <w:rtl/>
        </w:rPr>
        <w:t>: אמנם חזקה על ההורה שהוא דואג לילדו, אבל כאשר, כמו בגירושין, עיקר מעיינם של ההורים נתון לסידור ענייניהם האישיים, הם עלולים – גם מבלי דעת או בהיסח הדעת – לא להקפיד במידה מספקת על האינטרס של הילד. במקרה כזה, הצהרת ההורים שהם פועלים גם בשם הילד "אינה מעלה ואינה מורידה".</w:t>
      </w:r>
    </w:p>
    <w:p>
      <w:pPr>
        <w:bidi/>
        <w:spacing w:before="0" w:after="100" w:line="300" w:lineRule="auto"/>
        <w:jc w:val="both"/>
      </w:pPr>
      <w:r>
        <w:rPr>
          <w:rFonts w:ascii="Arial" w:hAnsi="Arial" w:cs="Arial" w:eastAsia="Arial"/>
          <w:color w:val="1F2430"/>
          <w:sz w:val="19"/>
          <w:szCs w:val="19"/>
          <w:rtl/>
        </w:rPr>
        <w:t xml:space="preserve">הקטין הוא אדם בעל זכויות משלו, ולכן </w:t>
      </w:r>
      <w:r>
        <w:rPr>
          <w:rFonts w:ascii="Arial" w:hAnsi="Arial" w:cs="Arial" w:eastAsia="Arial"/>
          <w:color w:val="1F2430"/>
          <w:sz w:val="19"/>
          <w:szCs w:val="19"/>
          <w:highlight w:val="yellow"/>
          <w:rtl/>
        </w:rPr>
        <w:t>אינו תמיד כבול להסכם שהוריו חתמו עליו</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העסקה על חשבון הילד</w:t>
            </w:r>
          </w:p>
          <w:p>
            <w:pPr>
              <w:bidi/>
              <w:spacing w:before="0" w:after="60" w:line="300" w:lineRule="auto"/>
              <w:jc w:val="both"/>
            </w:pPr>
            <w:r>
              <w:rPr>
                <w:rFonts w:ascii="Arial" w:hAnsi="Arial" w:cs="Arial" w:eastAsia="Arial"/>
                <w:color w:val="1F2430"/>
                <w:sz w:val="18"/>
                <w:szCs w:val="18"/>
                <w:rtl/>
              </w:rPr>
              <w:t xml:space="preserve">אמא ואבא מתגרשים. האם מסכימה לקבל מזונות נמוכים לילד, ובתמורה האב נותן לה יותר מהרכוש. מבחינת האם אולי זה הסכם מצוין, אבל הילד יכול לטעון: "הזכות למזונות היא שלי; אינכם יכולים לפגוע בזכויותיי כדי לסדר ביניכם את הרכוש". לכן האם יכולה להגיש </w:t>
            </w:r>
            <w:r>
              <w:rPr>
                <w:rFonts w:ascii="Arial" w:hAnsi="Arial" w:cs="Arial" w:eastAsia="Arial"/>
                <w:b/>
                <w:bCs/>
                <w:color w:val="1F2430"/>
                <w:sz w:val="18"/>
                <w:szCs w:val="18"/>
                <w:rtl/>
              </w:rPr>
              <w:t>בשם הילד</w:t>
            </w:r>
            <w:r>
              <w:rPr>
                <w:rFonts w:ascii="Arial" w:hAnsi="Arial" w:cs="Arial" w:eastAsia="Arial"/>
                <w:color w:val="1F2430"/>
                <w:sz w:val="18"/>
                <w:szCs w:val="18"/>
                <w:rtl/>
              </w:rPr>
              <w:t xml:space="preserve"> תביעה חדשה מכוח מעמדו העצמאי. בדרך כלל האם היא שמגישה את התביעה בשמו.</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לפי המקראה, גם במקרה של תרומת זרע או "גניבת זרע", ויתור האם על תביעת מזונות לא יועיל נגד זכותו העצמאית של הילד.</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מתי ההסכם כן יחייב את הקטין? מבחן "דן ופסק"</w:t>
      </w:r>
    </w:p>
    <w:p>
      <w:pPr>
        <w:bidi/>
        <w:spacing w:before="0" w:after="100" w:line="300" w:lineRule="auto"/>
        <w:jc w:val="both"/>
      </w:pPr>
      <w:r>
        <w:rPr>
          <w:rFonts w:ascii="Arial" w:hAnsi="Arial" w:cs="Arial" w:eastAsia="Arial"/>
          <w:color w:val="1F2430"/>
          <w:sz w:val="19"/>
          <w:szCs w:val="19"/>
          <w:rtl/>
        </w:rPr>
        <w:t>אם תמיד אפשר לפתוח הסכם מחדש בשם הילד – איך אפשר בכלל להגיע להסכם סופי? כאן התפתחו שני מבחנים:</w:t>
      </w:r>
    </w:p>
    <w:tbl>
      <w:tblPr>
        <w:tblW w:type="dxa" w:w="10206"/>
        <w:jc w:val="center"/>
        <w:tblLook w:firstColumn="1" w:firstRow="1" w:lastColumn="0" w:lastRow="0" w:noHBand="0" w:noVBand="1" w:val="04A0"/>
        <w:bidiVisual/>
        <w:tblLayout w:type="fixed"/>
      </w:tblPr>
      <w:tblGrid>
        <w:gridCol w:w="1482"/>
        <w:gridCol w:w="5059"/>
        <w:gridCol w:w="3663"/>
      </w:tblGrid>
      <w:tr>
        <w:trPr>
          <w:tblHeader/>
        </w:trPr>
        <w:tc>
          <w:tcPr>
            <w:tcW w:type="dxa" w:w="1483"/>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5059"/>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מבחן פרוצדורלי (פרשת עברון)</w:t>
            </w:r>
          </w:p>
        </w:tc>
        <w:tc>
          <w:tcPr>
            <w:tcW w:type="dxa" w:w="3663"/>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מבחן מהותי (בג"ץ 4407/12)</w:t>
            </w:r>
          </w:p>
        </w:tc>
      </w:tr>
      <w:tr>
        <w:trPr>
          <w:cantSplit/>
        </w:trPr>
        <w:tc>
          <w:tcPr>
            <w:tcW w:type="dxa" w:w="1483"/>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מה בודקים</w:t>
            </w:r>
          </w:p>
        </w:tc>
        <w:tc>
          <w:tcPr>
            <w:tcW w:type="dxa" w:w="505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הוגשה בהליך תביעה נפרדת בשם הילד</w:t>
            </w:r>
          </w:p>
        </w:tc>
        <w:tc>
          <w:tcPr>
            <w:tcW w:type="dxa" w:w="3663"/>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הערכאה "דנה ופסקה" בפועל בענייני הילד</w:t>
            </w:r>
          </w:p>
        </w:tc>
      </w:tr>
      <w:tr>
        <w:trPr>
          <w:cantSplit/>
        </w:trPr>
        <w:tc>
          <w:tcPr>
            <w:tcW w:type="dxa" w:w="1483"/>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מה נדרש כדי לחסום</w:t>
            </w:r>
          </w:p>
        </w:tc>
        <w:tc>
          <w:tcPr>
            <w:tcW w:type="dxa" w:w="505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שבתוך ההליך תהיה תביעה נפרדת בשמו (בדרך כלל לא מגישים כזו)</w:t>
            </w:r>
          </w:p>
        </w:tc>
        <w:tc>
          <w:tcPr>
            <w:tcW w:type="dxa" w:w="3663"/>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די בהתייחסות כלשהי, ממשית, לעניינו של הילד</w:t>
            </w:r>
          </w:p>
        </w:tc>
      </w:tr>
      <w:tr>
        <w:trPr>
          <w:cantSplit/>
        </w:trPr>
        <w:tc>
          <w:tcPr>
            <w:tcW w:type="dxa" w:w="1483"/>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מעמד היום</w:t>
            </w:r>
          </w:p>
        </w:tc>
        <w:tc>
          <w:tcPr>
            <w:tcW w:type="dxa" w:w="505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הוחלף</w:t>
            </w:r>
          </w:p>
        </w:tc>
        <w:tc>
          <w:tcPr>
            <w:tcW w:type="dxa" w:w="3663"/>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המבחן הקובע</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4407/12 – המבחן המהותי</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המבחן הוא האם הערכאה </w:t>
            </w:r>
            <w:r>
              <w:rPr>
                <w:rFonts w:ascii="Arial" w:hAnsi="Arial" w:cs="Arial" w:eastAsia="Arial"/>
                <w:color w:val="1F2430"/>
                <w:sz w:val="18"/>
                <w:szCs w:val="18"/>
                <w:highlight w:val="yellow"/>
                <w:rtl/>
              </w:rPr>
              <w:t>דנה ופסקה</w:t>
            </w:r>
            <w:r>
              <w:rPr>
                <w:rFonts w:ascii="Arial" w:hAnsi="Arial" w:cs="Arial" w:eastAsia="Arial"/>
                <w:color w:val="1F2430"/>
                <w:sz w:val="18"/>
                <w:szCs w:val="18"/>
                <w:rtl/>
              </w:rPr>
              <w:t xml:space="preserve"> בעניינו של הילד. יש לבדוק אם בזמן אישור ההסכם הייתה התייחסות אמיתית לענייני הקטין – לא די בכך שבני הזוג הגיעו עם הסכם מוכן והשופט רק חתם עליו. אין צורך בתביעה נפרדת בשם הילד; די בהתייחסות ממשית. </w:t>
            </w:r>
            <w:r>
              <w:rPr>
                <w:rFonts w:ascii="Arial" w:hAnsi="Arial" w:cs="Arial" w:eastAsia="Arial"/>
                <w:b/>
                <w:bCs/>
                <w:color w:val="1F2430"/>
                <w:sz w:val="18"/>
                <w:szCs w:val="18"/>
                <w:rtl/>
              </w:rPr>
              <w:t>סימנים לכך שהתקיים "דן ופסק":</w:t>
            </w:r>
            <w:r>
              <w:rPr>
                <w:rFonts w:ascii="Arial" w:hAnsi="Arial" w:cs="Arial" w:eastAsia="Arial"/>
                <w:color w:val="1F2430"/>
                <w:sz w:val="18"/>
                <w:szCs w:val="18"/>
                <w:rtl/>
              </w:rPr>
              <w:t xml:space="preserve"> נשאלו שאלות לגבי הילד; נבדקו צרכיו; התייחסו למזונותיו; הנושא נרשם בפרוטוקול; הייתה התייחסות ממשית לאינטרסים שלו; אולי אף התקבלה חוות דעת.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בודקים מה באמת קרה בדיון, ולא רק אם כתוב פורמלית שפסק הדין אושר. אם עורכי הדין רק החליפו טיוטות והשופט "חתם על עיוור" – לא היה "דן ופסק", והילד (באמצעות אמו או אביו) יכול לפתוח את התיק. אם הייתה התייחסות לילד בפרוטוקול – הילד מנוע מלפתוח מכוח מעמדו העצמאי.</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המשמעות של זכות מעמדו העצמאי של הקטין – ארבעה כללים</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הקטין רשאי לפתוח את התביעה היכן שירצה – אין חובה לחזור לאותה ערכאה.</w:t>
      </w:r>
      <w:r>
        <w:rPr>
          <w:rFonts w:ascii="Arial" w:hAnsi="Arial" w:cs="Arial" w:eastAsia="Arial"/>
          <w:color w:val="1F2430"/>
          <w:sz w:val="19"/>
          <w:szCs w:val="19"/>
          <w:rtl/>
        </w:rPr>
        <w:t xml:space="preserve"> בכך זה שונה מהסמכות הנמשכת.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הקטין אינו צריך להוכיח שינוי נסיבות.</w:t>
      </w:r>
      <w:r>
        <w:rPr>
          <w:rFonts w:ascii="Arial" w:hAnsi="Arial" w:cs="Arial" w:eastAsia="Arial"/>
          <w:color w:val="1F2430"/>
          <w:sz w:val="19"/>
          <w:szCs w:val="19"/>
          <w:rtl/>
        </w:rPr>
        <w:t xml:space="preserve"> זו אינה תביעה שאומרת "פסק הדין היה בסדר, אבל אחר כך משהו השתנה", אלא תביעה שאומרת "כבר בזמן ההליך הראשון לא התייחסו כראוי לזכויות שלי".</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b/>
          <w:bCs/>
          <w:color w:val="1F2430"/>
          <w:sz w:val="19"/>
          <w:szCs w:val="19"/>
          <w:rtl/>
        </w:rPr>
        <w:t>נטל ההוכחה אינו על הילד</w:t>
      </w:r>
      <w:r>
        <w:rPr>
          <w:rFonts w:ascii="Arial" w:hAnsi="Arial" w:cs="Arial" w:eastAsia="Arial"/>
          <w:color w:val="1F2430"/>
          <w:sz w:val="19"/>
          <w:szCs w:val="19"/>
          <w:rtl/>
        </w:rPr>
        <w:t>, אלא על מי שרוצה להשאיר את ההחלטה הקודמת על כנה – בדרך כלל האב. הוא צריך לשכנע שהדיון הקודם היה מספק.</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b/>
          <w:bCs/>
          <w:color w:val="1F2430"/>
          <w:sz w:val="19"/>
          <w:szCs w:val="19"/>
          <w:rtl/>
        </w:rPr>
        <w:t>אם כבר היה "דן ופסק" – אי אפשר לפתוח מכוח המעמד העצמאי.</w:t>
      </w:r>
      <w:r>
        <w:rPr>
          <w:rFonts w:ascii="Arial" w:hAnsi="Arial" w:cs="Arial" w:eastAsia="Arial"/>
          <w:color w:val="1F2430"/>
          <w:sz w:val="19"/>
          <w:szCs w:val="19"/>
          <w:rtl/>
        </w:rPr>
        <w:t xml:space="preserve"> כדי להגן על עצמו, על האב להראות שבהליך הקודם הייתה התייחסות מהותית לעניינו של הילד, עדיף מתועדת בפרוטוקול. לפי המבחן המהותי די בהתייחסות כלשהי – וזה קל יותר מלהוכיח תביעה נפרדת.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גם אחרי "דן ופסק" הדלת לא נעולה לגמרי</w:t>
            </w:r>
          </w:p>
          <w:p>
            <w:pPr>
              <w:bidi/>
              <w:spacing w:before="0" w:after="60" w:line="300" w:lineRule="auto"/>
              <w:jc w:val="both"/>
            </w:pPr>
            <w:r>
              <w:rPr>
                <w:rFonts w:ascii="Arial" w:hAnsi="Arial" w:cs="Arial" w:eastAsia="Arial"/>
                <w:color w:val="1F2430"/>
                <w:sz w:val="18"/>
                <w:szCs w:val="18"/>
                <w:rtl/>
              </w:rPr>
              <w:t xml:space="preserve">אם היה "דן ופסק", נחסמת רק העילה של המעמד העצמאי. עדיין ייתכן שבעתיד אפשר יהיה לפתוח את מזונות הילד </w:t>
            </w:r>
            <w:r>
              <w:rPr>
                <w:rFonts w:ascii="Arial" w:hAnsi="Arial" w:cs="Arial" w:eastAsia="Arial"/>
                <w:b/>
                <w:bCs/>
                <w:color w:val="1F2430"/>
                <w:sz w:val="18"/>
                <w:szCs w:val="18"/>
                <w:rtl/>
              </w:rPr>
              <w:t>מכוח שינוי נסיבות וסמכות נמשכת</w:t>
            </w:r>
            <w:r>
              <w:rPr>
                <w:rFonts w:ascii="Arial" w:hAnsi="Arial" w:cs="Arial" w:eastAsia="Arial"/>
                <w:color w:val="1F2430"/>
                <w:sz w:val="18"/>
                <w:szCs w:val="18"/>
                <w:rtl/>
              </w:rPr>
              <w:t xml:space="preserve"> – אבל אז בכפוף לתנאיה: שינוי נסיבות מהותי וחזרה לאותה ערכאה.</w:t>
            </w:r>
          </w:p>
        </w:tc>
      </w:tr>
    </w:tbl>
    <w:p>
      <w:pPr>
        <w:bidi/>
        <w:spacing w:after="0" w:before="0" w:line="120" w:lineRule="exact"/>
      </w:pPr>
      <w:r>
        <w:rPr>
          <w:sz w:val="2"/>
        </w:rPr>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גבולות העילה</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תביעה להפחתת מזונות אינה תביעה מכוח מעמדו העצמאי של הקטין</w:t>
      </w:r>
      <w:r>
        <w:rPr>
          <w:rFonts w:ascii="Arial" w:hAnsi="Arial" w:cs="Arial" w:eastAsia="Arial"/>
          <w:color w:val="1F2430"/>
          <w:sz w:val="19"/>
          <w:szCs w:val="19"/>
          <w:rtl/>
        </w:rPr>
        <w:t xml:space="preserve"> – אי אפשר לטעון בשם הילד שרוצים להפחית לו. זו תביעה רגילה מכוח שינוי נסיבות (לרוב נדחית, אלא אם יש שינוי במשמורת), ולכן היא </w:t>
      </w:r>
      <w:r>
        <w:rPr>
          <w:rFonts w:ascii="Arial" w:hAnsi="Arial" w:cs="Arial" w:eastAsia="Arial"/>
          <w:b/>
          <w:bCs/>
          <w:color w:val="1F2430"/>
          <w:sz w:val="19"/>
          <w:szCs w:val="19"/>
          <w:rtl/>
        </w:rPr>
        <w:t>לא עוקפת את מירוץ הסמכויות</w:t>
      </w:r>
      <w:r>
        <w:rPr>
          <w:rFonts w:ascii="Arial" w:hAnsi="Arial" w:cs="Arial" w:eastAsia="Arial"/>
          <w:color w:val="1F2430"/>
          <w:sz w:val="19"/>
          <w:szCs w:val="19"/>
          <w:rtl/>
        </w:rPr>
        <w:t xml:space="preserve"> וחוזרת לערכאה שדנה ופסקה.</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אב התובע מכוח מעמד הקטין?</w:t>
      </w:r>
      <w:r>
        <w:rPr>
          <w:rFonts w:ascii="Arial" w:hAnsi="Arial" w:cs="Arial" w:eastAsia="Arial"/>
          <w:color w:val="1F2430"/>
          <w:sz w:val="19"/>
          <w:szCs w:val="19"/>
          <w:rtl/>
        </w:rPr>
        <w:t xml:space="preserve"> סטודנט שאל אם אב יכול לתבוע מכוח מעמדו העצמאי של הקטין הגדלת חלקה של האם במזונות, אחרי שהתקבלה לעבודה עם משכורת גבוהה. הפרופ' השיב: "כיום עם החוק החדש אפשר לנסות", אך הגדלת הסכום בגין הקטין תגדיל גם את חלקו של האב. ואם המטרה אינה להגדיל את המזונות אלא רק לחלק אחרת את הנטל בין ההורים – </w:t>
      </w:r>
      <w:r>
        <w:rPr>
          <w:rFonts w:ascii="Arial" w:hAnsi="Arial" w:cs="Arial" w:eastAsia="Arial"/>
          <w:color w:val="1F2430"/>
          <w:sz w:val="19"/>
          <w:szCs w:val="19"/>
          <w:highlight w:val="yellow"/>
          <w:rtl/>
        </w:rPr>
        <w:t>לא ברור שיתפסו זאת כתביעה בשם מעמדו העצמאי של הקטין</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האם אפשר "לרוקן" את הכריכה? (שאלת סטודנט)</w:t>
      </w:r>
    </w:p>
    <w:p>
      <w:pPr>
        <w:bidi/>
        <w:spacing w:before="0" w:after="100" w:line="300" w:lineRule="auto"/>
        <w:jc w:val="both"/>
      </w:pPr>
      <w:r>
        <w:rPr>
          <w:rFonts w:ascii="Arial" w:hAnsi="Arial" w:cs="Arial" w:eastAsia="Arial"/>
          <w:color w:val="1F2430"/>
          <w:sz w:val="19"/>
          <w:szCs w:val="19"/>
          <w:rtl/>
        </w:rPr>
        <w:t>סטודנט הציע תרחיש: הבעל כורך מזונות ילדים ורכוש; האישה "מהנהנת בשקט" כדי שלא יהיה "דן ופסק", ואחרי פסק הדין פונה לבית המשפט – במזונות מכוח מעמד הקטין, וברכוש בטענה ש"אין סמכות נמשכת". תשובת הפרופ':</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ברכוש</w:t>
      </w:r>
      <w:r>
        <w:rPr>
          <w:rFonts w:ascii="Arial" w:hAnsi="Arial" w:cs="Arial" w:eastAsia="Arial"/>
          <w:color w:val="1F2430"/>
          <w:sz w:val="19"/>
          <w:szCs w:val="19"/>
          <w:rtl/>
        </w:rPr>
        <w:t xml:space="preserve"> – התרחיש לא רלוונטי: זה פסק דין סופי, ואי אפשר לפתוח אותו משום עילה. היעדר סמכות נמשכת ברכוש אין פירושו שאפשר לפתוח רכוש בערכאה אחרת; פירושו שאי אפשר לפתוח אותו כלל.</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במזונות ילדים</w:t>
      </w:r>
      <w:r>
        <w:rPr>
          <w:rFonts w:ascii="Arial" w:hAnsi="Arial" w:cs="Arial" w:eastAsia="Arial"/>
          <w:color w:val="1F2430"/>
          <w:sz w:val="19"/>
          <w:szCs w:val="19"/>
          <w:rtl/>
        </w:rPr>
        <w:t xml:space="preserve"> – זה אפשרי, אך אנשים אינם בונים על כך, כי חזרה לבית המשפט היא "סרט בפני עצמו".</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טענות הגנה: תניית שיפוי וערב</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תניית שיפוי</w:t>
            </w:r>
          </w:p>
          <w:p>
            <w:pPr>
              <w:bidi/>
              <w:spacing w:before="0" w:after="60" w:line="300" w:lineRule="auto"/>
              <w:jc w:val="both"/>
            </w:pPr>
            <w:r>
              <w:rPr>
                <w:rFonts w:ascii="Arial" w:hAnsi="Arial" w:cs="Arial" w:eastAsia="Arial"/>
                <w:color w:val="1F2430"/>
                <w:sz w:val="18"/>
                <w:szCs w:val="18"/>
                <w:rtl/>
              </w:rPr>
              <w:t xml:space="preserve">סעיף בהסכם הגירושין שקובע, למשל: "אם בעתיד תתבעי אותי להגדלת מזונות הילדים, תחזירי לי כסף או רכוש שנתתי לך במסגרת ההסכם". מטרתה להגן על הצד שנתן תמורה בהסכם. לעיתים מצרפים גם </w:t>
            </w:r>
            <w:r>
              <w:rPr>
                <w:rFonts w:ascii="Arial" w:hAnsi="Arial" w:cs="Arial" w:eastAsia="Arial"/>
                <w:b/>
                <w:bCs/>
                <w:color w:val="1F2430"/>
                <w:sz w:val="18"/>
                <w:szCs w:val="18"/>
                <w:rtl/>
              </w:rPr>
              <w:t>ערב</w:t>
            </w:r>
            <w:r>
              <w:rPr>
                <w:rFonts w:ascii="Arial" w:hAnsi="Arial" w:cs="Arial" w:eastAsia="Arial"/>
                <w:color w:val="1F2430"/>
                <w:sz w:val="18"/>
                <w:szCs w:val="18"/>
                <w:rtl/>
              </w:rPr>
              <w:t>, כדי שאם התניה תופעל, גביית הכסף מההורה לא תפגע בפועל בילדים.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איפה אוכפים את תניית השיפוי?</w:t>
            </w:r>
          </w:p>
          <w:p>
            <w:pPr>
              <w:bidi/>
              <w:spacing w:before="0" w:after="60" w:line="300" w:lineRule="auto"/>
              <w:jc w:val="both"/>
            </w:pPr>
            <w:r>
              <w:rPr>
                <w:rFonts w:ascii="Arial" w:hAnsi="Arial" w:cs="Arial" w:eastAsia="Arial"/>
                <w:color w:val="1F2430"/>
                <w:sz w:val="18"/>
                <w:szCs w:val="18"/>
                <w:rtl/>
              </w:rPr>
              <w:t xml:space="preserve">לפי סימה אמיר, תביעה לאכיפת תניית שיפוי היא </w:t>
            </w:r>
            <w:r>
              <w:rPr>
                <w:rFonts w:ascii="Arial" w:hAnsi="Arial" w:cs="Arial" w:eastAsia="Arial"/>
                <w:b/>
                <w:bCs/>
                <w:color w:val="1F2430"/>
                <w:sz w:val="18"/>
                <w:szCs w:val="18"/>
                <w:rtl/>
              </w:rPr>
              <w:t>תביעה רכושית</w:t>
            </w:r>
            <w:r>
              <w:rPr>
                <w:rFonts w:ascii="Arial" w:hAnsi="Arial" w:cs="Arial" w:eastAsia="Arial"/>
                <w:color w:val="1F2430"/>
                <w:sz w:val="18"/>
                <w:szCs w:val="18"/>
                <w:rtl/>
              </w:rPr>
              <w:t>. לכן היא אינה נכנסת לבית הדין הרבני לא בסעיף 9, לא בסמכות נמשכת ולא בבוררות (גם לפי חוק 2026 – בגלל החריג של בני זוג לשעבר). הבעל שרוצה לאכוף אותה יצטרך לפנות לבית המשפט.</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4.7 טבלת השוואה: סמכות נמשכת מול מעמדו העצמאי של הקטין</w:t>
      </w:r>
    </w:p>
    <w:tbl>
      <w:tblPr>
        <w:tblW w:type="dxa" w:w="10206"/>
        <w:jc w:val="center"/>
        <w:tblLook w:firstColumn="1" w:firstRow="1" w:lastColumn="0" w:lastRow="0" w:noHBand="0" w:noVBand="1" w:val="04A0"/>
        <w:bidiVisual/>
        <w:tblLayout w:type="fixed"/>
      </w:tblPr>
      <w:tblGrid>
        <w:gridCol w:w="1855"/>
        <w:gridCol w:w="4432"/>
        <w:gridCol w:w="3917"/>
      </w:tblGrid>
      <w:tr>
        <w:trPr>
          <w:tblHeader/>
        </w:trPr>
        <w:tc>
          <w:tcPr>
            <w:tcW w:type="dxa" w:w="1855"/>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שאלה</w:t>
            </w:r>
          </w:p>
        </w:tc>
        <w:tc>
          <w:tcPr>
            <w:tcW w:type="dxa" w:w="4432"/>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סמכות נמשכת</w:t>
            </w:r>
          </w:p>
        </w:tc>
        <w:tc>
          <w:tcPr>
            <w:tcW w:type="dxa" w:w="3917"/>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מעמדו העצמאי של הקטין</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מי תובע</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אחד מהצדדים (אישה, בעל, הורה)</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הקטין (בדרך כלל באמצעות האם)</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באילו נושאים</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משמורת, מזונות אישה, מזונות ילדים</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זכויות הילד – בעיקר מזונות ילדים</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שינוי נסיבות מהותי</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חובה</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נדרש</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לאיזו ערכאה</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חובה לחזור לאותה ערכאה שדנה ופסקה</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לכל ערכאה – אין חובה לחזור</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טענת התובע</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"פסק הדין היה תקין, אך המציאות השתנתה"</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"כבר בהליך הראשון זכויותיי לא נשקלו"</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נטל ההוכחה</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על המבקש לשנות (להוכיח שינוי נסיבות)</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על המבקש להשאיר את ההחלטה על כנה (האב)</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מה חוסם</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היעדר שינוי נסיבות; נושא שאינו מתמשך (רכוש)</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"דן ופסק" לפי המבחן המהותי</w:t>
            </w:r>
          </w:p>
        </w:tc>
      </w:tr>
      <w:tr>
        <w:trPr>
          <w:cantSplit/>
        </w:trPr>
        <w:tc>
          <w:tcPr>
            <w:tcW w:type="dxa" w:w="185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הפחתת מזונות</w:t>
            </w:r>
          </w:p>
        </w:tc>
        <w:tc>
          <w:tcPr>
            <w:tcW w:type="dxa" w:w="443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אפשרית בשינוי נסיבות</w:t>
            </w:r>
          </w:p>
        </w:tc>
        <w:tc>
          <w:tcPr>
            <w:tcW w:type="dxa" w:w="391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לא – אין "הפחתה בשם הילד"</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4.8 עץ ההחלטה – טבלת הסיכום של המרצה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סמכות מקורית, סמכות נמשכת ומעמדו העצמאי של הקטין</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1. </w:t>
            </w:r>
            <w:r>
              <w:tab/>
            </w:r>
            <w:r>
              <w:rPr>
                <w:rFonts w:ascii="Arial" w:hAnsi="Arial" w:cs="Arial" w:eastAsia="Arial"/>
                <w:b/>
                <w:bCs/>
                <w:color w:val="1F2430"/>
                <w:sz w:val="18"/>
                <w:szCs w:val="18"/>
                <w:rtl/>
              </w:rPr>
              <w:t>תביעה ראשונה בבית הדין</w:t>
            </w:r>
            <w:r>
              <w:rPr>
                <w:rFonts w:ascii="Arial" w:hAnsi="Arial" w:cs="Arial" w:eastAsia="Arial"/>
                <w:color w:val="1F2430"/>
                <w:sz w:val="18"/>
                <w:szCs w:val="18"/>
                <w:rtl/>
              </w:rPr>
              <w:t xml:space="preserve"> – בודקים את הדלתות הראשיות: סעיפים 1, 3, 4 (וגם 4א), 9 לחשבד"ר. זו הסמכות הראשונית (המקורית). קודם כול צריך למצוא לבית הדין מקור סמכות.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2. </w:t>
            </w:r>
            <w:r>
              <w:tab/>
            </w:r>
            <w:r>
              <w:rPr>
                <w:rFonts w:ascii="Arial" w:hAnsi="Arial" w:cs="Arial" w:eastAsia="Arial"/>
                <w:b/>
                <w:bCs/>
                <w:color w:val="1F2430"/>
                <w:sz w:val="18"/>
                <w:szCs w:val="18"/>
                <w:rtl/>
              </w:rPr>
              <w:t>תביעה שנייה באותו נושא – סמכות נמשכת</w:t>
            </w:r>
            <w:r>
              <w:rPr>
                <w:rFonts w:ascii="Arial" w:hAnsi="Arial" w:cs="Arial" w:eastAsia="Arial"/>
                <w:color w:val="1F2430"/>
                <w:sz w:val="18"/>
                <w:szCs w:val="18"/>
                <w:rtl/>
              </w:rPr>
              <w:t>: האם העניין כבר נדון וניתן בו פסק דין מתמשך? אם כן, אפשר לתבוע מכוח סמכות נמשכת – רק בנושאים מתמשכים (מזונות אישה וילדים והחזקת ילדים), רק בשינוי נסיבות מהותי, ורק באותה ערכאה.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3. </w:t>
            </w:r>
            <w:r>
              <w:tab/>
            </w:r>
            <w:r>
              <w:rPr>
                <w:rFonts w:ascii="Arial" w:hAnsi="Arial" w:cs="Arial" w:eastAsia="Arial"/>
                <w:b/>
                <w:bCs/>
                <w:color w:val="1F2430"/>
                <w:sz w:val="18"/>
                <w:szCs w:val="18"/>
                <w:rtl/>
              </w:rPr>
              <w:t>תביעה שנייה באותו נושא – מכוח מעמדו העצמאי של הקטין</w:t>
            </w:r>
            <w:r>
              <w:rPr>
                <w:rFonts w:ascii="Arial" w:hAnsi="Arial" w:cs="Arial" w:eastAsia="Arial"/>
                <w:color w:val="1F2430"/>
                <w:sz w:val="18"/>
                <w:szCs w:val="18"/>
                <w:rtl/>
              </w:rPr>
              <w:t>: אם היה "דן ופסק" (מבחן מהותי) – התיק סגור לעילה זו, ואפשר רק מכוח סמכות נמשכת. אם לא היה "דן ופסק" – הילד אינו כפוף לדרישת שינוי הנסיבות ואינו כפוף לאותה ערכאה.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4. </w:t>
            </w:r>
            <w:r>
              <w:tab/>
            </w:r>
            <w:r>
              <w:rPr>
                <w:rFonts w:ascii="Arial" w:hAnsi="Arial" w:cs="Arial" w:eastAsia="Arial"/>
                <w:b/>
                <w:bCs/>
                <w:color w:val="1F2430"/>
                <w:sz w:val="18"/>
                <w:szCs w:val="18"/>
                <w:rtl/>
              </w:rPr>
              <w:t>הגנה</w:t>
            </w:r>
            <w:r>
              <w:rPr>
                <w:rFonts w:ascii="Arial" w:hAnsi="Arial" w:cs="Arial" w:eastAsia="Arial"/>
                <w:color w:val="1F2430"/>
                <w:sz w:val="18"/>
                <w:szCs w:val="18"/>
                <w:rtl/>
              </w:rPr>
              <w:t>: תניות שיפוי וערב.</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כך עונים על אירוע במבחן</w:t>
            </w:r>
          </w:p>
          <w:p>
            <w:pPr>
              <w:bidi/>
              <w:tabs>
                <w:tab w:val="left" w:pos="311"/>
              </w:tabs>
              <w:spacing w:before="0" w:after="40" w:line="288" w:lineRule="auto"/>
              <w:ind w:right="311" w:hanging="255"/>
            </w:pPr>
            <w:r>
              <w:rPr>
                <w:rFonts w:ascii="Arial" w:hAnsi="Arial" w:cs="Arial" w:eastAsia="Arial"/>
                <w:b/>
                <w:bCs/>
                <w:color w:val="D99400"/>
                <w:sz w:val="14"/>
                <w:szCs w:val="14"/>
                <w:rtl/>
              </w:rPr>
              <w:t xml:space="preserve">● </w:t>
            </w:r>
            <w:r>
              <w:tab/>
            </w:r>
            <w:r>
              <w:rPr>
                <w:rFonts w:ascii="Arial" w:hAnsi="Arial" w:cs="Arial" w:eastAsia="Arial"/>
                <w:color w:val="1F2430"/>
                <w:sz w:val="18"/>
                <w:szCs w:val="18"/>
                <w:rtl/>
              </w:rPr>
              <w:t>בתביעה שנייה – סווגו קודם את הנושא: רכוש (סופי, אין פתיחה) או נושא מתמשך.</w:t>
            </w:r>
          </w:p>
          <w:p>
            <w:pPr>
              <w:bidi/>
              <w:tabs>
                <w:tab w:val="left" w:pos="311"/>
              </w:tabs>
              <w:spacing w:before="0" w:after="40" w:line="288" w:lineRule="auto"/>
              <w:ind w:right="311" w:hanging="255"/>
            </w:pPr>
            <w:r>
              <w:rPr>
                <w:rFonts w:ascii="Arial" w:hAnsi="Arial" w:cs="Arial" w:eastAsia="Arial"/>
                <w:b/>
                <w:bCs/>
                <w:color w:val="D99400"/>
                <w:sz w:val="14"/>
                <w:szCs w:val="14"/>
                <w:rtl/>
              </w:rPr>
              <w:t xml:space="preserve">● </w:t>
            </w:r>
            <w:r>
              <w:tab/>
            </w:r>
            <w:r>
              <w:rPr>
                <w:rFonts w:ascii="Arial" w:hAnsi="Arial" w:cs="Arial" w:eastAsia="Arial"/>
                <w:color w:val="1F2430"/>
                <w:sz w:val="18"/>
                <w:szCs w:val="18"/>
                <w:rtl/>
              </w:rPr>
              <w:t>הורה שטוען לשינוי במציאות – סמכות נמשכת, באותה ערכאה. ילד שטוען לקיפוח זכויותיו – מעמד עצמאי: בדקו "דן ופסק".</w:t>
            </w:r>
          </w:p>
          <w:p>
            <w:pPr>
              <w:bidi/>
              <w:tabs>
                <w:tab w:val="left" w:pos="311"/>
              </w:tabs>
              <w:spacing w:before="0" w:after="40" w:line="288" w:lineRule="auto"/>
              <w:ind w:right="311" w:hanging="255"/>
            </w:pPr>
            <w:r>
              <w:rPr>
                <w:rFonts w:ascii="Arial" w:hAnsi="Arial" w:cs="Arial" w:eastAsia="Arial"/>
                <w:b/>
                <w:bCs/>
                <w:color w:val="D99400"/>
                <w:sz w:val="14"/>
                <w:szCs w:val="14"/>
                <w:rtl/>
              </w:rPr>
              <w:t xml:space="preserve">● </w:t>
            </w:r>
            <w:r>
              <w:tab/>
            </w:r>
            <w:r>
              <w:rPr>
                <w:rFonts w:ascii="Arial" w:hAnsi="Arial" w:cs="Arial" w:eastAsia="Arial"/>
                <w:color w:val="1F2430"/>
                <w:sz w:val="18"/>
                <w:szCs w:val="18"/>
                <w:rtl/>
              </w:rPr>
              <w:t>תניית שיפוי או סעיף "כל דיון עתידי בבית הדין" בהסכם – הפעילו את סימה אמיר.</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4.9 סיכום הפרק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סמכות נמשכת</w:t>
            </w:r>
            <w:r>
              <w:rPr>
                <w:rFonts w:ascii="Arial" w:hAnsi="Arial" w:cs="Arial" w:eastAsia="Arial"/>
                <w:color w:val="1F2430"/>
                <w:sz w:val="18"/>
                <w:szCs w:val="18"/>
                <w:rtl/>
              </w:rPr>
              <w:t xml:space="preserve"> – דלת צדדית שיצרה הפסיקה, חריג לסופיות הדיון. קיימת רק במשמורת, מזונות אישה ומזונות ילדים; דורשת שינוי נסיבות מהותי וחזרה לערכאה ש"דנה ופסקה"; אין צורך בכריכה או הסכמה חדשה. </w:t>
            </w:r>
            <w:r>
              <w:rPr>
                <w:rFonts w:ascii="Arial" w:hAnsi="Arial" w:cs="Arial" w:eastAsia="Arial"/>
                <w:b/>
                <w:bCs/>
                <w:color w:val="1F2430"/>
                <w:sz w:val="18"/>
                <w:szCs w:val="18"/>
                <w:rtl/>
              </w:rPr>
              <w:t>אין סמכות נמשכת ברכוש.</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סעיף 9</w:t>
            </w:r>
            <w:r>
              <w:rPr>
                <w:rFonts w:ascii="Arial" w:hAnsi="Arial" w:cs="Arial" w:eastAsia="Arial"/>
                <w:color w:val="1F2430"/>
                <w:sz w:val="18"/>
                <w:szCs w:val="18"/>
                <w:rtl/>
              </w:rPr>
              <w:t xml:space="preserve"> – בית הדין הרבני מוסמך בתביעה בודדת בענייני מעמד אישי (סימן 51) ובירושה, אם כל הצדדים הנוגעים בדבר הסכימו: משמורת, מזונות קטין, אפוטרופסות כולל חינוך. </w:t>
            </w:r>
            <w:r>
              <w:rPr>
                <w:rFonts w:ascii="Arial" w:hAnsi="Arial" w:cs="Arial" w:eastAsia="Arial"/>
                <w:b/>
                <w:bCs/>
                <w:color w:val="1F2430"/>
                <w:sz w:val="18"/>
                <w:szCs w:val="18"/>
                <w:rtl/>
              </w:rPr>
              <w:t>לא רכוש.</w:t>
            </w:r>
            <w:r>
              <w:rPr>
                <w:rFonts w:ascii="Arial" w:hAnsi="Arial" w:cs="Arial" w:eastAsia="Arial"/>
                <w:color w:val="1F2430"/>
                <w:sz w:val="18"/>
                <w:szCs w:val="18"/>
                <w:rtl/>
              </w:rPr>
              <w:t xml:space="preserve"> ההסכמה יכולה להיות גם מכללא, וטענת חוסר סמכות יש להעלות בהזדמנות הראשונה (סעיף 15(ד)(4) לחוק יסוד: השפיטה). הסכמה מראש אפשרית אך אינה חוסמת פנייה לבית המשפט.</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סרגובי (2006)</w:t>
            </w:r>
            <w:r>
              <w:rPr>
                <w:rFonts w:ascii="Arial" w:hAnsi="Arial" w:cs="Arial" w:eastAsia="Arial"/>
                <w:color w:val="1F2430"/>
                <w:sz w:val="18"/>
                <w:szCs w:val="18"/>
                <w:rtl/>
              </w:rPr>
              <w:t xml:space="preserve"> – סעיף 9 חל רק כששני בני הזוג יהודים; זוג מעורב אינו יכול להתגרש בבית הדין הרבני בהסכמה.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סימה אמיר (8638/03)</w:t>
            </w:r>
            <w:r>
              <w:rPr>
                <w:rFonts w:ascii="Arial" w:hAnsi="Arial" w:cs="Arial" w:eastAsia="Arial"/>
                <w:color w:val="1F2430"/>
                <w:sz w:val="18"/>
                <w:szCs w:val="18"/>
                <w:rtl/>
              </w:rPr>
              <w:t xml:space="preserve"> – תביעה לאכיפת תניית שיפוי היא רכושית: אין סמכות מקורית, אין סעיף 9, אין סמכות נמשכת, אין בוררות; הסכמת הצדדים אינה יוצרת סמכות שהחוק לא נתן; בית הדין אינו דן בסכסוכי ממון אזרחיים בין פרטיים.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חוק הבוררות תשפ"ו-2026</w:t>
            </w:r>
            <w:r>
              <w:rPr>
                <w:rFonts w:ascii="Arial" w:hAnsi="Arial" w:cs="Arial" w:eastAsia="Arial"/>
                <w:color w:val="1F2430"/>
                <w:sz w:val="18"/>
                <w:szCs w:val="18"/>
                <w:rtl/>
              </w:rPr>
              <w:t xml:space="preserve"> – בית דין רבני או שרעי רשאי לדון כבורר בעניין אזרחי בהסכמה בכתב (טופס בוררות) ובזיקה (סמכות במעמד אישי כלפי אחד הצדדים או שכולם תאגידים); לא בפלילי, במנהלי, בעניין שכבר בסמכותו, ולא בהליך בין בני זוג או בני זוג לשעבר – ולכן סימה אמיר בעינה.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מעמדו העצמאי של הקטין</w:t>
            </w:r>
            <w:r>
              <w:rPr>
                <w:rFonts w:ascii="Arial" w:hAnsi="Arial" w:cs="Arial" w:eastAsia="Arial"/>
                <w:color w:val="1F2430"/>
                <w:sz w:val="18"/>
                <w:szCs w:val="18"/>
                <w:rtl/>
              </w:rPr>
              <w:t xml:space="preserve"> (משקה, עברון) – הקטין אינו כבול להסכם הוריו; אם לא היה "דן ופסק" לפי המבחן המהותי (בג"ץ 4407/12), הוא יכול לתבוע בכל ערכאה, בלי שינוי נסיבות, והנטל על מי שרוצה לשמר את ההחלטה. הפחתת מזונות אינה תביעה בשם הקטין. הגנות: תניית שיפוי וערב.</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C25A12"/>
            <w:tcBorders>
              <w:top w:val="single" w:sz="4" w:space="0" w:color="C25A12"/>
              <w:left w:val="single" w:sz="4" w:space="0" w:color="C25A12"/>
              <w:bottom w:val="single" w:sz="4" w:space="0" w:color="C25A12"/>
              <w:right w:val="single" w:sz="4" w:space="0" w:color="C25A12"/>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5</w:t>
            </w:r>
          </w:p>
          <w:p>
            <w:pPr>
              <w:bidi/>
              <w:spacing w:before="0" w:after="0" w:line="264" w:lineRule="auto"/>
              <w:outlineLvl w:val="0"/>
            </w:pPr>
            <w:r>
              <w:rPr>
                <w:rFonts w:ascii="Arial" w:hAnsi="Arial" w:cs="Arial" w:eastAsia="Arial"/>
                <w:b/>
                <w:bCs/>
                <w:color w:val="FFFFFF"/>
                <w:sz w:val="42"/>
                <w:szCs w:val="42"/>
                <w:rtl/>
              </w:rPr>
              <w:t>בית המשפט לענייני משפחה והליך יישוב הסכסוך</w:t>
            </w:r>
          </w:p>
        </w:tc>
      </w:tr>
    </w:tbl>
    <w:p>
      <w:pPr>
        <w:bidi/>
        <w:spacing w:after="0" w:before="0" w:line="200" w:lineRule="exact"/>
      </w:pPr>
      <w:r>
        <w:rPr>
          <w:sz w:val="2"/>
        </w:rPr>
      </w:r>
    </w:p>
    <w:p>
      <w:pPr>
        <w:bidi/>
        <w:spacing w:before="0" w:after="100" w:line="300" w:lineRule="auto"/>
        <w:jc w:val="both"/>
      </w:pPr>
      <w:r>
        <w:rPr>
          <w:rFonts w:ascii="Arial" w:hAnsi="Arial" w:cs="Arial" w:eastAsia="Arial"/>
          <w:color w:val="1F2430"/>
          <w:sz w:val="19"/>
          <w:szCs w:val="19"/>
          <w:rtl/>
        </w:rPr>
        <w:t>אחרי הפרקים על סמכויות בית הדין הרבני, עוברים כאן ל</w:t>
      </w:r>
      <w:r>
        <w:rPr>
          <w:rFonts w:ascii="Arial" w:hAnsi="Arial" w:cs="Arial" w:eastAsia="Arial"/>
          <w:color w:val="1F2430"/>
          <w:sz w:val="19"/>
          <w:szCs w:val="19"/>
          <w:highlight w:val="yellow"/>
          <w:rtl/>
        </w:rPr>
        <w:t>ערכאה השנייה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בית המשפט לענייני משפחה</w:t>
      </w:r>
      <w:r>
        <w:rPr>
          <w:rFonts w:ascii="Arial" w:hAnsi="Arial" w:cs="Arial" w:eastAsia="Arial"/>
          <w:color w:val="1F2430"/>
          <w:sz w:val="19"/>
          <w:szCs w:val="19"/>
          <w:rtl/>
        </w:rPr>
        <w:t>, ול</w:t>
      </w:r>
      <w:r>
        <w:rPr>
          <w:rFonts w:ascii="Arial" w:hAnsi="Arial" w:cs="Arial" w:eastAsia="Arial"/>
          <w:color w:val="1F2430"/>
          <w:sz w:val="19"/>
          <w:szCs w:val="19"/>
          <w:highlight w:val="yellow"/>
          <w:rtl/>
        </w:rPr>
        <w:t>חוק להסדר התדיינויות בסכסוכי משפחה</w:t>
      </w:r>
      <w:r>
        <w:rPr>
          <w:rFonts w:ascii="Arial" w:hAnsi="Arial" w:cs="Arial" w:eastAsia="Arial"/>
          <w:color w:val="1F2430"/>
          <w:sz w:val="19"/>
          <w:szCs w:val="19"/>
          <w:rtl/>
        </w:rPr>
        <w:t>. לפי החוק הזה, לפני כל תביעה בסכסוך משפחתי מגישים בקשה ליישוב סכסוך ועוברים פגישות מהו"ת. במבחן שואלים כמעט תמיד על המספרים (45, 15, 60, 75, 15) ועל הסעיפים (1, 3(ג), 8, 68(ה)).</w:t>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5.1 ייחודו של הסכסוך המשפחתי והרקע להקמת בית המשפט</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למה סכסוך משפחתי שונה מכל סכסוך אחר</w:t>
      </w:r>
    </w:p>
    <w:p>
      <w:pPr>
        <w:bidi/>
        <w:spacing w:before="0" w:after="100" w:line="300" w:lineRule="auto"/>
        <w:jc w:val="both"/>
      </w:pPr>
      <w:r>
        <w:rPr>
          <w:rFonts w:ascii="Arial" w:hAnsi="Arial" w:cs="Arial" w:eastAsia="Arial"/>
          <w:color w:val="1F2430"/>
          <w:sz w:val="19"/>
          <w:szCs w:val="19"/>
          <w:rtl/>
        </w:rPr>
        <w:t xml:space="preserve">סכסוך משפחתי הוא </w:t>
      </w:r>
      <w:r>
        <w:rPr>
          <w:rFonts w:ascii="Arial" w:hAnsi="Arial" w:cs="Arial" w:eastAsia="Arial"/>
          <w:color w:val="1F2430"/>
          <w:sz w:val="19"/>
          <w:szCs w:val="19"/>
          <w:highlight w:val="yellow"/>
          <w:rtl/>
        </w:rPr>
        <w:t>סכסוך טעון, אמוציונלי ורגשי</w:t>
      </w:r>
      <w:r>
        <w:rPr>
          <w:rFonts w:ascii="Arial" w:hAnsi="Arial" w:cs="Arial" w:eastAsia="Arial"/>
          <w:color w:val="1F2430"/>
          <w:sz w:val="19"/>
          <w:szCs w:val="19"/>
          <w:rtl/>
        </w:rPr>
        <w:t xml:space="preserve">. הוא נוגע בתא הבסיסי ביותר בחיינו, ובלשון סיכום התרגולים, העיסוק כאן הוא ב"דיני נפשות". בנוסף לכך הוא קשה במיוחד לניהול משפטי, בעיקר בגלל </w:t>
      </w:r>
      <w:r>
        <w:rPr>
          <w:rFonts w:ascii="Arial" w:hAnsi="Arial" w:cs="Arial" w:eastAsia="Arial"/>
          <w:color w:val="1F2430"/>
          <w:sz w:val="19"/>
          <w:szCs w:val="19"/>
          <w:highlight w:val="yellow"/>
          <w:rtl/>
        </w:rPr>
        <w:t>שני קשיים ראייתיים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1. </w:t>
      </w:r>
      <w:r>
        <w:tab/>
      </w:r>
      <w:r>
        <w:rPr>
          <w:rFonts w:ascii="Arial" w:hAnsi="Arial" w:cs="Arial" w:eastAsia="Arial"/>
          <w:b/>
          <w:bCs/>
          <w:color w:val="1F2430"/>
          <w:sz w:val="19"/>
          <w:szCs w:val="19"/>
          <w:rtl/>
        </w:rPr>
        <w:t>קושי בהשגת ראיות.</w:t>
      </w:r>
      <w:r>
        <w:rPr>
          <w:rFonts w:ascii="Arial" w:hAnsi="Arial" w:cs="Arial" w:eastAsia="Arial"/>
          <w:color w:val="1F2430"/>
          <w:sz w:val="19"/>
          <w:szCs w:val="19"/>
          <w:rtl/>
        </w:rPr>
        <w:t xml:space="preserve"> מי שיודע מה קרה הם בדרך כלל בני משפחה, קרובים או חברים. אנשים כאלה לא רוצים לקחת צד, ולכן קשה להביא אותם להעיד.</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2. </w:t>
      </w:r>
      <w:r>
        <w:tab/>
      </w:r>
      <w:r>
        <w:rPr>
          <w:rFonts w:ascii="Arial" w:hAnsi="Arial" w:cs="Arial" w:eastAsia="Arial"/>
          <w:b/>
          <w:bCs/>
          <w:color w:val="1F2430"/>
          <w:sz w:val="19"/>
          <w:szCs w:val="19"/>
          <w:rtl/>
        </w:rPr>
        <w:t>מה שקורה בתוך הבית לא מגובה במסמכים.</w:t>
      </w:r>
      <w:r>
        <w:rPr>
          <w:rFonts w:ascii="Arial" w:hAnsi="Arial" w:cs="Arial" w:eastAsia="Arial"/>
          <w:color w:val="1F2430"/>
          <w:sz w:val="19"/>
          <w:szCs w:val="19"/>
          <w:rtl/>
        </w:rPr>
        <w:t xml:space="preserve"> אין מסמך על כל שיחה, הסכמה או התנהגות בין בני זוג.</w:t>
      </w:r>
    </w:p>
    <w:p>
      <w:pPr>
        <w:bidi/>
        <w:spacing w:before="0" w:after="100" w:line="300" w:lineRule="auto"/>
        <w:jc w:val="both"/>
      </w:pPr>
      <w:r>
        <w:rPr>
          <w:rFonts w:ascii="Arial" w:hAnsi="Arial" w:cs="Arial" w:eastAsia="Arial"/>
          <w:color w:val="1F2430"/>
          <w:sz w:val="19"/>
          <w:szCs w:val="19"/>
          <w:rtl/>
        </w:rPr>
        <w:t xml:space="preserve">הקשיים האלה הם הבסיס להסדרים המיוחדים: סעיף 8, שופט אקטיבי, יחידות סיוע והליך יישוב סכסוך. בגלל אופיו של התחום, המדינה מספקת </w:t>
      </w:r>
      <w:r>
        <w:rPr>
          <w:rFonts w:ascii="Arial" w:hAnsi="Arial" w:cs="Arial" w:eastAsia="Arial"/>
          <w:color w:val="1F2430"/>
          <w:sz w:val="19"/>
          <w:szCs w:val="19"/>
          <w:highlight w:val="yellow"/>
          <w:rtl/>
        </w:rPr>
        <w:t>סיוע משפטי</w:t>
      </w:r>
      <w:r>
        <w:rPr>
          <w:rFonts w:ascii="Arial" w:hAnsi="Arial" w:cs="Arial" w:eastAsia="Arial"/>
          <w:color w:val="1F2430"/>
          <w:sz w:val="19"/>
          <w:szCs w:val="19"/>
          <w:rtl/>
        </w:rPr>
        <w:t xml:space="preserve"> למי שאין לו כסף לעורך דין (ויש גם קליניקות). לפי סיכום התרגולים, הערכאה </w:t>
      </w:r>
      <w:r>
        <w:rPr>
          <w:rFonts w:ascii="Arial" w:hAnsi="Arial" w:cs="Arial" w:eastAsia="Arial"/>
          <w:color w:val="1F2430"/>
          <w:sz w:val="19"/>
          <w:szCs w:val="19"/>
          <w:highlight w:val="yellow"/>
          <w:rtl/>
        </w:rPr>
        <w:t>ממנה את המומחים מטעמה</w:t>
      </w:r>
      <w:r>
        <w:rPr>
          <w:rFonts w:ascii="Arial" w:hAnsi="Arial" w:cs="Arial" w:eastAsia="Arial"/>
          <w:color w:val="1F2430"/>
          <w:sz w:val="19"/>
          <w:szCs w:val="19"/>
          <w:rtl/>
        </w:rPr>
        <w:t>, כדי שמי שיש לו כסף לממן מומחים לא יקבל בגלל זה יתרון.</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המצב לפני 1995 ובעיותיו</w:t>
      </w:r>
    </w:p>
    <w:p>
      <w:pPr>
        <w:bidi/>
        <w:spacing w:before="0" w:after="100" w:line="300" w:lineRule="auto"/>
        <w:jc w:val="both"/>
      </w:pPr>
      <w:r>
        <w:rPr>
          <w:rFonts w:ascii="Arial" w:hAnsi="Arial" w:cs="Arial" w:eastAsia="Arial"/>
          <w:color w:val="1F2430"/>
          <w:sz w:val="19"/>
          <w:szCs w:val="19"/>
          <w:rtl/>
        </w:rPr>
        <w:t xml:space="preserve">לפני 1995 התיקים התפצלו בין </w:t>
      </w:r>
      <w:r>
        <w:rPr>
          <w:rFonts w:ascii="Arial" w:hAnsi="Arial" w:cs="Arial" w:eastAsia="Arial"/>
          <w:color w:val="1F2430"/>
          <w:sz w:val="19"/>
          <w:szCs w:val="19"/>
          <w:highlight w:val="yellow"/>
          <w:rtl/>
        </w:rPr>
        <w:t>בית משפט השלום</w:t>
      </w:r>
      <w:r>
        <w:rPr>
          <w:rFonts w:ascii="Arial" w:hAnsi="Arial" w:cs="Arial" w:eastAsia="Arial"/>
          <w:color w:val="1F2430"/>
          <w:sz w:val="19"/>
          <w:szCs w:val="19"/>
          <w:rtl/>
        </w:rPr>
        <w:t xml:space="preserve"> ל</w:t>
      </w:r>
      <w:r>
        <w:rPr>
          <w:rFonts w:ascii="Arial" w:hAnsi="Arial" w:cs="Arial" w:eastAsia="Arial"/>
          <w:color w:val="1F2430"/>
          <w:sz w:val="19"/>
          <w:szCs w:val="19"/>
          <w:highlight w:val="yellow"/>
          <w:rtl/>
        </w:rPr>
        <w:t>בית המשפט המחוזי</w:t>
      </w:r>
      <w:r>
        <w:rPr>
          <w:rFonts w:ascii="Arial" w:hAnsi="Arial" w:cs="Arial" w:eastAsia="Arial"/>
          <w:color w:val="1F2430"/>
          <w:sz w:val="19"/>
          <w:szCs w:val="19"/>
          <w:rtl/>
        </w:rPr>
        <w:t xml:space="preserve"> לפי הנושא והסכום. כך נוצר פיצול כפול: בין הערכאה הדתית לאזרחית, ובתוך הערוץ האזרחי עצמו. חמשת החסרונות: (1) </w:t>
      </w:r>
      <w:r>
        <w:rPr>
          <w:rFonts w:ascii="Arial" w:hAnsi="Arial" w:cs="Arial" w:eastAsia="Arial"/>
          <w:color w:val="1F2430"/>
          <w:sz w:val="19"/>
          <w:szCs w:val="19"/>
          <w:highlight w:val="yellow"/>
          <w:rtl/>
        </w:rPr>
        <w:t>העסקת מספר רב של שופטים</w:t>
      </w:r>
      <w:r>
        <w:rPr>
          <w:rFonts w:ascii="Arial" w:hAnsi="Arial" w:cs="Arial" w:eastAsia="Arial"/>
          <w:color w:val="1F2430"/>
          <w:sz w:val="19"/>
          <w:szCs w:val="19"/>
          <w:rtl/>
        </w:rPr>
        <w:t xml:space="preserve">, כי אותה משפחה הגיעה לכמה שופטים; (2) </w:t>
      </w:r>
      <w:r>
        <w:rPr>
          <w:rFonts w:ascii="Arial" w:hAnsi="Arial" w:cs="Arial" w:eastAsia="Arial"/>
          <w:color w:val="1F2430"/>
          <w:sz w:val="19"/>
          <w:szCs w:val="19"/>
          <w:highlight w:val="yellow"/>
          <w:rtl/>
        </w:rPr>
        <w:t>הגדלת ההוצאות המשפטיות</w:t>
      </w:r>
      <w:r>
        <w:rPr>
          <w:rFonts w:ascii="Arial" w:hAnsi="Arial" w:cs="Arial" w:eastAsia="Arial"/>
          <w:color w:val="1F2430"/>
          <w:sz w:val="19"/>
          <w:szCs w:val="19"/>
          <w:rtl/>
        </w:rPr>
        <w:t xml:space="preserve">; (3) </w:t>
      </w:r>
      <w:r>
        <w:rPr>
          <w:rFonts w:ascii="Arial" w:hAnsi="Arial" w:cs="Arial" w:eastAsia="Arial"/>
          <w:color w:val="1F2430"/>
          <w:sz w:val="19"/>
          <w:szCs w:val="19"/>
          <w:highlight w:val="yellow"/>
          <w:rtl/>
        </w:rPr>
        <w:t>פתרונות שאינם גלובליים</w:t>
      </w:r>
      <w:r>
        <w:rPr>
          <w:rFonts w:ascii="Arial" w:hAnsi="Arial" w:cs="Arial" w:eastAsia="Arial"/>
          <w:color w:val="1F2430"/>
          <w:sz w:val="19"/>
          <w:szCs w:val="19"/>
          <w:rtl/>
        </w:rPr>
        <w:t xml:space="preserve">, כי כל שופט ראה רק חלק מהתמונה; (4) </w:t>
      </w:r>
      <w:r>
        <w:rPr>
          <w:rFonts w:ascii="Arial" w:hAnsi="Arial" w:cs="Arial" w:eastAsia="Arial"/>
          <w:color w:val="1F2430"/>
          <w:sz w:val="19"/>
          <w:szCs w:val="19"/>
          <w:highlight w:val="yellow"/>
          <w:rtl/>
        </w:rPr>
        <w:t>סדרי דין וראיות נוקשים</w:t>
      </w:r>
      <w:r>
        <w:rPr>
          <w:rFonts w:ascii="Arial" w:hAnsi="Arial" w:cs="Arial" w:eastAsia="Arial"/>
          <w:color w:val="1F2430"/>
          <w:sz w:val="19"/>
          <w:szCs w:val="19"/>
          <w:rtl/>
        </w:rPr>
        <w:t xml:space="preserve">; (5) </w:t>
      </w:r>
      <w:r>
        <w:rPr>
          <w:rFonts w:ascii="Arial" w:hAnsi="Arial" w:cs="Arial" w:eastAsia="Arial"/>
          <w:color w:val="1F2430"/>
          <w:sz w:val="19"/>
          <w:szCs w:val="19"/>
          <w:highlight w:val="yellow"/>
          <w:rtl/>
        </w:rPr>
        <w:t>פגיעה בפרטיות</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ועדת שינבוים והקמת בית המשפט</w:t>
      </w:r>
    </w:p>
    <w:p>
      <w:pPr>
        <w:bidi/>
        <w:spacing w:before="0" w:after="100" w:line="300" w:lineRule="auto"/>
        <w:jc w:val="both"/>
      </w:pPr>
      <w:r>
        <w:rPr>
          <w:rFonts w:ascii="Arial" w:hAnsi="Arial" w:cs="Arial" w:eastAsia="Arial"/>
          <w:color w:val="1F2430"/>
          <w:sz w:val="19"/>
          <w:szCs w:val="19"/>
          <w:highlight w:val="yellow"/>
          <w:rtl/>
        </w:rPr>
        <w:t>ועדת שינבוים</w:t>
      </w:r>
      <w:r>
        <w:rPr>
          <w:rFonts w:ascii="Arial" w:hAnsi="Arial" w:cs="Arial" w:eastAsia="Arial"/>
          <w:color w:val="1F2430"/>
          <w:sz w:val="19"/>
          <w:szCs w:val="19"/>
          <w:rtl/>
        </w:rPr>
        <w:t xml:space="preserve"> (1982–1986) הוקמה מתוך הבנה שנדרש שינוי דרמטי. היא למדה מהמשפט המשווה ואימצה הסדרים מ</w:t>
      </w:r>
      <w:r>
        <w:rPr>
          <w:rFonts w:ascii="Arial" w:hAnsi="Arial" w:cs="Arial" w:eastAsia="Arial"/>
          <w:color w:val="1F2430"/>
          <w:sz w:val="19"/>
          <w:szCs w:val="19"/>
          <w:highlight w:val="yellow"/>
          <w:rtl/>
        </w:rPr>
        <w:t>אוסטרליה וניו זילנד</w:t>
      </w:r>
      <w:r>
        <w:rPr>
          <w:rFonts w:ascii="Arial" w:hAnsi="Arial" w:cs="Arial" w:eastAsia="Arial"/>
          <w:color w:val="1F2430"/>
          <w:sz w:val="19"/>
          <w:szCs w:val="19"/>
          <w:rtl/>
        </w:rPr>
        <w:t xml:space="preserve">, שבהן יש בתי משפט מיוחדים למשפחה. הוועדה המליצה להקים ערכאה מיוחדת, וכך נחקק </w:t>
      </w:r>
      <w:r>
        <w:rPr>
          <w:rFonts w:ascii="Arial" w:hAnsi="Arial" w:cs="Arial" w:eastAsia="Arial"/>
          <w:color w:val="1F2430"/>
          <w:sz w:val="19"/>
          <w:szCs w:val="19"/>
          <w:highlight w:val="yellow"/>
          <w:rtl/>
        </w:rPr>
        <w:t>חוק בית המשפט לענייני משפחה, התשנ"ה-1995</w:t>
      </w:r>
      <w:r>
        <w:rPr>
          <w:rFonts w:ascii="Arial" w:hAnsi="Arial" w:cs="Arial" w:eastAsia="Arial"/>
          <w:color w:val="1F2430"/>
          <w:sz w:val="19"/>
          <w:szCs w:val="19"/>
          <w:rtl/>
        </w:rPr>
        <w:t>. המחוקק רצה להשיג שני דברים:</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1. </w:t>
      </w:r>
      <w:r>
        <w:tab/>
      </w:r>
      <w:r>
        <w:rPr>
          <w:rFonts w:ascii="Arial" w:hAnsi="Arial" w:cs="Arial" w:eastAsia="Arial"/>
          <w:b/>
          <w:bCs/>
          <w:color w:val="1F2430"/>
          <w:sz w:val="19"/>
          <w:szCs w:val="19"/>
          <w:rtl/>
        </w:rPr>
        <w:t>ריכוז כל התביעות בבית משפט אחד.</w:t>
      </w:r>
      <w:r>
        <w:rPr>
          <w:rFonts w:ascii="Arial" w:hAnsi="Arial" w:cs="Arial" w:eastAsia="Arial"/>
          <w:color w:val="1F2430"/>
          <w:sz w:val="19"/>
          <w:szCs w:val="19"/>
          <w:rtl/>
        </w:rPr>
        <w:t xml:space="preserve"> הרעיון הוא "משפחה אחת, שופט אחד", כך שהסכסוך לא יתפצל בין ערכאות.</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2. </w:t>
      </w:r>
      <w:r>
        <w:tab/>
      </w:r>
      <w:r>
        <w:rPr>
          <w:rFonts w:ascii="Arial" w:hAnsi="Arial" w:cs="Arial" w:eastAsia="Arial"/>
          <w:b/>
          <w:bCs/>
          <w:color w:val="1F2430"/>
          <w:sz w:val="19"/>
          <w:szCs w:val="19"/>
          <w:rtl/>
        </w:rPr>
        <w:t>גישה שונה.</w:t>
      </w:r>
      <w:r>
        <w:rPr>
          <w:rFonts w:ascii="Arial" w:hAnsi="Arial" w:cs="Arial" w:eastAsia="Arial"/>
          <w:color w:val="1F2430"/>
          <w:sz w:val="19"/>
          <w:szCs w:val="19"/>
          <w:rtl/>
        </w:rPr>
        <w:t xml:space="preserve"> שופטים מנוסים ורגישים יותר, ו"מעטפת" שונה של יחידות סיוע וסדרי דין גמישים.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הדרגה של בית המשפט לענייני משפחה</w:t>
            </w:r>
          </w:p>
          <w:p>
            <w:pPr>
              <w:bidi/>
              <w:spacing w:before="0" w:after="60" w:line="300" w:lineRule="auto"/>
              <w:jc w:val="both"/>
            </w:pPr>
            <w:r>
              <w:rPr>
                <w:rFonts w:ascii="Arial" w:hAnsi="Arial" w:cs="Arial" w:eastAsia="Arial"/>
                <w:color w:val="1F2430"/>
                <w:sz w:val="18"/>
                <w:szCs w:val="18"/>
                <w:rtl/>
              </w:rPr>
              <w:t xml:space="preserve">התלבטו בין דרגת מחוזי לדרגת שלום. </w:t>
            </w:r>
            <w:r>
              <w:rPr>
                <w:rFonts w:ascii="Arial" w:hAnsi="Arial" w:cs="Arial" w:eastAsia="Arial"/>
                <w:b/>
                <w:bCs/>
                <w:color w:val="1F2430"/>
                <w:sz w:val="18"/>
                <w:szCs w:val="18"/>
                <w:rtl/>
              </w:rPr>
              <w:t xml:space="preserve">הוחלט: </w:t>
            </w:r>
            <w:r>
              <w:rPr>
                <w:rFonts w:ascii="Arial" w:hAnsi="Arial" w:cs="Arial" w:eastAsia="Arial"/>
                <w:b/>
                <w:bCs/>
                <w:color w:val="1F2430"/>
                <w:sz w:val="18"/>
                <w:szCs w:val="18"/>
                <w:highlight w:val="yellow"/>
                <w:rtl/>
              </w:rPr>
              <w:t>בדרגת בית משפט שלום</w:t>
            </w:r>
            <w:r>
              <w:rPr>
                <w:rFonts w:ascii="Arial" w:hAnsi="Arial" w:cs="Arial" w:eastAsia="Arial"/>
                <w:color w:val="1F2430"/>
                <w:sz w:val="18"/>
                <w:szCs w:val="18"/>
                <w:rtl/>
              </w:rPr>
              <w:t xml:space="preserve">, בעיקר כי יהיו שופטים רבים, ושופטי מחוזי יקרים יותר. </w:t>
            </w:r>
            <w:r>
              <w:rPr>
                <w:rFonts w:ascii="Arial" w:hAnsi="Arial" w:cs="Arial" w:eastAsia="Arial"/>
                <w:b/>
                <w:bCs/>
                <w:color w:val="1F2430"/>
                <w:sz w:val="18"/>
                <w:szCs w:val="18"/>
                <w:rtl/>
              </w:rPr>
              <w:t>המשמעות לערעור:</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ערעור בזכות לבית המשפט המחוזי</w:t>
            </w:r>
            <w:r>
              <w:rPr>
                <w:rFonts w:ascii="Arial" w:hAnsi="Arial" w:cs="Arial" w:eastAsia="Arial"/>
                <w:color w:val="1F2430"/>
                <w:sz w:val="18"/>
                <w:szCs w:val="18"/>
                <w:rtl/>
              </w:rPr>
              <w:t xml:space="preserve">, ומשם </w:t>
            </w:r>
            <w:r>
              <w:rPr>
                <w:rFonts w:ascii="Arial" w:hAnsi="Arial" w:cs="Arial" w:eastAsia="Arial"/>
                <w:color w:val="1F2430"/>
                <w:sz w:val="18"/>
                <w:szCs w:val="18"/>
                <w:highlight w:val="yellow"/>
                <w:rtl/>
              </w:rPr>
              <w:t>בקשת רשות ערעור לבית המשפט העליון</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החיסרון שבדרגת השלום</w:t>
            </w:r>
          </w:p>
          <w:p>
            <w:pPr>
              <w:bidi/>
              <w:spacing w:before="0" w:after="60" w:line="300" w:lineRule="auto"/>
              <w:jc w:val="both"/>
            </w:pPr>
            <w:r>
              <w:rPr>
                <w:rFonts w:ascii="Arial" w:hAnsi="Arial" w:cs="Arial" w:eastAsia="Arial"/>
                <w:color w:val="1F2430"/>
                <w:sz w:val="18"/>
                <w:szCs w:val="18"/>
                <w:rtl/>
              </w:rPr>
              <w:t xml:space="preserve">הערעור הראשון מגיע למחוזי. הלכות של בית משפט מחוזי </w:t>
            </w:r>
            <w:r>
              <w:rPr>
                <w:rFonts w:ascii="Arial" w:hAnsi="Arial" w:cs="Arial" w:eastAsia="Arial"/>
                <w:color w:val="1F2430"/>
                <w:sz w:val="18"/>
                <w:szCs w:val="18"/>
                <w:highlight w:val="yellow"/>
                <w:rtl/>
              </w:rPr>
              <w:t>אינן מחייבות</w:t>
            </w:r>
            <w:r>
              <w:rPr>
                <w:rFonts w:ascii="Arial" w:hAnsi="Arial" w:cs="Arial" w:eastAsia="Arial"/>
                <w:color w:val="1F2430"/>
                <w:sz w:val="18"/>
                <w:szCs w:val="18"/>
                <w:rtl/>
              </w:rPr>
              <w:t>, הן רק מנחות את הערכאות שמתחתיו. לכן בתי משפט מחוזיים שונים יכולים לפסוק אחרת באותה שאלה, וקשה ליצור אחידות.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אין חלוקה לפי סכום</w:t>
            </w:r>
          </w:p>
          <w:p>
            <w:pPr>
              <w:bidi/>
              <w:spacing w:before="0" w:after="60" w:line="300" w:lineRule="auto"/>
              <w:jc w:val="both"/>
            </w:pPr>
            <w:r>
              <w:rPr>
                <w:rFonts w:ascii="Arial" w:hAnsi="Arial" w:cs="Arial" w:eastAsia="Arial"/>
                <w:color w:val="1F2430"/>
                <w:sz w:val="18"/>
                <w:szCs w:val="18"/>
                <w:highlight w:val="yellow"/>
                <w:rtl/>
              </w:rPr>
              <w:t>אין חלוקה לפי סכום התביעה</w:t>
            </w:r>
            <w:r>
              <w:rPr>
                <w:rFonts w:ascii="Arial" w:hAnsi="Arial" w:cs="Arial" w:eastAsia="Arial"/>
                <w:color w:val="1F2430"/>
                <w:sz w:val="18"/>
                <w:szCs w:val="18"/>
                <w:rtl/>
              </w:rPr>
              <w:t>, בניגוד להליך רגיל (שלום עד 2.5 מיליון ש"ח, ומחוזי מעל). תובענה בין בני משפחה נדונה כאן "יהא נושאה או שוויה אשר יהא", גם אם היא על מיליונים.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מה החוק בא לפתור, ומה לא</w:t>
            </w:r>
          </w:p>
          <w:p>
            <w:pPr>
              <w:bidi/>
              <w:spacing w:before="0" w:after="60" w:line="300" w:lineRule="auto"/>
              <w:jc w:val="both"/>
            </w:pPr>
            <w:r>
              <w:rPr>
                <w:rFonts w:ascii="Arial" w:hAnsi="Arial" w:cs="Arial" w:eastAsia="Arial"/>
                <w:color w:val="1F2430"/>
                <w:sz w:val="18"/>
                <w:szCs w:val="18"/>
                <w:rtl/>
              </w:rPr>
              <w:t xml:space="preserve">חוק בית המשפט לענייני משפחה </w:t>
            </w:r>
            <w:r>
              <w:rPr>
                <w:rFonts w:ascii="Arial" w:hAnsi="Arial" w:cs="Arial" w:eastAsia="Arial"/>
                <w:color w:val="1F2430"/>
                <w:sz w:val="18"/>
                <w:szCs w:val="18"/>
                <w:highlight w:val="yellow"/>
                <w:rtl/>
              </w:rPr>
              <w:t>לא בא להכריע איזה דין יחול</w:t>
            </w:r>
            <w:r>
              <w:rPr>
                <w:rFonts w:ascii="Arial" w:hAnsi="Arial" w:cs="Arial" w:eastAsia="Arial"/>
                <w:color w:val="1F2430"/>
                <w:sz w:val="18"/>
                <w:szCs w:val="18"/>
                <w:rtl/>
              </w:rPr>
              <w:t xml:space="preserve">, דתי או אזרחי. מטרתו </w:t>
            </w:r>
            <w:r>
              <w:rPr>
                <w:rFonts w:ascii="Arial" w:hAnsi="Arial" w:cs="Arial" w:eastAsia="Arial"/>
                <w:color w:val="1F2430"/>
                <w:sz w:val="18"/>
                <w:szCs w:val="18"/>
                <w:highlight w:val="yellow"/>
                <w:rtl/>
              </w:rPr>
              <w:t>טכנית-פרוצדורלית</w:t>
            </w:r>
            <w:r>
              <w:rPr>
                <w:rFonts w:ascii="Arial" w:hAnsi="Arial" w:cs="Arial" w:eastAsia="Arial"/>
                <w:color w:val="1F2430"/>
                <w:sz w:val="18"/>
                <w:szCs w:val="18"/>
                <w:rtl/>
              </w:rPr>
              <w:t>: להקים בית משפט מיוחד ולרכז בו את ענייני המשפחה. שאלת הדין נשארת כפי שהייתה, ונקבעת לפי דבר המלך, חוק השיפוט, חוק המזונות ועוד (ראו פרקים 1–3).</w:t>
            </w:r>
          </w:p>
        </w:tc>
      </w:tr>
    </w:tbl>
    <w:p>
      <w:pPr>
        <w:bidi/>
        <w:spacing w:after="0" w:before="0" w:line="12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5.2 סמכותו העניינית של בית המשפט לענייני משפחה</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סעיף 3(א): כלל הסמכות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בית המשפט לענייני משפחה, סעיף 3(א)</w:t>
            </w:r>
          </w:p>
          <w:p>
            <w:pPr>
              <w:bidi/>
              <w:spacing w:before="0" w:after="60" w:line="300" w:lineRule="auto"/>
              <w:jc w:val="both"/>
            </w:pPr>
            <w:r>
              <w:rPr>
                <w:rFonts w:ascii="Arial" w:hAnsi="Arial" w:cs="Arial" w:eastAsia="Arial"/>
                <w:color w:val="1F2430"/>
                <w:sz w:val="18"/>
                <w:szCs w:val="18"/>
                <w:rtl/>
              </w:rPr>
              <w:t>"עניני משפחה לפי חוק זה יידונו בבית המשפט לעניני משפחה."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מה הם "ענייני משפחה"? את זה מגדיר </w:t>
      </w:r>
      <w:r>
        <w:rPr>
          <w:rFonts w:ascii="Arial" w:hAnsi="Arial" w:cs="Arial" w:eastAsia="Arial"/>
          <w:color w:val="1F2430"/>
          <w:sz w:val="19"/>
          <w:szCs w:val="19"/>
          <w:highlight w:val="yellow"/>
          <w:rtl/>
        </w:rPr>
        <w:t>סעיף 1</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סעיף 1: הגדרת "ענייני משפחה"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בית המשפט לענייני משפחה, סעיף 1 (עיקרי ההגדרה)</w:t>
            </w:r>
          </w:p>
          <w:p>
            <w:pPr>
              <w:bidi/>
              <w:spacing w:before="0" w:after="60" w:line="300" w:lineRule="auto"/>
              <w:jc w:val="both"/>
            </w:pPr>
            <w:r>
              <w:rPr>
                <w:rFonts w:ascii="Arial" w:hAnsi="Arial" w:cs="Arial" w:eastAsia="Arial"/>
                <w:color w:val="1F2430"/>
                <w:sz w:val="18"/>
                <w:szCs w:val="18"/>
                <w:rtl/>
              </w:rPr>
              <w:t>"עניני משפחה" – אחת מאלה: (1) תובענה בענייני המעמד האישי, כמשמעותם בדברי המלך במועצה על ארץ-ישראל, 1922–1947, למעט הנהלת נכסי אנשים נעדרים; (2) תובענה אזרחית בין אדם או עזבונו לבין בן משפחתו, או עזבונו, שעילתה סכסוך בתוך המשפחה, יהא נושאה או שוויה אשר יהא; ובהמשך ההגדרה: תובענות מזונות, אבהות ואמהות, ותובענות לפי חוקים מנויים, ביניהם חוק הכשרות המשפטית והאפוטרופסות וחוק יחסי ממון.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סעיף 1(1): ענייני מעמד אישי.</w:t>
      </w:r>
      <w:r>
        <w:rPr>
          <w:rFonts w:ascii="Arial" w:hAnsi="Arial" w:cs="Arial" w:eastAsia="Arial"/>
          <w:color w:val="1F2430"/>
          <w:sz w:val="19"/>
          <w:szCs w:val="19"/>
          <w:rtl/>
        </w:rPr>
        <w:t xml:space="preserve"> אלה ענייני נמכ"א: נישואין וגירושין, מזונות אישה, כלכלה (מזונות ילדים) ואפוטרופסות (איפה הילד ישן, חינוך). בענייני נישואין מגיעים לכאן בעיקר זוגות שאינם בסמכות הייחודית של בית הדין, כמו זוגות מעורבים, חסרי דת ובני אותו מין (ראו פרקים 2 ו-8). רכוש </w:t>
      </w:r>
      <w:r>
        <w:rPr>
          <w:rFonts w:ascii="Arial" w:hAnsi="Arial" w:cs="Arial" w:eastAsia="Arial"/>
          <w:b/>
          <w:bCs/>
          <w:color w:val="1F2430"/>
          <w:sz w:val="19"/>
          <w:szCs w:val="19"/>
          <w:rtl/>
        </w:rPr>
        <w:t>אינו</w:t>
      </w:r>
      <w:r>
        <w:rPr>
          <w:rFonts w:ascii="Arial" w:hAnsi="Arial" w:cs="Arial" w:eastAsia="Arial"/>
          <w:color w:val="1F2430"/>
          <w:sz w:val="19"/>
          <w:szCs w:val="19"/>
          <w:rtl/>
        </w:rPr>
        <w:t xml:space="preserve"> עניין של מעמד אישי.</w:t>
      </w:r>
    </w:p>
    <w:p>
      <w:pPr>
        <w:bidi/>
        <w:spacing w:before="0" w:after="100" w:line="300" w:lineRule="auto"/>
        <w:jc w:val="both"/>
      </w:pPr>
      <w:r>
        <w:rPr>
          <w:rFonts w:ascii="Arial" w:hAnsi="Arial" w:cs="Arial" w:eastAsia="Arial"/>
          <w:b/>
          <w:bCs/>
          <w:color w:val="1F2430"/>
          <w:sz w:val="19"/>
          <w:szCs w:val="19"/>
          <w:rtl/>
        </w:rPr>
        <w:t>סעיף 1(2): תובענה אזרחית בין בני משפחה.</w:t>
      </w:r>
      <w:r>
        <w:rPr>
          <w:rFonts w:ascii="Arial" w:hAnsi="Arial" w:cs="Arial" w:eastAsia="Arial"/>
          <w:color w:val="1F2430"/>
          <w:sz w:val="19"/>
          <w:szCs w:val="19"/>
          <w:rtl/>
        </w:rPr>
        <w:t xml:space="preserve"> הסעיף מכניס גם סכסוכים כספיים ורכושיים בין קרובים, ויש בו </w:t>
      </w:r>
      <w:r>
        <w:rPr>
          <w:rFonts w:ascii="Arial" w:hAnsi="Arial" w:cs="Arial" w:eastAsia="Arial"/>
          <w:color w:val="1F2430"/>
          <w:sz w:val="19"/>
          <w:szCs w:val="19"/>
          <w:highlight w:val="yellow"/>
          <w:rtl/>
        </w:rPr>
        <w:t>שני תנאים מצטברים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1. </w:t>
      </w:r>
      <w:r>
        <w:tab/>
      </w:r>
      <w:r>
        <w:rPr>
          <w:rFonts w:ascii="Arial" w:hAnsi="Arial" w:cs="Arial" w:eastAsia="Arial"/>
          <w:b/>
          <w:bCs/>
          <w:color w:val="1F2430"/>
          <w:sz w:val="19"/>
          <w:szCs w:val="19"/>
          <w:rtl/>
        </w:rPr>
        <w:t>תובענה בין בני משפחה</w:t>
      </w:r>
      <w:r>
        <w:rPr>
          <w:rFonts w:ascii="Arial" w:hAnsi="Arial" w:cs="Arial" w:eastAsia="Arial"/>
          <w:color w:val="1F2430"/>
          <w:sz w:val="19"/>
          <w:szCs w:val="19"/>
          <w:rtl/>
        </w:rPr>
        <w:t xml:space="preserve"> לפי הגדרת "בן משפחתו".</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2. </w:t>
      </w:r>
      <w:r>
        <w:tab/>
      </w:r>
      <w:r>
        <w:rPr>
          <w:rFonts w:ascii="Arial" w:hAnsi="Arial" w:cs="Arial" w:eastAsia="Arial"/>
          <w:b/>
          <w:bCs/>
          <w:color w:val="1F2430"/>
          <w:sz w:val="19"/>
          <w:szCs w:val="19"/>
          <w:rtl/>
        </w:rPr>
        <w:t>שעילתה סכסוך בתוך המשפחה</w:t>
      </w:r>
      <w:r>
        <w:rPr>
          <w:rFonts w:ascii="Arial" w:hAnsi="Arial" w:cs="Arial" w:eastAsia="Arial"/>
          <w:color w:val="1F2430"/>
          <w:sz w:val="19"/>
          <w:szCs w:val="19"/>
          <w:rtl/>
        </w:rPr>
        <w:t>, כלומר מה שגרם לסכסוך הוא משהו משפחתי.</w:t>
      </w:r>
    </w:p>
    <w:p>
      <w:pPr>
        <w:bidi/>
        <w:spacing w:before="0" w:after="100" w:line="300" w:lineRule="auto"/>
        <w:jc w:val="both"/>
      </w:pPr>
      <w:r>
        <w:rPr>
          <w:rFonts w:ascii="Arial" w:hAnsi="Arial" w:cs="Arial" w:eastAsia="Arial"/>
          <w:color w:val="1F2430"/>
          <w:sz w:val="19"/>
          <w:szCs w:val="19"/>
          <w:rtl/>
        </w:rPr>
        <w:t>ושוב: "יהא נושאה או שוויה אשר יהא". אין תקרה כספית.</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הגדרת "בן משפחתו"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בית המשפט לענייני משפחה, סעיף 1, "בן משפחתו"</w:t>
            </w:r>
          </w:p>
          <w:p>
            <w:pPr>
              <w:bidi/>
              <w:spacing w:before="0" w:after="60" w:line="300" w:lineRule="auto"/>
              <w:jc w:val="both"/>
            </w:pPr>
            <w:r>
              <w:rPr>
                <w:rFonts w:ascii="Arial" w:hAnsi="Arial" w:cs="Arial" w:eastAsia="Arial"/>
                <w:color w:val="1F2430"/>
                <w:sz w:val="18"/>
                <w:szCs w:val="18"/>
                <w:rtl/>
              </w:rPr>
              <w:t>(א) בן זוגו, לרבות הידועה בציבור כאשתו, בן זוגו לשעבר, בן זוגו שנישואיו עמו פקעו, ובלבד שנושא התובענה נובע מהקשר שהיה ביניהם בתקופה שבה היו בני זוג; (ב) ילדו, לרבות ילדו של בן זוגו; (ג) הוריו, הורי בן זוגו או בני זוגם; (ד) נכדו; (ה) הורי הוריו; (ו) אחיו ואחיותיו, שלו או של בן זוגו.</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נקודות חשובות בהגדרה:</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כאן הם </w:t>
      </w:r>
      <w:r>
        <w:rPr>
          <w:rFonts w:ascii="Arial" w:hAnsi="Arial" w:cs="Arial" w:eastAsia="Arial"/>
          <w:color w:val="1F2430"/>
          <w:sz w:val="19"/>
          <w:szCs w:val="19"/>
          <w:highlight w:val="yellow"/>
          <w:rtl/>
        </w:rPr>
        <w:t>נכנסים לראשונה לחוק</w:t>
      </w:r>
      <w:r>
        <w:rPr>
          <w:rFonts w:ascii="Arial" w:hAnsi="Arial" w:cs="Arial" w:eastAsia="Arial"/>
          <w:color w:val="1F2430"/>
          <w:sz w:val="19"/>
          <w:szCs w:val="19"/>
          <w:rtl/>
        </w:rPr>
        <w:t>. בלי המילים "לרבות הידועה בציבור כאשתו", הסכסוך שלהם היה נדון בשלום או במחוזי לפי הסכום. התנאים: משק בית משותף מתוך קשר של גורל, ויחסי אישות (ראו פרק 8).</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בן זוג לשעבר</w:t>
      </w:r>
      <w:r>
        <w:rPr>
          <w:rFonts w:ascii="Arial" w:hAnsi="Arial" w:cs="Arial" w:eastAsia="Arial"/>
          <w:color w:val="1F2430"/>
          <w:sz w:val="19"/>
          <w:szCs w:val="19"/>
          <w:rtl/>
        </w:rPr>
        <w:t xml:space="preserve"> נכלל רק כש</w:t>
      </w:r>
      <w:r>
        <w:rPr>
          <w:rFonts w:ascii="Arial" w:hAnsi="Arial" w:cs="Arial" w:eastAsia="Arial"/>
          <w:color w:val="1F2430"/>
          <w:sz w:val="19"/>
          <w:szCs w:val="19"/>
          <w:highlight w:val="yellow"/>
          <w:rtl/>
        </w:rPr>
        <w:t>נושא התובענה נובע מהקשר שהיה ביניהם</w:t>
      </w:r>
      <w:r>
        <w:rPr>
          <w:rFonts w:ascii="Arial" w:hAnsi="Arial" w:cs="Arial" w:eastAsia="Arial"/>
          <w:color w:val="1F2430"/>
          <w:sz w:val="19"/>
          <w:szCs w:val="19"/>
          <w:rtl/>
        </w:rPr>
        <w:t xml:space="preserve"> כבני זוג.</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נכללים גם ילד של בן הזוג, הורי בן הזוג, אחי בן הזוג, נכדים והורי ההורים.</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סכסוך משפחתי או סכסוך עסקי</w:t>
      </w:r>
    </w:p>
    <w:p>
      <w:pPr>
        <w:bidi/>
        <w:spacing w:before="0" w:after="100" w:line="300" w:lineRule="auto"/>
        <w:jc w:val="both"/>
      </w:pPr>
      <w:r>
        <w:rPr>
          <w:rFonts w:ascii="Arial" w:hAnsi="Arial" w:cs="Arial" w:eastAsia="Arial"/>
          <w:color w:val="1F2430"/>
          <w:sz w:val="19"/>
          <w:szCs w:val="19"/>
          <w:rtl/>
        </w:rPr>
        <w:t xml:space="preserve">לא כל סכסוך בין בני משפחה נכנס. נכנס רק </w:t>
      </w:r>
      <w:r>
        <w:rPr>
          <w:rFonts w:ascii="Arial" w:hAnsi="Arial" w:cs="Arial" w:eastAsia="Arial"/>
          <w:color w:val="1F2430"/>
          <w:sz w:val="19"/>
          <w:szCs w:val="19"/>
          <w:highlight w:val="yellow"/>
          <w:rtl/>
        </w:rPr>
        <w:t>סכסוך שעילתו משפחתית</w:t>
      </w:r>
      <w:r>
        <w:rPr>
          <w:rFonts w:ascii="Arial" w:hAnsi="Arial" w:cs="Arial" w:eastAsia="Arial"/>
          <w:color w:val="1F2430"/>
          <w:sz w:val="19"/>
          <w:szCs w:val="19"/>
          <w:rtl/>
        </w:rPr>
        <w:t>. כשאב ובנו שותפים בעסק, יש לשאול אם זה סכסוך משפחתי או עסקי. המקורות מציינים שלושה פרמטרים שעוזרים להכריע:</w:t>
      </w:r>
    </w:p>
    <w:tbl>
      <w:tblPr>
        <w:tblW w:type="dxa" w:w="10206"/>
        <w:jc w:val="center"/>
        <w:tblLook w:firstColumn="1" w:firstRow="1" w:lastColumn="0" w:lastRow="0" w:noHBand="0" w:noVBand="1" w:val="04A0"/>
        <w:bidiVisual/>
        <w:tblLayout w:type="fixed"/>
      </w:tblPr>
      <w:tblGrid>
        <w:gridCol w:w="4639"/>
        <w:gridCol w:w="5566"/>
      </w:tblGrid>
      <w:tr>
        <w:trPr>
          <w:tblHeader/>
        </w:trPr>
        <w:tc>
          <w:tcPr>
            <w:tcW w:type="dxa" w:w="4639"/>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פרמטר</w:t>
            </w:r>
          </w:p>
        </w:tc>
        <w:tc>
          <w:tcPr>
            <w:tcW w:type="dxa" w:w="5566"/>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הנטייה</w:t>
            </w:r>
          </w:p>
        </w:tc>
      </w:tr>
      <w:tr>
        <w:trPr>
          <w:cantSplit/>
        </w:trPr>
        <w:tc>
          <w:tcPr>
            <w:tcW w:type="dxa" w:w="463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highlight w:val="yellow"/>
                <w:rtl/>
              </w:rPr>
              <w:t>קרבת היחסים</w:t>
            </w:r>
            <w:r>
              <w:rPr>
                <w:rFonts w:ascii="Arial" w:hAnsi="Arial" w:cs="Arial" w:eastAsia="Arial"/>
                <w:b/>
                <w:bCs/>
                <w:color w:val="1F2430"/>
                <w:sz w:val="17"/>
                <w:szCs w:val="17"/>
                <w:rtl/>
              </w:rPr>
              <w:t>: ככל שהקשר קרוב יותר</w:t>
            </w:r>
          </w:p>
        </w:tc>
        <w:tc>
          <w:tcPr>
            <w:tcW w:type="dxa" w:w="556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אב ובן, נטייה לסכסוך משפחתי. חתן ואב חורג או סבא ונכד, נטייה לסכסוך עסקי</w:t>
            </w:r>
          </w:p>
        </w:tc>
      </w:tr>
      <w:tr>
        <w:trPr>
          <w:cantSplit/>
        </w:trPr>
        <w:tc>
          <w:tcPr>
            <w:tcW w:type="dxa" w:w="463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highlight w:val="yellow"/>
                <w:rtl/>
              </w:rPr>
              <w:t>מספר הגורמים הלבר-משפחתיים</w:t>
            </w:r>
            <w:r>
              <w:rPr>
                <w:rFonts w:ascii="Arial" w:hAnsi="Arial" w:cs="Arial" w:eastAsia="Arial"/>
                <w:b/>
                <w:bCs/>
                <w:color w:val="1F2430"/>
                <w:sz w:val="17"/>
                <w:szCs w:val="17"/>
                <w:rtl/>
              </w:rPr>
              <w:t>: ככל שהוא גדול יותר</w:t>
            </w:r>
          </w:p>
        </w:tc>
        <w:tc>
          <w:tcPr>
            <w:tcW w:type="dxa" w:w="556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תרומת יחסי המשפחה לסכסוך קטנה, והעילה אינה סכסוך בתוך המשפחה. למשל משרד עורכי דין עם 20–30 שותפים שבו אב ובן בצדדים מנוגדים</w:t>
            </w:r>
          </w:p>
        </w:tc>
      </w:tr>
      <w:tr>
        <w:trPr>
          <w:cantSplit/>
        </w:trPr>
        <w:tc>
          <w:tcPr>
            <w:tcW w:type="dxa" w:w="463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highlight w:val="yellow"/>
                <w:rtl/>
              </w:rPr>
              <w:t>כמה קשרים עסקיים ורק באחד מהם סכסוך</w:t>
            </w:r>
          </w:p>
        </w:tc>
        <w:tc>
          <w:tcPr>
            <w:tcW w:type="dxa" w:w="556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כנראה סכסוך עסקי. סכסוך משפחתי היה "פורם" את כל הקשר בין בני המשפחה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חבס נ' חבס</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העובדות אינן מפורטות בחומרי הקורס. פסק הדין מוזכר כמקור לבחינה אם סכסוך רכושי-עסקי בין בני משפחה הוא "סכסוך בתוך המשפחה" לפי סעיף 1(2).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ככל שמספר הגורמים הלבר-משפחתיים גדול יותר, </w:t>
            </w:r>
            <w:r>
              <w:rPr>
                <w:rFonts w:ascii="Arial" w:hAnsi="Arial" w:cs="Arial" w:eastAsia="Arial"/>
                <w:color w:val="1F2430"/>
                <w:sz w:val="18"/>
                <w:szCs w:val="18"/>
                <w:highlight w:val="yellow"/>
                <w:rtl/>
              </w:rPr>
              <w:t>תרומת יחסי המשפחה לסכסוך קטנה, והעילה אינה סכסוך בתוך המשפחה</w:t>
            </w:r>
            <w:r>
              <w:rPr>
                <w:rFonts w:ascii="Arial" w:hAnsi="Arial" w:cs="Arial" w:eastAsia="Arial"/>
                <w:color w:val="1F2430"/>
                <w:sz w:val="18"/>
                <w:szCs w:val="18"/>
                <w:rtl/>
              </w:rPr>
              <w:t xml:space="preserve">. במקרה כזה הסכסוך אינו בסמכות בית המשפט לענייני משפחה.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זו התשובה הנכונה בשאלת החידוד על סעיף 1(2). המלכודת היא מסיח שאומר שהעילה </w:t>
            </w:r>
            <w:r>
              <w:rPr>
                <w:rFonts w:ascii="Arial" w:hAnsi="Arial" w:cs="Arial" w:eastAsia="Arial"/>
                <w:b/>
                <w:bCs/>
                <w:color w:val="1F2430"/>
                <w:sz w:val="18"/>
                <w:szCs w:val="18"/>
                <w:rtl/>
              </w:rPr>
              <w:t>היא</w:t>
            </w:r>
            <w:r>
              <w:rPr>
                <w:rFonts w:ascii="Arial" w:hAnsi="Arial" w:cs="Arial" w:eastAsia="Arial"/>
                <w:color w:val="1F2430"/>
                <w:sz w:val="18"/>
                <w:szCs w:val="18"/>
                <w:rtl/>
              </w:rPr>
              <w:t xml:space="preserve"> סכסוך בתוך המשפחה. ההיגיון: לא מעמיסים על בית המשפט לענייני משפחה תיקים עסקיים כבדים שעלולים להטביע אותו.</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אב ובן בחברת יבוא (משאלות התרגול)</w:t>
            </w:r>
          </w:p>
          <w:p>
            <w:pPr>
              <w:bidi/>
              <w:spacing w:before="0" w:after="60" w:line="300" w:lineRule="auto"/>
              <w:jc w:val="both"/>
            </w:pPr>
            <w:r>
              <w:rPr>
                <w:rFonts w:ascii="Arial" w:hAnsi="Arial" w:cs="Arial" w:eastAsia="Arial"/>
                <w:color w:val="1F2430"/>
                <w:sz w:val="18"/>
                <w:szCs w:val="18"/>
                <w:rtl/>
              </w:rPr>
              <w:t xml:space="preserve">מוטי ובנו אלי הם בעלים של חברה לייבוא תבלינים. מוטי ורעייתו נמצאים בהליכי גירושין. סכסוך נוקב פרץ בין האב לבן אחרי שאלי הצהיר על תמיכתו בעמדת אמו ועל כוונתו לגור איתה. בעקבות זה האב הגיש תביעה לצו שיורה לבן להעביר לידיו את מניותיו בחברה. </w:t>
            </w:r>
            <w:r>
              <w:rPr>
                <w:rFonts w:ascii="Arial" w:hAnsi="Arial" w:cs="Arial" w:eastAsia="Arial"/>
                <w:b/>
                <w:bCs/>
                <w:color w:val="1F2430"/>
                <w:sz w:val="18"/>
                <w:szCs w:val="18"/>
                <w:rtl/>
              </w:rPr>
              <w:t>איזה בית משפט מוסמך?</w:t>
            </w:r>
            <w:r>
              <w:rPr>
                <w:rFonts w:ascii="Arial" w:hAnsi="Arial" w:cs="Arial" w:eastAsia="Arial"/>
                <w:color w:val="1F2430"/>
                <w:sz w:val="18"/>
                <w:szCs w:val="18"/>
                <w:rtl/>
              </w:rPr>
              <w:t xml:space="preserve"> בית המשפט לענייני משפחה. העילה היא סכסוך בתוך המשפחה (הגירושין והצטרפות הבן לצד האם), אף שהנושא עסקי. זה לא בית הדין הרבני, לא שלום או מחוזי לפי שווי, ולא המחלקה הכלכלית.</w:t>
            </w:r>
          </w:p>
        </w:tc>
      </w:tr>
    </w:tbl>
    <w:p>
      <w:pPr>
        <w:bidi/>
        <w:spacing w:after="0" w:before="0" w:line="120" w:lineRule="exact"/>
      </w:pPr>
      <w:r>
        <w:rPr>
          <w:sz w:val="2"/>
        </w:rPr>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מי מכריע בשאלת הסמכות</w:t>
      </w:r>
    </w:p>
    <w:p>
      <w:pPr>
        <w:bidi/>
        <w:spacing w:before="0" w:after="100" w:line="300" w:lineRule="auto"/>
        <w:jc w:val="both"/>
      </w:pPr>
      <w:r>
        <w:rPr>
          <w:rFonts w:ascii="Arial" w:hAnsi="Arial" w:cs="Arial" w:eastAsia="Arial"/>
          <w:color w:val="1F2430"/>
          <w:sz w:val="19"/>
          <w:szCs w:val="19"/>
          <w:rtl/>
        </w:rPr>
        <w:t xml:space="preserve">את שאלת הסמכות מכריע </w:t>
      </w:r>
      <w:r>
        <w:rPr>
          <w:rFonts w:ascii="Arial" w:hAnsi="Arial" w:cs="Arial" w:eastAsia="Arial"/>
          <w:color w:val="1F2430"/>
          <w:sz w:val="19"/>
          <w:szCs w:val="19"/>
          <w:highlight w:val="yellow"/>
          <w:rtl/>
        </w:rPr>
        <w:t>בית המשפט שאליו הגיע התיק</w:t>
      </w:r>
      <w:r>
        <w:rPr>
          <w:rFonts w:ascii="Arial" w:hAnsi="Arial" w:cs="Arial" w:eastAsia="Arial"/>
          <w:color w:val="1F2430"/>
          <w:sz w:val="19"/>
          <w:szCs w:val="19"/>
          <w:rtl/>
        </w:rPr>
        <w:t xml:space="preserve">. אם הוא קובע שאינו מוסמך, הוא מעביר את התיק לבית המשפט המוסמך לדעתו, והמקבל </w:t>
      </w:r>
      <w:r>
        <w:rPr>
          <w:rFonts w:ascii="Arial" w:hAnsi="Arial" w:cs="Arial" w:eastAsia="Arial"/>
          <w:color w:val="1F2430"/>
          <w:sz w:val="19"/>
          <w:szCs w:val="19"/>
          <w:highlight w:val="yellow"/>
          <w:rtl/>
        </w:rPr>
        <w:t>אינו יכול להחזיר אותו</w:t>
      </w:r>
      <w:r>
        <w:rPr>
          <w:rFonts w:ascii="Arial" w:hAnsi="Arial" w:cs="Arial" w:eastAsia="Arial"/>
          <w:color w:val="1F2430"/>
          <w:sz w:val="19"/>
          <w:szCs w:val="19"/>
          <w:rtl/>
        </w:rPr>
        <w:t xml:space="preserve"> גם אם הוא חולק. תיק שעבר פעם אחת לא חוזר.</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סמכות לאישור הסכמים וסמכויות נוספות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סעיף 3(ג):</w:t>
      </w:r>
      <w:r>
        <w:rPr>
          <w:rFonts w:ascii="Arial" w:hAnsi="Arial" w:cs="Arial" w:eastAsia="Arial"/>
          <w:color w:val="1F2430"/>
          <w:sz w:val="19"/>
          <w:szCs w:val="19"/>
          <w:rtl/>
        </w:rPr>
        <w:t xml:space="preserve"> בכל עניין שבסמכות בית המשפט, יש לו גם סמכות לאשר הסכם, </w:t>
      </w:r>
      <w:r>
        <w:rPr>
          <w:rFonts w:ascii="Arial" w:hAnsi="Arial" w:cs="Arial" w:eastAsia="Arial"/>
          <w:color w:val="1F2430"/>
          <w:sz w:val="19"/>
          <w:szCs w:val="19"/>
          <w:highlight w:val="yellow"/>
          <w:rtl/>
        </w:rPr>
        <w:t>אף אם אין תובענה תלויה ועומדת</w:t>
      </w:r>
      <w:r>
        <w:rPr>
          <w:rFonts w:ascii="Arial" w:hAnsi="Arial" w:cs="Arial" w:eastAsia="Arial"/>
          <w:color w:val="1F2430"/>
          <w:sz w:val="19"/>
          <w:szCs w:val="19"/>
          <w:rtl/>
        </w:rPr>
        <w:t>. פירוט בסעיף 5.3 בהמשך.</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סעיף 3(ד)</w:t>
      </w:r>
      <w:r>
        <w:rPr>
          <w:rFonts w:ascii="Arial" w:hAnsi="Arial" w:cs="Arial" w:eastAsia="Arial"/>
          <w:color w:val="1F2430"/>
          <w:sz w:val="19"/>
          <w:szCs w:val="19"/>
          <w:rtl/>
        </w:rPr>
        <w:t xml:space="preserve"> (תיקון 2010, לפי סיכום התרגולים): </w:t>
      </w:r>
      <w:r>
        <w:rPr>
          <w:rFonts w:ascii="Arial" w:hAnsi="Arial" w:cs="Arial" w:eastAsia="Arial"/>
          <w:color w:val="1F2430"/>
          <w:sz w:val="19"/>
          <w:szCs w:val="19"/>
          <w:highlight w:val="yellow"/>
          <w:rtl/>
        </w:rPr>
        <w:t>עובד סוציאלי, הקטין עצמו או "ידיד קרוב"</w:t>
      </w:r>
      <w:r>
        <w:rPr>
          <w:rFonts w:ascii="Arial" w:hAnsi="Arial" w:cs="Arial" w:eastAsia="Arial"/>
          <w:color w:val="1F2430"/>
          <w:sz w:val="19"/>
          <w:szCs w:val="19"/>
          <w:rtl/>
        </w:rPr>
        <w:t xml:space="preserve"> רשאים להגיש תובענה בכל עניין שבו עלולה זכותו של קטין להיפגע פגיעה של ממש. גם כאן מה שמנחה הוא טובת הקטין (ראו פרקים 4 ו-10).</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עניינים נוספים</w:t>
      </w:r>
      <w:r>
        <w:rPr>
          <w:rFonts w:ascii="Arial" w:hAnsi="Arial" w:cs="Arial" w:eastAsia="Arial"/>
          <w:color w:val="1F2430"/>
          <w:sz w:val="19"/>
          <w:szCs w:val="19"/>
          <w:rtl/>
        </w:rPr>
        <w:t xml:space="preserve"> שנמצאים בסמכותו, לפי המקראה: ענייני ירושה, והיתר נישואין לפי חוק גיל הנישואין ("רשאי בית המשפט לענייני משפחה לתת היתר", ראו פרק 7).</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טבלת המרצה: מכוח איזה סעיף נכנסים לבית המשפט לענייני משפחה (בני זוג יהודים)</w:t>
      </w:r>
    </w:p>
    <w:tbl>
      <w:tblPr>
        <w:tblW w:type="dxa" w:w="10206"/>
        <w:jc w:val="center"/>
        <w:tblLook w:firstColumn="1" w:firstRow="1" w:lastColumn="0" w:lastRow="0" w:noHBand="0" w:noVBand="1" w:val="04A0"/>
        <w:bidiVisual/>
        <w:tblLayout w:type="fixed"/>
      </w:tblPr>
      <w:tblGrid>
        <w:gridCol w:w="2497"/>
        <w:gridCol w:w="3908"/>
        <w:gridCol w:w="3800"/>
      </w:tblGrid>
      <w:tr>
        <w:trPr>
          <w:tblHeader/>
        </w:trPr>
        <w:tc>
          <w:tcPr>
            <w:tcW w:type="dxa" w:w="2497"/>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390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הדלת לבית המשפט לענייני משפחה</w:t>
            </w:r>
          </w:p>
        </w:tc>
        <w:tc>
          <w:tcPr>
            <w:tcW w:type="dxa" w:w="3800"/>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הסמכות מול בית הדין</w:t>
            </w:r>
          </w:p>
        </w:tc>
      </w:tr>
      <w:tr>
        <w:trPr>
          <w:cantSplit/>
        </w:trPr>
        <w:tc>
          <w:tcPr>
            <w:tcW w:type="dxa" w:w="249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וגירושין, כתובה</w:t>
            </w:r>
          </w:p>
        </w:tc>
        <w:tc>
          <w:tcPr>
            <w:tcW w:type="dxa" w:w="390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w:t>
            </w:r>
          </w:p>
        </w:tc>
        <w:tc>
          <w:tcPr>
            <w:tcW w:type="dxa" w:w="380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 לבית הדין, ס' 1 לחוק השיפוט</w:t>
            </w:r>
          </w:p>
        </w:tc>
      </w:tr>
      <w:tr>
        <w:trPr>
          <w:cantSplit/>
        </w:trPr>
        <w:tc>
          <w:tcPr>
            <w:tcW w:type="dxa" w:w="249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מזונות אישה</w:t>
            </w:r>
          </w:p>
        </w:tc>
        <w:tc>
          <w:tcPr>
            <w:tcW w:type="dxa" w:w="390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ס' 1(1) + 1(3) + 3(א) (וכן ס' 25)</w:t>
            </w:r>
          </w:p>
        </w:tc>
        <w:tc>
          <w:tcPr>
            <w:tcW w:type="dxa" w:w="380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מקבילה</w:t>
            </w:r>
          </w:p>
        </w:tc>
      </w:tr>
      <w:tr>
        <w:trPr>
          <w:cantSplit/>
        </w:trPr>
        <w:tc>
          <w:tcPr>
            <w:tcW w:type="dxa" w:w="249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p>
        </w:tc>
        <w:tc>
          <w:tcPr>
            <w:tcW w:type="dxa" w:w="390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 1(1) + 1(3) + 3(א) (וכן ס' 25)</w:t>
            </w:r>
          </w:p>
        </w:tc>
        <w:tc>
          <w:tcPr>
            <w:tcW w:type="dxa" w:w="380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w:t>
            </w:r>
          </w:p>
        </w:tc>
      </w:tr>
      <w:tr>
        <w:trPr>
          <w:cantSplit/>
        </w:trPr>
        <w:tc>
          <w:tcPr>
            <w:tcW w:type="dxa" w:w="249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החזקה (משמורת פיזית)</w:t>
            </w:r>
          </w:p>
        </w:tc>
        <w:tc>
          <w:tcPr>
            <w:tcW w:type="dxa" w:w="390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ס' 1(1) + 1(6)(ג) + 3(א) (וכן ס' 25)</w:t>
            </w:r>
          </w:p>
        </w:tc>
        <w:tc>
          <w:tcPr>
            <w:tcW w:type="dxa" w:w="380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מקבילה</w:t>
            </w:r>
          </w:p>
        </w:tc>
      </w:tr>
      <w:tr>
        <w:trPr>
          <w:cantSplit/>
        </w:trPr>
        <w:tc>
          <w:tcPr>
            <w:tcW w:type="dxa" w:w="249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רכוש</w:t>
            </w:r>
          </w:p>
        </w:tc>
        <w:tc>
          <w:tcPr>
            <w:tcW w:type="dxa" w:w="390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 1(2) + 1(6)(ז) + 3(א) (וכן ס' 25)</w:t>
            </w:r>
          </w:p>
        </w:tc>
        <w:tc>
          <w:tcPr>
            <w:tcW w:type="dxa" w:w="380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w:t>
            </w:r>
          </w:p>
        </w:tc>
      </w:tr>
      <w:tr>
        <w:trPr>
          <w:cantSplit/>
        </w:trPr>
        <w:tc>
          <w:tcPr>
            <w:tcW w:type="dxa" w:w="249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אבהות</w:t>
            </w:r>
          </w:p>
        </w:tc>
        <w:tc>
          <w:tcPr>
            <w:tcW w:type="dxa" w:w="390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ס' 1(4) + 3(א) (וכן ס' 25)</w:t>
            </w:r>
          </w:p>
        </w:tc>
        <w:tc>
          <w:tcPr>
            <w:tcW w:type="dxa" w:w="380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מקבילה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1(6)(ג) הוא חוק הכשרות, ו-1(6)(ז) חוק יחסי ממון. ההפניה ל</w:t>
      </w:r>
      <w:r>
        <w:rPr>
          <w:rFonts w:ascii="Arial" w:hAnsi="Arial" w:cs="Arial" w:eastAsia="Arial"/>
          <w:color w:val="1F2430"/>
          <w:sz w:val="19"/>
          <w:szCs w:val="19"/>
          <w:highlight w:val="yellow"/>
          <w:rtl/>
        </w:rPr>
        <w:t>סעיף 25</w:t>
      </w:r>
      <w:r>
        <w:rPr>
          <w:rFonts w:ascii="Arial" w:hAnsi="Arial" w:cs="Arial" w:eastAsia="Arial"/>
          <w:color w:val="1F2430"/>
          <w:sz w:val="19"/>
          <w:szCs w:val="19"/>
          <w:rtl/>
        </w:rPr>
        <w:t xml:space="preserve"> קשורה, לפי המקראה, ל</w:t>
      </w:r>
      <w:r>
        <w:rPr>
          <w:rFonts w:ascii="Arial" w:hAnsi="Arial" w:cs="Arial" w:eastAsia="Arial"/>
          <w:color w:val="1F2430"/>
          <w:sz w:val="19"/>
          <w:szCs w:val="19"/>
          <w:highlight w:val="yellow"/>
          <w:rtl/>
        </w:rPr>
        <w:t>ס' 25(ב) לחוק בית המשפט לענייני משפחה</w:t>
      </w:r>
      <w:r>
        <w:rPr>
          <w:rFonts w:ascii="Arial" w:hAnsi="Arial" w:cs="Arial" w:eastAsia="Arial"/>
          <w:color w:val="1F2430"/>
          <w:sz w:val="19"/>
          <w:szCs w:val="19"/>
          <w:rtl/>
        </w:rPr>
        <w:t xml:space="preserve">: בית הדין קונה סמכות ייחודית בעניין כרוך </w:t>
      </w:r>
      <w:r>
        <w:rPr>
          <w:rFonts w:ascii="Arial" w:hAnsi="Arial" w:cs="Arial" w:eastAsia="Arial"/>
          <w:color w:val="1F2430"/>
          <w:sz w:val="19"/>
          <w:szCs w:val="19"/>
          <w:highlight w:val="yellow"/>
          <w:rtl/>
        </w:rPr>
        <w:t>רק אם בן הזוג השני לא פתח קודם הליך בבית המשפט</w:t>
      </w:r>
      <w:r>
        <w:rPr>
          <w:rFonts w:ascii="Arial" w:hAnsi="Arial" w:cs="Arial" w:eastAsia="Arial"/>
          <w:color w:val="1F2430"/>
          <w:sz w:val="19"/>
          <w:szCs w:val="19"/>
          <w:rtl/>
        </w:rPr>
        <w:t>, ולהיפך. זה הבסיס החקיקתי של מירוץ הסמכויות (ראו פרק 3).</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אין כריכה בבית המשפט</w:t>
            </w:r>
          </w:p>
          <w:p>
            <w:pPr>
              <w:bidi/>
              <w:spacing w:before="0" w:after="60" w:line="300" w:lineRule="auto"/>
              <w:jc w:val="both"/>
            </w:pPr>
            <w:r>
              <w:rPr>
                <w:rFonts w:ascii="Arial" w:hAnsi="Arial" w:cs="Arial" w:eastAsia="Arial"/>
                <w:color w:val="1F2430"/>
                <w:sz w:val="18"/>
                <w:szCs w:val="18"/>
                <w:rtl/>
              </w:rPr>
              <w:t xml:space="preserve">בבית המשפט לענייני משפחה </w:t>
            </w:r>
            <w:r>
              <w:rPr>
                <w:rFonts w:ascii="Arial" w:hAnsi="Arial" w:cs="Arial" w:eastAsia="Arial"/>
                <w:color w:val="1F2430"/>
                <w:sz w:val="18"/>
                <w:szCs w:val="18"/>
                <w:highlight w:val="yellow"/>
                <w:rtl/>
              </w:rPr>
              <w:t>אין כריכה ואין מבחן משולש</w:t>
            </w:r>
            <w:r>
              <w:rPr>
                <w:rFonts w:ascii="Arial" w:hAnsi="Arial" w:cs="Arial" w:eastAsia="Arial"/>
                <w:color w:val="1F2430"/>
                <w:sz w:val="18"/>
                <w:szCs w:val="18"/>
                <w:rtl/>
              </w:rPr>
              <w:t xml:space="preserve">. פותחים תיקים "בבודדת" ו"בלי לבדוק כלום", בניגוד לבית הדין הרבני, שהכניסה אליו מוגבלת לדלתות שבחוק. בית המשפט לענייני משפחה הוא גם </w:t>
            </w:r>
            <w:r>
              <w:rPr>
                <w:rFonts w:ascii="Arial" w:hAnsi="Arial" w:cs="Arial" w:eastAsia="Arial"/>
                <w:color w:val="1F2430"/>
                <w:sz w:val="18"/>
                <w:szCs w:val="18"/>
                <w:highlight w:val="yellow"/>
                <w:rtl/>
              </w:rPr>
              <w:t>בעל הסמכות השיורית</w:t>
            </w:r>
            <w:r>
              <w:rPr>
                <w:rFonts w:ascii="Arial" w:hAnsi="Arial" w:cs="Arial" w:eastAsia="Arial"/>
                <w:color w:val="1F2430"/>
                <w:sz w:val="18"/>
                <w:szCs w:val="18"/>
                <w:rtl/>
              </w:rPr>
              <w:t>: מה שאינו בסמכות בית הדין יהיה בסמכותו.</w:t>
            </w:r>
          </w:p>
        </w:tc>
      </w:tr>
    </w:tbl>
    <w:p>
      <w:pPr>
        <w:bidi/>
        <w:spacing w:after="0" w:before="0" w:line="12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5.3 ששת המאפיינים המייחדים את בית המשפט לענייני משפחה</w:t>
      </w:r>
    </w:p>
    <w:p>
      <w:pPr>
        <w:bidi/>
        <w:spacing w:before="0" w:after="100" w:line="300" w:lineRule="auto"/>
        <w:jc w:val="both"/>
      </w:pPr>
      <w:r>
        <w:rPr>
          <w:rFonts w:ascii="Arial" w:hAnsi="Arial" w:cs="Arial" w:eastAsia="Arial"/>
          <w:color w:val="1F2430"/>
          <w:sz w:val="19"/>
          <w:szCs w:val="19"/>
          <w:rtl/>
        </w:rPr>
        <w:t xml:space="preserve">לפי המקראה יש </w:t>
      </w:r>
      <w:r>
        <w:rPr>
          <w:rFonts w:ascii="Arial" w:hAnsi="Arial" w:cs="Arial" w:eastAsia="Arial"/>
          <w:color w:val="1F2430"/>
          <w:sz w:val="19"/>
          <w:szCs w:val="19"/>
          <w:highlight w:val="yellow"/>
          <w:rtl/>
        </w:rPr>
        <w:t>6 מאפיינים</w:t>
      </w:r>
      <w:r>
        <w:rPr>
          <w:rFonts w:ascii="Arial" w:hAnsi="Arial" w:cs="Arial" w:eastAsia="Arial"/>
          <w:color w:val="1F2430"/>
          <w:sz w:val="19"/>
          <w:szCs w:val="19"/>
          <w:rtl/>
        </w:rPr>
        <w:t xml:space="preserve"> שמבדילים את בית המשפט לענייני משפחה מכל בית משפט אחר: (1) יחידות הסיוע; (2) חוק להסדר התדיינויות; (3) מענה לקושי בהשגת ראיות; (4) גמישות בסדרי דין ובראיות (ס' 8) ושופט אקטיבי; (5) אישור הסכמים בלי תביעה (ס' 3(ג)); (6) דיון בדלתיים סגורות (ס' 68(ה) לחוק בתי המשפט).</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מאפיין 1: יחידת הסיוע</w:t>
      </w:r>
    </w:p>
    <w:p>
      <w:pPr>
        <w:bidi/>
        <w:spacing w:before="0" w:after="100" w:line="300" w:lineRule="auto"/>
        <w:jc w:val="both"/>
      </w:pPr>
      <w:r>
        <w:rPr>
          <w:rFonts w:ascii="Arial" w:hAnsi="Arial" w:cs="Arial" w:eastAsia="Arial"/>
          <w:color w:val="1F2430"/>
          <w:sz w:val="19"/>
          <w:szCs w:val="19"/>
          <w:rtl/>
        </w:rPr>
        <w:t xml:space="preserve">ליד </w:t>
      </w:r>
      <w:r>
        <w:rPr>
          <w:rFonts w:ascii="Arial" w:hAnsi="Arial" w:cs="Arial" w:eastAsia="Arial"/>
          <w:color w:val="1F2430"/>
          <w:sz w:val="19"/>
          <w:szCs w:val="19"/>
          <w:highlight w:val="yellow"/>
          <w:rtl/>
        </w:rPr>
        <w:t>כל בית משפט לענייני משפחה הוקמה יחידת סיוע</w:t>
      </w:r>
      <w:r>
        <w:rPr>
          <w:rFonts w:ascii="Arial" w:hAnsi="Arial" w:cs="Arial" w:eastAsia="Arial"/>
          <w:color w:val="1F2430"/>
          <w:sz w:val="19"/>
          <w:szCs w:val="19"/>
          <w:rtl/>
        </w:rPr>
        <w:t xml:space="preserve">. אין גוף כזה באף בית משפט אחר בישראל. ביחידה עובדים עובדים סוציאליים (שכירים של המדינה) וגורמים טיפוליים, ולפי המקראה מספרם כמספר השופטים בערכאה. היא נועדה לסייע בפשרה, בגישור ובייעוץ. בית המשפט יכול להיעזר בה </w:t>
      </w:r>
      <w:r>
        <w:rPr>
          <w:rFonts w:ascii="Arial" w:hAnsi="Arial" w:cs="Arial" w:eastAsia="Arial"/>
          <w:color w:val="1F2430"/>
          <w:sz w:val="19"/>
          <w:szCs w:val="19"/>
          <w:highlight w:val="yellow"/>
          <w:rtl/>
        </w:rPr>
        <w:t>גם באמצע תיק</w:t>
      </w:r>
      <w:r>
        <w:rPr>
          <w:rFonts w:ascii="Arial" w:hAnsi="Arial" w:cs="Arial" w:eastAsia="Arial"/>
          <w:color w:val="1F2430"/>
          <w:sz w:val="19"/>
          <w:szCs w:val="19"/>
          <w:rtl/>
        </w:rPr>
        <w:t xml:space="preserve">, כשצריך גורם טיפולי בתמונה, למשל כדי שישמע את הילדים או יפנה את הצדדים לייעוץ או לגישור. </w:t>
      </w:r>
      <w:r>
        <w:rPr>
          <w:rFonts w:ascii="Arial" w:hAnsi="Arial" w:cs="Arial" w:eastAsia="Arial"/>
          <w:color w:val="1F2430"/>
          <w:sz w:val="19"/>
          <w:szCs w:val="19"/>
          <w:highlight w:val="yellow"/>
          <w:rtl/>
        </w:rPr>
        <w:t>מי שמקבל את השירות אינו משלם עליו</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תקנות בית המשפט לענייני משפחה (סדרי דין), התשפ"א-2020, תקנה 37</w:t>
            </w:r>
          </w:p>
          <w:p>
            <w:pPr>
              <w:bidi/>
              <w:spacing w:before="0" w:after="60" w:line="300" w:lineRule="auto"/>
              <w:jc w:val="both"/>
            </w:pPr>
            <w:r>
              <w:rPr>
                <w:rFonts w:ascii="Arial" w:hAnsi="Arial" w:cs="Arial" w:eastAsia="Arial"/>
                <w:color w:val="1F2430"/>
                <w:sz w:val="18"/>
                <w:szCs w:val="18"/>
                <w:rtl/>
              </w:rPr>
              <w:t xml:space="preserve">סימן ו' – יישוב סכסוך מחוץ לכותלי בית המשפט והפניה ליחידות הסיוע. (א) "בית המשפט רשאי להפנות את בעלי הדין ליחידת הסיוע, כדי שתיתן להם, בעצמה או באמצעות אחרים, שירותי </w:t>
            </w:r>
            <w:r>
              <w:rPr>
                <w:rFonts w:ascii="Arial" w:hAnsi="Arial" w:cs="Arial" w:eastAsia="Arial"/>
                <w:color w:val="1F2430"/>
                <w:sz w:val="18"/>
                <w:szCs w:val="18"/>
                <w:highlight w:val="yellow"/>
                <w:rtl/>
              </w:rPr>
              <w:t>אבחון, ייעוץ, גישור, או טיפול</w:t>
            </w:r>
            <w:r>
              <w:rPr>
                <w:rFonts w:ascii="Arial" w:hAnsi="Arial" w:cs="Arial" w:eastAsia="Arial"/>
                <w:color w:val="1F2430"/>
                <w:sz w:val="18"/>
                <w:szCs w:val="18"/>
                <w:rtl/>
              </w:rPr>
              <w:t xml:space="preserve"> בענייני משפחה." (ב) "הפנה בית המשפט את בעלי הדין ליחידת הסיוע, </w:t>
            </w:r>
            <w:r>
              <w:rPr>
                <w:rFonts w:ascii="Arial" w:hAnsi="Arial" w:cs="Arial" w:eastAsia="Arial"/>
                <w:color w:val="1F2430"/>
                <w:sz w:val="18"/>
                <w:szCs w:val="18"/>
                <w:highlight w:val="yellow"/>
                <w:rtl/>
              </w:rPr>
              <w:t>יעכב את ההליכים לתקופה של שלושים ימים</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לפי המקראה, העיכוב חל על כל הליך שמתקיים בבית המשפט לענייני משפחה ולא רק על הליכי המהות. השופט "מקפיא" את ההליך ל-30 יום. ההפניה אינה כופה פתרון, והיא מבוססת על שיתוף פעולה של בעלי הדין.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אל תתבלבלו בין 30 ל-60</w:t>
            </w:r>
          </w:p>
          <w:p>
            <w:pPr>
              <w:bidi/>
              <w:spacing w:before="0" w:after="60" w:line="300" w:lineRule="auto"/>
              <w:jc w:val="both"/>
            </w:pPr>
            <w:r>
              <w:rPr>
                <w:rFonts w:ascii="Arial" w:hAnsi="Arial" w:cs="Arial" w:eastAsia="Arial"/>
                <w:b/>
                <w:bCs/>
                <w:color w:val="1F2430"/>
                <w:sz w:val="18"/>
                <w:szCs w:val="18"/>
                <w:rtl/>
              </w:rPr>
              <w:t>30 יום</w:t>
            </w:r>
            <w:r>
              <w:rPr>
                <w:rFonts w:ascii="Arial" w:hAnsi="Arial" w:cs="Arial" w:eastAsia="Arial"/>
                <w:color w:val="1F2430"/>
                <w:sz w:val="18"/>
                <w:szCs w:val="18"/>
                <w:rtl/>
              </w:rPr>
              <w:t xml:space="preserve">: הפניה באמצע תיק ליחידת הסיוע (ת' 37(ב)). </w:t>
            </w:r>
            <w:r>
              <w:rPr>
                <w:rFonts w:ascii="Arial" w:hAnsi="Arial" w:cs="Arial" w:eastAsia="Arial"/>
                <w:b/>
                <w:bCs/>
                <w:color w:val="1F2430"/>
                <w:sz w:val="18"/>
                <w:szCs w:val="18"/>
                <w:rtl/>
              </w:rPr>
              <w:t>60/75 יום</w:t>
            </w:r>
            <w:r>
              <w:rPr>
                <w:rFonts w:ascii="Arial" w:hAnsi="Arial" w:cs="Arial" w:eastAsia="Arial"/>
                <w:color w:val="1F2430"/>
                <w:sz w:val="18"/>
                <w:szCs w:val="18"/>
                <w:rtl/>
              </w:rPr>
              <w:t>: עיכוב אחרי בקשה ליישוב סכסוך (ס' 3(ה) לחוק ההסדר).</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רקע לתקנות 2020:</w:t>
      </w:r>
      <w:r>
        <w:rPr>
          <w:rFonts w:ascii="Arial" w:hAnsi="Arial" w:cs="Arial" w:eastAsia="Arial"/>
          <w:color w:val="1F2430"/>
          <w:sz w:val="19"/>
          <w:szCs w:val="19"/>
          <w:rtl/>
        </w:rPr>
        <w:t xml:space="preserve"> בעבר הן היו חלק מתקנות סדר הדין האזרחי. ברפורמה בסדר הדין האזרחי הוחלט </w:t>
      </w:r>
      <w:r>
        <w:rPr>
          <w:rFonts w:ascii="Arial" w:hAnsi="Arial" w:cs="Arial" w:eastAsia="Arial"/>
          <w:color w:val="1F2430"/>
          <w:sz w:val="19"/>
          <w:szCs w:val="19"/>
          <w:highlight w:val="yellow"/>
          <w:rtl/>
        </w:rPr>
        <w:t>להוציא אותן לתקנות נפרדות</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במבחן האמריקאי</w:t>
            </w:r>
          </w:p>
          <w:p>
            <w:pPr>
              <w:bidi/>
              <w:spacing w:before="0" w:after="60" w:line="300" w:lineRule="auto"/>
              <w:jc w:val="both"/>
            </w:pPr>
            <w:r>
              <w:rPr>
                <w:rFonts w:ascii="Arial" w:hAnsi="Arial" w:cs="Arial" w:eastAsia="Arial"/>
                <w:color w:val="1F2430"/>
                <w:sz w:val="18"/>
                <w:szCs w:val="18"/>
                <w:rtl/>
              </w:rPr>
              <w:t xml:space="preserve">מה נכון לגבי יחידת הסיוע? </w:t>
            </w:r>
            <w:r>
              <w:rPr>
                <w:rFonts w:ascii="Arial" w:hAnsi="Arial" w:cs="Arial" w:eastAsia="Arial"/>
                <w:color w:val="1F2430"/>
                <w:sz w:val="18"/>
                <w:szCs w:val="18"/>
                <w:highlight w:val="yellow"/>
                <w:rtl/>
              </w:rPr>
              <w:t>בית המשפט רשאי להפנות אליה בעלי דין לשירותי אבחון, ייעוץ וגישור</w:t>
            </w:r>
            <w:r>
              <w:rPr>
                <w:rFonts w:ascii="Arial" w:hAnsi="Arial" w:cs="Arial" w:eastAsia="Arial"/>
                <w:color w:val="1F2430"/>
                <w:sz w:val="18"/>
                <w:szCs w:val="18"/>
                <w:rtl/>
              </w:rPr>
              <w:t>. היא לא מאשרת הסכמים, לא דנה בערעורים ולא ממליצה על שלום בית.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מאפיין 2, חוק ההסדר, נועד להשתמש ביחידות הסיוע בצורה רחבה יותר. הוא מפורט בסעיף 5.4.</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מאפיינים 3 ו-4: הקושי הראייתי וסעיף 8, גמישות בדיני ראיות וסדרי דין</w:t>
      </w:r>
    </w:p>
    <w:p>
      <w:pPr>
        <w:bidi/>
        <w:spacing w:before="0" w:after="100" w:line="300" w:lineRule="auto"/>
        <w:jc w:val="both"/>
      </w:pPr>
      <w:r>
        <w:rPr>
          <w:rFonts w:ascii="Arial" w:hAnsi="Arial" w:cs="Arial" w:eastAsia="Arial"/>
          <w:color w:val="1F2430"/>
          <w:sz w:val="19"/>
          <w:szCs w:val="19"/>
          <w:rtl/>
        </w:rPr>
        <w:t>בגלל הקושי להשיג ראיות בסכסוך משפחתי, המחוקק קבע הוראה מיוחדת: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בית המשפט לענייני משפחה, סעיף 8(א)</w:t>
            </w:r>
          </w:p>
          <w:p>
            <w:pPr>
              <w:bidi/>
              <w:spacing w:before="0" w:after="60" w:line="300" w:lineRule="auto"/>
              <w:jc w:val="both"/>
            </w:pPr>
            <w:r>
              <w:rPr>
                <w:rFonts w:ascii="Arial" w:hAnsi="Arial" w:cs="Arial" w:eastAsia="Arial"/>
                <w:color w:val="1F2430"/>
                <w:sz w:val="18"/>
                <w:szCs w:val="18"/>
                <w:rtl/>
              </w:rPr>
              <w:t xml:space="preserve">"בכל ענין של דיני ראיות וסדרי דין, </w:t>
            </w:r>
            <w:r>
              <w:rPr>
                <w:rFonts w:ascii="Arial" w:hAnsi="Arial" w:cs="Arial" w:eastAsia="Arial"/>
                <w:color w:val="1F2430"/>
                <w:sz w:val="18"/>
                <w:szCs w:val="18"/>
                <w:highlight w:val="yellow"/>
                <w:rtl/>
              </w:rPr>
              <w:t>שאין עליו הוראה אחרת, לפי חוק זה</w:t>
            </w:r>
            <w:r>
              <w:rPr>
                <w:rFonts w:ascii="Arial" w:hAnsi="Arial" w:cs="Arial" w:eastAsia="Arial"/>
                <w:color w:val="1F2430"/>
                <w:sz w:val="18"/>
                <w:szCs w:val="18"/>
                <w:rtl/>
              </w:rPr>
              <w:t xml:space="preserve">, ינהג בית המשפט </w:t>
            </w:r>
            <w:r>
              <w:rPr>
                <w:rFonts w:ascii="Arial" w:hAnsi="Arial" w:cs="Arial" w:eastAsia="Arial"/>
                <w:color w:val="1F2430"/>
                <w:sz w:val="18"/>
                <w:szCs w:val="18"/>
                <w:highlight w:val="yellow"/>
                <w:rtl/>
              </w:rPr>
              <w:t>בדרך הנראית לו הטובה ביותר לעשיית משפט צדק</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אין בהוראה זו כדי לגרוע מכללי חסיונות עדים או כללי ראיות חסויות</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המשמעות: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כשאין הוראה אחרת, השופט </w:t>
      </w:r>
      <w:r>
        <w:rPr>
          <w:rFonts w:ascii="Arial" w:hAnsi="Arial" w:cs="Arial" w:eastAsia="Arial"/>
          <w:color w:val="1F2430"/>
          <w:sz w:val="19"/>
          <w:szCs w:val="19"/>
          <w:highlight w:val="yellow"/>
          <w:rtl/>
        </w:rPr>
        <w:t>אינו כבול</w:t>
      </w:r>
      <w:r>
        <w:rPr>
          <w:rFonts w:ascii="Arial" w:hAnsi="Arial" w:cs="Arial" w:eastAsia="Arial"/>
          <w:color w:val="1F2430"/>
          <w:sz w:val="19"/>
          <w:szCs w:val="19"/>
          <w:rtl/>
        </w:rPr>
        <w:t xml:space="preserve"> לסדרי הדין ולדיני הראיות, אבל גם </w:t>
      </w:r>
      <w:r>
        <w:rPr>
          <w:rFonts w:ascii="Arial" w:hAnsi="Arial" w:cs="Arial" w:eastAsia="Arial"/>
          <w:color w:val="1F2430"/>
          <w:sz w:val="19"/>
          <w:szCs w:val="19"/>
          <w:highlight w:val="yellow"/>
          <w:rtl/>
        </w:rPr>
        <w:t>לא פטור לגמרי</w:t>
      </w:r>
      <w:r>
        <w:rPr>
          <w:rFonts w:ascii="Arial" w:hAnsi="Arial" w:cs="Arial" w:eastAsia="Arial"/>
          <w:color w:val="1F2430"/>
          <w:sz w:val="19"/>
          <w:szCs w:val="19"/>
          <w:rtl/>
        </w:rPr>
        <w:t xml:space="preserve"> ואינו עושה מה שהוא רוצה. הוא </w:t>
      </w:r>
      <w:r>
        <w:rPr>
          <w:rFonts w:ascii="Arial" w:hAnsi="Arial" w:cs="Arial" w:eastAsia="Arial"/>
          <w:color w:val="1F2430"/>
          <w:sz w:val="19"/>
          <w:szCs w:val="19"/>
          <w:highlight w:val="yellow"/>
          <w:rtl/>
        </w:rPr>
        <w:t>רשאי לקבל כראיה עדות שאינה קבילה בבית משפט אחר</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גבול:</w:t>
      </w:r>
      <w:r>
        <w:rPr>
          <w:rFonts w:ascii="Arial" w:hAnsi="Arial" w:cs="Arial" w:eastAsia="Arial"/>
          <w:color w:val="1F2430"/>
          <w:sz w:val="19"/>
          <w:szCs w:val="19"/>
          <w:rtl/>
        </w:rPr>
        <w:t xml:space="preserve"> הסעיף </w:t>
      </w:r>
      <w:r>
        <w:rPr>
          <w:rFonts w:ascii="Arial" w:hAnsi="Arial" w:cs="Arial" w:eastAsia="Arial"/>
          <w:color w:val="1F2430"/>
          <w:sz w:val="19"/>
          <w:szCs w:val="19"/>
          <w:highlight w:val="yellow"/>
          <w:rtl/>
        </w:rPr>
        <w:t>אינו גורע מחסיונות</w:t>
      </w:r>
      <w:r>
        <w:rPr>
          <w:rFonts w:ascii="Arial" w:hAnsi="Arial" w:cs="Arial" w:eastAsia="Arial"/>
          <w:color w:val="1F2430"/>
          <w:sz w:val="19"/>
          <w:szCs w:val="19"/>
          <w:rtl/>
        </w:rPr>
        <w:t xml:space="preserve"> עדים ומראיות חסויות.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שופט אקטיבי</w:t>
      </w:r>
      <w:r>
        <w:rPr>
          <w:rFonts w:ascii="Arial" w:hAnsi="Arial" w:cs="Arial" w:eastAsia="Arial"/>
          <w:color w:val="1F2430"/>
          <w:sz w:val="19"/>
          <w:szCs w:val="19"/>
          <w:rtl/>
        </w:rPr>
        <w:t>: אם עורך הדין של צד אחד חזק בהרבה ומקשה ראייתית על הצד השני, השופט יכול להתערב כדי להגיע לתוצאה צודקת.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גמישות דומה קיימת גם ב</w:t>
      </w:r>
      <w:r>
        <w:rPr>
          <w:rFonts w:ascii="Arial" w:hAnsi="Arial" w:cs="Arial" w:eastAsia="Arial"/>
          <w:color w:val="1F2430"/>
          <w:sz w:val="19"/>
          <w:szCs w:val="19"/>
          <w:highlight w:val="yellow"/>
          <w:rtl/>
        </w:rPr>
        <w:t>בית המשפט לתביעות קטנות</w:t>
      </w:r>
      <w:r>
        <w:rPr>
          <w:rFonts w:ascii="Arial" w:hAnsi="Arial" w:cs="Arial" w:eastAsia="Arial"/>
          <w:color w:val="1F2430"/>
          <w:sz w:val="19"/>
          <w:szCs w:val="19"/>
          <w:rtl/>
        </w:rPr>
        <w:t xml:space="preserve"> וב</w:t>
      </w:r>
      <w:r>
        <w:rPr>
          <w:rFonts w:ascii="Arial" w:hAnsi="Arial" w:cs="Arial" w:eastAsia="Arial"/>
          <w:color w:val="1F2430"/>
          <w:sz w:val="19"/>
          <w:szCs w:val="19"/>
          <w:highlight w:val="yellow"/>
          <w:rtl/>
        </w:rPr>
        <w:t>בית הדין לעבודה</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שיטה אדברסרית מול שיטה אינקוויזיטורית</w:t>
            </w:r>
          </w:p>
          <w:p>
            <w:pPr>
              <w:bidi/>
              <w:spacing w:before="0" w:after="60" w:line="300" w:lineRule="auto"/>
              <w:jc w:val="both"/>
            </w:pPr>
            <w:r>
              <w:rPr>
                <w:rFonts w:ascii="Arial" w:hAnsi="Arial" w:cs="Arial" w:eastAsia="Arial"/>
                <w:b/>
                <w:bCs/>
                <w:color w:val="1F2430"/>
                <w:sz w:val="18"/>
                <w:szCs w:val="18"/>
                <w:rtl/>
              </w:rPr>
              <w:t>אדברסרית</w:t>
            </w:r>
            <w:r>
              <w:rPr>
                <w:rFonts w:ascii="Arial" w:hAnsi="Arial" w:cs="Arial" w:eastAsia="Arial"/>
                <w:color w:val="1F2430"/>
                <w:sz w:val="18"/>
                <w:szCs w:val="18"/>
                <w:rtl/>
              </w:rPr>
              <w:t xml:space="preserve"> (המקובלת בישראל): הצדדים "נלחמים", והשופט פסיבי. מי שהביא עורך דין חזק יותר ינצח בדרך כלל. </w:t>
            </w:r>
            <w:r>
              <w:rPr>
                <w:rFonts w:ascii="Arial" w:hAnsi="Arial" w:cs="Arial" w:eastAsia="Arial"/>
                <w:b/>
                <w:bCs/>
                <w:color w:val="1F2430"/>
                <w:sz w:val="18"/>
                <w:szCs w:val="18"/>
                <w:rtl/>
              </w:rPr>
              <w:t>אינקוויזיטורית</w:t>
            </w:r>
            <w:r>
              <w:rPr>
                <w:rFonts w:ascii="Arial" w:hAnsi="Arial" w:cs="Arial" w:eastAsia="Arial"/>
                <w:color w:val="1F2430"/>
                <w:sz w:val="18"/>
                <w:szCs w:val="18"/>
                <w:rtl/>
              </w:rPr>
              <w:t>: השופט שחקן פעיל שמאזן בין הכוחות. בדיני משפחה השאיפה היא ל</w:t>
            </w:r>
            <w:r>
              <w:rPr>
                <w:rFonts w:ascii="Arial" w:hAnsi="Arial" w:cs="Arial" w:eastAsia="Arial"/>
                <w:color w:val="1F2430"/>
                <w:sz w:val="18"/>
                <w:szCs w:val="18"/>
                <w:highlight w:val="yellow"/>
                <w:rtl/>
              </w:rPr>
              <w:t>שופט אינקוויזיטורי ואקטיבי</w:t>
            </w:r>
            <w:r>
              <w:rPr>
                <w:rFonts w:ascii="Arial" w:hAnsi="Arial" w:cs="Arial" w:eastAsia="Arial"/>
                <w:color w:val="1F2430"/>
                <w:sz w:val="18"/>
                <w:szCs w:val="18"/>
                <w:rtl/>
              </w:rPr>
              <w:t>, ולכן הוא יכול להיות פטור מסדרי הדין ומדיני הראיות.</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ומה בבית הדין הרבני?</w:t>
      </w:r>
      <w:r>
        <w:rPr>
          <w:rFonts w:ascii="Arial" w:hAnsi="Arial" w:cs="Arial" w:eastAsia="Arial"/>
          <w:color w:val="1F2430"/>
          <w:sz w:val="19"/>
          <w:szCs w:val="19"/>
          <w:rtl/>
        </w:rPr>
        <w:t xml:space="preserve"> הדיינים ממילא </w:t>
      </w:r>
      <w:r>
        <w:rPr>
          <w:rFonts w:ascii="Arial" w:hAnsi="Arial" w:cs="Arial" w:eastAsia="Arial"/>
          <w:color w:val="1F2430"/>
          <w:sz w:val="19"/>
          <w:szCs w:val="19"/>
          <w:highlight w:val="yellow"/>
          <w:rtl/>
        </w:rPr>
        <w:t>״אולטרה אקטיביים״</w:t>
      </w:r>
      <w:r>
        <w:rPr>
          <w:rFonts w:ascii="Arial" w:hAnsi="Arial" w:cs="Arial" w:eastAsia="Arial"/>
          <w:color w:val="1F2430"/>
          <w:sz w:val="19"/>
          <w:szCs w:val="19"/>
          <w:rtl/>
        </w:rPr>
        <w:t xml:space="preserve"> (בלשון המרצה): שואלים, מתערבים ו"תופרים" הסכמים, ולכן </w:t>
      </w:r>
      <w:r>
        <w:rPr>
          <w:rFonts w:ascii="Arial" w:hAnsi="Arial" w:cs="Arial" w:eastAsia="Arial"/>
          <w:color w:val="1F2430"/>
          <w:sz w:val="19"/>
          <w:szCs w:val="19"/>
          <w:highlight w:val="yellow"/>
          <w:rtl/>
        </w:rPr>
        <w:t>אינם צריכים את סעיף 8</w:t>
      </w:r>
      <w:r>
        <w:rPr>
          <w:rFonts w:ascii="Arial" w:hAnsi="Arial" w:cs="Arial" w:eastAsia="Arial"/>
          <w:color w:val="1F2430"/>
          <w:sz w:val="19"/>
          <w:szCs w:val="19"/>
          <w:rtl/>
        </w:rPr>
        <w:t>. זו גם סיבה שבעלי דין לא מיוצגים פונים לבית הדין יותר.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הקלטה כראיה (משאלות החידוד)</w:t>
            </w:r>
          </w:p>
          <w:p>
            <w:pPr>
              <w:bidi/>
              <w:spacing w:before="0" w:after="60" w:line="300" w:lineRule="auto"/>
              <w:jc w:val="both"/>
            </w:pPr>
            <w:r>
              <w:rPr>
                <w:rFonts w:ascii="Arial" w:hAnsi="Arial" w:cs="Arial" w:eastAsia="Arial"/>
                <w:color w:val="1F2430"/>
                <w:sz w:val="18"/>
                <w:szCs w:val="18"/>
                <w:rtl/>
              </w:rPr>
              <w:t xml:space="preserve">יעקב ולאה מתדיינים בבית המשפט לענייני משפחה. לאה מגישה הקלטה של יעקב, ויעקב טוען שאין לראות בה ראיה. </w:t>
            </w:r>
            <w:r>
              <w:rPr>
                <w:rFonts w:ascii="Arial" w:hAnsi="Arial" w:cs="Arial" w:eastAsia="Arial"/>
                <w:b/>
                <w:bCs/>
                <w:color w:val="1F2430"/>
                <w:sz w:val="18"/>
                <w:szCs w:val="18"/>
                <w:rtl/>
              </w:rPr>
              <w:t xml:space="preserve">התשובה הנכונה: </w:t>
            </w:r>
            <w:r>
              <w:rPr>
                <w:rFonts w:ascii="Arial" w:hAnsi="Arial" w:cs="Arial" w:eastAsia="Arial"/>
                <w:b/>
                <w:bCs/>
                <w:color w:val="1F2430"/>
                <w:sz w:val="18"/>
                <w:szCs w:val="18"/>
                <w:highlight w:val="yellow"/>
                <w:rtl/>
              </w:rPr>
              <w:t>נתון להחלטת השופט</w:t>
            </w:r>
            <w:r>
              <w:rPr>
                <w:rFonts w:ascii="Arial" w:hAnsi="Arial" w:cs="Arial" w:eastAsia="Arial"/>
                <w:b/>
                <w:bCs/>
                <w:color w:val="1F2430"/>
                <w:sz w:val="18"/>
                <w:szCs w:val="18"/>
                <w:rtl/>
              </w:rPr>
              <w:t>, לפי ס' 8(א)</w:t>
            </w:r>
            <w:r>
              <w:rPr>
                <w:rFonts w:ascii="Arial" w:hAnsi="Arial" w:cs="Arial" w:eastAsia="Arial"/>
                <w:color w:val="1F2430"/>
                <w:sz w:val="18"/>
                <w:szCs w:val="18"/>
                <w:rtl/>
              </w:rPr>
              <w:t>. אין כאן כלל נוקשה של "כן" או "לא", ואין דרישה שכל ראיה תעמוד במבחני הראיות הרגילים.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למניעת אלימות (משאלות התרגול)</w:t>
            </w:r>
          </w:p>
          <w:p>
            <w:pPr>
              <w:bidi/>
              <w:spacing w:before="0" w:after="60" w:line="300" w:lineRule="auto"/>
              <w:jc w:val="both"/>
            </w:pPr>
            <w:r>
              <w:rPr>
                <w:rFonts w:ascii="Arial" w:hAnsi="Arial" w:cs="Arial" w:eastAsia="Arial"/>
                <w:color w:val="1F2430"/>
                <w:sz w:val="18"/>
                <w:szCs w:val="18"/>
                <w:rtl/>
              </w:rPr>
              <w:t xml:space="preserve">עורך דין שוקל תביעה לפי החוק למניעת אלימות במשפחה, אבל ראיותיו אינן קבילות בבית משפט אחר. </w:t>
            </w:r>
            <w:r>
              <w:rPr>
                <w:rFonts w:ascii="Arial" w:hAnsi="Arial" w:cs="Arial" w:eastAsia="Arial"/>
                <w:b/>
                <w:bCs/>
                <w:color w:val="1F2430"/>
                <w:sz w:val="18"/>
                <w:szCs w:val="18"/>
                <w:rtl/>
              </w:rPr>
              <w:t>האם בית המשפט לענייני משפחה רשאי לקבל אותן?</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כן, בכל עניין הבא לפניו</w:t>
            </w:r>
            <w:r>
              <w:rPr>
                <w:rFonts w:ascii="Arial" w:hAnsi="Arial" w:cs="Arial" w:eastAsia="Arial"/>
                <w:color w:val="1F2430"/>
                <w:sz w:val="18"/>
                <w:szCs w:val="18"/>
                <w:rtl/>
              </w:rPr>
              <w:t xml:space="preserve"> (ס' 8). הוא אינו כפוף לדיני הראיות כמו כל בית משפט, והסמכות אינה מוגבלת לסוג תובענה מסוים.</w:t>
            </w:r>
          </w:p>
        </w:tc>
      </w:tr>
    </w:tbl>
    <w:p>
      <w:pPr>
        <w:bidi/>
        <w:spacing w:after="0" w:before="0" w:line="120" w:lineRule="exact"/>
      </w:pPr>
      <w:r>
        <w:rPr>
          <w:sz w:val="2"/>
        </w:rPr>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מאפיין 5: אישור הסכם בלי להגיש תביעה</w:t>
      </w:r>
    </w:p>
    <w:p>
      <w:pPr>
        <w:bidi/>
        <w:spacing w:before="0" w:after="100" w:line="300" w:lineRule="auto"/>
        <w:jc w:val="both"/>
      </w:pPr>
      <w:r>
        <w:rPr>
          <w:rFonts w:ascii="Arial" w:hAnsi="Arial" w:cs="Arial" w:eastAsia="Arial"/>
          <w:color w:val="1F2430"/>
          <w:sz w:val="19"/>
          <w:szCs w:val="19"/>
          <w:rtl/>
        </w:rPr>
        <w:t xml:space="preserve">בכל תחום אחר, מי שרוצה ששופט יאשר הסכם צריך </w:t>
      </w:r>
      <w:r>
        <w:rPr>
          <w:rFonts w:ascii="Arial" w:hAnsi="Arial" w:cs="Arial" w:eastAsia="Arial"/>
          <w:color w:val="1F2430"/>
          <w:sz w:val="19"/>
          <w:szCs w:val="19"/>
          <w:highlight w:val="yellow"/>
          <w:rtl/>
        </w:rPr>
        <w:t>קודם להגיש תביעה</w:t>
      </w:r>
      <w:r>
        <w:rPr>
          <w:rFonts w:ascii="Arial" w:hAnsi="Arial" w:cs="Arial" w:eastAsia="Arial"/>
          <w:color w:val="1F2430"/>
          <w:sz w:val="19"/>
          <w:szCs w:val="19"/>
          <w:rtl/>
        </w:rPr>
        <w:t>, לשלם אגרה, ורק בתוך ההליך להגיש את ההסכם. דוגמה מהמקראה: שני שותפים בעסק רבו והגיעו להסכם בכתב. הם אינם יכולים לבקש ששופט יאשר אותו בלי הליך, כי "השופט לא עובד אצלם".</w:t>
      </w:r>
    </w:p>
    <w:p>
      <w:pPr>
        <w:bidi/>
        <w:spacing w:before="0" w:after="100" w:line="300" w:lineRule="auto"/>
        <w:jc w:val="both"/>
      </w:pPr>
      <w:r>
        <w:rPr>
          <w:rFonts w:ascii="Arial" w:hAnsi="Arial" w:cs="Arial" w:eastAsia="Arial"/>
          <w:color w:val="1F2430"/>
          <w:sz w:val="19"/>
          <w:szCs w:val="19"/>
          <w:rtl/>
        </w:rPr>
        <w:t>בדיני משפחה זה שונה: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בית המשפט לענייני משפחה, סעיף 3(ג)</w:t>
            </w:r>
          </w:p>
          <w:p>
            <w:pPr>
              <w:bidi/>
              <w:spacing w:before="0" w:after="60" w:line="300" w:lineRule="auto"/>
              <w:jc w:val="both"/>
            </w:pPr>
            <w:r>
              <w:rPr>
                <w:rFonts w:ascii="Arial" w:hAnsi="Arial" w:cs="Arial" w:eastAsia="Arial"/>
                <w:color w:val="1F2430"/>
                <w:sz w:val="18"/>
                <w:szCs w:val="18"/>
                <w:rtl/>
              </w:rPr>
              <w:t xml:space="preserve">"כל ענין שלגביו נתונה לבית המשפט לעניני משפחה סמכות לפי חוק זה, גם אישור הסכם בקשר אליו במשמע, </w:t>
            </w:r>
            <w:r>
              <w:rPr>
                <w:rFonts w:ascii="Arial" w:hAnsi="Arial" w:cs="Arial" w:eastAsia="Arial"/>
                <w:color w:val="1F2430"/>
                <w:sz w:val="18"/>
                <w:szCs w:val="18"/>
                <w:highlight w:val="yellow"/>
                <w:rtl/>
              </w:rPr>
              <w:t>אף אם אינה תלויה ועומדת אותה שעה תובענה לגביו</w:t>
            </w:r>
            <w:r>
              <w:rPr>
                <w:rFonts w:ascii="Arial" w:hAnsi="Arial" w:cs="Arial" w:eastAsia="Arial"/>
                <w:color w:val="1F2430"/>
                <w:sz w:val="18"/>
                <w:szCs w:val="18"/>
                <w:rtl/>
              </w:rPr>
              <w:t xml:space="preserve">, ובית המשפט יהיה רשאי </w:t>
            </w:r>
            <w:r>
              <w:rPr>
                <w:rFonts w:ascii="Arial" w:hAnsi="Arial" w:cs="Arial" w:eastAsia="Arial"/>
                <w:color w:val="1F2430"/>
                <w:sz w:val="18"/>
                <w:szCs w:val="18"/>
                <w:highlight w:val="yellow"/>
                <w:rtl/>
              </w:rPr>
              <w:t>ליתן להסכם תוקף של פסק דין</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תקנות בית המשפט לענייני משפחה (סדרי דין), התשפ"א-2020, תקנה 43(א)</w:t>
            </w:r>
          </w:p>
          <w:p>
            <w:pPr>
              <w:bidi/>
              <w:spacing w:before="0" w:after="60" w:line="300" w:lineRule="auto"/>
              <w:jc w:val="both"/>
            </w:pPr>
            <w:r>
              <w:rPr>
                <w:rFonts w:ascii="Arial" w:hAnsi="Arial" w:cs="Arial" w:eastAsia="Arial"/>
                <w:color w:val="1F2430"/>
                <w:sz w:val="18"/>
                <w:szCs w:val="18"/>
                <w:rtl/>
              </w:rPr>
              <w:t xml:space="preserve">"הוגשה תובענה לאישור הסכם או לשינוי הסכם בענייני משפחה לפי סעיף 3(ג) לחוק, </w:t>
            </w:r>
            <w:r>
              <w:rPr>
                <w:rFonts w:ascii="Arial" w:hAnsi="Arial" w:cs="Arial" w:eastAsia="Arial"/>
                <w:color w:val="1F2430"/>
                <w:sz w:val="18"/>
                <w:szCs w:val="18"/>
                <w:highlight w:val="yellow"/>
                <w:rtl/>
              </w:rPr>
              <w:t>יסביר בית המשפט לבעלי הדין</w:t>
            </w:r>
            <w:r>
              <w:rPr>
                <w:rFonts w:ascii="Arial" w:hAnsi="Arial" w:cs="Arial" w:eastAsia="Arial"/>
                <w:color w:val="1F2430"/>
                <w:sz w:val="18"/>
                <w:szCs w:val="18"/>
                <w:rtl/>
              </w:rPr>
              <w:t xml:space="preserve">, לפני אישור ההסכם, את משמעות הוראות ההסכם, ויברר שהם </w:t>
            </w:r>
            <w:r>
              <w:rPr>
                <w:rFonts w:ascii="Arial" w:hAnsi="Arial" w:cs="Arial" w:eastAsia="Arial"/>
                <w:color w:val="1F2430"/>
                <w:sz w:val="18"/>
                <w:szCs w:val="18"/>
                <w:highlight w:val="yellow"/>
                <w:rtl/>
              </w:rPr>
              <w:t>מבינים את הוראותיו ואת תוצאותיו וערכו אותו בהסכמה חופשית</w:t>
            </w:r>
            <w:r>
              <w:rPr>
                <w:rFonts w:ascii="Arial" w:hAnsi="Arial" w:cs="Arial" w:eastAsia="Arial"/>
                <w:color w:val="1F2430"/>
                <w:sz w:val="18"/>
                <w:szCs w:val="18"/>
                <w:rtl/>
              </w:rPr>
              <w:t xml:space="preserve">; אם ההסכם בעניינו של קטין יאשרו בית המשפט לאחר שנוכח כי </w:t>
            </w:r>
            <w:r>
              <w:rPr>
                <w:rFonts w:ascii="Arial" w:hAnsi="Arial" w:cs="Arial" w:eastAsia="Arial"/>
                <w:color w:val="1F2430"/>
                <w:sz w:val="18"/>
                <w:szCs w:val="18"/>
                <w:highlight w:val="yellow"/>
                <w:rtl/>
              </w:rPr>
              <w:t>ההסכם הוא לטובת הקטין</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אישור לעומת תוקף של פסק דין.</w:t>
      </w:r>
      <w:r>
        <w:rPr>
          <w:rFonts w:ascii="Arial" w:hAnsi="Arial" w:cs="Arial" w:eastAsia="Arial"/>
          <w:color w:val="1F2430"/>
          <w:sz w:val="19"/>
          <w:szCs w:val="19"/>
          <w:rtl/>
        </w:rPr>
        <w:t xml:space="preserve"> חשוב להבחין בין שני מצבים:</w:t>
      </w:r>
    </w:p>
    <w:tbl>
      <w:tblPr>
        <w:tblW w:type="dxa" w:w="10206"/>
        <w:jc w:val="center"/>
        <w:tblLook w:firstColumn="1" w:firstRow="1" w:lastColumn="0" w:lastRow="0" w:noHBand="0" w:noVBand="1" w:val="04A0"/>
        <w:bidiVisual/>
        <w:tblLayout w:type="fixed"/>
      </w:tblPr>
      <w:tblGrid>
        <w:gridCol w:w="1458"/>
        <w:gridCol w:w="4506"/>
        <w:gridCol w:w="4241"/>
      </w:tblGrid>
      <w:tr>
        <w:trPr>
          <w:tblHeader/>
        </w:trPr>
        <w:tc>
          <w:tcPr>
            <w:tcW w:type="dxa" w:w="145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p>
        </w:tc>
        <w:tc>
          <w:tcPr>
            <w:tcW w:type="dxa" w:w="4506"/>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אישור ההסכם כשלעצמו</w:t>
            </w:r>
          </w:p>
        </w:tc>
        <w:tc>
          <w:tcPr>
            <w:tcW w:type="dxa" w:w="4241"/>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מתן תוקף של פסק דין</w:t>
            </w:r>
          </w:p>
        </w:tc>
      </w:tr>
      <w:tr>
        <w:trPr>
          <w:cantSplit/>
        </w:trPr>
        <w:tc>
          <w:tcPr>
            <w:tcW w:type="dxa" w:w="145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מעמד</w:t>
            </w:r>
          </w:p>
        </w:tc>
        <w:tc>
          <w:tcPr>
            <w:tcW w:type="dxa" w:w="4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הסכם מאושר, אבל לא פסק דין</w:t>
            </w:r>
          </w:p>
        </w:tc>
        <w:tc>
          <w:tcPr>
            <w:tcW w:type="dxa" w:w="424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ההסכם מקבל מעמד של פסק דין</w:t>
            </w:r>
          </w:p>
        </w:tc>
      </w:tr>
      <w:tr>
        <w:trPr>
          <w:cantSplit/>
        </w:trPr>
        <w:tc>
          <w:tcPr>
            <w:tcW w:type="dxa" w:w="145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הוצאה לפועל</w:t>
            </w:r>
          </w:p>
        </w:tc>
        <w:tc>
          <w:tcPr>
            <w:tcW w:type="dxa" w:w="4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אי אפשר</w:t>
            </w:r>
            <w:r>
              <w:rPr>
                <w:rFonts w:ascii="Arial" w:hAnsi="Arial" w:cs="Arial" w:eastAsia="Arial"/>
                <w:color w:val="1F2430"/>
                <w:sz w:val="17"/>
                <w:szCs w:val="17"/>
                <w:rtl/>
              </w:rPr>
              <w:t xml:space="preserve"> ללכת איתו להוצאה לפועל</w:t>
            </w:r>
          </w:p>
        </w:tc>
        <w:tc>
          <w:tcPr>
            <w:tcW w:type="dxa" w:w="424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אפשר</w:t>
            </w:r>
            <w:r>
              <w:rPr>
                <w:rFonts w:ascii="Arial" w:hAnsi="Arial" w:cs="Arial" w:eastAsia="Arial"/>
                <w:color w:val="1F2430"/>
                <w:sz w:val="17"/>
                <w:szCs w:val="17"/>
                <w:rtl/>
              </w:rPr>
              <w:t xml:space="preserve"> לאכוף אותו בהוצאה לפועל</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הקשר להסכמי ממון (בקצרה, ראו פרק 13):</w:t>
      </w:r>
      <w:r>
        <w:rPr>
          <w:rFonts w:ascii="Arial" w:hAnsi="Arial" w:cs="Arial" w:eastAsia="Arial"/>
          <w:color w:val="1F2430"/>
          <w:sz w:val="19"/>
          <w:szCs w:val="19"/>
          <w:rtl/>
        </w:rPr>
        <w:t xml:space="preserve"> הסכם ממון בין בני זוג </w:t>
      </w:r>
      <w:r>
        <w:rPr>
          <w:rFonts w:ascii="Arial" w:hAnsi="Arial" w:cs="Arial" w:eastAsia="Arial"/>
          <w:color w:val="1F2430"/>
          <w:sz w:val="19"/>
          <w:szCs w:val="19"/>
          <w:highlight w:val="yellow"/>
          <w:rtl/>
        </w:rPr>
        <w:t>חייב אישור</w:t>
      </w:r>
      <w:r>
        <w:rPr>
          <w:rFonts w:ascii="Arial" w:hAnsi="Arial" w:cs="Arial" w:eastAsia="Arial"/>
          <w:color w:val="1F2430"/>
          <w:sz w:val="19"/>
          <w:szCs w:val="19"/>
          <w:rtl/>
        </w:rPr>
        <w:t xml:space="preserve">, אחרת אין לו תוקף. לפני הנישואין או בשעת עריכתם יכולים לאשר אותו ארבעה גורמים: </w:t>
      </w:r>
      <w:r>
        <w:rPr>
          <w:rFonts w:ascii="Arial" w:hAnsi="Arial" w:cs="Arial" w:eastAsia="Arial"/>
          <w:color w:val="1F2430"/>
          <w:sz w:val="19"/>
          <w:szCs w:val="19"/>
          <w:highlight w:val="yellow"/>
          <w:rtl/>
        </w:rPr>
        <w:t>נוטריון, רושם נישואין, בית משפט, בית דין</w:t>
      </w:r>
      <w:r>
        <w:rPr>
          <w:rFonts w:ascii="Arial" w:hAnsi="Arial" w:cs="Arial" w:eastAsia="Arial"/>
          <w:color w:val="1F2430"/>
          <w:sz w:val="19"/>
          <w:szCs w:val="19"/>
          <w:rtl/>
        </w:rPr>
        <w:t xml:space="preserve">. אחרי הנישואין יכולים לאשר רק </w:t>
      </w:r>
      <w:r>
        <w:rPr>
          <w:rFonts w:ascii="Arial" w:hAnsi="Arial" w:cs="Arial" w:eastAsia="Arial"/>
          <w:color w:val="1F2430"/>
          <w:sz w:val="19"/>
          <w:szCs w:val="19"/>
          <w:highlight w:val="yellow"/>
          <w:rtl/>
        </w:rPr>
        <w:t>בית המשפט לענייני משפחה או בית הדין</w:t>
      </w:r>
      <w:r>
        <w:rPr>
          <w:rFonts w:ascii="Arial" w:hAnsi="Arial" w:cs="Arial" w:eastAsia="Arial"/>
          <w:color w:val="1F2430"/>
          <w:sz w:val="19"/>
          <w:szCs w:val="19"/>
          <w:rtl/>
        </w:rPr>
        <w:t xml:space="preserve">. </w:t>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יכולים לאשר הסכם ממון בבית המשפט לענייני משפחה מכוח חוק בית המשפט לענייני משפחה, אבל </w:t>
      </w:r>
      <w:r>
        <w:rPr>
          <w:rFonts w:ascii="Arial" w:hAnsi="Arial" w:cs="Arial" w:eastAsia="Arial"/>
          <w:color w:val="1F2430"/>
          <w:sz w:val="19"/>
          <w:szCs w:val="19"/>
          <w:highlight w:val="yellow"/>
          <w:rtl/>
        </w:rPr>
        <w:t>אינם חייבים</w:t>
      </w:r>
      <w:r>
        <w:rPr>
          <w:rFonts w:ascii="Arial" w:hAnsi="Arial" w:cs="Arial" w:eastAsia="Arial"/>
          <w:color w:val="1F2430"/>
          <w:sz w:val="19"/>
          <w:szCs w:val="19"/>
          <w:rtl/>
        </w:rPr>
        <w:t xml:space="preserve">. לפי תשובת הפרופ', הסכם ממון בין ידועים בציבור תקף גם אם </w:t>
      </w:r>
      <w:r>
        <w:rPr>
          <w:rFonts w:ascii="Arial" w:hAnsi="Arial" w:cs="Arial" w:eastAsia="Arial"/>
          <w:color w:val="1F2430"/>
          <w:sz w:val="19"/>
          <w:szCs w:val="19"/>
          <w:highlight w:val="yellow"/>
          <w:rtl/>
        </w:rPr>
        <w:t>נחתם בבית</w:t>
      </w:r>
      <w:r>
        <w:rPr>
          <w:rFonts w:ascii="Arial" w:hAnsi="Arial" w:cs="Arial" w:eastAsia="Arial"/>
          <w:color w:val="1F2430"/>
          <w:sz w:val="19"/>
          <w:szCs w:val="19"/>
          <w:rtl/>
        </w:rPr>
        <w:t xml:space="preserve"> בלי אישור.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הסכם מקיף בערב ראש השנה (משאלות החידוד)</w:t>
            </w:r>
          </w:p>
          <w:p>
            <w:pPr>
              <w:bidi/>
              <w:spacing w:before="0" w:after="60" w:line="300" w:lineRule="auto"/>
              <w:jc w:val="both"/>
            </w:pPr>
            <w:r>
              <w:rPr>
                <w:rFonts w:ascii="Arial" w:hAnsi="Arial" w:cs="Arial" w:eastAsia="Arial"/>
                <w:color w:val="1F2430"/>
                <w:sz w:val="18"/>
                <w:szCs w:val="18"/>
                <w:rtl/>
              </w:rPr>
              <w:t xml:space="preserve">ראובן ולאה, נשואים כדמו"י, ערכו הסכם מפורט על כל העניינים ופנו לבית המשפט. בית המשפט </w:t>
            </w:r>
            <w:r>
              <w:rPr>
                <w:rFonts w:ascii="Arial" w:hAnsi="Arial" w:cs="Arial" w:eastAsia="Arial"/>
                <w:color w:val="1F2430"/>
                <w:sz w:val="18"/>
                <w:szCs w:val="18"/>
                <w:highlight w:val="yellow"/>
                <w:rtl/>
              </w:rPr>
              <w:t>יסביר לצדדים את משמעות ההסכם ואחר כך יאשר אותו</w:t>
            </w:r>
            <w:r>
              <w:rPr>
                <w:rFonts w:ascii="Arial" w:hAnsi="Arial" w:cs="Arial" w:eastAsia="Arial"/>
                <w:color w:val="1F2430"/>
                <w:sz w:val="18"/>
                <w:szCs w:val="18"/>
                <w:rtl/>
              </w:rPr>
              <w:t xml:space="preserve">. הוא לא ישלח אותם למהו"ת, כי אישור הסכם </w:t>
            </w:r>
            <w:r>
              <w:rPr>
                <w:rFonts w:ascii="Arial" w:hAnsi="Arial" w:cs="Arial" w:eastAsia="Arial"/>
                <w:color w:val="1F2430"/>
                <w:sz w:val="18"/>
                <w:szCs w:val="18"/>
                <w:highlight w:val="yellow"/>
                <w:rtl/>
              </w:rPr>
              <w:t>אינו "תובענה"</w:t>
            </w:r>
            <w:r>
              <w:rPr>
                <w:rFonts w:ascii="Arial" w:hAnsi="Arial" w:cs="Arial" w:eastAsia="Arial"/>
                <w:color w:val="1F2430"/>
                <w:sz w:val="18"/>
                <w:szCs w:val="18"/>
                <w:rtl/>
              </w:rPr>
              <w:t>, וגם לא יאשר אוטומטית או רק יבדוק אם ההסכם מקפח.</w:t>
            </w:r>
          </w:p>
        </w:tc>
      </w:tr>
    </w:tbl>
    <w:p>
      <w:pPr>
        <w:bidi/>
        <w:spacing w:after="0" w:before="0" w:line="120" w:lineRule="exact"/>
      </w:pPr>
      <w:r>
        <w:rPr>
          <w:sz w:val="2"/>
        </w:rPr>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מאפיין 6: דיון בדלתיים סגורות</w:t>
      </w:r>
    </w:p>
    <w:p>
      <w:pPr>
        <w:bidi/>
        <w:spacing w:before="0" w:after="100" w:line="300" w:lineRule="auto"/>
        <w:jc w:val="both"/>
      </w:pPr>
      <w:r>
        <w:rPr>
          <w:rFonts w:ascii="Arial" w:hAnsi="Arial" w:cs="Arial" w:eastAsia="Arial"/>
          <w:color w:val="1F2430"/>
          <w:sz w:val="19"/>
          <w:szCs w:val="19"/>
          <w:rtl/>
        </w:rPr>
        <w:t xml:space="preserve">הכלל הרגיל במשפט הוא </w:t>
      </w:r>
      <w:r>
        <w:rPr>
          <w:rFonts w:ascii="Arial" w:hAnsi="Arial" w:cs="Arial" w:eastAsia="Arial"/>
          <w:color w:val="1F2430"/>
          <w:sz w:val="19"/>
          <w:szCs w:val="19"/>
          <w:highlight w:val="yellow"/>
          <w:rtl/>
        </w:rPr>
        <w:t>פומביות הדיון</w:t>
      </w:r>
      <w:r>
        <w:rPr>
          <w:rFonts w:ascii="Arial" w:hAnsi="Arial" w:cs="Arial" w:eastAsia="Arial"/>
          <w:color w:val="1F2430"/>
          <w:sz w:val="19"/>
          <w:szCs w:val="19"/>
          <w:rtl/>
        </w:rPr>
        <w:t xml:space="preserve"> (סעיף 68(א) לחוק בתי המשפט: "בית משפט ידון בפומבי"). בדיני משפחה המצב </w:t>
      </w:r>
      <w:r>
        <w:rPr>
          <w:rFonts w:ascii="Arial" w:hAnsi="Arial" w:cs="Arial" w:eastAsia="Arial"/>
          <w:color w:val="1F2430"/>
          <w:sz w:val="19"/>
          <w:szCs w:val="19"/>
          <w:highlight w:val="yellow"/>
          <w:rtl/>
        </w:rPr>
        <w:t>הפוך</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בתי המשפט [נוסח משולב], סעיף 68(ה)(1)</w:t>
            </w:r>
          </w:p>
          <w:p>
            <w:pPr>
              <w:bidi/>
              <w:spacing w:before="0" w:after="60" w:line="300" w:lineRule="auto"/>
              <w:jc w:val="both"/>
            </w:pPr>
            <w:r>
              <w:rPr>
                <w:rFonts w:ascii="Arial" w:hAnsi="Arial" w:cs="Arial" w:eastAsia="Arial"/>
                <w:color w:val="1F2430"/>
                <w:sz w:val="18"/>
                <w:szCs w:val="18"/>
                <w:rtl/>
              </w:rPr>
              <w:t xml:space="preserve">"על אף הוראות סעיף 68(א) – עניני משפחה, כמשמעותם בחוק בית המשפט לעניני משפחה..., למעט תובענות לפי חוק הירושה... שעילתן אינה סכסוך בתוך המשפחה ותובענות לפי חוק השמות... ולפי חוק קביעת גיל... – </w:t>
            </w:r>
            <w:r>
              <w:rPr>
                <w:rFonts w:ascii="Arial" w:hAnsi="Arial" w:cs="Arial" w:eastAsia="Arial"/>
                <w:color w:val="1F2430"/>
                <w:sz w:val="18"/>
                <w:szCs w:val="18"/>
                <w:highlight w:val="yellow"/>
                <w:rtl/>
              </w:rPr>
              <w:t>יידונו בדלתיים סגורות, אלא אם כן הורה בית המשפט לדון בענין, כולו או מקצתו, בפומבי</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highlight w:val="yellow"/>
          <w:rtl/>
        </w:rPr>
        <w:t>ברירת המחדל היא דלתיים סגורות</w:t>
      </w:r>
      <w:r>
        <w:rPr>
          <w:rFonts w:ascii="Arial" w:hAnsi="Arial" w:cs="Arial" w:eastAsia="Arial"/>
          <w:color w:val="1F2430"/>
          <w:sz w:val="19"/>
          <w:szCs w:val="19"/>
          <w:rtl/>
        </w:rPr>
        <w:t xml:space="preserve">, ובית המשפט רשאי להורות על דיון פומבי בכל העניין או בחלקו. </w:t>
      </w:r>
      <w:r>
        <w:rPr>
          <w:rFonts w:ascii="Arial" w:hAnsi="Arial" w:cs="Arial" w:eastAsia="Arial"/>
          <w:b/>
          <w:bCs/>
          <w:color w:val="1F2430"/>
          <w:sz w:val="19"/>
          <w:szCs w:val="19"/>
          <w:rtl/>
        </w:rPr>
        <w:t>החריגים</w:t>
      </w:r>
      <w:r>
        <w:rPr>
          <w:rFonts w:ascii="Arial" w:hAnsi="Arial" w:cs="Arial" w:eastAsia="Arial"/>
          <w:color w:val="1F2430"/>
          <w:sz w:val="19"/>
          <w:szCs w:val="19"/>
          <w:rtl/>
        </w:rPr>
        <w:t xml:space="preserve">, שנדונים בפומבי: ירושה </w:t>
      </w:r>
      <w:r>
        <w:rPr>
          <w:rFonts w:ascii="Arial" w:hAnsi="Arial" w:cs="Arial" w:eastAsia="Arial"/>
          <w:color w:val="1F2430"/>
          <w:sz w:val="19"/>
          <w:szCs w:val="19"/>
          <w:highlight w:val="yellow"/>
          <w:rtl/>
        </w:rPr>
        <w:t>שעילתה אינה סכסוך בתוך המשפחה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חוק השמות</w:t>
      </w:r>
      <w:r>
        <w:rPr>
          <w:rFonts w:ascii="Arial" w:hAnsi="Arial" w:cs="Arial" w:eastAsia="Arial"/>
          <w:color w:val="1F2430"/>
          <w:sz w:val="19"/>
          <w:szCs w:val="19"/>
          <w:rtl/>
        </w:rPr>
        <w:t xml:space="preserve"> ו</w:t>
      </w:r>
      <w:r>
        <w:rPr>
          <w:rFonts w:ascii="Arial" w:hAnsi="Arial" w:cs="Arial" w:eastAsia="Arial"/>
          <w:color w:val="1F2430"/>
          <w:sz w:val="19"/>
          <w:szCs w:val="19"/>
          <w:highlight w:val="yellow"/>
          <w:rtl/>
        </w:rPr>
        <w:t>חוק קביעת גיל</w:t>
      </w:r>
      <w:r>
        <w:rPr>
          <w:rFonts w:ascii="Arial" w:hAnsi="Arial" w:cs="Arial" w:eastAsia="Arial"/>
          <w:color w:val="1F2430"/>
          <w:sz w:val="19"/>
          <w:szCs w:val="19"/>
          <w:rtl/>
        </w:rPr>
        <w:t xml:space="preserve">. לפי המקראה, הכלל </w:t>
      </w:r>
      <w:r>
        <w:rPr>
          <w:rFonts w:ascii="Arial" w:hAnsi="Arial" w:cs="Arial" w:eastAsia="Arial"/>
          <w:color w:val="1F2430"/>
          <w:sz w:val="19"/>
          <w:szCs w:val="19"/>
          <w:highlight w:val="yellow"/>
          <w:rtl/>
        </w:rPr>
        <w:t>נכון גם לבית הדין הרבני</w:t>
      </w:r>
      <w:r>
        <w:rPr>
          <w:rFonts w:ascii="Arial" w:hAnsi="Arial" w:cs="Arial" w:eastAsia="Arial"/>
          <w:color w:val="1F2430"/>
          <w:sz w:val="19"/>
          <w:szCs w:val="19"/>
          <w:rtl/>
        </w:rPr>
        <w:t>.</w:t>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5.4 חוק להסדר התדיינויות בסכסוכי משפחה, התשע"ה-2014: הליך יישוב הסכסוך</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רקע ומטרה</w:t>
      </w:r>
    </w:p>
    <w:p>
      <w:pPr>
        <w:bidi/>
        <w:spacing w:before="0" w:after="100" w:line="300" w:lineRule="auto"/>
        <w:jc w:val="both"/>
      </w:pPr>
      <w:r>
        <w:rPr>
          <w:rFonts w:ascii="Arial" w:hAnsi="Arial" w:cs="Arial" w:eastAsia="Arial"/>
          <w:color w:val="1F2430"/>
          <w:sz w:val="19"/>
          <w:szCs w:val="19"/>
          <w:rtl/>
        </w:rPr>
        <w:t>החוק נכנס לתוקף ב</w:t>
      </w:r>
      <w:r>
        <w:rPr>
          <w:rFonts w:ascii="Arial" w:hAnsi="Arial" w:cs="Arial" w:eastAsia="Arial"/>
          <w:color w:val="1F2430"/>
          <w:sz w:val="19"/>
          <w:szCs w:val="19"/>
          <w:highlight w:val="yellow"/>
          <w:rtl/>
        </w:rPr>
        <w:t>יולי 2016</w:t>
      </w:r>
      <w:r>
        <w:rPr>
          <w:rFonts w:ascii="Arial" w:hAnsi="Arial" w:cs="Arial" w:eastAsia="Arial"/>
          <w:color w:val="1F2430"/>
          <w:sz w:val="19"/>
          <w:szCs w:val="19"/>
          <w:rtl/>
        </w:rPr>
        <w:t xml:space="preserve">, יחד עם </w:t>
      </w:r>
      <w:r>
        <w:rPr>
          <w:rFonts w:ascii="Arial" w:hAnsi="Arial" w:cs="Arial" w:eastAsia="Arial"/>
          <w:color w:val="1F2430"/>
          <w:sz w:val="19"/>
          <w:szCs w:val="19"/>
          <w:highlight w:val="yellow"/>
          <w:rtl/>
        </w:rPr>
        <w:t>תקנות להסדר התדיינויות בסכסוכי משפחה, התשע"ו-2016</w:t>
      </w:r>
      <w:r>
        <w:rPr>
          <w:rFonts w:ascii="Arial" w:hAnsi="Arial" w:cs="Arial" w:eastAsia="Arial"/>
          <w:color w:val="1F2430"/>
          <w:sz w:val="19"/>
          <w:szCs w:val="19"/>
          <w:rtl/>
        </w:rPr>
        <w:t>, ותוקן ב</w:t>
      </w:r>
      <w:r>
        <w:rPr>
          <w:rFonts w:ascii="Arial" w:hAnsi="Arial" w:cs="Arial" w:eastAsia="Arial"/>
          <w:color w:val="1F2430"/>
          <w:sz w:val="19"/>
          <w:szCs w:val="19"/>
          <w:highlight w:val="yellow"/>
          <w:rtl/>
        </w:rPr>
        <w:t>תיקון מס' 3, תש"ף-2020</w:t>
      </w:r>
      <w:r>
        <w:rPr>
          <w:rFonts w:ascii="Arial" w:hAnsi="Arial" w:cs="Arial" w:eastAsia="Arial"/>
          <w:color w:val="1F2430"/>
          <w:sz w:val="19"/>
          <w:szCs w:val="19"/>
          <w:rtl/>
        </w:rPr>
        <w:t>. בהתחלה הוא נחקק כ</w:t>
      </w:r>
      <w:r>
        <w:rPr>
          <w:rFonts w:ascii="Arial" w:hAnsi="Arial" w:cs="Arial" w:eastAsia="Arial"/>
          <w:color w:val="1F2430"/>
          <w:sz w:val="19"/>
          <w:szCs w:val="19"/>
          <w:highlight w:val="yellow"/>
          <w:rtl/>
        </w:rPr>
        <w:t>הוראת שעה</w:t>
      </w:r>
      <w:r>
        <w:rPr>
          <w:rFonts w:ascii="Arial" w:hAnsi="Arial" w:cs="Arial" w:eastAsia="Arial"/>
          <w:color w:val="1F2430"/>
          <w:sz w:val="19"/>
          <w:szCs w:val="19"/>
          <w:rtl/>
        </w:rPr>
        <w:t xml:space="preserve"> עם מנגנון דיווח לכנסת. בגלל ההצלחה הוא </w:t>
      </w:r>
      <w:r>
        <w:rPr>
          <w:rFonts w:ascii="Arial" w:hAnsi="Arial" w:cs="Arial" w:eastAsia="Arial"/>
          <w:color w:val="1F2430"/>
          <w:sz w:val="19"/>
          <w:szCs w:val="19"/>
          <w:highlight w:val="yellow"/>
          <w:rtl/>
        </w:rPr>
        <w:t>הפך להוראת קבע</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להסדר התדיינויות בסכסוכי משפחה, סעיף 1 – מטרה</w:t>
            </w:r>
          </w:p>
          <w:p>
            <w:pPr>
              <w:bidi/>
              <w:spacing w:before="0" w:after="60" w:line="300" w:lineRule="auto"/>
              <w:jc w:val="both"/>
            </w:pPr>
            <w:r>
              <w:rPr>
                <w:rFonts w:ascii="Arial" w:hAnsi="Arial" w:cs="Arial" w:eastAsia="Arial"/>
                <w:color w:val="1F2430"/>
                <w:sz w:val="18"/>
                <w:szCs w:val="18"/>
                <w:rtl/>
              </w:rPr>
              <w:t xml:space="preserve">"מטרתו של חוק זה לסייע לבני זוג ולהורים וילדיהם ליישב סכסוך משפחתי ביניהם </w:t>
            </w:r>
            <w:r>
              <w:rPr>
                <w:rFonts w:ascii="Arial" w:hAnsi="Arial" w:cs="Arial" w:eastAsia="Arial"/>
                <w:color w:val="1F2430"/>
                <w:sz w:val="18"/>
                <w:szCs w:val="18"/>
                <w:highlight w:val="yellow"/>
                <w:rtl/>
              </w:rPr>
              <w:t>בהסכמה ובדרכי שלום</w:t>
            </w:r>
            <w:r>
              <w:rPr>
                <w:rFonts w:ascii="Arial" w:hAnsi="Arial" w:cs="Arial" w:eastAsia="Arial"/>
                <w:color w:val="1F2430"/>
                <w:sz w:val="18"/>
                <w:szCs w:val="18"/>
                <w:rtl/>
              </w:rPr>
              <w:t>, ולצמצם את הצורך בקיום התדיינות משפטית, מתוך התחשבות במכלול ההיבטים הנוגעים לסכסוך ובטובתם של כל ילדה וילד."</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מטרת החוק אינה שלום בית</w:t>
            </w:r>
          </w:p>
          <w:p>
            <w:pPr>
              <w:bidi/>
              <w:spacing w:before="0" w:after="60" w:line="300" w:lineRule="auto"/>
              <w:jc w:val="both"/>
            </w:pPr>
            <w:r>
              <w:rPr>
                <w:rFonts w:ascii="Arial" w:hAnsi="Arial" w:cs="Arial" w:eastAsia="Arial"/>
                <w:color w:val="1F2430"/>
                <w:sz w:val="18"/>
                <w:szCs w:val="18"/>
                <w:highlight w:val="yellow"/>
                <w:rtl/>
              </w:rPr>
              <w:t>מטרת החוק אינה שלום בית</w:t>
            </w:r>
            <w:r>
              <w:rPr>
                <w:rFonts w:ascii="Arial" w:hAnsi="Arial" w:cs="Arial" w:eastAsia="Arial"/>
                <w:color w:val="1F2430"/>
                <w:sz w:val="18"/>
                <w:szCs w:val="18"/>
                <w:rtl/>
              </w:rPr>
              <w:t>, ואין בו כוונה להחזיר בני זוג לחיות יחד. הוא נועד למנוע "מלחמה משפטית" מיידית של תביעות, עורכי דין, כסף ומלחמות סמכות, ולנסות קודם מידע, הידברות, גישור ופתרון בהסכמה. במבחן האמריקאי התשובה הנכונה היא נוסח סעיף 1, ולא "ליצור שלום בית" ולא "לפתור בגישור".</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מטרות החוק לפי השיעורים:</w:t>
      </w:r>
      <w:r>
        <w:rPr>
          <w:rFonts w:ascii="Arial" w:hAnsi="Arial" w:cs="Arial" w:eastAsia="Arial"/>
          <w:color w:val="1F2430"/>
          <w:sz w:val="19"/>
          <w:szCs w:val="19"/>
          <w:rtl/>
        </w:rPr>
        <w:t xml:space="preserve"> (1) </w:t>
      </w:r>
      <w:r>
        <w:rPr>
          <w:rFonts w:ascii="Arial" w:hAnsi="Arial" w:cs="Arial" w:eastAsia="Arial"/>
          <w:b/>
          <w:bCs/>
          <w:color w:val="1F2430"/>
          <w:sz w:val="19"/>
          <w:szCs w:val="19"/>
          <w:rtl/>
        </w:rPr>
        <w:t>ניתוב</w:t>
      </w:r>
      <w:r>
        <w:rPr>
          <w:rFonts w:ascii="Arial" w:hAnsi="Arial" w:cs="Arial" w:eastAsia="Arial"/>
          <w:color w:val="1F2430"/>
          <w:sz w:val="19"/>
          <w:szCs w:val="19"/>
          <w:rtl/>
        </w:rPr>
        <w:t xml:space="preserve"> לאפיקים של הסכמה ושלום; (2) </w:t>
      </w:r>
      <w:r>
        <w:rPr>
          <w:rFonts w:ascii="Arial" w:hAnsi="Arial" w:cs="Arial" w:eastAsia="Arial"/>
          <w:b/>
          <w:bCs/>
          <w:color w:val="1F2430"/>
          <w:sz w:val="19"/>
          <w:szCs w:val="19"/>
          <w:rtl/>
        </w:rPr>
        <w:t>"ונטילציה"</w:t>
      </w:r>
      <w:r>
        <w:rPr>
          <w:rFonts w:ascii="Arial" w:hAnsi="Arial" w:cs="Arial" w:eastAsia="Arial"/>
          <w:color w:val="1F2430"/>
          <w:sz w:val="19"/>
          <w:szCs w:val="19"/>
          <w:rtl/>
        </w:rPr>
        <w:t xml:space="preserve">: לא מפרקים תא משפחתי ברגע, ונותנים לרוחות להירגע; (3) </w:t>
      </w:r>
      <w:r>
        <w:rPr>
          <w:rFonts w:ascii="Arial" w:hAnsi="Arial" w:cs="Arial" w:eastAsia="Arial"/>
          <w:b/>
          <w:bCs/>
          <w:color w:val="1F2430"/>
          <w:sz w:val="19"/>
          <w:szCs w:val="19"/>
          <w:rtl/>
        </w:rPr>
        <w:t>ריכוך מירוץ הסמכויות</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color w:val="1F2430"/>
          <w:sz w:val="19"/>
          <w:szCs w:val="19"/>
          <w:rtl/>
        </w:rPr>
        <w:t xml:space="preserve">כשהחוק נחקק, בתי הדין הרבניים התנגדו כי לא היו לידם יחידות סיוע. לכן הוקמו יחידות סיוע </w:t>
      </w:r>
      <w:r>
        <w:rPr>
          <w:rFonts w:ascii="Arial" w:hAnsi="Arial" w:cs="Arial" w:eastAsia="Arial"/>
          <w:color w:val="1F2430"/>
          <w:sz w:val="19"/>
          <w:szCs w:val="19"/>
          <w:highlight w:val="yellow"/>
          <w:rtl/>
        </w:rPr>
        <w:t>גם ליד בתי הדין הדתיים</w:t>
      </w:r>
      <w:r>
        <w:rPr>
          <w:rFonts w:ascii="Arial" w:hAnsi="Arial" w:cs="Arial" w:eastAsia="Arial"/>
          <w:color w:val="1F2430"/>
          <w:sz w:val="19"/>
          <w:szCs w:val="19"/>
          <w:rtl/>
        </w:rPr>
        <w:t>, ושם הצדדים יפגשו כנראה עובדים סוציאליים דתיים.</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על מי ועל מה חל החוק</w:t>
      </w:r>
    </w:p>
    <w:p>
      <w:pPr>
        <w:bidi/>
        <w:spacing w:before="0" w:after="100" w:line="300" w:lineRule="auto"/>
        <w:jc w:val="both"/>
      </w:pPr>
      <w:r>
        <w:rPr>
          <w:rFonts w:ascii="Arial" w:hAnsi="Arial" w:cs="Arial" w:eastAsia="Arial"/>
          <w:b/>
          <w:bCs/>
          <w:color w:val="1F2430"/>
          <w:sz w:val="19"/>
          <w:szCs w:val="19"/>
          <w:rtl/>
        </w:rPr>
        <w:t>"גרעין משפחתי מצומצם".</w:t>
      </w:r>
      <w:r>
        <w:rPr>
          <w:rFonts w:ascii="Arial" w:hAnsi="Arial" w:cs="Arial" w:eastAsia="Arial"/>
          <w:color w:val="1F2430"/>
          <w:sz w:val="19"/>
          <w:szCs w:val="19"/>
          <w:rtl/>
        </w:rPr>
        <w:t xml:space="preserve"> לא כל מי שנכנס לבית המשפט לענייני משפחה נכנס לחוק ההסדר. החוק חל רק על </w:t>
      </w:r>
      <w:r>
        <w:rPr>
          <w:rFonts w:ascii="Arial" w:hAnsi="Arial" w:cs="Arial" w:eastAsia="Arial"/>
          <w:color w:val="1F2430"/>
          <w:sz w:val="19"/>
          <w:szCs w:val="19"/>
          <w:highlight w:val="yellow"/>
          <w:rtl/>
        </w:rPr>
        <w:t>הגרעין המשפחתי הרגיש ביותר</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בני זוג, הורים, והורים וילדיהם</w:t>
      </w:r>
      <w:r>
        <w:rPr>
          <w:rFonts w:ascii="Arial" w:hAnsi="Arial" w:cs="Arial" w:eastAsia="Arial"/>
          <w:color w:val="1F2430"/>
          <w:sz w:val="19"/>
          <w:szCs w:val="19"/>
          <w:rtl/>
        </w:rPr>
        <w:t>. הוא לא חל למשל על סבא ונכד. גם סכסוך עסקי בין אדם לאביו אינו נכנס.</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"תובענה" (סעיף 2 לחוק ההסדר)</w:t>
            </w:r>
          </w:p>
          <w:p>
            <w:pPr>
              <w:bidi/>
              <w:spacing w:before="0" w:after="60" w:line="300" w:lineRule="auto"/>
              <w:jc w:val="both"/>
            </w:pPr>
            <w:r>
              <w:rPr>
                <w:rFonts w:ascii="Arial" w:hAnsi="Arial" w:cs="Arial" w:eastAsia="Arial"/>
                <w:color w:val="1F2430"/>
                <w:sz w:val="18"/>
                <w:szCs w:val="18"/>
                <w:rtl/>
              </w:rPr>
              <w:t xml:space="preserve">"תביעה, בקשה או הליך אחר שמביא בעל דין לפני ערכאה שיפוטית לפי דין, </w:t>
            </w:r>
            <w:r>
              <w:rPr>
                <w:rFonts w:ascii="Arial" w:hAnsi="Arial" w:cs="Arial" w:eastAsia="Arial"/>
                <w:color w:val="1F2430"/>
                <w:sz w:val="18"/>
                <w:szCs w:val="18"/>
                <w:highlight w:val="yellow"/>
                <w:rtl/>
              </w:rPr>
              <w:t>ובכלל זה בקשה למתן סעד זמני</w:t>
            </w:r>
            <w:r>
              <w:rPr>
                <w:rFonts w:ascii="Arial" w:hAnsi="Arial" w:cs="Arial" w:eastAsia="Arial"/>
                <w:color w:val="1F2430"/>
                <w:sz w:val="18"/>
                <w:szCs w:val="18"/>
                <w:rtl/>
              </w:rPr>
              <w:t xml:space="preserve">, ולמעט כל אחד מאלה: (1) </w:t>
            </w:r>
            <w:r>
              <w:rPr>
                <w:rFonts w:ascii="Arial" w:hAnsi="Arial" w:cs="Arial" w:eastAsia="Arial"/>
                <w:color w:val="1F2430"/>
                <w:sz w:val="18"/>
                <w:szCs w:val="18"/>
                <w:highlight w:val="yellow"/>
                <w:rtl/>
              </w:rPr>
              <w:t>בקשה לאישור הסכם</w:t>
            </w:r>
            <w:r>
              <w:rPr>
                <w:rFonts w:ascii="Arial" w:hAnsi="Arial" w:cs="Arial" w:eastAsia="Arial"/>
                <w:color w:val="1F2430"/>
                <w:sz w:val="18"/>
                <w:szCs w:val="18"/>
                <w:rtl/>
              </w:rPr>
              <w:t xml:space="preserve">; (2) </w:t>
            </w:r>
            <w:r>
              <w:rPr>
                <w:rFonts w:ascii="Arial" w:hAnsi="Arial" w:cs="Arial" w:eastAsia="Arial"/>
                <w:color w:val="1F2430"/>
                <w:sz w:val="18"/>
                <w:szCs w:val="18"/>
                <w:highlight w:val="yellow"/>
                <w:rtl/>
              </w:rPr>
              <w:t>ערעור ובקשת רשות ערעור</w:t>
            </w:r>
            <w:r>
              <w:rPr>
                <w:rFonts w:ascii="Arial" w:hAnsi="Arial" w:cs="Arial" w:eastAsia="Arial"/>
                <w:color w:val="1F2430"/>
                <w:sz w:val="18"/>
                <w:szCs w:val="18"/>
                <w:rtl/>
              </w:rPr>
              <w:t xml:space="preserve">; (3) </w:t>
            </w:r>
            <w:r>
              <w:rPr>
                <w:rFonts w:ascii="Arial" w:hAnsi="Arial" w:cs="Arial" w:eastAsia="Arial"/>
                <w:color w:val="1F2430"/>
                <w:sz w:val="18"/>
                <w:szCs w:val="18"/>
                <w:highlight w:val="yellow"/>
                <w:rtl/>
              </w:rPr>
              <w:t>תובענה לאכיפה ולביצוע של החלטה שיפוטית</w:t>
            </w:r>
            <w:r>
              <w:rPr>
                <w:rFonts w:ascii="Arial" w:hAnsi="Arial" w:cs="Arial" w:eastAsia="Arial"/>
                <w:color w:val="1F2430"/>
                <w:sz w:val="18"/>
                <w:szCs w:val="18"/>
                <w:rtl/>
              </w:rPr>
              <w:t>, לרבות לפי פקודת בזיון בית משפט."</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"תובענה" היא שם כללי, ולא רק תביעת גירושין. גם תביעה להגדלת מזונות היא תובענה. </w:t>
      </w:r>
      <w:r>
        <w:rPr>
          <w:rFonts w:ascii="Arial" w:hAnsi="Arial" w:cs="Arial" w:eastAsia="Arial"/>
          <w:color w:val="1F2430"/>
          <w:sz w:val="19"/>
          <w:szCs w:val="19"/>
          <w:highlight w:val="yellow"/>
          <w:rtl/>
        </w:rPr>
        <w:t>בקשה לאישור הסכם אינה תובענה</w:t>
      </w:r>
      <w:r>
        <w:rPr>
          <w:rFonts w:ascii="Arial" w:hAnsi="Arial" w:cs="Arial" w:eastAsia="Arial"/>
          <w:color w:val="1F2430"/>
          <w:sz w:val="19"/>
          <w:szCs w:val="19"/>
          <w:rtl/>
        </w:rPr>
        <w:t>: מי שהגיע להסכם מחוץ לכותלי בית המשפט פונה ישירות לבית המשפט ואינו עובר ביחידת הסיוע.</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להסדר התדיינויות, סעיף 2 – "תובענה בעניין של סכסוך משפחתי"</w:t>
            </w:r>
          </w:p>
          <w:p>
            <w:pPr>
              <w:bidi/>
              <w:spacing w:before="0" w:after="60" w:line="300" w:lineRule="auto"/>
              <w:jc w:val="both"/>
            </w:pPr>
            <w:r>
              <w:rPr>
                <w:rFonts w:ascii="Arial" w:hAnsi="Arial" w:cs="Arial" w:eastAsia="Arial"/>
                <w:color w:val="1F2430"/>
                <w:sz w:val="18"/>
                <w:szCs w:val="18"/>
                <w:rtl/>
              </w:rPr>
              <w:t xml:space="preserve">תובענה </w:t>
            </w:r>
            <w:r>
              <w:rPr>
                <w:rFonts w:ascii="Arial" w:hAnsi="Arial" w:cs="Arial" w:eastAsia="Arial"/>
                <w:color w:val="1F2430"/>
                <w:sz w:val="18"/>
                <w:szCs w:val="18"/>
                <w:highlight w:val="yellow"/>
                <w:rtl/>
              </w:rPr>
              <w:t>בין בני זוג, בין הורים או בין הורים לילדיהם</w:t>
            </w:r>
            <w:r>
              <w:rPr>
                <w:rFonts w:ascii="Arial" w:hAnsi="Arial" w:cs="Arial" w:eastAsia="Arial"/>
                <w:color w:val="1F2430"/>
                <w:sz w:val="18"/>
                <w:szCs w:val="18"/>
                <w:rtl/>
              </w:rPr>
              <w:t xml:space="preserve"> בכל אחד מהעניינים האלה: (1) ענייני נישואין וגירושין, </w:t>
            </w:r>
            <w:r>
              <w:rPr>
                <w:rFonts w:ascii="Arial" w:hAnsi="Arial" w:cs="Arial" w:eastAsia="Arial"/>
                <w:color w:val="1F2430"/>
                <w:sz w:val="18"/>
                <w:szCs w:val="18"/>
                <w:highlight w:val="yellow"/>
                <w:rtl/>
              </w:rPr>
              <w:t>למעט תובענה לגירושין או להתרת נישואין שהוגשה בהסכמת הצדדים</w:t>
            </w:r>
            <w:r>
              <w:rPr>
                <w:rFonts w:ascii="Arial" w:hAnsi="Arial" w:cs="Arial" w:eastAsia="Arial"/>
                <w:color w:val="1F2430"/>
                <w:sz w:val="18"/>
                <w:szCs w:val="18"/>
                <w:rtl/>
              </w:rPr>
              <w:t xml:space="preserve">; (2) יחסי ממון בין בני זוג, לרבות תובענה כספית או רכושית הנובעת מהקשר ביניהם, </w:t>
            </w:r>
            <w:r>
              <w:rPr>
                <w:rFonts w:ascii="Arial" w:hAnsi="Arial" w:cs="Arial" w:eastAsia="Arial"/>
                <w:color w:val="1F2430"/>
                <w:sz w:val="18"/>
                <w:szCs w:val="18"/>
                <w:highlight w:val="yellow"/>
                <w:rtl/>
              </w:rPr>
              <w:t>ולמעט תובענה בענייני ירושה</w:t>
            </w:r>
            <w:r>
              <w:rPr>
                <w:rFonts w:ascii="Arial" w:hAnsi="Arial" w:cs="Arial" w:eastAsia="Arial"/>
                <w:color w:val="1F2430"/>
                <w:sz w:val="18"/>
                <w:szCs w:val="18"/>
                <w:rtl/>
              </w:rPr>
              <w:t xml:space="preserve">; (3) מזונות או מדור של בן זוג או של ילד; (4) כל עניין הנוגע לילד לפי חוק הכשרות המשפטית והאפוטרופסות, </w:t>
            </w:r>
            <w:r>
              <w:rPr>
                <w:rFonts w:ascii="Arial" w:hAnsi="Arial" w:cs="Arial" w:eastAsia="Arial"/>
                <w:color w:val="1F2430"/>
                <w:sz w:val="18"/>
                <w:szCs w:val="18"/>
                <w:highlight w:val="yellow"/>
                <w:rtl/>
              </w:rPr>
              <w:t>למעט תובענה לפי חוק אמנת האג (החזרת ילדים חטופים)</w:t>
            </w:r>
            <w:r>
              <w:rPr>
                <w:rFonts w:ascii="Arial" w:hAnsi="Arial" w:cs="Arial" w:eastAsia="Arial"/>
                <w:color w:val="1F2430"/>
                <w:sz w:val="18"/>
                <w:szCs w:val="18"/>
                <w:rtl/>
              </w:rPr>
              <w:t xml:space="preserve"> או בקשה לצו עיכוב יציאה מן הארץ בקשר אליה; (5) אבהות או אמהות, </w:t>
            </w:r>
            <w:r>
              <w:rPr>
                <w:rFonts w:ascii="Arial" w:hAnsi="Arial" w:cs="Arial" w:eastAsia="Arial"/>
                <w:color w:val="1F2430"/>
                <w:sz w:val="18"/>
                <w:szCs w:val="18"/>
                <w:highlight w:val="yellow"/>
                <w:rtl/>
              </w:rPr>
              <w:t>למעט תובענה שהוגשה בהסכמת הצדדים</w:t>
            </w:r>
            <w:r>
              <w:rPr>
                <w:rFonts w:ascii="Arial" w:hAnsi="Arial" w:cs="Arial" w:eastAsia="Arial"/>
                <w:color w:val="1F2430"/>
                <w:sz w:val="18"/>
                <w:szCs w:val="18"/>
                <w:rtl/>
              </w:rPr>
              <w:t xml:space="preserve">; (6) מזונות או מדור של צעיר או סכסוך בין הורים לילדיהם הצעירים; </w:t>
            </w:r>
            <w:r>
              <w:rPr>
                <w:rFonts w:ascii="Arial" w:hAnsi="Arial" w:cs="Arial" w:eastAsia="Arial"/>
                <w:color w:val="1F2430"/>
                <w:sz w:val="18"/>
                <w:szCs w:val="18"/>
                <w:highlight w:val="yellow"/>
                <w:rtl/>
              </w:rPr>
              <w:t>״צעיר" – בגיר שטרם מלאו לו 21 שנים</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לפי המקראה, הסעיף הזה </w:t>
      </w:r>
      <w:r>
        <w:rPr>
          <w:rFonts w:ascii="Arial" w:hAnsi="Arial" w:cs="Arial" w:eastAsia="Arial"/>
          <w:color w:val="1F2430"/>
          <w:sz w:val="19"/>
          <w:szCs w:val="19"/>
          <w:highlight w:val="yellow"/>
          <w:rtl/>
        </w:rPr>
        <w:t>לא אומר איפה יתקיים הדיון</w:t>
      </w:r>
      <w:r>
        <w:rPr>
          <w:rFonts w:ascii="Arial" w:hAnsi="Arial" w:cs="Arial" w:eastAsia="Arial"/>
          <w:color w:val="1F2430"/>
          <w:sz w:val="19"/>
          <w:szCs w:val="19"/>
          <w:rtl/>
        </w:rPr>
        <w:t>. הוא רק אומר מתי החוק "עוצר" אותך וחייבים לעבור קודם יישוב סכסוך.</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שלב 1: בקשה ליישוב סכסוך (סעיף 3(א))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להסדר התדיינויות, סעיף 3(א)</w:t>
            </w:r>
          </w:p>
          <w:p>
            <w:pPr>
              <w:bidi/>
              <w:spacing w:before="0" w:after="60" w:line="300" w:lineRule="auto"/>
              <w:jc w:val="both"/>
            </w:pPr>
            <w:r>
              <w:rPr>
                <w:rFonts w:ascii="Arial" w:hAnsi="Arial" w:cs="Arial" w:eastAsia="Arial"/>
                <w:color w:val="1F2430"/>
                <w:sz w:val="18"/>
                <w:szCs w:val="18"/>
                <w:rtl/>
              </w:rPr>
              <w:t xml:space="preserve">"המבקש להגיש לערכאה שיפוטית תובענה בעניין של סכסוך משפחתי </w:t>
            </w:r>
            <w:r>
              <w:rPr>
                <w:rFonts w:ascii="Arial" w:hAnsi="Arial" w:cs="Arial" w:eastAsia="Arial"/>
                <w:color w:val="1F2430"/>
                <w:sz w:val="18"/>
                <w:szCs w:val="18"/>
                <w:highlight w:val="yellow"/>
                <w:rtl/>
              </w:rPr>
              <w:t>יגיש תחילה</w:t>
            </w:r>
            <w:r>
              <w:rPr>
                <w:rFonts w:ascii="Arial" w:hAnsi="Arial" w:cs="Arial" w:eastAsia="Arial"/>
                <w:color w:val="1F2430"/>
                <w:sz w:val="18"/>
                <w:szCs w:val="18"/>
                <w:rtl/>
              </w:rPr>
              <w:t xml:space="preserve"> לערכאה השיפוטית </w:t>
            </w:r>
            <w:r>
              <w:rPr>
                <w:rFonts w:ascii="Arial" w:hAnsi="Arial" w:cs="Arial" w:eastAsia="Arial"/>
                <w:color w:val="1F2430"/>
                <w:sz w:val="18"/>
                <w:szCs w:val="18"/>
                <w:highlight w:val="yellow"/>
                <w:rtl/>
              </w:rPr>
              <w:t>בקשה ליישוב סכסוך</w:t>
            </w:r>
            <w:r>
              <w:rPr>
                <w:rFonts w:ascii="Arial" w:hAnsi="Arial" w:cs="Arial" w:eastAsia="Arial"/>
                <w:color w:val="1F2430"/>
                <w:sz w:val="18"/>
                <w:szCs w:val="18"/>
                <w:rtl/>
              </w:rPr>
              <w:t xml:space="preserve">; הבקשה </w:t>
            </w:r>
            <w:r>
              <w:rPr>
                <w:rFonts w:ascii="Arial" w:hAnsi="Arial" w:cs="Arial" w:eastAsia="Arial"/>
                <w:color w:val="1F2430"/>
                <w:sz w:val="18"/>
                <w:szCs w:val="18"/>
                <w:highlight w:val="yellow"/>
                <w:rtl/>
              </w:rPr>
              <w:t>לא תכלול טענות או עובדות בקשר לסכסוך או בקשר לסמכות השיפוט</w:t>
            </w:r>
            <w:r>
              <w:rPr>
                <w:rFonts w:ascii="Arial" w:hAnsi="Arial" w:cs="Arial" w:eastAsia="Arial"/>
                <w:color w:val="1F2430"/>
                <w:sz w:val="18"/>
                <w:szCs w:val="18"/>
                <w:rtl/>
              </w:rPr>
              <w:t xml:space="preserve"> של הערכאה השיפוטית."</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"יגיש תחילה" היא </w:t>
      </w:r>
      <w:r>
        <w:rPr>
          <w:rFonts w:ascii="Arial" w:hAnsi="Arial" w:cs="Arial" w:eastAsia="Arial"/>
          <w:color w:val="1F2430"/>
          <w:sz w:val="19"/>
          <w:szCs w:val="19"/>
          <w:highlight w:val="yellow"/>
          <w:rtl/>
        </w:rPr>
        <w:t>חובה</w:t>
      </w:r>
      <w:r>
        <w:rPr>
          <w:rFonts w:ascii="Arial" w:hAnsi="Arial" w:cs="Arial" w:eastAsia="Arial"/>
          <w:color w:val="1F2430"/>
          <w:sz w:val="19"/>
          <w:szCs w:val="19"/>
          <w:rtl/>
        </w:rPr>
        <w:t xml:space="preserve"> שאינה נתונה למשא ומתן. אי אפשר להגיש ישר את התביעה העיקרית.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הבקשה </w:t>
      </w:r>
      <w:r>
        <w:rPr>
          <w:rFonts w:ascii="Arial" w:hAnsi="Arial" w:cs="Arial" w:eastAsia="Arial"/>
          <w:color w:val="1F2430"/>
          <w:sz w:val="19"/>
          <w:szCs w:val="19"/>
          <w:highlight w:val="yellow"/>
          <w:rtl/>
        </w:rPr>
        <w:t>אינה כתב תביעה</w:t>
      </w:r>
      <w:r>
        <w:rPr>
          <w:rFonts w:ascii="Arial" w:hAnsi="Arial" w:cs="Arial" w:eastAsia="Arial"/>
          <w:color w:val="1F2430"/>
          <w:sz w:val="19"/>
          <w:szCs w:val="19"/>
          <w:rtl/>
        </w:rPr>
        <w:t>: אין בה טענות לגופו, עובדות מפורטות או טענות סמכות.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לאיזו ערכאה?</w:t>
      </w:r>
      <w:r>
        <w:rPr>
          <w:rFonts w:ascii="Arial" w:hAnsi="Arial" w:cs="Arial" w:eastAsia="Arial"/>
          <w:color w:val="1F2430"/>
          <w:sz w:val="19"/>
          <w:szCs w:val="19"/>
          <w:rtl/>
        </w:rPr>
        <w:t xml:space="preserve"> לפי המקראה, לזו שהמבקש בוחר, בית משפט או בית דין, ו</w:t>
      </w:r>
      <w:r>
        <w:rPr>
          <w:rFonts w:ascii="Arial" w:hAnsi="Arial" w:cs="Arial" w:eastAsia="Arial"/>
          <w:color w:val="1F2430"/>
          <w:sz w:val="19"/>
          <w:szCs w:val="19"/>
          <w:highlight w:val="yellow"/>
          <w:rtl/>
        </w:rPr>
        <w:t>המקום שבו הוגשה הבקשה אינו מחייב בהמשך</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הבקשה כרוכה ב</w:t>
      </w:r>
      <w:r>
        <w:rPr>
          <w:rFonts w:ascii="Arial" w:hAnsi="Arial" w:cs="Arial" w:eastAsia="Arial"/>
          <w:color w:val="1F2430"/>
          <w:sz w:val="19"/>
          <w:szCs w:val="19"/>
          <w:highlight w:val="yellow"/>
          <w:rtl/>
        </w:rPr>
        <w:t>אגרה (118 ש"ח)</w:t>
      </w:r>
      <w:r>
        <w:rPr>
          <w:rFonts w:ascii="Arial" w:hAnsi="Arial" w:cs="Arial" w:eastAsia="Arial"/>
          <w:color w:val="1F2430"/>
          <w:sz w:val="19"/>
          <w:szCs w:val="19"/>
          <w:rtl/>
        </w:rPr>
        <w:t xml:space="preserve"> ומוגשת בלי ליווי עורך 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תקנות להסדר התדיינויות בסכסוכי משפחה, התשע"ו-2016, תקנה 2 – נוסח הבקשה</w:t>
            </w:r>
          </w:p>
          <w:p>
            <w:pPr>
              <w:bidi/>
              <w:spacing w:before="0" w:after="60" w:line="300" w:lineRule="auto"/>
              <w:jc w:val="both"/>
            </w:pPr>
            <w:r>
              <w:rPr>
                <w:rFonts w:ascii="Arial" w:hAnsi="Arial" w:cs="Arial" w:eastAsia="Arial"/>
                <w:color w:val="1F2430"/>
                <w:sz w:val="18"/>
                <w:szCs w:val="18"/>
                <w:rtl/>
              </w:rPr>
              <w:t>"הואיל ונתגלה סכסוך ביני לבין ___, שהוא בן זוגי/הורהו של ילדי/ילדי/אבי/אמי (מחק את המיותר), אני פונה לערכאה השיפוטית בבקשה ליישוב הסכסוך בלא התדיינות משפטית, ולהפניה ליחידת הסיוע שליד הערכאה השיפוטית. למיטב ידיעתי, לא הוגשה בקשה ליישוב סכסוך ביני ובין המשיב אשר עודנה תלויה ועומדת בערכאה זו או בכל ערכאה אחרת."</w:t>
            </w:r>
          </w:p>
        </w:tc>
      </w:tr>
    </w:tbl>
    <w:p>
      <w:pPr>
        <w:bidi/>
        <w:spacing w:after="0" w:before="0" w:line="120" w:lineRule="exact"/>
      </w:pPr>
      <w:r>
        <w:rPr>
          <w:sz w:val="2"/>
        </w:rPr>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שלב 2: פגישות מהו"ת (סעיף 3(ב))</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להסדר התדיינויות, סעיף 3(ב)</w:t>
            </w:r>
          </w:p>
          <w:p>
            <w:pPr>
              <w:bidi/>
              <w:spacing w:before="0" w:after="60" w:line="300" w:lineRule="auto"/>
              <w:jc w:val="both"/>
            </w:pPr>
            <w:r>
              <w:rPr>
                <w:rFonts w:ascii="Arial" w:hAnsi="Arial" w:cs="Arial" w:eastAsia="Arial"/>
                <w:color w:val="1F2430"/>
                <w:sz w:val="18"/>
                <w:szCs w:val="18"/>
                <w:rtl/>
              </w:rPr>
              <w:t>(1) "הוגשה בקשה ליישוב סכסוך... יוזמנו הצדדים לבקשה ליחידת הסיוע שליד הערכאה השיפוטית ל</w:t>
            </w:r>
            <w:r>
              <w:rPr>
                <w:rFonts w:ascii="Arial" w:hAnsi="Arial" w:cs="Arial" w:eastAsia="Arial"/>
                <w:color w:val="1F2430"/>
                <w:sz w:val="18"/>
                <w:szCs w:val="18"/>
                <w:highlight w:val="yellow"/>
                <w:rtl/>
              </w:rPr>
              <w:t>ארבע פגישות מידע, היכרות ותיאום</w:t>
            </w:r>
            <w:r>
              <w:rPr>
                <w:rFonts w:ascii="Arial" w:hAnsi="Arial" w:cs="Arial" w:eastAsia="Arial"/>
                <w:color w:val="1F2430"/>
                <w:sz w:val="18"/>
                <w:szCs w:val="18"/>
                <w:rtl/>
              </w:rPr>
              <w:t xml:space="preserve"> (להלן – פגישת מהו"ת), ו</w:t>
            </w:r>
            <w:r>
              <w:rPr>
                <w:rFonts w:ascii="Arial" w:hAnsi="Arial" w:cs="Arial" w:eastAsia="Arial"/>
                <w:color w:val="1F2430"/>
                <w:sz w:val="18"/>
                <w:szCs w:val="18"/>
                <w:highlight w:val="yellow"/>
                <w:rtl/>
              </w:rPr>
              <w:t>דינה של הזמנה לפגישת מהו"ת כדין הזמנה לדיון בבית המשפט</w:t>
            </w:r>
            <w:r>
              <w:rPr>
                <w:rFonts w:ascii="Arial" w:hAnsi="Arial" w:cs="Arial" w:eastAsia="Arial"/>
                <w:color w:val="1F2430"/>
                <w:sz w:val="18"/>
                <w:szCs w:val="18"/>
                <w:rtl/>
              </w:rPr>
              <w:t xml:space="preserve">; יחידת הסיוע </w:t>
            </w:r>
            <w:r>
              <w:rPr>
                <w:rFonts w:ascii="Arial" w:hAnsi="Arial" w:cs="Arial" w:eastAsia="Arial"/>
                <w:color w:val="1F2430"/>
                <w:sz w:val="18"/>
                <w:szCs w:val="18"/>
                <w:highlight w:val="yellow"/>
                <w:rtl/>
              </w:rPr>
              <w:t>רשאית לקיים מספר קטן יותר של פגישות</w:t>
            </w:r>
            <w:r>
              <w:rPr>
                <w:rFonts w:ascii="Arial" w:hAnsi="Arial" w:cs="Arial" w:eastAsia="Arial"/>
                <w:color w:val="1F2430"/>
                <w:sz w:val="18"/>
                <w:szCs w:val="18"/>
                <w:rtl/>
              </w:rPr>
              <w:t xml:space="preserve">, בהתאם לשיקול דעתה המקצועי;" (2) "הצדדים </w:t>
            </w:r>
            <w:r>
              <w:rPr>
                <w:rFonts w:ascii="Arial" w:hAnsi="Arial" w:cs="Arial" w:eastAsia="Arial"/>
                <w:color w:val="1F2430"/>
                <w:sz w:val="18"/>
                <w:szCs w:val="18"/>
                <w:highlight w:val="yellow"/>
                <w:rtl/>
              </w:rPr>
              <w:t>יתייצבו בעצמם</w:t>
            </w:r>
            <w:r>
              <w:rPr>
                <w:rFonts w:ascii="Arial" w:hAnsi="Arial" w:cs="Arial" w:eastAsia="Arial"/>
                <w:color w:val="1F2430"/>
                <w:sz w:val="18"/>
                <w:szCs w:val="18"/>
                <w:rtl/>
              </w:rPr>
              <w:t xml:space="preserve"> לפגישות המהו"ת..." (3) "כל פגישות המהו"ת יתקיימו </w:t>
            </w:r>
            <w:r>
              <w:rPr>
                <w:rFonts w:ascii="Arial" w:hAnsi="Arial" w:cs="Arial" w:eastAsia="Arial"/>
                <w:color w:val="1F2430"/>
                <w:sz w:val="18"/>
                <w:szCs w:val="18"/>
                <w:highlight w:val="yellow"/>
                <w:rtl/>
              </w:rPr>
              <w:t>בתוך 45 ימים</w:t>
            </w:r>
            <w:r>
              <w:rPr>
                <w:rFonts w:ascii="Arial" w:hAnsi="Arial" w:cs="Arial" w:eastAsia="Arial"/>
                <w:color w:val="1F2430"/>
                <w:sz w:val="18"/>
                <w:szCs w:val="18"/>
                <w:rtl/>
              </w:rPr>
              <w:t xml:space="preserve"> מיום הגשת הבקשה, ואולם יחידת הסיוע רשאית להאריך את התקופה, </w:t>
            </w:r>
            <w:r>
              <w:rPr>
                <w:rFonts w:ascii="Arial" w:hAnsi="Arial" w:cs="Arial" w:eastAsia="Arial"/>
                <w:color w:val="1F2430"/>
                <w:sz w:val="18"/>
                <w:szCs w:val="18"/>
                <w:highlight w:val="yellow"/>
                <w:rtl/>
              </w:rPr>
              <w:t>פעם אחת, ב-15 ימים</w:t>
            </w:r>
            <w:r>
              <w:rPr>
                <w:rFonts w:ascii="Arial" w:hAnsi="Arial" w:cs="Arial" w:eastAsia="Arial"/>
                <w:color w:val="1F2430"/>
                <w:sz w:val="18"/>
                <w:szCs w:val="18"/>
                <w:rtl/>
              </w:rPr>
              <w:t>, בהודעה לערכאה השיפוטית ולצדדים;"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מהו"ת = מ</w:t>
      </w:r>
      <w:r>
        <w:rPr>
          <w:rFonts w:ascii="Arial" w:hAnsi="Arial" w:cs="Arial" w:eastAsia="Arial"/>
          <w:color w:val="1F2430"/>
          <w:sz w:val="19"/>
          <w:szCs w:val="19"/>
          <w:rtl/>
        </w:rPr>
        <w:t xml:space="preserve">ידע, </w:t>
      </w:r>
      <w:r>
        <w:rPr>
          <w:rFonts w:ascii="Arial" w:hAnsi="Arial" w:cs="Arial" w:eastAsia="Arial"/>
          <w:b/>
          <w:bCs/>
          <w:color w:val="1F2430"/>
          <w:sz w:val="19"/>
          <w:szCs w:val="19"/>
          <w:rtl/>
        </w:rPr>
        <w:t>ה</w:t>
      </w:r>
      <w:r>
        <w:rPr>
          <w:rFonts w:ascii="Arial" w:hAnsi="Arial" w:cs="Arial" w:eastAsia="Arial"/>
          <w:color w:val="1F2430"/>
          <w:sz w:val="19"/>
          <w:szCs w:val="19"/>
          <w:rtl/>
        </w:rPr>
        <w:t xml:space="preserve">יכרות, </w:t>
      </w:r>
      <w:r>
        <w:rPr>
          <w:rFonts w:ascii="Arial" w:hAnsi="Arial" w:cs="Arial" w:eastAsia="Arial"/>
          <w:b/>
          <w:bCs/>
          <w:color w:val="1F2430"/>
          <w:sz w:val="19"/>
          <w:szCs w:val="19"/>
          <w:rtl/>
        </w:rPr>
        <w:t>ת</w:t>
      </w:r>
      <w:r>
        <w:rPr>
          <w:rFonts w:ascii="Arial" w:hAnsi="Arial" w:cs="Arial" w:eastAsia="Arial"/>
          <w:color w:val="1F2430"/>
          <w:sz w:val="19"/>
          <w:szCs w:val="19"/>
          <w:rtl/>
        </w:rPr>
        <w:t xml:space="preserve">יאום. </w:t>
      </w:r>
      <w:r>
        <w:rPr>
          <w:rFonts w:ascii="Arial" w:hAnsi="Arial" w:cs="Arial" w:eastAsia="Arial"/>
          <w:color w:val="1F2430"/>
          <w:sz w:val="19"/>
          <w:szCs w:val="19"/>
          <w:highlight w:val="yellow"/>
          <w:rtl/>
        </w:rPr>
        <w:t>עד ארבע</w:t>
      </w:r>
      <w:r>
        <w:rPr>
          <w:rFonts w:ascii="Arial" w:hAnsi="Arial" w:cs="Arial" w:eastAsia="Arial"/>
          <w:color w:val="1F2430"/>
          <w:sz w:val="19"/>
          <w:szCs w:val="19"/>
          <w:rtl/>
        </w:rPr>
        <w:t xml:space="preserve"> פגישות, והיחידה רשאית לקיים פחות.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התייצבות אישית:</w:t>
      </w:r>
      <w:r>
        <w:rPr>
          <w:rFonts w:ascii="Arial" w:hAnsi="Arial" w:cs="Arial" w:eastAsia="Arial"/>
          <w:color w:val="1F2430"/>
          <w:sz w:val="19"/>
          <w:szCs w:val="19"/>
          <w:rtl/>
        </w:rPr>
        <w:t xml:space="preserve"> ההזמנה היא כהזמנה לדיון, ולכן </w:t>
      </w:r>
      <w:r>
        <w:rPr>
          <w:rFonts w:ascii="Arial" w:hAnsi="Arial" w:cs="Arial" w:eastAsia="Arial"/>
          <w:color w:val="1F2430"/>
          <w:sz w:val="19"/>
          <w:szCs w:val="19"/>
          <w:highlight w:val="yellow"/>
          <w:rtl/>
        </w:rPr>
        <w:t>אי אפשר לשלוח עורך דין במקום הצד</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מטרה:</w:t>
      </w:r>
      <w:r>
        <w:rPr>
          <w:rFonts w:ascii="Arial" w:hAnsi="Arial" w:cs="Arial" w:eastAsia="Arial"/>
          <w:color w:val="1F2430"/>
          <w:sz w:val="19"/>
          <w:szCs w:val="19"/>
          <w:rtl/>
        </w:rPr>
        <w:t xml:space="preserve"> גורם מטפל שירכך ויסביר, ובדיקת פוטנציאל ההידברות לפני התביעות.</w:t>
      </w:r>
    </w:p>
    <w:p>
      <w:pPr>
        <w:bidi/>
        <w:spacing w:before="0" w:after="100" w:line="300" w:lineRule="auto"/>
        <w:jc w:val="both"/>
      </w:pPr>
      <w:r>
        <w:rPr>
          <w:rFonts w:ascii="Arial" w:hAnsi="Arial" w:cs="Arial" w:eastAsia="Arial"/>
          <w:b/>
          <w:bCs/>
          <w:color w:val="1F2430"/>
          <w:sz w:val="19"/>
          <w:szCs w:val="19"/>
          <w:rtl/>
        </w:rPr>
        <w:t>עורכי דין בפגישות, לפי התקנות: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תקנות להסדר התדיינויות, תקנה 5(ב)–(ג)</w:t>
            </w:r>
          </w:p>
          <w:p>
            <w:pPr>
              <w:bidi/>
              <w:spacing w:before="0" w:after="60" w:line="300" w:lineRule="auto"/>
              <w:jc w:val="both"/>
            </w:pPr>
            <w:r>
              <w:rPr>
                <w:rFonts w:ascii="Arial" w:hAnsi="Arial" w:cs="Arial" w:eastAsia="Arial"/>
                <w:color w:val="1F2430"/>
                <w:sz w:val="18"/>
                <w:szCs w:val="18"/>
                <w:rtl/>
              </w:rPr>
              <w:t>(ב) "</w:t>
            </w:r>
            <w:r>
              <w:rPr>
                <w:rFonts w:ascii="Arial" w:hAnsi="Arial" w:cs="Arial" w:eastAsia="Arial"/>
                <w:color w:val="1F2430"/>
                <w:sz w:val="18"/>
                <w:szCs w:val="18"/>
                <w:highlight w:val="yellow"/>
                <w:rtl/>
              </w:rPr>
              <w:t>הפגישה הראשונה</w:t>
            </w:r>
            <w:r>
              <w:rPr>
                <w:rFonts w:ascii="Arial" w:hAnsi="Arial" w:cs="Arial" w:eastAsia="Arial"/>
                <w:color w:val="1F2430"/>
                <w:sz w:val="18"/>
                <w:szCs w:val="18"/>
                <w:rtl/>
              </w:rPr>
              <w:t xml:space="preserve"> תיועד להיכרות עם הצדדים ולהערכת הסכסוך... ו</w:t>
            </w:r>
            <w:r>
              <w:rPr>
                <w:rFonts w:ascii="Arial" w:hAnsi="Arial" w:cs="Arial" w:eastAsia="Arial"/>
                <w:color w:val="1F2430"/>
                <w:sz w:val="18"/>
                <w:szCs w:val="18"/>
                <w:highlight w:val="yellow"/>
                <w:rtl/>
              </w:rPr>
              <w:t>הצדדים יתייצבו בה לבדם</w:t>
            </w:r>
            <w:r>
              <w:rPr>
                <w:rFonts w:ascii="Arial" w:hAnsi="Arial" w:cs="Arial" w:eastAsia="Arial"/>
                <w:color w:val="1F2430"/>
                <w:sz w:val="18"/>
                <w:szCs w:val="18"/>
                <w:rtl/>
              </w:rPr>
              <w:t xml:space="preserve">; בפגישה זו </w:t>
            </w:r>
            <w:r>
              <w:rPr>
                <w:rFonts w:ascii="Arial" w:hAnsi="Arial" w:cs="Arial" w:eastAsia="Arial"/>
                <w:color w:val="1F2430"/>
                <w:sz w:val="18"/>
                <w:szCs w:val="18"/>
                <w:highlight w:val="yellow"/>
                <w:rtl/>
              </w:rPr>
              <w:t>לא ייעשה ניסיון ליישוב הסכסוך המשפטי</w:t>
            </w:r>
            <w:r>
              <w:rPr>
                <w:rFonts w:ascii="Arial" w:hAnsi="Arial" w:cs="Arial" w:eastAsia="Arial"/>
                <w:color w:val="1F2430"/>
                <w:sz w:val="18"/>
                <w:szCs w:val="18"/>
                <w:rtl/>
              </w:rPr>
              <w:t xml:space="preserve">, למעט ניסיון להגיע להסכמה בעניין הסדרים זמניים... אם הצדדים מעוניינים בכך ולאחר שניתנה להם הזדמנות להתייעץ עם באי כוחם." (ג) "...יחידת הסיוע </w:t>
            </w:r>
            <w:r>
              <w:rPr>
                <w:rFonts w:ascii="Arial" w:hAnsi="Arial" w:cs="Arial" w:eastAsia="Arial"/>
                <w:color w:val="1F2430"/>
                <w:sz w:val="18"/>
                <w:szCs w:val="18"/>
                <w:highlight w:val="yellow"/>
                <w:rtl/>
              </w:rPr>
              <w:t>תחליט על אופייה של כל אחת מהפגישות</w:t>
            </w:r>
            <w:r>
              <w:rPr>
                <w:rFonts w:ascii="Arial" w:hAnsi="Arial" w:cs="Arial" w:eastAsia="Arial"/>
                <w:color w:val="1F2430"/>
                <w:sz w:val="18"/>
                <w:szCs w:val="18"/>
                <w:rtl/>
              </w:rPr>
              <w:t xml:space="preserve">...; יועדה פגישה אחת או יותר... לנסות לסייע לצדדים ליישב את הסכסוך המשפטי ביניהם כולו או מקצתו, </w:t>
            </w:r>
            <w:r>
              <w:rPr>
                <w:rFonts w:ascii="Arial" w:hAnsi="Arial" w:cs="Arial" w:eastAsia="Arial"/>
                <w:color w:val="1F2430"/>
                <w:sz w:val="18"/>
                <w:szCs w:val="18"/>
                <w:highlight w:val="yellow"/>
                <w:rtl/>
              </w:rPr>
              <w:t>יהיו הצדדים רשאים לצרף לישיבה כאמור את באי כוחם</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השורה התחתונה:</w:t>
      </w:r>
      <w:r>
        <w:rPr>
          <w:rFonts w:ascii="Arial" w:hAnsi="Arial" w:cs="Arial" w:eastAsia="Arial"/>
          <w:color w:val="1F2430"/>
          <w:sz w:val="19"/>
          <w:szCs w:val="19"/>
          <w:rtl/>
        </w:rPr>
        <w:t xml:space="preserve"> לפגישה הראשונה </w:t>
      </w:r>
      <w:r>
        <w:rPr>
          <w:rFonts w:ascii="Arial" w:hAnsi="Arial" w:cs="Arial" w:eastAsia="Arial"/>
          <w:color w:val="1F2430"/>
          <w:sz w:val="19"/>
          <w:szCs w:val="19"/>
          <w:highlight w:val="yellow"/>
          <w:rtl/>
        </w:rPr>
        <w:t>מגיעים לבד</w:t>
      </w:r>
      <w:r>
        <w:rPr>
          <w:rFonts w:ascii="Arial" w:hAnsi="Arial" w:cs="Arial" w:eastAsia="Arial"/>
          <w:color w:val="1F2430"/>
          <w:sz w:val="19"/>
          <w:szCs w:val="19"/>
          <w:rtl/>
        </w:rPr>
        <w:t xml:space="preserve">, מחשש שעורכי הדין "יתקעו" את התהליך (במקור רצו שכל הפגישות יהיו בלי עורכי דין). </w:t>
      </w:r>
      <w:r>
        <w:rPr>
          <w:rFonts w:ascii="Arial" w:hAnsi="Arial" w:cs="Arial" w:eastAsia="Arial"/>
          <w:color w:val="1F2430"/>
          <w:sz w:val="19"/>
          <w:szCs w:val="19"/>
          <w:highlight w:val="yellow"/>
          <w:rtl/>
        </w:rPr>
        <w:t>מהפגישה השנייה</w:t>
      </w:r>
      <w:r>
        <w:rPr>
          <w:rFonts w:ascii="Arial" w:hAnsi="Arial" w:cs="Arial" w:eastAsia="Arial"/>
          <w:color w:val="1F2430"/>
          <w:sz w:val="19"/>
          <w:szCs w:val="19"/>
          <w:rtl/>
        </w:rPr>
        <w:t xml:space="preserve"> אפשר לצרף עורך דין, </w:t>
      </w:r>
      <w:r>
        <w:rPr>
          <w:rFonts w:ascii="Arial" w:hAnsi="Arial" w:cs="Arial" w:eastAsia="Arial"/>
          <w:color w:val="1F2430"/>
          <w:sz w:val="19"/>
          <w:szCs w:val="19"/>
          <w:highlight w:val="yellow"/>
          <w:rtl/>
        </w:rPr>
        <w:t>רק לפגישה שיועדה ליישוב הסכסוך המשפטי</w:t>
      </w:r>
      <w:r>
        <w:rPr>
          <w:rFonts w:ascii="Arial" w:hAnsi="Arial" w:cs="Arial" w:eastAsia="Arial"/>
          <w:color w:val="1F2430"/>
          <w:sz w:val="19"/>
          <w:szCs w:val="19"/>
          <w:rtl/>
        </w:rPr>
        <w:t>. לפגישה טיפולית עורכי הדין לא מגיעים.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תקנות להסדר התדיינויות, תקנה 7(א) – המלצה בסיום</w:t>
            </w:r>
          </w:p>
          <w:p>
            <w:pPr>
              <w:bidi/>
              <w:spacing w:before="0" w:after="60" w:line="300" w:lineRule="auto"/>
              <w:jc w:val="both"/>
            </w:pPr>
            <w:r>
              <w:rPr>
                <w:rFonts w:ascii="Arial" w:hAnsi="Arial" w:cs="Arial" w:eastAsia="Arial"/>
                <w:color w:val="1F2430"/>
                <w:sz w:val="18"/>
                <w:szCs w:val="18"/>
                <w:rtl/>
              </w:rPr>
              <w:t xml:space="preserve">"בתום ישיבת המהו"ת האחרונה, ועל בסיס היכרות יחידת הסיוע עם הצדדים... </w:t>
            </w:r>
            <w:r>
              <w:rPr>
                <w:rFonts w:ascii="Arial" w:hAnsi="Arial" w:cs="Arial" w:eastAsia="Arial"/>
                <w:color w:val="1F2430"/>
                <w:sz w:val="18"/>
                <w:szCs w:val="18"/>
                <w:highlight w:val="yellow"/>
                <w:rtl/>
              </w:rPr>
              <w:t>תמליץ יחידת הסיוע לצדדים בעניין ההליך המתאים</w:t>
            </w:r>
            <w:r>
              <w:rPr>
                <w:rFonts w:ascii="Arial" w:hAnsi="Arial" w:cs="Arial" w:eastAsia="Arial"/>
                <w:color w:val="1F2430"/>
                <w:sz w:val="18"/>
                <w:szCs w:val="18"/>
                <w:rtl/>
              </w:rPr>
              <w:t xml:space="preserve"> לדעתה ליישוב הסכסוך ביניהם ובכלל זה בדרך של </w:t>
            </w:r>
            <w:r>
              <w:rPr>
                <w:rFonts w:ascii="Arial" w:hAnsi="Arial" w:cs="Arial" w:eastAsia="Arial"/>
                <w:color w:val="1F2430"/>
                <w:sz w:val="18"/>
                <w:szCs w:val="18"/>
                <w:highlight w:val="yellow"/>
                <w:rtl/>
              </w:rPr>
              <w:t>ייעוץ, גישור, גירושין בשיתוף פעולה</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בסוף ההליך יש סיכוי טוב לגישור או לפנייה ליועץ, תוך הודעה לבית המשפט שההליך נמשך.</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שלב 3: תקופת עיכוב ההליכים (סעיף 3(ה))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להסדר התדיינויות, סעיף 3(ה)</w:t>
            </w:r>
          </w:p>
          <w:p>
            <w:pPr>
              <w:bidi/>
              <w:spacing w:before="0" w:after="60" w:line="300" w:lineRule="auto"/>
              <w:jc w:val="both"/>
            </w:pPr>
            <w:r>
              <w:rPr>
                <w:rFonts w:ascii="Arial" w:hAnsi="Arial" w:cs="Arial" w:eastAsia="Arial"/>
                <w:color w:val="1F2430"/>
                <w:sz w:val="18"/>
                <w:szCs w:val="18"/>
                <w:rtl/>
              </w:rPr>
              <w:t xml:space="preserve">"בתקופה של </w:t>
            </w:r>
            <w:r>
              <w:rPr>
                <w:rFonts w:ascii="Arial" w:hAnsi="Arial" w:cs="Arial" w:eastAsia="Arial"/>
                <w:color w:val="1F2430"/>
                <w:sz w:val="18"/>
                <w:szCs w:val="18"/>
                <w:highlight w:val="yellow"/>
                <w:rtl/>
              </w:rPr>
              <w:t>60 ימים</w:t>
            </w:r>
            <w:r>
              <w:rPr>
                <w:rFonts w:ascii="Arial" w:hAnsi="Arial" w:cs="Arial" w:eastAsia="Arial"/>
                <w:color w:val="1F2430"/>
                <w:sz w:val="18"/>
                <w:szCs w:val="18"/>
                <w:rtl/>
              </w:rPr>
              <w:t xml:space="preserve"> מיום הגשת בקשה ליישוב סכסוך, ואם התקופה הוארכה... – </w:t>
            </w:r>
            <w:r>
              <w:rPr>
                <w:rFonts w:ascii="Arial" w:hAnsi="Arial" w:cs="Arial" w:eastAsia="Arial"/>
                <w:color w:val="1F2430"/>
                <w:sz w:val="18"/>
                <w:szCs w:val="18"/>
                <w:highlight w:val="yellow"/>
                <w:rtl/>
              </w:rPr>
              <w:t>75 ימים</w:t>
            </w:r>
            <w:r>
              <w:rPr>
                <w:rFonts w:ascii="Arial" w:hAnsi="Arial" w:cs="Arial" w:eastAsia="Arial"/>
                <w:color w:val="1F2430"/>
                <w:sz w:val="18"/>
                <w:szCs w:val="18"/>
                <w:rtl/>
              </w:rPr>
              <w:t>, או בתקופה קצרה או ארוכה מזו אם החליטה על כך ערכאה שיפוטית לפי סעיף 5(א)(5)..., ו</w:t>
            </w:r>
            <w:r>
              <w:rPr>
                <w:rFonts w:ascii="Arial" w:hAnsi="Arial" w:cs="Arial" w:eastAsia="Arial"/>
                <w:color w:val="1F2430"/>
                <w:sz w:val="18"/>
                <w:szCs w:val="18"/>
                <w:highlight w:val="yellow"/>
                <w:rtl/>
              </w:rPr>
              <w:t>בכל תקופה נוספת שהצדדים הסכימו לה בכתב</w:t>
            </w:r>
            <w:r>
              <w:rPr>
                <w:rFonts w:ascii="Arial" w:hAnsi="Arial" w:cs="Arial" w:eastAsia="Arial"/>
                <w:color w:val="1F2430"/>
                <w:sz w:val="18"/>
                <w:szCs w:val="18"/>
                <w:rtl/>
              </w:rPr>
              <w:t xml:space="preserve">, לא יוכלו הצדדים להגיש תובענה בעניין של סכסוך משפחתי לכל ערכאה שיפוטית ולא תדון ערכאה שיפוטית בתובענה... </w:t>
            </w:r>
            <w:r>
              <w:rPr>
                <w:rFonts w:ascii="Arial" w:hAnsi="Arial" w:cs="Arial" w:eastAsia="Arial"/>
                <w:color w:val="1F2430"/>
                <w:sz w:val="18"/>
                <w:szCs w:val="18"/>
                <w:highlight w:val="yellow"/>
                <w:rtl/>
              </w:rPr>
              <w:t>לרבות בעניין סמכות השיפוט</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בתקופת העיכוב:</w:t>
      </w:r>
      <w:r>
        <w:rPr>
          <w:rFonts w:ascii="Arial" w:hAnsi="Arial" w:cs="Arial" w:eastAsia="Arial"/>
          <w:color w:val="1F2430"/>
          <w:sz w:val="19"/>
          <w:szCs w:val="19"/>
          <w:rtl/>
        </w:rPr>
        <w:t xml:space="preserve"> אסור להגיש תובענה </w:t>
      </w:r>
      <w:r>
        <w:rPr>
          <w:rFonts w:ascii="Arial" w:hAnsi="Arial" w:cs="Arial" w:eastAsia="Arial"/>
          <w:color w:val="1F2430"/>
          <w:sz w:val="19"/>
          <w:szCs w:val="19"/>
          <w:highlight w:val="yellow"/>
          <w:rtl/>
        </w:rPr>
        <w:t>לשום ערכאה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אף ערכאה לא תדון</w:t>
      </w:r>
      <w:r>
        <w:rPr>
          <w:rFonts w:ascii="Arial" w:hAnsi="Arial" w:cs="Arial" w:eastAsia="Arial"/>
          <w:color w:val="1F2430"/>
          <w:sz w:val="19"/>
          <w:szCs w:val="19"/>
          <w:rtl/>
        </w:rPr>
        <w:t xml:space="preserve"> בתובענה כזו, ו</w:t>
      </w:r>
      <w:r>
        <w:rPr>
          <w:rFonts w:ascii="Arial" w:hAnsi="Arial" w:cs="Arial" w:eastAsia="Arial"/>
          <w:color w:val="1F2430"/>
          <w:sz w:val="19"/>
          <w:szCs w:val="19"/>
          <w:highlight w:val="yellow"/>
          <w:rtl/>
        </w:rPr>
        <w:t>אפילו בשאלת הסמכות</w:t>
      </w:r>
      <w:r>
        <w:rPr>
          <w:rFonts w:ascii="Arial" w:hAnsi="Arial" w:cs="Arial" w:eastAsia="Arial"/>
          <w:color w:val="1F2430"/>
          <w:sz w:val="19"/>
          <w:szCs w:val="19"/>
          <w:rtl/>
        </w:rPr>
        <w:t xml:space="preserve"> לא דנים.</w:t>
      </w:r>
    </w:p>
    <w:p>
      <w:pPr>
        <w:bidi/>
        <w:spacing w:before="0" w:after="100" w:line="300" w:lineRule="auto"/>
        <w:jc w:val="both"/>
      </w:pPr>
      <w:r>
        <w:rPr>
          <w:rFonts w:ascii="Arial" w:hAnsi="Arial" w:cs="Arial" w:eastAsia="Arial"/>
          <w:b/>
          <w:bCs/>
          <w:color w:val="1F2430"/>
          <w:sz w:val="19"/>
          <w:szCs w:val="19"/>
          <w:rtl/>
        </w:rPr>
        <w:t>הנוסחה לזכירה:</w:t>
      </w:r>
    </w:p>
    <w:tbl>
      <w:tblPr>
        <w:tblW w:type="dxa" w:w="10206"/>
        <w:jc w:val="center"/>
        <w:tblLook w:firstColumn="1" w:firstRow="1" w:lastColumn="0" w:lastRow="0" w:noHBand="0" w:noVBand="1" w:val="04A0"/>
        <w:bidiVisual/>
        <w:tblLayout w:type="fixed"/>
      </w:tblPr>
      <w:tblGrid>
        <w:gridCol w:w="3011"/>
        <w:gridCol w:w="2509"/>
        <w:gridCol w:w="1338"/>
        <w:gridCol w:w="3346"/>
      </w:tblGrid>
      <w:tr>
        <w:trPr>
          <w:tblHeader/>
        </w:trPr>
        <w:tc>
          <w:tcPr>
            <w:tcW w:type="dxa" w:w="3011"/>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2509"/>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פגישות מהו"ת</w:t>
            </w:r>
          </w:p>
        </w:tc>
        <w:tc>
          <w:tcPr>
            <w:tcW w:type="dxa" w:w="133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"צינון"</w:t>
            </w:r>
          </w:p>
        </w:tc>
        <w:tc>
          <w:tcPr>
            <w:tcW w:type="dxa" w:w="3346"/>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סך הכול עיכוב הליכים</w:t>
            </w:r>
          </w:p>
        </w:tc>
      </w:tr>
      <w:tr>
        <w:trPr>
          <w:cantSplit/>
        </w:trPr>
        <w:tc>
          <w:tcPr>
            <w:tcW w:type="dxa" w:w="301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בלי הארכה</w:t>
            </w:r>
          </w:p>
        </w:tc>
        <w:tc>
          <w:tcPr>
            <w:tcW w:type="dxa" w:w="250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45 ימים</w:t>
            </w:r>
          </w:p>
        </w:tc>
        <w:tc>
          <w:tcPr>
            <w:tcW w:type="dxa" w:w="133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15 ימים</w:t>
            </w:r>
          </w:p>
        </w:tc>
        <w:tc>
          <w:tcPr>
            <w:tcW w:type="dxa" w:w="334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60 ימים</w:t>
            </w:r>
          </w:p>
        </w:tc>
      </w:tr>
      <w:tr>
        <w:trPr>
          <w:cantSplit/>
        </w:trPr>
        <w:tc>
          <w:tcPr>
            <w:tcW w:type="dxa" w:w="301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עם הארכה (פעם אחת)</w:t>
            </w:r>
          </w:p>
        </w:tc>
        <w:tc>
          <w:tcPr>
            <w:tcW w:type="dxa" w:w="250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60 ימים (45+15)</w:t>
            </w:r>
          </w:p>
        </w:tc>
        <w:tc>
          <w:tcPr>
            <w:tcW w:type="dxa" w:w="133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15 ימים</w:t>
            </w:r>
          </w:p>
        </w:tc>
        <w:tc>
          <w:tcPr>
            <w:tcW w:type="dxa" w:w="334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75 ימים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המונח בחוק הוא </w:t>
      </w:r>
      <w:r>
        <w:rPr>
          <w:rFonts w:ascii="Arial" w:hAnsi="Arial" w:cs="Arial" w:eastAsia="Arial"/>
          <w:color w:val="1F2430"/>
          <w:sz w:val="19"/>
          <w:szCs w:val="19"/>
          <w:highlight w:val="yellow"/>
          <w:rtl/>
        </w:rPr>
        <w:t>״תקופת עיכוב ההליכים"</w:t>
      </w:r>
      <w:r>
        <w:rPr>
          <w:rFonts w:ascii="Arial" w:hAnsi="Arial" w:cs="Arial" w:eastAsia="Arial"/>
          <w:color w:val="1F2430"/>
          <w:sz w:val="19"/>
          <w:szCs w:val="19"/>
          <w:rtl/>
        </w:rPr>
        <w:t xml:space="preserve">. "תקופת צינון" היא רק דרך נוחה לזכור את 15 הימים שנשארים אחרי סוף תקופת המהו"ת. התקופה יכולה גם להשתנות: ערכאה שיפוטית יכולה לקבוע תקופה </w:t>
      </w:r>
      <w:r>
        <w:rPr>
          <w:rFonts w:ascii="Arial" w:hAnsi="Arial" w:cs="Arial" w:eastAsia="Arial"/>
          <w:color w:val="1F2430"/>
          <w:sz w:val="19"/>
          <w:szCs w:val="19"/>
          <w:highlight w:val="yellow"/>
          <w:rtl/>
        </w:rPr>
        <w:t>קצרה או ארוכה יותר</w:t>
      </w:r>
      <w:r>
        <w:rPr>
          <w:rFonts w:ascii="Arial" w:hAnsi="Arial" w:cs="Arial" w:eastAsia="Arial"/>
          <w:color w:val="1F2430"/>
          <w:sz w:val="19"/>
          <w:szCs w:val="19"/>
          <w:rtl/>
        </w:rPr>
        <w:t xml:space="preserve"> לפי ס' 5(א)(5), והצדדים יכולים </w:t>
      </w:r>
      <w:r>
        <w:rPr>
          <w:rFonts w:ascii="Arial" w:hAnsi="Arial" w:cs="Arial" w:eastAsia="Arial"/>
          <w:color w:val="1F2430"/>
          <w:sz w:val="19"/>
          <w:szCs w:val="19"/>
          <w:highlight w:val="yellow"/>
          <w:rtl/>
        </w:rPr>
        <w:t>להסכים בכתב</w:t>
      </w:r>
      <w:r>
        <w:rPr>
          <w:rFonts w:ascii="Arial" w:hAnsi="Arial" w:cs="Arial" w:eastAsia="Arial"/>
          <w:color w:val="1F2430"/>
          <w:sz w:val="19"/>
          <w:szCs w:val="19"/>
          <w:rtl/>
        </w:rPr>
        <w:t xml:space="preserve"> על תקופה נוספת.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סעד זמני דחוף</w:t>
            </w:r>
          </w:p>
          <w:p>
            <w:pPr>
              <w:bidi/>
              <w:spacing w:before="0" w:after="60" w:line="300" w:lineRule="auto"/>
              <w:jc w:val="both"/>
            </w:pPr>
            <w:r>
              <w:rPr>
                <w:rFonts w:ascii="Arial" w:hAnsi="Arial" w:cs="Arial" w:eastAsia="Arial"/>
                <w:color w:val="1F2430"/>
                <w:sz w:val="18"/>
                <w:szCs w:val="18"/>
                <w:rtl/>
              </w:rPr>
              <w:t xml:space="preserve">"תובענה" כוללת גם בקשה לסעד זמני, ולכן בעיקרון גם היא מעוכבת. אבל לפי המקראה ותשובת הפרופ', </w:t>
            </w:r>
            <w:r>
              <w:rPr>
                <w:rFonts w:ascii="Arial" w:hAnsi="Arial" w:cs="Arial" w:eastAsia="Arial"/>
                <w:color w:val="1F2430"/>
                <w:sz w:val="18"/>
                <w:szCs w:val="18"/>
                <w:highlight w:val="yellow"/>
                <w:rtl/>
              </w:rPr>
              <w:t>בקשות דחופות</w:t>
            </w:r>
            <w:r>
              <w:rPr>
                <w:rFonts w:ascii="Arial" w:hAnsi="Arial" w:cs="Arial" w:eastAsia="Arial"/>
                <w:color w:val="1F2430"/>
                <w:sz w:val="18"/>
                <w:szCs w:val="18"/>
                <w:rtl/>
              </w:rPr>
              <w:t xml:space="preserve"> (כמו מזונות זמניים) אפשר להגיש </w:t>
            </w:r>
            <w:r>
              <w:rPr>
                <w:rFonts w:ascii="Arial" w:hAnsi="Arial" w:cs="Arial" w:eastAsia="Arial"/>
                <w:color w:val="1F2430"/>
                <w:sz w:val="18"/>
                <w:szCs w:val="18"/>
                <w:highlight w:val="yellow"/>
                <w:rtl/>
              </w:rPr>
              <w:t>גם לפני שחלפה תקופת העיכוב</w:t>
            </w:r>
            <w:r>
              <w:rPr>
                <w:rFonts w:ascii="Arial" w:hAnsi="Arial" w:cs="Arial" w:eastAsia="Arial"/>
                <w:color w:val="1F2430"/>
                <w:sz w:val="18"/>
                <w:szCs w:val="18"/>
                <w:rtl/>
              </w:rPr>
              <w:t>, בכפוף להוכחת דחיפות.</w:t>
            </w:r>
          </w:p>
        </w:tc>
      </w:tr>
    </w:tbl>
    <w:p>
      <w:pPr>
        <w:bidi/>
        <w:spacing w:after="0" w:before="0" w:line="120" w:lineRule="exact"/>
      </w:pPr>
      <w:r>
        <w:rPr>
          <w:sz w:val="2"/>
        </w:rPr>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שלב 4: זכות הקדימה (סעיף 4) ומירוץ הסמכויות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להסדר התדיינויות, סעיף 4 – הגשת תובענה</w:t>
            </w:r>
          </w:p>
          <w:p>
            <w:pPr>
              <w:bidi/>
              <w:spacing w:before="0" w:after="60" w:line="300" w:lineRule="auto"/>
              <w:jc w:val="both"/>
            </w:pPr>
            <w:r>
              <w:rPr>
                <w:rFonts w:ascii="Arial" w:hAnsi="Arial" w:cs="Arial" w:eastAsia="Arial"/>
                <w:color w:val="1F2430"/>
                <w:sz w:val="18"/>
                <w:szCs w:val="18"/>
                <w:rtl/>
              </w:rPr>
              <w:t xml:space="preserve">"חלפו התקופות כאמור בסעיף 3(ה), ולא הגיעו הצדדים להסדר מוסכם..., </w:t>
            </w:r>
            <w:r>
              <w:rPr>
                <w:rFonts w:ascii="Arial" w:hAnsi="Arial" w:cs="Arial" w:eastAsia="Arial"/>
                <w:color w:val="1F2430"/>
                <w:sz w:val="18"/>
                <w:szCs w:val="18"/>
                <w:highlight w:val="yellow"/>
                <w:rtl/>
              </w:rPr>
              <w:t>רשאי הצד שהגיש תחילה את הבקשה ליישוב הסכסוך, להגיש בתוך 15 ימים</w:t>
            </w:r>
            <w:r>
              <w:rPr>
                <w:rFonts w:ascii="Arial" w:hAnsi="Arial" w:cs="Arial" w:eastAsia="Arial"/>
                <w:color w:val="1F2430"/>
                <w:sz w:val="18"/>
                <w:szCs w:val="18"/>
                <w:rtl/>
              </w:rPr>
              <w:t xml:space="preserve">, תובענה... </w:t>
            </w:r>
            <w:r>
              <w:rPr>
                <w:rFonts w:ascii="Arial" w:hAnsi="Arial" w:cs="Arial" w:eastAsia="Arial"/>
                <w:color w:val="1F2430"/>
                <w:sz w:val="18"/>
                <w:szCs w:val="18"/>
                <w:highlight w:val="yellow"/>
                <w:rtl/>
              </w:rPr>
              <w:t>לכל ערכאה שיפוטית שלה סמכות לדון בעניין לפי דין</w:t>
            </w:r>
            <w:r>
              <w:rPr>
                <w:rFonts w:ascii="Arial" w:hAnsi="Arial" w:cs="Arial" w:eastAsia="Arial"/>
                <w:color w:val="1F2430"/>
                <w:sz w:val="18"/>
                <w:szCs w:val="18"/>
                <w:rtl/>
              </w:rPr>
              <w:t xml:space="preserve">; לא הגיש הצד האמור תובענה כאמור </w:t>
            </w:r>
            <w:r>
              <w:rPr>
                <w:rFonts w:ascii="Arial" w:hAnsi="Arial" w:cs="Arial" w:eastAsia="Arial"/>
                <w:color w:val="1F2430"/>
                <w:sz w:val="18"/>
                <w:szCs w:val="18"/>
                <w:highlight w:val="yellow"/>
                <w:rtl/>
              </w:rPr>
              <w:t>או שהגיש... רק לגבי חלק מהעניינים</w:t>
            </w:r>
            <w:r>
              <w:rPr>
                <w:rFonts w:ascii="Arial" w:hAnsi="Arial" w:cs="Arial" w:eastAsia="Arial"/>
                <w:color w:val="1F2430"/>
                <w:sz w:val="18"/>
                <w:szCs w:val="18"/>
                <w:rtl/>
              </w:rPr>
              <w:t xml:space="preserve">, רשאי הצד האחר להגיש... תובענה </w:t>
            </w:r>
            <w:r>
              <w:rPr>
                <w:rFonts w:ascii="Arial" w:hAnsi="Arial" w:cs="Arial" w:eastAsia="Arial"/>
                <w:color w:val="1F2430"/>
                <w:sz w:val="18"/>
                <w:szCs w:val="18"/>
                <w:highlight w:val="yellow"/>
                <w:rtl/>
              </w:rPr>
              <w:t>שלגביה לא הוגשה תובענה כאמור</w:t>
            </w:r>
            <w:r>
              <w:rPr>
                <w:rFonts w:ascii="Arial" w:hAnsi="Arial" w:cs="Arial" w:eastAsia="Arial"/>
                <w:color w:val="1F2430"/>
                <w:sz w:val="18"/>
                <w:szCs w:val="18"/>
                <w:rtl/>
              </w:rPr>
              <w:t>."</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מי ש</w:t>
      </w:r>
      <w:r>
        <w:rPr>
          <w:rFonts w:ascii="Arial" w:hAnsi="Arial" w:cs="Arial" w:eastAsia="Arial"/>
          <w:color w:val="1F2430"/>
          <w:sz w:val="19"/>
          <w:szCs w:val="19"/>
          <w:highlight w:val="yellow"/>
          <w:rtl/>
        </w:rPr>
        <w:t>הגיש ראשון את הבקשה ליישוב סכסוך</w:t>
      </w:r>
      <w:r>
        <w:rPr>
          <w:rFonts w:ascii="Arial" w:hAnsi="Arial" w:cs="Arial" w:eastAsia="Arial"/>
          <w:color w:val="1F2430"/>
          <w:sz w:val="19"/>
          <w:szCs w:val="19"/>
          <w:rtl/>
        </w:rPr>
        <w:t xml:space="preserve"> מקבל </w:t>
      </w:r>
      <w:r>
        <w:rPr>
          <w:rFonts w:ascii="Arial" w:hAnsi="Arial" w:cs="Arial" w:eastAsia="Arial"/>
          <w:color w:val="1F2430"/>
          <w:sz w:val="19"/>
          <w:szCs w:val="19"/>
          <w:highlight w:val="yellow"/>
          <w:rtl/>
        </w:rPr>
        <w:t>זכות קדימה של 15 ימים</w:t>
      </w:r>
      <w:r>
        <w:rPr>
          <w:rFonts w:ascii="Arial" w:hAnsi="Arial" w:cs="Arial" w:eastAsia="Arial"/>
          <w:color w:val="1F2430"/>
          <w:sz w:val="19"/>
          <w:szCs w:val="19"/>
          <w:rtl/>
        </w:rPr>
        <w:t xml:space="preserve"> מתום תקופת העיכוב. בזמן הזה הוא מגיש את תביעותיו </w:t>
      </w:r>
      <w:r>
        <w:rPr>
          <w:rFonts w:ascii="Arial" w:hAnsi="Arial" w:cs="Arial" w:eastAsia="Arial"/>
          <w:color w:val="1F2430"/>
          <w:sz w:val="19"/>
          <w:szCs w:val="19"/>
          <w:highlight w:val="yellow"/>
          <w:rtl/>
        </w:rPr>
        <w:t>ובוחר היכן לנהל אותן</w:t>
      </w:r>
      <w:r>
        <w:rPr>
          <w:rFonts w:ascii="Arial" w:hAnsi="Arial" w:cs="Arial" w:eastAsia="Arial"/>
          <w:color w:val="1F2430"/>
          <w:sz w:val="19"/>
          <w:szCs w:val="19"/>
          <w:rtl/>
        </w:rPr>
        <w:t>: מה לבית המשפט ומה, אם אפשר, לבית הדין. זה יתרון משמעותי במירוץ הסמכויות. בלשון המקראה: "הראשון שהגיש את הבקשה הוא הכריע את המרוץ".</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אם הראשון </w:t>
      </w:r>
      <w:r>
        <w:rPr>
          <w:rFonts w:ascii="Arial" w:hAnsi="Arial" w:cs="Arial" w:eastAsia="Arial"/>
          <w:color w:val="1F2430"/>
          <w:sz w:val="19"/>
          <w:szCs w:val="19"/>
          <w:highlight w:val="yellow"/>
          <w:rtl/>
        </w:rPr>
        <w:t>לא הגיש</w:t>
      </w:r>
      <w:r>
        <w:rPr>
          <w:rFonts w:ascii="Arial" w:hAnsi="Arial" w:cs="Arial" w:eastAsia="Arial"/>
          <w:color w:val="1F2430"/>
          <w:sz w:val="19"/>
          <w:szCs w:val="19"/>
          <w:rtl/>
        </w:rPr>
        <w:t xml:space="preserve">, או הגיש </w:t>
      </w:r>
      <w:r>
        <w:rPr>
          <w:rFonts w:ascii="Arial" w:hAnsi="Arial" w:cs="Arial" w:eastAsia="Arial"/>
          <w:color w:val="1F2430"/>
          <w:sz w:val="19"/>
          <w:szCs w:val="19"/>
          <w:highlight w:val="yellow"/>
          <w:rtl/>
        </w:rPr>
        <w:t>רק על חלק מהעניינים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הצד השני רשאי להגיש</w:t>
      </w:r>
      <w:r>
        <w:rPr>
          <w:rFonts w:ascii="Arial" w:hAnsi="Arial" w:cs="Arial" w:eastAsia="Arial"/>
          <w:color w:val="1F2430"/>
          <w:sz w:val="19"/>
          <w:szCs w:val="19"/>
          <w:rtl/>
        </w:rPr>
        <w:t xml:space="preserve"> בעניינים שלא הוגשו.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החוק לא ביטל את מירוץ הסמכויות, הוא רק הקדים אותו</w:t>
            </w:r>
          </w:p>
          <w:p>
            <w:pPr>
              <w:bidi/>
              <w:spacing w:before="0" w:after="60" w:line="300" w:lineRule="auto"/>
              <w:jc w:val="both"/>
            </w:pPr>
            <w:r>
              <w:rPr>
                <w:rFonts w:ascii="Arial" w:hAnsi="Arial" w:cs="Arial" w:eastAsia="Arial"/>
                <w:color w:val="1F2430"/>
                <w:sz w:val="18"/>
                <w:szCs w:val="18"/>
                <w:rtl/>
              </w:rPr>
              <w:t xml:space="preserve">החוק ניסה לרכך את מירוץ הסמכויות, אבל בפועל המירוץ </w:t>
            </w:r>
            <w:r>
              <w:rPr>
                <w:rFonts w:ascii="Arial" w:hAnsi="Arial" w:cs="Arial" w:eastAsia="Arial"/>
                <w:color w:val="1F2430"/>
                <w:sz w:val="18"/>
                <w:szCs w:val="18"/>
                <w:highlight w:val="yellow"/>
                <w:rtl/>
              </w:rPr>
              <w:t>עבר מהגשת התביעה להגשת הבקשה ליישוב סכסוך</w:t>
            </w:r>
            <w:r>
              <w:rPr>
                <w:rFonts w:ascii="Arial" w:hAnsi="Arial" w:cs="Arial" w:eastAsia="Arial"/>
                <w:color w:val="1F2430"/>
                <w:sz w:val="18"/>
                <w:szCs w:val="18"/>
                <w:rtl/>
              </w:rPr>
              <w:t>. מי שמגיש ראשון את הבקשה קונה זכות ראשונים להחליט היכן יוגשו התביעות אם היישוב נכשל. במקראה מוזכרות הצעות לצמצם את המירוץ, למשל הסכם בתחילת הדרך, נוסחה למזונות ילדים לצמצום הפער בין הערכאות, וצמצום ס' 3 לחוק השיפוט.</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יוסף וברכה (משאלות התרגול)</w:t>
            </w:r>
          </w:p>
          <w:p>
            <w:pPr>
              <w:bidi/>
              <w:spacing w:before="0" w:after="60" w:line="300" w:lineRule="auto"/>
              <w:jc w:val="both"/>
            </w:pPr>
            <w:r>
              <w:rPr>
                <w:rFonts w:ascii="Arial" w:hAnsi="Arial" w:cs="Arial" w:eastAsia="Arial"/>
                <w:color w:val="1F2430"/>
                <w:sz w:val="18"/>
                <w:szCs w:val="18"/>
                <w:rtl/>
              </w:rPr>
              <w:t xml:space="preserve">יוסף הגיש בקשה ליישוב סכסוך בבית המשפט לענייני משפחה נגד ברכה. כעבור שבועיים התייצבו בני הזוג לפגישת מהו"ת, הפגישה נכשלה, ותקופת העיכוב לא הוארכה. ביום ה-61 ברכה הגישה לבית המשפט תביעה למזונות אישה, ולמחרת יוסף הגיש לבית הדין תביעת גירושין וכרך בה את מזונות האישה. </w:t>
            </w:r>
            <w:r>
              <w:rPr>
                <w:rFonts w:ascii="Arial" w:hAnsi="Arial" w:cs="Arial" w:eastAsia="Arial"/>
                <w:b/>
                <w:bCs/>
                <w:color w:val="1F2430"/>
                <w:sz w:val="18"/>
                <w:szCs w:val="18"/>
                <w:rtl/>
              </w:rPr>
              <w:t>איזו תביעה תימחק?</w:t>
            </w:r>
            <w:r>
              <w:rPr>
                <w:rFonts w:ascii="Arial" w:hAnsi="Arial" w:cs="Arial" w:eastAsia="Arial"/>
                <w:color w:val="1F2430"/>
                <w:sz w:val="18"/>
                <w:szCs w:val="18"/>
                <w:rtl/>
              </w:rPr>
              <w:t xml:space="preserve"> </w:t>
            </w:r>
            <w:r>
              <w:rPr>
                <w:rFonts w:ascii="Arial" w:hAnsi="Arial" w:cs="Arial" w:eastAsia="Arial"/>
                <w:b/>
                <w:bCs/>
                <w:color w:val="1F2430"/>
                <w:sz w:val="18"/>
                <w:szCs w:val="18"/>
                <w:highlight w:val="yellow"/>
                <w:rtl/>
              </w:rPr>
              <w:t>בית המשפט לענייני משפחה ימחק את התביעה של ברכה</w:t>
            </w:r>
            <w:r>
              <w:rPr>
                <w:rFonts w:ascii="Arial" w:hAnsi="Arial" w:cs="Arial" w:eastAsia="Arial"/>
                <w:b/>
                <w:bCs/>
                <w:color w:val="1F2430"/>
                <w:sz w:val="18"/>
                <w:szCs w:val="18"/>
                <w:rtl/>
              </w:rPr>
              <w:t>, כי לא הייתה לה זכות להגיש במועד זה.</w:t>
            </w:r>
            <w:r>
              <w:rPr>
                <w:rFonts w:ascii="Arial" w:hAnsi="Arial" w:cs="Arial" w:eastAsia="Arial"/>
                <w:color w:val="1F2430"/>
                <w:sz w:val="18"/>
                <w:szCs w:val="18"/>
                <w:rtl/>
              </w:rPr>
              <w:t xml:space="preserve"> הימים 61–75 הם חלון הקדימה של יוסף, שהגיש ראשון את הבקשה.</w:t>
            </w:r>
          </w:p>
        </w:tc>
      </w:tr>
    </w:tbl>
    <w:p>
      <w:pPr>
        <w:bidi/>
        <w:spacing w:after="0" w:before="0" w:line="12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5.5 תקנות בית המשפט לענייני משפחה (סדרי דין), התשפ"א-2020: ריכוז</w:t>
      </w:r>
    </w:p>
    <w:tbl>
      <w:tblPr>
        <w:tblW w:type="dxa" w:w="10206"/>
        <w:jc w:val="center"/>
        <w:tblLook w:firstColumn="1" w:firstRow="1" w:lastColumn="0" w:lastRow="0" w:noHBand="0" w:noVBand="1" w:val="04A0"/>
        <w:bidiVisual/>
        <w:tblLayout w:type="fixed"/>
      </w:tblPr>
      <w:tblGrid>
        <w:gridCol w:w="1458"/>
        <w:gridCol w:w="8748"/>
      </w:tblGrid>
      <w:tr>
        <w:trPr>
          <w:tblHeader/>
        </w:trPr>
        <w:tc>
          <w:tcPr>
            <w:tcW w:type="dxa" w:w="145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תקנה</w:t>
            </w:r>
          </w:p>
        </w:tc>
        <w:tc>
          <w:tcPr>
            <w:tcW w:type="dxa" w:w="8747"/>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היא קובעת</w:t>
            </w:r>
          </w:p>
        </w:tc>
      </w:tr>
      <w:tr>
        <w:trPr>
          <w:cantSplit/>
        </w:trPr>
        <w:tc>
          <w:tcPr>
            <w:tcW w:type="dxa" w:w="145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תקנה 37</w:t>
            </w:r>
          </w:p>
        </w:tc>
        <w:tc>
          <w:tcPr>
            <w:tcW w:type="dxa" w:w="874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הפניה ליחידת הסיוע (אבחון, ייעוץ, גישור, טיפול) ועיכוב הליכים ל-30 יום</w:t>
            </w:r>
          </w:p>
        </w:tc>
      </w:tr>
      <w:tr>
        <w:trPr>
          <w:cantSplit/>
        </w:trPr>
        <w:tc>
          <w:tcPr>
            <w:tcW w:type="dxa" w:w="145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תקנה 43(א)</w:t>
            </w:r>
          </w:p>
        </w:tc>
        <w:tc>
          <w:tcPr>
            <w:tcW w:type="dxa" w:w="874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אישור או שינוי הסכם: הסבר לצדדים, בירור הבנה והסכמה חופשית, ובעניין קטין רק אם ההסכם לטובתו</w:t>
            </w:r>
          </w:p>
        </w:tc>
      </w:tr>
      <w:tr>
        <w:trPr>
          <w:cantSplit/>
        </w:trPr>
        <w:tc>
          <w:tcPr>
            <w:tcW w:type="dxa" w:w="145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תקנה 75</w:t>
            </w:r>
          </w:p>
        </w:tc>
        <w:tc>
          <w:tcPr>
            <w:tcW w:type="dxa" w:w="874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בקשה לאימוץ מוגשת לבית המשפט לענייני משפחה </w:t>
            </w:r>
            <w:r>
              <w:rPr>
                <w:rFonts w:ascii="Arial" w:hAnsi="Arial" w:cs="Arial" w:eastAsia="Arial"/>
                <w:color w:val="1F2430"/>
                <w:sz w:val="17"/>
                <w:szCs w:val="17"/>
                <w:highlight w:val="yellow"/>
                <w:rtl/>
              </w:rPr>
              <w:t>במקום מגורי המבקשים</w:t>
            </w:r>
            <w:r>
              <w:rPr>
                <w:rFonts w:ascii="Arial" w:hAnsi="Arial" w:cs="Arial" w:eastAsia="Arial"/>
                <w:color w:val="1F2430"/>
                <w:sz w:val="17"/>
                <w:szCs w:val="17"/>
                <w:rtl/>
              </w:rPr>
              <w:t xml:space="preserve"> (המאמצים), ולא במקום מגורי הקטין. בשאלת הלשכה (2020): זוג מתל אביב שמבקש לאמץ קטין מירושלים מגיש בתל אביב</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שמיעת ילד.</w:t>
      </w:r>
      <w:r>
        <w:rPr>
          <w:rFonts w:ascii="Arial" w:hAnsi="Arial" w:cs="Arial" w:eastAsia="Arial"/>
          <w:color w:val="1F2430"/>
          <w:sz w:val="19"/>
          <w:szCs w:val="19"/>
          <w:rtl/>
        </w:rPr>
        <w:t xml:space="preserve"> משאלות התרגול עולים העקרונות הבאים לגבי תובענה הנוגעת לילד לפי חוק הכשרות: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בית המשפט ישמע ילד </w:t>
      </w:r>
      <w:r>
        <w:rPr>
          <w:rFonts w:ascii="Arial" w:hAnsi="Arial" w:cs="Arial" w:eastAsia="Arial"/>
          <w:color w:val="1F2430"/>
          <w:sz w:val="19"/>
          <w:szCs w:val="19"/>
          <w:highlight w:val="yellow"/>
          <w:rtl/>
        </w:rPr>
        <w:t>שגילו מעל שש</w:t>
      </w:r>
      <w:r>
        <w:rPr>
          <w:rFonts w:ascii="Arial" w:hAnsi="Arial" w:cs="Arial" w:eastAsia="Arial"/>
          <w:color w:val="1F2430"/>
          <w:sz w:val="19"/>
          <w:szCs w:val="19"/>
          <w:rtl/>
        </w:rPr>
        <w:t>, וגם ילד צעיר יותר אם ראה לנכון.</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בית המשפט רשאי להחליט מטעמים מיוחדים שיירשמו שלא לשמוע את הילד, אם הפגיעה בו מהשמעת עמדתו עולה על התועלת.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אם הילד בחר להשמיע את דבריו בפני שופט, השופט רשאי לשמוע אותו </w:t>
      </w:r>
      <w:r>
        <w:rPr>
          <w:rFonts w:ascii="Arial" w:hAnsi="Arial" w:cs="Arial" w:eastAsia="Arial"/>
          <w:color w:val="1F2430"/>
          <w:sz w:val="19"/>
          <w:szCs w:val="19"/>
          <w:highlight w:val="yellow"/>
          <w:rtl/>
        </w:rPr>
        <w:t>בנוכחות עובד יחידת הסיוע</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ההחלטה על מתן הזדמנות לשמיעת הילד </w:t>
      </w:r>
      <w:r>
        <w:rPr>
          <w:rFonts w:ascii="Arial" w:hAnsi="Arial" w:cs="Arial" w:eastAsia="Arial"/>
          <w:color w:val="1F2430"/>
          <w:sz w:val="19"/>
          <w:szCs w:val="19"/>
          <w:highlight w:val="yellow"/>
          <w:rtl/>
        </w:rPr>
        <w:t>אינה מוגבלת לשלב המוקדם של ההליך בלבד</w:t>
      </w:r>
      <w:r>
        <w:rPr>
          <w:rFonts w:ascii="Arial" w:hAnsi="Arial" w:cs="Arial" w:eastAsia="Arial"/>
          <w:color w:val="1F2430"/>
          <w:sz w:val="19"/>
          <w:szCs w:val="19"/>
          <w:rtl/>
        </w:rPr>
        <w:t>. היגד שקובע שהיא תינתן רק בשלב המוקדם ולא בשלב אחר הוא ההיגד השגוי בשאלת התרגול.</w:t>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5.6 ביצוע פסק דין של בית המשפט לענייני משפחה (סעיף 7): שאלה ממבחן הלשכה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ראובן ושרה (מבחן לשכת עורכי הדין, 29/06/2021, שאלה 20)</w:t>
            </w:r>
          </w:p>
          <w:p>
            <w:pPr>
              <w:bidi/>
              <w:spacing w:before="0" w:after="60" w:line="300" w:lineRule="auto"/>
              <w:jc w:val="both"/>
            </w:pPr>
            <w:r>
              <w:rPr>
                <w:rFonts w:ascii="Arial" w:hAnsi="Arial" w:cs="Arial" w:eastAsia="Arial"/>
                <w:color w:val="1F2430"/>
                <w:sz w:val="18"/>
                <w:szCs w:val="18"/>
                <w:rtl/>
              </w:rPr>
              <w:t xml:space="preserve">ראובן ושרה התגרשו. התובענה לאיזון משאבים התנהלה בבית המשפט לענייני משפחה, ונקבע שראובן יעביר לשרה 200,000 ש"ח. ראובן לא מקיים את חלקו. </w:t>
            </w:r>
            <w:r>
              <w:rPr>
                <w:rFonts w:ascii="Arial" w:hAnsi="Arial" w:cs="Arial" w:eastAsia="Arial"/>
                <w:b/>
                <w:bCs/>
                <w:color w:val="1F2430"/>
                <w:sz w:val="18"/>
                <w:szCs w:val="18"/>
                <w:rtl/>
              </w:rPr>
              <w:t>מה הדרך הנכונה העומדת לרשות שרה?</w:t>
            </w:r>
            <w:r>
              <w:rPr>
                <w:rFonts w:ascii="Arial" w:hAnsi="Arial" w:cs="Arial" w:eastAsia="Arial"/>
                <w:color w:val="1F2430"/>
                <w:sz w:val="18"/>
                <w:szCs w:val="18"/>
                <w:rtl/>
              </w:rPr>
              <w:t xml:space="preserve"> </w:t>
            </w:r>
            <w:r>
              <w:rPr>
                <w:rFonts w:ascii="Arial" w:hAnsi="Arial" w:cs="Arial" w:eastAsia="Arial"/>
                <w:b/>
                <w:bCs/>
                <w:color w:val="1F2430"/>
                <w:sz w:val="18"/>
                <w:szCs w:val="18"/>
                <w:rtl/>
              </w:rPr>
              <w:t xml:space="preserve">התשובה לפי מפתח הלשכה: </w:t>
            </w:r>
            <w:r>
              <w:rPr>
                <w:rFonts w:ascii="Arial" w:hAnsi="Arial" w:cs="Arial" w:eastAsia="Arial"/>
                <w:b/>
                <w:bCs/>
                <w:color w:val="1F2430"/>
                <w:sz w:val="18"/>
                <w:szCs w:val="18"/>
                <w:highlight w:val="yellow"/>
                <w:rtl/>
              </w:rPr>
              <w:t>פתיחת הליך לביצוע פסק הדין בבית המשפט לענייני משפחה</w:t>
            </w:r>
            <w:r>
              <w:rPr>
                <w:rFonts w:ascii="Arial" w:hAnsi="Arial" w:cs="Arial" w:eastAsia="Arial"/>
                <w:color w:val="1F2430"/>
                <w:sz w:val="18"/>
                <w:szCs w:val="18"/>
                <w:rtl/>
              </w:rPr>
              <w:t>, בהפניה ל</w:t>
            </w:r>
            <w:r>
              <w:rPr>
                <w:rFonts w:ascii="Arial" w:hAnsi="Arial" w:cs="Arial" w:eastAsia="Arial"/>
                <w:color w:val="1F2430"/>
                <w:sz w:val="18"/>
                <w:szCs w:val="18"/>
                <w:highlight w:val="yellow"/>
                <w:rtl/>
              </w:rPr>
              <w:t>סעיף 7 לחוק בית המשפט לענייני משפחה</w:t>
            </w:r>
            <w:r>
              <w:rPr>
                <w:rFonts w:ascii="Arial" w:hAnsi="Arial" w:cs="Arial" w:eastAsia="Arial"/>
                <w:color w:val="1F2430"/>
                <w:sz w:val="18"/>
                <w:szCs w:val="18"/>
                <w:rtl/>
              </w:rPr>
              <w:t xml:space="preserve">. </w:t>
            </w:r>
            <w:r>
              <w:rPr>
                <w:rFonts w:ascii="Arial" w:hAnsi="Arial" w:cs="Arial" w:eastAsia="Arial"/>
                <w:b/>
                <w:bCs/>
                <w:color w:val="1F2430"/>
                <w:sz w:val="18"/>
                <w:szCs w:val="18"/>
                <w:rtl/>
              </w:rPr>
              <w:t>מסיחים שנפסלו:</w:t>
            </w:r>
            <w:r>
              <w:rPr>
                <w:rFonts w:ascii="Arial" w:hAnsi="Arial" w:cs="Arial" w:eastAsia="Arial"/>
                <w:color w:val="1F2430"/>
                <w:sz w:val="18"/>
                <w:szCs w:val="18"/>
                <w:rtl/>
              </w:rPr>
              <w:t xml:space="preserve"> פתיחת הליך בלשכת ההוצאה לפועל "בלי צורך באישור בית המשפט"; הגשת תביעה חדשה בגין אי-קיום פסק הדין (מיותר, כי כבר יש פסק דין); פתיחת הליך מכוח פקודת בזיון בית משפט בבית משפט השלום.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שימו לב</w:t>
            </w:r>
          </w:p>
          <w:p>
            <w:pPr>
              <w:bidi/>
              <w:spacing w:before="0" w:after="60" w:line="300" w:lineRule="auto"/>
              <w:jc w:val="both"/>
            </w:pPr>
            <w:r>
              <w:rPr>
                <w:rFonts w:ascii="Arial" w:hAnsi="Arial" w:cs="Arial" w:eastAsia="Arial"/>
                <w:color w:val="1F2430"/>
                <w:sz w:val="18"/>
                <w:szCs w:val="18"/>
                <w:rtl/>
              </w:rPr>
              <w:t xml:space="preserve">נוסח סעיף 7 עצמו אינו מופיע בחומרי הקורס, ולכן זכרו את התוצאה: </w:t>
            </w:r>
            <w:r>
              <w:rPr>
                <w:rFonts w:ascii="Arial" w:hAnsi="Arial" w:cs="Arial" w:eastAsia="Arial"/>
                <w:color w:val="1F2430"/>
                <w:sz w:val="18"/>
                <w:szCs w:val="18"/>
                <w:highlight w:val="yellow"/>
                <w:rtl/>
              </w:rPr>
              <w:t>הליך לביצוע פסק הדין של בית המשפט לענייני משפחה</w:t>
            </w:r>
            <w:r>
              <w:rPr>
                <w:rFonts w:ascii="Arial" w:hAnsi="Arial" w:cs="Arial" w:eastAsia="Arial"/>
                <w:color w:val="1F2430"/>
                <w:sz w:val="18"/>
                <w:szCs w:val="18"/>
                <w:rtl/>
              </w:rPr>
              <w:t xml:space="preserve"> (ס' 7), ולא תביעה חדשה או בזיון בשלום. לפי חוק ההסדר, אכיפה וביצוע של החלטה שיפוטית </w:t>
            </w:r>
            <w:r>
              <w:rPr>
                <w:rFonts w:ascii="Arial" w:hAnsi="Arial" w:cs="Arial" w:eastAsia="Arial"/>
                <w:color w:val="1F2430"/>
                <w:sz w:val="18"/>
                <w:szCs w:val="18"/>
                <w:highlight w:val="yellow"/>
                <w:rtl/>
              </w:rPr>
              <w:t>אינם "תובענה"</w:t>
            </w:r>
            <w:r>
              <w:rPr>
                <w:rFonts w:ascii="Arial" w:hAnsi="Arial" w:cs="Arial" w:eastAsia="Arial"/>
                <w:color w:val="1F2430"/>
                <w:sz w:val="18"/>
                <w:szCs w:val="18"/>
                <w:rtl/>
              </w:rPr>
              <w:t>, ולכן אין צורך בבקשה ליישוב סכסוך.</w:t>
            </w:r>
          </w:p>
        </w:tc>
      </w:tr>
    </w:tbl>
    <w:p>
      <w:pPr>
        <w:bidi/>
        <w:spacing w:after="0" w:before="0" w:line="12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מלכודות נפוצות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"מטרת חוק ההסדר היא שלום בית": לא נכון. המטרה היא יישוב בהסכמה ובדרכי שלום.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"חייבים ארבע פגישות מהו"ת": לא נכון. עד ארבע.</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"אפשר לשלוח עורך דין לפגישה הראשונה": לא נכון. מתייצבים לבד. מהשנייה אפשר עורך דין רק לפגישה שיועדה ליישוב המשפטי.</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"60 ימים הם תקופת המהו"ת": לא נכון. המהו"ת 45 (או 60 בהארכה), והעיכוב 60 (או 75).</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"זכות הקדימה ניתנת למי שהגיש ראשון תביעה": לא נכון. היא ניתנת למי שהגיש ראשון </w:t>
      </w:r>
      <w:r>
        <w:rPr>
          <w:rFonts w:ascii="Arial" w:hAnsi="Arial" w:cs="Arial" w:eastAsia="Arial"/>
          <w:color w:val="1F2430"/>
          <w:sz w:val="19"/>
          <w:szCs w:val="19"/>
          <w:highlight w:val="yellow"/>
          <w:rtl/>
        </w:rPr>
        <w:t>בקשה ליישוב סכסוך</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"אישור הסכם, ערעור או אכיפה מחייבים יישוב סכסוך": לא נכון. הם אינם "תובענה". גם גירושין ואבהות בהסכמה הוחרגו.</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"סבא ונכד חייבים יישוב סכסוך": לא נכון. החוק חל רק על בני זוג, הורים, והורים וילדיהם (כולל צעיר עד 21).</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"בית המשפט בדרגת מחוזי": לא נכון. בדרגת שלום.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"סעיף 8 גובר גם על חסיונות": לא נכון.</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"אישור הסכם הוא פסק דין": לא נכון. רק מתן תוקף של פסק דין מאפשר הוצאה לפועל.</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"יותר גורמים לבר-משפחתיים, יותר סכסוך משפחתי": לא נכון, ההפך (חבס).</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"הדיון פומבי אלא אם הוחלט אחרת": לא נכון. ברירת המחדל היא דלתיים סגורות.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 לפרק 5</w:t>
            </w:r>
          </w:p>
          <w:p>
            <w:pPr>
              <w:bidi/>
              <w:spacing w:before="0" w:after="60" w:line="300" w:lineRule="auto"/>
              <w:jc w:val="both"/>
            </w:pPr>
            <w:r>
              <w:rPr>
                <w:rFonts w:ascii="Arial" w:hAnsi="Arial" w:cs="Arial" w:eastAsia="Arial"/>
                <w:b/>
                <w:bCs/>
                <w:color w:val="1F2430"/>
                <w:sz w:val="18"/>
                <w:szCs w:val="18"/>
                <w:rtl/>
              </w:rPr>
              <w:t>בית המשפט לענייני משפחה</w:t>
            </w:r>
            <w:r>
              <w:rPr>
                <w:rFonts w:ascii="Arial" w:hAnsi="Arial" w:cs="Arial" w:eastAsia="Arial"/>
                <w:color w:val="1F2430"/>
                <w:sz w:val="18"/>
                <w:szCs w:val="18"/>
                <w:rtl/>
              </w:rPr>
              <w:t xml:space="preserve"> הוקם ב-1995 (ועדת שינבוים) כדי לרכז את ענייני המשפחה אצל שופט אחד. הוא בדרגת </w:t>
            </w:r>
            <w:r>
              <w:rPr>
                <w:rFonts w:ascii="Arial" w:hAnsi="Arial" w:cs="Arial" w:eastAsia="Arial"/>
                <w:b/>
                <w:bCs/>
                <w:color w:val="1F2430"/>
                <w:sz w:val="18"/>
                <w:szCs w:val="18"/>
                <w:rtl/>
              </w:rPr>
              <w:t>שלום</w:t>
            </w:r>
            <w:r>
              <w:rPr>
                <w:rFonts w:ascii="Arial" w:hAnsi="Arial" w:cs="Arial" w:eastAsia="Arial"/>
                <w:color w:val="1F2430"/>
                <w:sz w:val="18"/>
                <w:szCs w:val="18"/>
                <w:rtl/>
              </w:rPr>
              <w:t xml:space="preserve"> (ערעור בזכות למחוזי, ברשות לעליון), בלי חלוקה לפי סכום. הוא מוסמך לפי </w:t>
            </w:r>
            <w:r>
              <w:rPr>
                <w:rFonts w:ascii="Arial" w:hAnsi="Arial" w:cs="Arial" w:eastAsia="Arial"/>
                <w:b/>
                <w:bCs/>
                <w:color w:val="1F2430"/>
                <w:sz w:val="18"/>
                <w:szCs w:val="18"/>
                <w:rtl/>
              </w:rPr>
              <w:t>ס' 3(א)</w:t>
            </w:r>
            <w:r>
              <w:rPr>
                <w:rFonts w:ascii="Arial" w:hAnsi="Arial" w:cs="Arial" w:eastAsia="Arial"/>
                <w:color w:val="1F2430"/>
                <w:sz w:val="18"/>
                <w:szCs w:val="18"/>
                <w:rtl/>
              </w:rPr>
              <w:t xml:space="preserve"> ב"ענייני משפחה" של </w:t>
            </w:r>
            <w:r>
              <w:rPr>
                <w:rFonts w:ascii="Arial" w:hAnsi="Arial" w:cs="Arial" w:eastAsia="Arial"/>
                <w:b/>
                <w:bCs/>
                <w:color w:val="1F2430"/>
                <w:sz w:val="18"/>
                <w:szCs w:val="18"/>
                <w:rtl/>
              </w:rPr>
              <w:t>ס' 1</w:t>
            </w:r>
            <w:r>
              <w:rPr>
                <w:rFonts w:ascii="Arial" w:hAnsi="Arial" w:cs="Arial" w:eastAsia="Arial"/>
                <w:color w:val="1F2430"/>
                <w:sz w:val="18"/>
                <w:szCs w:val="18"/>
                <w:rtl/>
              </w:rPr>
              <w:t xml:space="preserve">: מעמד אישי, תובענה אזרחית בין "בני משפחה" שעילתה סכסוך בתוך המשפחה (חבס), מזונות, אבהות, חוק הכשרות וחוק יחסי ממון. אין בו כריכה, והוא בעל הסמכות השיורית. </w:t>
            </w:r>
            <w:r>
              <w:rPr>
                <w:rFonts w:ascii="Arial" w:hAnsi="Arial" w:cs="Arial" w:eastAsia="Arial"/>
                <w:b/>
                <w:bCs/>
                <w:color w:val="1F2430"/>
                <w:sz w:val="18"/>
                <w:szCs w:val="18"/>
                <w:rtl/>
              </w:rPr>
              <w:t>שישה מאפיינים:</w:t>
            </w:r>
            <w:r>
              <w:rPr>
                <w:rFonts w:ascii="Arial" w:hAnsi="Arial" w:cs="Arial" w:eastAsia="Arial"/>
                <w:color w:val="1F2430"/>
                <w:sz w:val="18"/>
                <w:szCs w:val="18"/>
                <w:rtl/>
              </w:rPr>
              <w:t xml:space="preserve"> יחידת סיוע (ת' 37, 30 יום), חוק ההסדר, קושי ראייתי, </w:t>
            </w:r>
            <w:r>
              <w:rPr>
                <w:rFonts w:ascii="Arial" w:hAnsi="Arial" w:cs="Arial" w:eastAsia="Arial"/>
                <w:b/>
                <w:bCs/>
                <w:color w:val="1F2430"/>
                <w:sz w:val="18"/>
                <w:szCs w:val="18"/>
                <w:rtl/>
              </w:rPr>
              <w:t>ס' 8</w:t>
            </w:r>
            <w:r>
              <w:rPr>
                <w:rFonts w:ascii="Arial" w:hAnsi="Arial" w:cs="Arial" w:eastAsia="Arial"/>
                <w:color w:val="1F2430"/>
                <w:sz w:val="18"/>
                <w:szCs w:val="18"/>
                <w:rtl/>
              </w:rPr>
              <w:t xml:space="preserve"> (גמישות, בלי לגרוע מחסיונות), </w:t>
            </w:r>
            <w:r>
              <w:rPr>
                <w:rFonts w:ascii="Arial" w:hAnsi="Arial" w:cs="Arial" w:eastAsia="Arial"/>
                <w:b/>
                <w:bCs/>
                <w:color w:val="1F2430"/>
                <w:sz w:val="18"/>
                <w:szCs w:val="18"/>
                <w:rtl/>
              </w:rPr>
              <w:t>ס' 3(ג)</w:t>
            </w:r>
            <w:r>
              <w:rPr>
                <w:rFonts w:ascii="Arial" w:hAnsi="Arial" w:cs="Arial" w:eastAsia="Arial"/>
                <w:color w:val="1F2430"/>
                <w:sz w:val="18"/>
                <w:szCs w:val="18"/>
                <w:rtl/>
              </w:rPr>
              <w:t xml:space="preserve"> (אישור הסכם בלי תביעה, ת' 43), </w:t>
            </w:r>
            <w:r>
              <w:rPr>
                <w:rFonts w:ascii="Arial" w:hAnsi="Arial" w:cs="Arial" w:eastAsia="Arial"/>
                <w:b/>
                <w:bCs/>
                <w:color w:val="1F2430"/>
                <w:sz w:val="18"/>
                <w:szCs w:val="18"/>
                <w:rtl/>
              </w:rPr>
              <w:t>דלתיים סגורות</w:t>
            </w:r>
            <w:r>
              <w:rPr>
                <w:rFonts w:ascii="Arial" w:hAnsi="Arial" w:cs="Arial" w:eastAsia="Arial"/>
                <w:color w:val="1F2430"/>
                <w:sz w:val="18"/>
                <w:szCs w:val="18"/>
                <w:rtl/>
              </w:rPr>
              <w:t xml:space="preserve"> (ס' 68(ה)). </w:t>
            </w:r>
            <w:r>
              <w:rPr>
                <w:rFonts w:ascii="Arial" w:hAnsi="Arial" w:cs="Arial" w:eastAsia="Arial"/>
                <w:b/>
                <w:bCs/>
                <w:color w:val="1F2430"/>
                <w:sz w:val="18"/>
                <w:szCs w:val="18"/>
                <w:rtl/>
              </w:rPr>
              <w:t>חוק ההסדר:</w:t>
            </w:r>
            <w:r>
              <w:rPr>
                <w:rFonts w:ascii="Arial" w:hAnsi="Arial" w:cs="Arial" w:eastAsia="Arial"/>
                <w:color w:val="1F2430"/>
                <w:sz w:val="18"/>
                <w:szCs w:val="18"/>
                <w:rtl/>
              </w:rPr>
              <w:t xml:space="preserve"> בקשה ליישוב סכסוך ללא טענות ← עד 4 פגישות מהו"ת בהתייצבות אישית ← 45 ימים (+15 פעם אחת) ← עיכוב הליכים של 60 או 75 ימים, כולל שאלת הסמכות ← 15 ימי קדימה למגיש הראשון ← אחר כך הצד השני.</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2E7D4F"/>
            <w:tcBorders>
              <w:top w:val="single" w:sz="4" w:space="0" w:color="2E7D4F"/>
              <w:left w:val="single" w:sz="4" w:space="0" w:color="2E7D4F"/>
              <w:bottom w:val="single" w:sz="4" w:space="0" w:color="2E7D4F"/>
              <w:right w:val="single" w:sz="4" w:space="0" w:color="2E7D4F"/>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6</w:t>
            </w:r>
          </w:p>
          <w:p>
            <w:pPr>
              <w:bidi/>
              <w:spacing w:before="0" w:after="0" w:line="264" w:lineRule="auto"/>
              <w:outlineLvl w:val="0"/>
            </w:pPr>
            <w:r>
              <w:rPr>
                <w:rFonts w:ascii="Arial" w:hAnsi="Arial" w:cs="Arial" w:eastAsia="Arial"/>
                <w:b/>
                <w:bCs/>
                <w:color w:val="FFFFFF"/>
                <w:sz w:val="42"/>
                <w:szCs w:val="42"/>
                <w:rtl/>
              </w:rPr>
              <w:t>מזונות אישה – הדין המהותי</w:t>
            </w:r>
          </w:p>
        </w:tc>
      </w:tr>
    </w:tbl>
    <w:p>
      <w:pPr>
        <w:bidi/>
        <w:spacing w:after="0" w:before="0" w:line="200" w:lineRule="exact"/>
      </w:pPr>
      <w:r>
        <w:rPr>
          <w:sz w:val="2"/>
        </w:rPr>
      </w:r>
    </w:p>
    <w:p>
      <w:pPr>
        <w:bidi/>
        <w:spacing w:before="0" w:after="100" w:line="300" w:lineRule="auto"/>
        <w:jc w:val="both"/>
      </w:pPr>
      <w:r>
        <w:rPr>
          <w:rFonts w:ascii="Arial" w:hAnsi="Arial" w:cs="Arial" w:eastAsia="Arial"/>
          <w:color w:val="1F2430"/>
          <w:sz w:val="19"/>
          <w:szCs w:val="19"/>
          <w:rtl/>
        </w:rPr>
        <w:t xml:space="preserve">במזונות אישה הסמכות מקבילה (בית הדין הרבני ובית המשפט לענייני משפחה), אבל הדין החל הוא </w:t>
      </w:r>
      <w:r>
        <w:rPr>
          <w:rFonts w:ascii="Arial" w:hAnsi="Arial" w:cs="Arial" w:eastAsia="Arial"/>
          <w:color w:val="1F2430"/>
          <w:sz w:val="19"/>
          <w:szCs w:val="19"/>
          <w:highlight w:val="yellow"/>
          <w:rtl/>
        </w:rPr>
        <w:t>דין אישי</w:t>
      </w:r>
      <w:r>
        <w:rPr>
          <w:rFonts w:ascii="Arial" w:hAnsi="Arial" w:cs="Arial" w:eastAsia="Arial"/>
          <w:color w:val="1F2430"/>
          <w:sz w:val="19"/>
          <w:szCs w:val="19"/>
          <w:rtl/>
        </w:rPr>
        <w:t xml:space="preserve"> – גם שופט אזרחי פוסק לפי ההלכה היהודית. בפרק זה נלמד את הדין המהותי: מקור החיוב, שיעורו, וטענות הבעל להקטנת החיוב (קיזוז) או לביטולו (פטור). הסמכות והכריכה נסקרות כאן בקצרה בלבד – ראו פרק 3.</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 מבוא: מהם מזונות אישה ובמה הם שונים ממזונות ילדים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מזונות אישה</w:t>
            </w:r>
          </w:p>
          <w:p>
            <w:pPr>
              <w:bidi/>
              <w:spacing w:before="0" w:after="60" w:line="300" w:lineRule="auto"/>
              <w:jc w:val="both"/>
            </w:pPr>
            <w:r>
              <w:rPr>
                <w:rFonts w:ascii="Arial" w:hAnsi="Arial" w:cs="Arial" w:eastAsia="Arial"/>
                <w:color w:val="1F2430"/>
                <w:sz w:val="18"/>
                <w:szCs w:val="18"/>
                <w:rtl/>
              </w:rPr>
              <w:t xml:space="preserve">החיוב של בעל לפרנס את אשתו, הנובע מקשר הנישואין עצמו. לפי הדין העברי זהו חיוב </w:t>
            </w:r>
            <w:r>
              <w:rPr>
                <w:rFonts w:ascii="Arial" w:hAnsi="Arial" w:cs="Arial" w:eastAsia="Arial"/>
                <w:b/>
                <w:bCs/>
                <w:color w:val="1F2430"/>
                <w:sz w:val="18"/>
                <w:szCs w:val="18"/>
                <w:rtl/>
              </w:rPr>
              <w:t>חד-סטרי</w:t>
            </w:r>
            <w:r>
              <w:rPr>
                <w:rFonts w:ascii="Arial" w:hAnsi="Arial" w:cs="Arial" w:eastAsia="Arial"/>
                <w:color w:val="1F2430"/>
                <w:sz w:val="18"/>
                <w:szCs w:val="18"/>
                <w:rtl/>
              </w:rPr>
              <w:t xml:space="preserve"> – הבעל חב במזונות אשתו, ולא להפך – והוא קיים </w:t>
            </w:r>
            <w:r>
              <w:rPr>
                <w:rFonts w:ascii="Arial" w:hAnsi="Arial" w:cs="Arial" w:eastAsia="Arial"/>
                <w:color w:val="1F2430"/>
                <w:sz w:val="18"/>
                <w:szCs w:val="18"/>
                <w:highlight w:val="yellow"/>
                <w:rtl/>
              </w:rPr>
              <w:t>כל עוד בני הזוג נשואים כדת משה וישראל</w:t>
            </w:r>
            <w:r>
              <w:rPr>
                <w:rFonts w:ascii="Arial" w:hAnsi="Arial" w:cs="Arial" w:eastAsia="Arial"/>
                <w:color w:val="1F2430"/>
                <w:sz w:val="18"/>
                <w:szCs w:val="18"/>
                <w:rtl/>
              </w:rPr>
              <w:t>. פקעו הנישואין (בגט או במוות) – פקע החיוב.</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שלוש נקודות יסוד שחוזרות לאורך כל הפרק:</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מזונות אישה אינם מזונות ילדים.</w:t>
      </w:r>
      <w:r>
        <w:rPr>
          <w:rFonts w:ascii="Arial" w:hAnsi="Arial" w:cs="Arial" w:eastAsia="Arial"/>
          <w:color w:val="1F2430"/>
          <w:sz w:val="19"/>
          <w:szCs w:val="19"/>
          <w:rtl/>
        </w:rPr>
        <w:t xml:space="preserve"> הראשונים נובעים מהקשר הזוגי בזמן הנישואין; האחרונים – מחובת ההורים כלפי ילדיהם (פרק 10).</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אחרי הגירושין – ככלל אין מזונות אישה.</w:t>
      </w:r>
      <w:r>
        <w:rPr>
          <w:rFonts w:ascii="Arial" w:hAnsi="Arial" w:cs="Arial" w:eastAsia="Arial"/>
          <w:color w:val="1F2430"/>
          <w:sz w:val="19"/>
          <w:szCs w:val="19"/>
          <w:rtl/>
        </w:rPr>
        <w:t xml:space="preserve"> זה ההבדל המרכזי בין מזונות אישה לפי הדין הדתי לבין מזונות חוזיים/משקמים לפי הדין האזרחי, שיכולים להינתן גם לאחר הפרידה (ראו פרק 8).</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החיוב תלוי בהתנהגות האישה</w:t>
      </w:r>
      <w:r>
        <w:rPr>
          <w:rFonts w:ascii="Arial" w:hAnsi="Arial" w:cs="Arial" w:eastAsia="Arial"/>
          <w:color w:val="1F2430"/>
          <w:sz w:val="19"/>
          <w:szCs w:val="19"/>
          <w:rtl/>
        </w:rPr>
        <w:t xml:space="preserve"> – הן במישור חובותיה הביתיות והן במישור התנהגותה המינית. מכאן נובעות טענות ההגנה של הבעל.</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מזונות אישה מול מזונות ילדים</w:t>
            </w:r>
          </w:p>
          <w:p>
            <w:pPr>
              <w:bidi/>
              <w:spacing w:before="0" w:after="60" w:line="300" w:lineRule="auto"/>
              <w:jc w:val="both"/>
            </w:pPr>
            <w:r>
              <w:rPr>
                <w:rFonts w:ascii="Arial" w:hAnsi="Arial" w:cs="Arial" w:eastAsia="Arial"/>
                <w:color w:val="1F2430"/>
                <w:sz w:val="18"/>
                <w:szCs w:val="18"/>
                <w:rtl/>
              </w:rPr>
              <w:t xml:space="preserve">במבחן מופיעים שני המושגים זה לצד זה. בגידה, מרד או סרבנות גט של האישה משפיעים על </w:t>
            </w:r>
            <w:r>
              <w:rPr>
                <w:rFonts w:ascii="Arial" w:hAnsi="Arial" w:cs="Arial" w:eastAsia="Arial"/>
                <w:b/>
                <w:bCs/>
                <w:color w:val="1F2430"/>
                <w:sz w:val="18"/>
                <w:szCs w:val="18"/>
                <w:rtl/>
              </w:rPr>
              <w:t>מזונות האישה בלבד</w:t>
            </w:r>
            <w:r>
              <w:rPr>
                <w:rFonts w:ascii="Arial" w:hAnsi="Arial" w:cs="Arial" w:eastAsia="Arial"/>
                <w:color w:val="1F2430"/>
                <w:sz w:val="18"/>
                <w:szCs w:val="18"/>
                <w:rtl/>
              </w:rPr>
              <w:t xml:space="preserve"> – לעולם לא על מזונות הילדים. מזונות ילדים אינם תלויים בהתנהגות האם.</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בקצרה – שאלת הסמכות (הרחבה בפרק 3)</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מזונות אישה נמצאים ב</w:t>
      </w:r>
      <w:r>
        <w:rPr>
          <w:rFonts w:ascii="Arial" w:hAnsi="Arial" w:cs="Arial" w:eastAsia="Arial"/>
          <w:color w:val="1F2430"/>
          <w:sz w:val="19"/>
          <w:szCs w:val="19"/>
          <w:highlight w:val="yellow"/>
          <w:rtl/>
        </w:rPr>
        <w:t>סמכות מקבילה</w:t>
      </w:r>
      <w:r>
        <w:rPr>
          <w:rFonts w:ascii="Arial" w:hAnsi="Arial" w:cs="Arial" w:eastAsia="Arial"/>
          <w:color w:val="1F2430"/>
          <w:sz w:val="19"/>
          <w:szCs w:val="19"/>
          <w:rtl/>
        </w:rPr>
        <w:t>: בית המשפט לענייני משפחה (סעיף 3 לחוק בית המשפט לענייני משפחה) ובית הדין הרבני.</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לבית הדין הרבני אפשר להגיע בשלוש דרכים: </w:t>
      </w:r>
      <w:r>
        <w:rPr>
          <w:rFonts w:ascii="Arial" w:hAnsi="Arial" w:cs="Arial" w:eastAsia="Arial"/>
          <w:b/>
          <w:bCs/>
          <w:color w:val="1F2430"/>
          <w:sz w:val="19"/>
          <w:szCs w:val="19"/>
          <w:rtl/>
        </w:rPr>
        <w:t>סעיף 4</w:t>
      </w:r>
      <w:r>
        <w:rPr>
          <w:rFonts w:ascii="Arial" w:hAnsi="Arial" w:cs="Arial" w:eastAsia="Arial"/>
          <w:color w:val="1F2430"/>
          <w:sz w:val="19"/>
          <w:szCs w:val="19"/>
          <w:rtl/>
        </w:rPr>
        <w:t xml:space="preserve"> לחוק שיפוט בתי דין רבניים (תביעה עצמאית "שלא אגב גירושין" – פתוחה </w:t>
      </w:r>
      <w:r>
        <w:rPr>
          <w:rFonts w:ascii="Arial" w:hAnsi="Arial" w:cs="Arial" w:eastAsia="Arial"/>
          <w:color w:val="1F2430"/>
          <w:sz w:val="19"/>
          <w:szCs w:val="19"/>
          <w:highlight w:val="yellow"/>
          <w:rtl/>
        </w:rPr>
        <w:t>רק לאישה</w:t>
      </w:r>
      <w:r>
        <w:rPr>
          <w:rFonts w:ascii="Arial" w:hAnsi="Arial" w:cs="Arial" w:eastAsia="Arial"/>
          <w:color w:val="1F2430"/>
          <w:sz w:val="19"/>
          <w:szCs w:val="19"/>
          <w:rtl/>
        </w:rPr>
        <w:t xml:space="preserve">), </w:t>
      </w:r>
      <w:r>
        <w:rPr>
          <w:rFonts w:ascii="Arial" w:hAnsi="Arial" w:cs="Arial" w:eastAsia="Arial"/>
          <w:b/>
          <w:bCs/>
          <w:color w:val="1F2430"/>
          <w:sz w:val="19"/>
          <w:szCs w:val="19"/>
          <w:rtl/>
        </w:rPr>
        <w:t>סעיף 9</w:t>
      </w:r>
      <w:r>
        <w:rPr>
          <w:rFonts w:ascii="Arial" w:hAnsi="Arial" w:cs="Arial" w:eastAsia="Arial"/>
          <w:color w:val="1F2430"/>
          <w:sz w:val="19"/>
          <w:szCs w:val="19"/>
          <w:rtl/>
        </w:rPr>
        <w:t xml:space="preserve"> (הסכמה), ו</w:t>
      </w:r>
      <w:r>
        <w:rPr>
          <w:rFonts w:ascii="Arial" w:hAnsi="Arial" w:cs="Arial" w:eastAsia="Arial"/>
          <w:b/>
          <w:bCs/>
          <w:color w:val="1F2430"/>
          <w:sz w:val="19"/>
          <w:szCs w:val="19"/>
          <w:rtl/>
        </w:rPr>
        <w:t>סעיף 3</w:t>
      </w:r>
      <w:r>
        <w:rPr>
          <w:rFonts w:ascii="Arial" w:hAnsi="Arial" w:cs="Arial" w:eastAsia="Arial"/>
          <w:color w:val="1F2430"/>
          <w:sz w:val="19"/>
          <w:szCs w:val="19"/>
          <w:rtl/>
        </w:rPr>
        <w:t xml:space="preserve"> (כריכה מפורשת לתביעת גירושין, כפופה למבחן המשולש).</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מאחר שהאישה יכולה לתבוע בנפרד, מי שכורך מזונות אישה לגירושין הוא בדרך כלל </w:t>
      </w:r>
      <w:r>
        <w:rPr>
          <w:rFonts w:ascii="Arial" w:hAnsi="Arial" w:cs="Arial" w:eastAsia="Arial"/>
          <w:b/>
          <w:bCs/>
          <w:color w:val="1F2430"/>
          <w:sz w:val="19"/>
          <w:szCs w:val="19"/>
          <w:rtl/>
        </w:rPr>
        <w:t>הבעל</w:t>
      </w:r>
      <w:r>
        <w:rPr>
          <w:rFonts w:ascii="Arial" w:hAnsi="Arial" w:cs="Arial" w:eastAsia="Arial"/>
          <w:color w:val="1F2430"/>
          <w:sz w:val="19"/>
          <w:szCs w:val="19"/>
          <w:rtl/>
        </w:rPr>
        <w:t xml:space="preserve"> – זו דרכו היחידה להביא את הנושא לבית הדין.</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6.2 הדין החל: סעיף 2 לחוק לתיקון דיני המשפחה (מזונות)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התשי"ט-1959 – סעיף 2(א)</w:t>
            </w:r>
          </w:p>
          <w:p>
            <w:pPr>
              <w:bidi/>
              <w:spacing w:before="0" w:after="60" w:line="300" w:lineRule="auto"/>
              <w:jc w:val="both"/>
            </w:pPr>
            <w:r>
              <w:rPr>
                <w:rFonts w:ascii="Arial" w:hAnsi="Arial" w:cs="Arial" w:eastAsia="Arial"/>
                <w:color w:val="1F2430"/>
                <w:sz w:val="18"/>
                <w:szCs w:val="18"/>
                <w:rtl/>
              </w:rPr>
              <w:t>"אדם חייב במזונות בן זוגו לפי הוראות הדין האישי החל עליו, והוראות חוק זה לא יחולו על מזונות אלה."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 סעיף 2(ב)</w:t>
            </w:r>
          </w:p>
          <w:p>
            <w:pPr>
              <w:bidi/>
              <w:spacing w:before="0" w:after="60" w:line="300" w:lineRule="auto"/>
              <w:jc w:val="both"/>
            </w:pPr>
            <w:r>
              <w:rPr>
                <w:rFonts w:ascii="Arial" w:hAnsi="Arial" w:cs="Arial" w:eastAsia="Arial"/>
                <w:color w:val="1F2430"/>
                <w:sz w:val="18"/>
                <w:szCs w:val="18"/>
                <w:rtl/>
              </w:rPr>
              <w:t>מי שלא חל עליו דין אישי (או שאינו חייב במזונות לפי דינו האישי) – חייב במזונות בן זוגו, ו"הוראות חוק זה יחולו על מזונות אלה", כלומר יחול הדין האזרחי-הטריטוריאלי.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המשמעות: בתביעת מזונות במישור הזוגי בין בני זוג יהודים נשואים כדמו"י, </w:t>
      </w:r>
      <w:r>
        <w:rPr>
          <w:rFonts w:ascii="Arial" w:hAnsi="Arial" w:cs="Arial" w:eastAsia="Arial"/>
          <w:color w:val="1F2430"/>
          <w:sz w:val="19"/>
          <w:szCs w:val="19"/>
          <w:highlight w:val="yellow"/>
          <w:rtl/>
        </w:rPr>
        <w:t>הדין הוא דין תורה – בשתי הערכאות</w:t>
      </w:r>
      <w:r>
        <w:rPr>
          <w:rFonts w:ascii="Arial" w:hAnsi="Arial" w:cs="Arial" w:eastAsia="Arial"/>
          <w:color w:val="1F2430"/>
          <w:sz w:val="19"/>
          <w:szCs w:val="19"/>
          <w:rtl/>
        </w:rPr>
        <w:t>. השופט בבית המשפט לענייני משפחה יכריע לפי ההלכה היהודית, בדיוק כמו הדיין. זה מתיישב גם עם סימן 47 לדבר המלך במועצתו ("בענייני מעמד אישי יחול דין אישי") ועם סימן 51, שמונה את מזונות האישה ברשימת ענייני המעמד האישי (נמכ"א – נישואין וגיטין, מזונות אישה, כלכלה, אפוטרופסות).</w:t>
      </w:r>
    </w:p>
    <w:tbl>
      <w:tblPr>
        <w:tblW w:type="dxa" w:w="10206"/>
        <w:jc w:val="center"/>
        <w:tblLook w:firstColumn="1" w:firstRow="1" w:lastColumn="0" w:lastRow="0" w:noHBand="0" w:noVBand="1" w:val="04A0"/>
        <w:bidiVisual/>
        <w:tblLayout w:type="fixed"/>
      </w:tblPr>
      <w:tblGrid>
        <w:gridCol w:w="5056"/>
        <w:gridCol w:w="3277"/>
        <w:gridCol w:w="1872"/>
      </w:tblGrid>
      <w:tr>
        <w:trPr>
          <w:tblHeader/>
        </w:trPr>
        <w:tc>
          <w:tcPr>
            <w:tcW w:type="dxa" w:w="5056"/>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3277"/>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 החל</w:t>
            </w:r>
          </w:p>
        </w:tc>
        <w:tc>
          <w:tcPr>
            <w:tcW w:type="dxa" w:w="1872"/>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המקור</w:t>
            </w:r>
          </w:p>
        </w:tc>
      </w:tr>
      <w:tr>
        <w:trPr>
          <w:cantSplit/>
        </w:trPr>
        <w:tc>
          <w:tcPr>
            <w:tcW w:type="dxa" w:w="505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יהודים נשואים כדמו"י</w:t>
            </w:r>
          </w:p>
        </w:tc>
        <w:tc>
          <w:tcPr>
            <w:tcW w:type="dxa" w:w="32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אישי – דין תורה</w:t>
            </w:r>
          </w:p>
        </w:tc>
        <w:tc>
          <w:tcPr>
            <w:tcW w:type="dxa" w:w="187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 2(א) לחוק המזונות</w:t>
            </w:r>
          </w:p>
        </w:tc>
      </w:tr>
      <w:tr>
        <w:trPr>
          <w:cantSplit/>
        </w:trPr>
        <w:tc>
          <w:tcPr>
            <w:tcW w:type="dxa" w:w="505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מוסלמים / נוצרים עם דין אישי</w:t>
            </w:r>
          </w:p>
        </w:tc>
        <w:tc>
          <w:tcPr>
            <w:tcW w:type="dxa" w:w="32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הדין הדתי של העדה</w:t>
            </w:r>
          </w:p>
        </w:tc>
        <w:tc>
          <w:tcPr>
            <w:tcW w:type="dxa" w:w="187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ס' 2(א)</w:t>
            </w:r>
          </w:p>
        </w:tc>
      </w:tr>
      <w:tr>
        <w:trPr>
          <w:cantSplit/>
        </w:trPr>
        <w:tc>
          <w:tcPr>
            <w:tcW w:type="dxa" w:w="505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חסרי דת, זוגות מעורבים, זוגות חד-מיניים, ידועים בציבור</w:t>
            </w:r>
          </w:p>
        </w:tc>
        <w:tc>
          <w:tcPr>
            <w:tcW w:type="dxa" w:w="32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טריטוריאלי-אזרחי</w:t>
            </w:r>
          </w:p>
        </w:tc>
        <w:tc>
          <w:tcPr>
            <w:tcW w:type="dxa" w:w="187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 2(ב)</w:t>
            </w:r>
          </w:p>
        </w:tc>
      </w:tr>
      <w:tr>
        <w:trPr>
          <w:cantSplit/>
        </w:trPr>
        <w:tc>
          <w:tcPr>
            <w:tcW w:type="dxa" w:w="505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יהודים שנישאו בנישואין אזרחיים</w:t>
            </w:r>
          </w:p>
        </w:tc>
        <w:tc>
          <w:tcPr>
            <w:tcW w:type="dxa" w:w="32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מזונות חוזיים (רע"א 8256/99 פלונית)</w:t>
            </w:r>
          </w:p>
        </w:tc>
        <w:tc>
          <w:tcPr>
            <w:tcW w:type="dxa" w:w="187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ראו פרק 8</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הכלל "הדין הולך אחר הדיין" אינו חל כאן</w:t>
            </w:r>
          </w:p>
          <w:p>
            <w:pPr>
              <w:bidi/>
              <w:spacing w:before="0" w:after="60" w:line="300" w:lineRule="auto"/>
              <w:jc w:val="both"/>
            </w:pPr>
            <w:r>
              <w:rPr>
                <w:rFonts w:ascii="Arial" w:hAnsi="Arial" w:cs="Arial" w:eastAsia="Arial"/>
                <w:color w:val="1F2430"/>
                <w:sz w:val="18"/>
                <w:szCs w:val="18"/>
                <w:rtl/>
              </w:rPr>
              <w:t xml:space="preserve">בני זוג יהודים נשואים כדמו"י. הבעל חושד שאשתו בוגדת ומבטל את כל כרטיסי האשראי. האישה תובעת מזונות אישה בבית המשפט לענייני משפחה, והבעל טוען שהעניין שייך לבית הדין הרבני. </w:t>
            </w:r>
            <w:r>
              <w:rPr>
                <w:rFonts w:ascii="Arial" w:hAnsi="Arial" w:cs="Arial" w:eastAsia="Arial"/>
                <w:b/>
                <w:bCs/>
                <w:color w:val="1F2430"/>
                <w:sz w:val="18"/>
                <w:szCs w:val="18"/>
                <w:rtl/>
              </w:rPr>
              <w:t>במישור הסמכות</w:t>
            </w:r>
            <w:r>
              <w:rPr>
                <w:rFonts w:ascii="Arial" w:hAnsi="Arial" w:cs="Arial" w:eastAsia="Arial"/>
                <w:color w:val="1F2430"/>
                <w:sz w:val="18"/>
                <w:szCs w:val="18"/>
                <w:rtl/>
              </w:rPr>
              <w:t xml:space="preserve"> – לבית המשפט יש סמכות מקבילה. </w:t>
            </w:r>
            <w:r>
              <w:rPr>
                <w:rFonts w:ascii="Arial" w:hAnsi="Arial" w:cs="Arial" w:eastAsia="Arial"/>
                <w:b/>
                <w:bCs/>
                <w:color w:val="1F2430"/>
                <w:sz w:val="18"/>
                <w:szCs w:val="18"/>
                <w:rtl/>
              </w:rPr>
              <w:t>במישור הדין</w:t>
            </w:r>
            <w:r>
              <w:rPr>
                <w:rFonts w:ascii="Arial" w:hAnsi="Arial" w:cs="Arial" w:eastAsia="Arial"/>
                <w:color w:val="1F2430"/>
                <w:sz w:val="18"/>
                <w:szCs w:val="18"/>
                <w:rtl/>
              </w:rPr>
              <w:t xml:space="preserve"> – הכלל הפסיקתי "הדין הולך אחר הדיין" חל רק כשאין הוראת חוק ספציפית; כאן יש הוראה כזו – סעיף 2(א) – ולכן גם בית המשפט האזרחי ידון לפי דין תורה. השלב הבא יהיה לבדוק מה קובע הדין האישי: האם הבגידה הוכחה כדין, ומה משמעותה.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המחוקק כתב "בן זוגו"</w:t>
            </w:r>
          </w:p>
          <w:p>
            <w:pPr>
              <w:bidi/>
              <w:spacing w:before="0" w:after="60" w:line="300" w:lineRule="auto"/>
              <w:jc w:val="both"/>
            </w:pPr>
            <w:r>
              <w:rPr>
                <w:rFonts w:ascii="Arial" w:hAnsi="Arial" w:cs="Arial" w:eastAsia="Arial"/>
                <w:color w:val="1F2430"/>
                <w:sz w:val="18"/>
                <w:szCs w:val="18"/>
                <w:rtl/>
              </w:rPr>
              <w:t>הלשון ניטרלית, אך מאחר שתוכן החיוב נקבע לפי הדין האישי – בפועל רק האישה זכאית ורק הבעל חייב.</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הוראות מהותיות מול הוראות פרוצדורליות</w:t>
      </w:r>
    </w:p>
    <w:p>
      <w:pPr>
        <w:bidi/>
        <w:spacing w:before="0" w:after="100" w:line="300" w:lineRule="auto"/>
        <w:jc w:val="both"/>
      </w:pPr>
      <w:r>
        <w:rPr>
          <w:rFonts w:ascii="Arial" w:hAnsi="Arial" w:cs="Arial" w:eastAsia="Arial"/>
          <w:color w:val="1F2430"/>
          <w:sz w:val="19"/>
          <w:szCs w:val="19"/>
          <w:rtl/>
        </w:rPr>
        <w:t xml:space="preserve">הסיפא של סעיף 2(א) מעוררת את השאלה אילו מסעיפי החוק חלים בכל זאת על מי שיש לו דין אישי. בפס"ד חקק (להלן) הבחין שמגר בין הוראות </w:t>
      </w:r>
      <w:r>
        <w:rPr>
          <w:rFonts w:ascii="Arial" w:hAnsi="Arial" w:cs="Arial" w:eastAsia="Arial"/>
          <w:b/>
          <w:bCs/>
          <w:color w:val="1F2430"/>
          <w:sz w:val="19"/>
          <w:szCs w:val="19"/>
          <w:rtl/>
        </w:rPr>
        <w:t>מהותיות</w:t>
      </w:r>
      <w:r>
        <w:rPr>
          <w:rFonts w:ascii="Arial" w:hAnsi="Arial" w:cs="Arial" w:eastAsia="Arial"/>
          <w:color w:val="1F2430"/>
          <w:sz w:val="19"/>
          <w:szCs w:val="19"/>
          <w:rtl/>
        </w:rPr>
        <w:t xml:space="preserve"> (אינן חלות) להוראות </w:t>
      </w:r>
      <w:r>
        <w:rPr>
          <w:rFonts w:ascii="Arial" w:hAnsi="Arial" w:cs="Arial" w:eastAsia="Arial"/>
          <w:b/>
          <w:bCs/>
          <w:color w:val="1F2430"/>
          <w:sz w:val="19"/>
          <w:szCs w:val="19"/>
          <w:rtl/>
        </w:rPr>
        <w:t>פרוצדורליות</w:t>
      </w:r>
      <w:r>
        <w:rPr>
          <w:rFonts w:ascii="Arial" w:hAnsi="Arial" w:cs="Arial" w:eastAsia="Arial"/>
          <w:color w:val="1F2430"/>
          <w:sz w:val="19"/>
          <w:szCs w:val="19"/>
          <w:rtl/>
        </w:rPr>
        <w:t xml:space="preserve"> (חלות על כולם). לפי תשובות הפרופ':</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סעיף 10 – מזונות זמניים</w:t>
      </w:r>
      <w:r>
        <w:rPr>
          <w:rFonts w:ascii="Arial" w:hAnsi="Arial" w:cs="Arial" w:eastAsia="Arial"/>
          <w:color w:val="1F2430"/>
          <w:sz w:val="19"/>
          <w:szCs w:val="19"/>
          <w:rtl/>
        </w:rPr>
        <w:t xml:space="preserve"> ("הוגשה תביעה למזונות, רשאי בית המשפט לפסוק מזונות זמניים עד לגמר בירור התביעה") – סעיף פרוצדורלי-טכני, ולכן חל גם על מזונות לפי דין אישי ואף בבית הדין הרבני (שנוטה לראות בבקשה כזו הקניית סמכות גם לדיון העתידי).</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סעיף 11 – מזונות עבר</w:t>
      </w:r>
      <w:r>
        <w:rPr>
          <w:rFonts w:ascii="Arial" w:hAnsi="Arial" w:cs="Arial" w:eastAsia="Arial"/>
          <w:color w:val="1F2430"/>
          <w:sz w:val="19"/>
          <w:szCs w:val="19"/>
          <w:rtl/>
        </w:rPr>
        <w:t>: תביעה שהוגשה יותר משנה לאחר התקופה הנתבעת – ניתן לדחותה אם אין טעם סביר לאיחור; מזונות שלא החלו לגבותם תוך שנתיים – אין לגבותם אלא ברשות בית המשפט. גם הוא פרוצדורלי וחל בשתי הערכאות (והדין הדתי יכול להפעיל גם כללים משלו).</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6.3 מקור החיוב: "עשרה חיובים וארבע זכויות"</w:t>
      </w:r>
    </w:p>
    <w:p>
      <w:pPr>
        <w:bidi/>
        <w:spacing w:before="0" w:after="100" w:line="300" w:lineRule="auto"/>
        <w:jc w:val="both"/>
      </w:pPr>
      <w:r>
        <w:rPr>
          <w:rFonts w:ascii="Arial" w:hAnsi="Arial" w:cs="Arial" w:eastAsia="Arial"/>
          <w:color w:val="1F2430"/>
          <w:sz w:val="19"/>
          <w:szCs w:val="19"/>
          <w:rtl/>
        </w:rPr>
        <w:t>לפי הרמב"ם (משנה תורה, הלכות אישות פרק יב): "כשנושא אדם אישה... יתחייב לה בעשרה דברים, ויזכה בארבעה דברים". זו ההבניה ההלכתית של מערכת היחסים הזוגית – מערכת של זכויות וחובות הדדיות.</w:t>
      </w:r>
    </w:p>
    <w:tbl>
      <w:tblPr>
        <w:tblW w:type="dxa" w:w="10206"/>
        <w:jc w:val="center"/>
        <w:tblLook w:firstColumn="1" w:firstRow="1" w:lastColumn="0" w:lastRow="0" w:noHBand="0" w:noVBand="1" w:val="04A0"/>
        <w:bidiVisual/>
        <w:tblLayout w:type="fixed"/>
      </w:tblPr>
      <w:tblGrid>
        <w:gridCol w:w="7363"/>
        <w:gridCol w:w="2842"/>
      </w:tblGrid>
      <w:tr>
        <w:trPr>
          <w:tblHeader/>
        </w:trPr>
        <w:tc>
          <w:tcPr>
            <w:tcW w:type="dxa" w:w="736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עשרת חיובי הבעל</w:t>
            </w:r>
          </w:p>
        </w:tc>
        <w:tc>
          <w:tcPr>
            <w:tcW w:type="dxa" w:w="2842"/>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ארבע זכויות הבעל</w:t>
            </w:r>
          </w:p>
        </w:tc>
      </w:tr>
      <w:tr>
        <w:trPr>
          <w:cantSplit/>
        </w:trPr>
        <w:tc>
          <w:tcPr>
            <w:tcW w:type="dxa" w:w="736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שארה (מזונותיה), כסותה ועונתה</w:t>
            </w:r>
          </w:p>
        </w:tc>
        <w:tc>
          <w:tcPr>
            <w:tcW w:type="dxa" w:w="284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מעשה ידיה – שכר עבודתה</w:t>
            </w:r>
          </w:p>
        </w:tc>
      </w:tr>
      <w:tr>
        <w:trPr>
          <w:cantSplit/>
        </w:trPr>
        <w:tc>
          <w:tcPr>
            <w:tcW w:type="dxa" w:w="736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הכתובה ותנאי הכתובה</w:t>
            </w:r>
          </w:p>
        </w:tc>
        <w:tc>
          <w:tcPr>
            <w:tcW w:type="dxa" w:w="284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מציאתה</w:t>
            </w:r>
          </w:p>
        </w:tc>
      </w:tr>
      <w:tr>
        <w:trPr>
          <w:cantSplit/>
        </w:trPr>
        <w:tc>
          <w:tcPr>
            <w:tcW w:type="dxa" w:w="736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רפואתה, פדותה (פדיונה מן השבי), קבורתה</w:t>
            </w:r>
          </w:p>
        </w:tc>
        <w:tc>
          <w:tcPr>
            <w:tcW w:type="dxa" w:w="284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פירות נכסיה בחייה</w:t>
            </w:r>
          </w:p>
        </w:tc>
      </w:tr>
      <w:tr>
        <w:trPr>
          <w:cantSplit/>
        </w:trPr>
        <w:tc>
          <w:tcPr>
            <w:tcW w:type="dxa" w:w="736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מזונות אלמנתו מנכסיו, מזונות בנותיו, ירושת בניה את כתובתה</w:t>
            </w:r>
          </w:p>
        </w:tc>
        <w:tc>
          <w:tcPr>
            <w:tcW w:type="dxa" w:w="2842"/>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ירושתה אם מתה בחייו</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מן הטבלה נגזרות שתי טענות הקיזוז המרכזיות: </w:t>
      </w:r>
      <w:r>
        <w:rPr>
          <w:rFonts w:ascii="Arial" w:hAnsi="Arial" w:cs="Arial" w:eastAsia="Arial"/>
          <w:b/>
          <w:bCs/>
          <w:color w:val="1F2430"/>
          <w:sz w:val="19"/>
          <w:szCs w:val="19"/>
          <w:rtl/>
        </w:rPr>
        <w:t>מעשה ידיה</w:t>
      </w:r>
      <w:r>
        <w:rPr>
          <w:rFonts w:ascii="Arial" w:hAnsi="Arial" w:cs="Arial" w:eastAsia="Arial"/>
          <w:color w:val="1F2430"/>
          <w:sz w:val="19"/>
          <w:szCs w:val="19"/>
          <w:rtl/>
        </w:rPr>
        <w:t xml:space="preserve"> הם כנגד המזונות, ו</w:t>
      </w:r>
      <w:r>
        <w:rPr>
          <w:rFonts w:ascii="Arial" w:hAnsi="Arial" w:cs="Arial" w:eastAsia="Arial"/>
          <w:b/>
          <w:bCs/>
          <w:color w:val="1F2430"/>
          <w:sz w:val="19"/>
          <w:szCs w:val="19"/>
          <w:rtl/>
        </w:rPr>
        <w:t>פירות נכסיה</w:t>
      </w:r>
      <w:r>
        <w:rPr>
          <w:rFonts w:ascii="Arial" w:hAnsi="Arial" w:cs="Arial" w:eastAsia="Arial"/>
          <w:color w:val="1F2430"/>
          <w:sz w:val="19"/>
          <w:szCs w:val="19"/>
          <w:rtl/>
        </w:rPr>
        <w:t xml:space="preserve"> הם כנגד חובת הפדיון. כפי שנראה, ההבדל בין שני ה"זוגות" האלה הוא שקובע מה האישה יכולה לוותר עליו.</w:t>
      </w:r>
    </w:p>
    <w:p>
      <w:pPr>
        <w:bidi/>
        <w:spacing w:before="0" w:after="100" w:line="300" w:lineRule="auto"/>
        <w:jc w:val="both"/>
      </w:pPr>
      <w:r>
        <w:rPr>
          <w:rFonts w:ascii="Arial" w:hAnsi="Arial" w:cs="Arial" w:eastAsia="Arial"/>
          <w:color w:val="1F2430"/>
          <w:sz w:val="19"/>
          <w:szCs w:val="19"/>
          <w:rtl/>
        </w:rPr>
        <w:t>עוד עקרונות יסוד של הדין האישי:</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קשר הדוק בין תוקף הנישואין לחיוב במזונות.</w:t>
      </w:r>
      <w:r>
        <w:rPr>
          <w:rFonts w:ascii="Arial" w:hAnsi="Arial" w:cs="Arial" w:eastAsia="Arial"/>
          <w:color w:val="1F2430"/>
          <w:sz w:val="19"/>
          <w:szCs w:val="19"/>
          <w:rtl/>
        </w:rPr>
        <w:t xml:space="preserve"> רק אישה נשואה כדמו"י, וכל זמן שהיא נשואה, זכאית למזונות.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פקיעת החיוב</w:t>
      </w:r>
      <w:r>
        <w:rPr>
          <w:rFonts w:ascii="Arial" w:hAnsi="Arial" w:cs="Arial" w:eastAsia="Arial"/>
          <w:color w:val="1F2430"/>
          <w:sz w:val="19"/>
          <w:szCs w:val="19"/>
          <w:rtl/>
        </w:rPr>
        <w:t>: בגט, במוות, או כשמתקבלת טענת פטור של הבעל.</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הדין האישי מחייב את שתי הערכאות</w:t>
      </w:r>
      <w:r>
        <w:rPr>
          <w:rFonts w:ascii="Arial" w:hAnsi="Arial" w:cs="Arial" w:eastAsia="Arial"/>
          <w:color w:val="1F2430"/>
          <w:sz w:val="19"/>
          <w:szCs w:val="19"/>
          <w:rtl/>
        </w:rPr>
        <w:t xml:space="preserve"> – אך "לא הרי דיני ישראל הנהוגים בבית הדין הרבני כהרי דיני ישראל הנהוגים בבית המשפט האזרחי": הפרשנות עשויה להיות שונה.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חריג חדש – מזונות אחרי הגירושין</w:t>
            </w:r>
          </w:p>
          <w:p>
            <w:pPr>
              <w:bidi/>
              <w:spacing w:before="0" w:after="60" w:line="300" w:lineRule="auto"/>
              <w:jc w:val="both"/>
            </w:pPr>
            <w:r>
              <w:rPr>
                <w:rFonts w:ascii="Arial" w:hAnsi="Arial" w:cs="Arial" w:eastAsia="Arial"/>
                <w:color w:val="1F2430"/>
                <w:sz w:val="18"/>
                <w:szCs w:val="18"/>
                <w:rtl/>
              </w:rPr>
              <w:t xml:space="preserve">לפי מה שנלמד בקורס, לאחרונה פסק בית הדין הרבני כי אישה יהודייה שהייתה נשואה כדמו"י תמשיך לקבל מזונות לפי דין תורה </w:t>
            </w:r>
            <w:r>
              <w:rPr>
                <w:rFonts w:ascii="Arial" w:hAnsi="Arial" w:cs="Arial" w:eastAsia="Arial"/>
                <w:color w:val="1F2430"/>
                <w:sz w:val="18"/>
                <w:szCs w:val="18"/>
                <w:highlight w:val="yellow"/>
                <w:rtl/>
              </w:rPr>
              <w:t>גם אחרי הגירושין, עד למועד חלוקת הרכוש המשותף</w:t>
            </w:r>
            <w:r>
              <w:rPr>
                <w:rFonts w:ascii="Arial" w:hAnsi="Arial" w:cs="Arial" w:eastAsia="Arial"/>
                <w:color w:val="1F2430"/>
                <w:sz w:val="18"/>
                <w:szCs w:val="18"/>
                <w:rtl/>
              </w:rPr>
              <w:t>. זה חריג לכלל "אחרי הגירושין אין מזונות אישה" – ויש לו חשיבות גם בבחינת סרבנות גט מטעמים כלכליים (סעיף 6.9).</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6.4 שיעור המזונות: הכללים לקביעתם לפי דין תורה</w:t>
      </w:r>
    </w:p>
    <w:p>
      <w:pPr>
        <w:bidi/>
        <w:spacing w:before="0" w:after="100" w:line="300" w:lineRule="auto"/>
        <w:jc w:val="both"/>
      </w:pPr>
      <w:r>
        <w:rPr>
          <w:rFonts w:ascii="Arial" w:hAnsi="Arial" w:cs="Arial" w:eastAsia="Arial"/>
          <w:color w:val="1F2430"/>
          <w:sz w:val="19"/>
          <w:szCs w:val="19"/>
          <w:rtl/>
        </w:rPr>
        <w:t>שלושה כללים מרכזיים:</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b/>
          <w:bCs/>
          <w:color w:val="1F2430"/>
          <w:sz w:val="19"/>
          <w:szCs w:val="19"/>
          <w:rtl/>
        </w:rPr>
        <w:t>עיקרון רמת החיים – "האישה עולה עמו ואינה יורדת עמו"</w:t>
      </w:r>
      <w:r>
        <w:rPr>
          <w:rFonts w:ascii="Arial" w:hAnsi="Arial" w:cs="Arial" w:eastAsia="Arial"/>
          <w:color w:val="1F2430"/>
          <w:sz w:val="19"/>
          <w:szCs w:val="19"/>
          <w:rtl/>
        </w:rPr>
        <w:t xml:space="preserve"> (כלשון הרמב"ם). האישה זכאית לרמת החיים של בעלה; הבסיס הוא לפחות רמת החיים שבאה ממנה בבית הוריה. הכלל חל גם בתקופת פירוד ולא רק בחיי נישואין תקינים. ובמדור – "המדור לפי עושרו".</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b/>
          <w:bCs/>
          <w:color w:val="1F2430"/>
          <w:sz w:val="19"/>
          <w:szCs w:val="19"/>
          <w:rtl/>
        </w:rPr>
        <w:t>האישה אינה צריכה להתפרנס מרכושה.</w:t>
      </w:r>
      <w:r>
        <w:rPr>
          <w:rFonts w:ascii="Arial" w:hAnsi="Arial" w:cs="Arial" w:eastAsia="Arial"/>
          <w:color w:val="1F2430"/>
          <w:sz w:val="19"/>
          <w:szCs w:val="19"/>
          <w:rtl/>
        </w:rPr>
        <w:t xml:space="preserve"> הבעל הוא החב במזונותיה, ולכן היא אינה חייבת לממן את עצמה מרכושה או מחסכונותיה (אך ראו בהמשך לגבי פירות).</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b/>
          <w:bCs/>
          <w:color w:val="1F2430"/>
          <w:sz w:val="19"/>
          <w:szCs w:val="19"/>
          <w:rtl/>
        </w:rPr>
        <w:t>המזונות הם "כדי צרכיה"</w:t>
      </w:r>
      <w:r>
        <w:rPr>
          <w:rFonts w:ascii="Arial" w:hAnsi="Arial" w:cs="Arial" w:eastAsia="Arial"/>
          <w:color w:val="1F2430"/>
          <w:sz w:val="19"/>
          <w:szCs w:val="19"/>
          <w:rtl/>
        </w:rPr>
        <w:t xml:space="preserve"> – המטרה איננה להעשיר את האישה אלא לאפשר לה להתקיים ולחיות לצד בעלה.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עיקר מזונות</w:t>
            </w:r>
          </w:p>
          <w:p>
            <w:pPr>
              <w:bidi/>
              <w:spacing w:before="0" w:after="60" w:line="300" w:lineRule="auto"/>
              <w:jc w:val="both"/>
            </w:pPr>
            <w:r>
              <w:rPr>
                <w:rFonts w:ascii="Arial" w:hAnsi="Arial" w:cs="Arial" w:eastAsia="Arial"/>
                <w:color w:val="1F2430"/>
                <w:sz w:val="18"/>
                <w:szCs w:val="18"/>
                <w:rtl/>
              </w:rPr>
              <w:t>"עיקר מזונות אישה" = כשיעור מזונות אשת עני בישראל, שלא נאמר בו "עולה עמו". המושג משמש גם בחישוב צורכי הילדים ההכרחיים (פרק 10).</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המדור – חלק מהמזונות</w:t>
      </w:r>
    </w:p>
    <w:p>
      <w:pPr>
        <w:bidi/>
        <w:spacing w:before="0" w:after="100" w:line="300" w:lineRule="auto"/>
        <w:jc w:val="both"/>
      </w:pPr>
      <w:r>
        <w:rPr>
          <w:rFonts w:ascii="Arial" w:hAnsi="Arial" w:cs="Arial" w:eastAsia="Arial"/>
          <w:color w:val="1F2430"/>
          <w:sz w:val="19"/>
          <w:szCs w:val="19"/>
          <w:rtl/>
        </w:rPr>
        <w:t xml:space="preserve">המדור (מגורים) הוא חלק מהמזונות, ולכן גם עליו חל הדין האישי. כאן בא לידי ביטוי באופן החד ביותר כיצד </w:t>
      </w:r>
      <w:r>
        <w:rPr>
          <w:rFonts w:ascii="Arial" w:hAnsi="Arial" w:cs="Arial" w:eastAsia="Arial"/>
          <w:b/>
          <w:bCs/>
          <w:color w:val="1F2430"/>
          <w:sz w:val="19"/>
          <w:szCs w:val="19"/>
          <w:rtl/>
        </w:rPr>
        <w:t>אותו דין</w:t>
      </w:r>
      <w:r>
        <w:rPr>
          <w:rFonts w:ascii="Arial" w:hAnsi="Arial" w:cs="Arial" w:eastAsia="Arial"/>
          <w:color w:val="1F2430"/>
          <w:sz w:val="19"/>
          <w:szCs w:val="19"/>
          <w:rtl/>
        </w:rPr>
        <w:t xml:space="preserve"> מקבל </w:t>
      </w:r>
      <w:r>
        <w:rPr>
          <w:rFonts w:ascii="Arial" w:hAnsi="Arial" w:cs="Arial" w:eastAsia="Arial"/>
          <w:b/>
          <w:bCs/>
          <w:color w:val="1F2430"/>
          <w:sz w:val="19"/>
          <w:szCs w:val="19"/>
          <w:rtl/>
        </w:rPr>
        <w:t>פרשנות שונה</w:t>
      </w:r>
      <w:r>
        <w:rPr>
          <w:rFonts w:ascii="Arial" w:hAnsi="Arial" w:cs="Arial" w:eastAsia="Arial"/>
          <w:color w:val="1F2430"/>
          <w:sz w:val="19"/>
          <w:szCs w:val="19"/>
          <w:rtl/>
        </w:rPr>
        <w:t xml:space="preserve"> בכל ערכאה – ומכאן חשיבות מירוץ הסמכויות.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כליפה נ' כליפה (1993)</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נשואים כדמו"י; הדירה רשומה על שם שניהם. הבעל תבע פירוק שיתוף בבית משפט השלום, שעיכב את הפירוק בחודשיים כדי שהאישה תחליט היכן לתבוע. האישה תבעה מזונות ומדור במחוזי, והשופט צבי טל קבע שהיא זכאית למדור ספציפי בדירה – אין להוציאה "מן הנווה הטוב אל הנווה הרע".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קיבל את ערעור הבעל: לפי דין תורה האישה זכאית למדור, אך </w:t>
            </w:r>
            <w:r>
              <w:rPr>
                <w:rFonts w:ascii="Arial" w:hAnsi="Arial" w:cs="Arial" w:eastAsia="Arial"/>
                <w:color w:val="1F2430"/>
                <w:sz w:val="18"/>
                <w:szCs w:val="18"/>
                <w:highlight w:val="yellow"/>
                <w:rtl/>
              </w:rPr>
              <w:t>המדור אינו חייב להיות בדירה שבה גרו</w:t>
            </w:r>
            <w:r>
              <w:rPr>
                <w:rFonts w:ascii="Arial" w:hAnsi="Arial" w:cs="Arial" w:eastAsia="Arial"/>
                <w:color w:val="1F2430"/>
                <w:sz w:val="18"/>
                <w:szCs w:val="18"/>
                <w:rtl/>
              </w:rPr>
              <w:t xml:space="preserve"> – אפשר דירה חלופית (גם בשכירות), ובלבד שתהיה בתנאים שהורגלה בהם. מה שנחשב "ירידה" הוא, למשל, גודל הדירה או מעבר מעיר לכפר – לא עצם המעבר מדירה בבעלות לדירה שכורה.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הערכאה האזרחית פוסקת לפי דין תורה, אך נותנת לו פרשנות משלה.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אקנין נ' אקנין (1994)</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אותו סיפור – אך הפעם האישה פנתה לבית הדין הרבני. האזורי והגדול קבעו שהיא נשארת בדירה (מדור ספציפי), שכן הוצאתה לשכירות היא "טלטול" הנוגד את "עולה עמו". הבעל עתר לבג"ץ: בית הדין חרג מסמכותו כשהתעלם מהלכת כליפה.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העתירה נדחתה. </w:t>
            </w:r>
            <w:r>
              <w:rPr>
                <w:rFonts w:ascii="Arial" w:hAnsi="Arial" w:cs="Arial" w:eastAsia="Arial"/>
                <w:color w:val="1F2430"/>
                <w:sz w:val="18"/>
                <w:szCs w:val="18"/>
                <w:highlight w:val="yellow"/>
                <w:rtl/>
              </w:rPr>
              <w:t>הפרשנות שנתנה הערכאה האזרחית לדין האישי אינה מחייבת את בית הדין הרבני</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המחשה קלאסית לכך שגם כשהדין זהה – למקום הגשת התביעה יש משמעות מכרעת.</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המתח בין פירוק שיתוף למדור ספציפי</w:t>
      </w:r>
    </w:p>
    <w:p>
      <w:pPr>
        <w:bidi/>
        <w:spacing w:before="0" w:after="100" w:line="300" w:lineRule="auto"/>
        <w:jc w:val="both"/>
      </w:pPr>
      <w:r>
        <w:rPr>
          <w:rFonts w:ascii="Arial" w:hAnsi="Arial" w:cs="Arial" w:eastAsia="Arial"/>
          <w:color w:val="1F2430"/>
          <w:sz w:val="19"/>
          <w:szCs w:val="19"/>
          <w:rtl/>
        </w:rPr>
        <w:t>הערכאה האזרחית רואה בפירוק שיתוף זכות כמעט מוחלטת – סעיף 37(א) לחוק המקרקעין: "כל שותף במקרקעין משותפים זכאי בכל עת לדרוש פירוק השיתוף". בעקבות פס"ד ראש חודש נ' ראש חודש, שחידד שבני זוג אינם שותפים זרים, נוסף סעיף 40א לחוק המקרקעין (1995) ובהמשך סעיף 6א לחוק יחסי ממון (2008): בפירוק שיתוף בין בני זוג על הערכאה להידרש ל</w:t>
      </w:r>
      <w:r>
        <w:rPr>
          <w:rFonts w:ascii="Arial" w:hAnsi="Arial" w:cs="Arial" w:eastAsia="Arial"/>
          <w:color w:val="1F2430"/>
          <w:sz w:val="19"/>
          <w:szCs w:val="19"/>
          <w:highlight w:val="yellow"/>
          <w:rtl/>
        </w:rPr>
        <w:t>מדור חלופי</w:t>
      </w:r>
      <w:r>
        <w:rPr>
          <w:rFonts w:ascii="Arial" w:hAnsi="Arial" w:cs="Arial" w:eastAsia="Arial"/>
          <w:color w:val="1F2430"/>
          <w:sz w:val="19"/>
          <w:szCs w:val="19"/>
          <w:rtl/>
        </w:rPr>
        <w:t xml:space="preserve"> להורה המחזיק בילדים ולילדים עצמם. לעומתה, הערכאה הדתית אינה ממהרת לפרק – "בלי בית אין שלום בית" – והאישה זכאית למדור ספציפי (או חלופי) עד פקיעת הנישואין.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304/04 יאיר נ' בית הדין הרבני ובג"ץ 207/04 גולדנברג נ' גולדנברג</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הבעל הקדים ותבע פירוק שיתוף בערכאה האזרחית; האישה פנתה אחריו לבית הדין וקיבלה צו מדור ספציפי. הבעל עתר.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העתירות נדחו: "בית מגורים אינו מדור בלבד אלא הוא ליבו ומהותו של שלום הבית". גם אם הבעל הקדים במירוץ, צו מדור ספציפי של בית הדין </w:t>
            </w:r>
            <w:r>
              <w:rPr>
                <w:rFonts w:ascii="Arial" w:hAnsi="Arial" w:cs="Arial" w:eastAsia="Arial"/>
                <w:color w:val="1F2430"/>
                <w:sz w:val="18"/>
                <w:szCs w:val="18"/>
                <w:highlight w:val="yellow"/>
                <w:rtl/>
              </w:rPr>
              <w:t>מונע מהערכאה האזרחית לפרק את השיתוף</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במקום לגשר – החיכוך גבר; בתי הדין החלו להוציא צווי מדור ספציפי כמעט בכל מקרה.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הרב דיכובסקי</w:t>
      </w:r>
      <w:r>
        <w:rPr>
          <w:rFonts w:ascii="Arial" w:hAnsi="Arial" w:cs="Arial" w:eastAsia="Arial"/>
          <w:color w:val="1F2430"/>
          <w:sz w:val="19"/>
          <w:szCs w:val="19"/>
          <w:rtl/>
        </w:rPr>
        <w:t xml:space="preserve"> (בית הדין הגדול) מתח ביקורת בפרשת ניגאו: לא בכל מקרה יש להוציא צו מדור ספציפי, ולעיתים ניתן לפרק שיתוף לפני פקיעת הנישואין. </w:t>
      </w:r>
      <w:r>
        <w:rPr>
          <w:rFonts w:ascii="Arial" w:hAnsi="Arial" w:cs="Arial" w:eastAsia="Arial"/>
          <w:b/>
          <w:bCs/>
          <w:color w:val="1F2430"/>
          <w:sz w:val="19"/>
          <w:szCs w:val="19"/>
          <w:rtl/>
        </w:rPr>
        <w:t>שלושה סייגים</w:t>
      </w:r>
      <w:r>
        <w:rPr>
          <w:rFonts w:ascii="Arial" w:hAnsi="Arial" w:cs="Arial" w:eastAsia="Arial"/>
          <w:color w:val="1F2430"/>
          <w:sz w:val="19"/>
          <w:szCs w:val="19"/>
          <w:rtl/>
        </w:rPr>
        <w:t xml:space="preserve"> לצו:</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color w:val="1F2430"/>
          <w:sz w:val="19"/>
          <w:szCs w:val="19"/>
          <w:rtl/>
        </w:rPr>
        <w:t>הנישואין הגיעו לקיצם ("מות הנישואין") – "אין אנו עוסקים בהחייאת מתים".</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color w:val="1F2430"/>
          <w:sz w:val="19"/>
          <w:szCs w:val="19"/>
          <w:rtl/>
        </w:rPr>
        <w:t>האישה פיצלה את תביעותיה – רכוש בערכאה האזרחית ומדור ספציפי בבית הדין.</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color w:val="1F2430"/>
          <w:sz w:val="19"/>
          <w:szCs w:val="19"/>
          <w:rtl/>
        </w:rPr>
        <w:t>הבעל מציע הסדר מגורים הוגן ולא מקפח, והאישה מסרבת בכל זאת.</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6.5 מבנה טענות ההגנה של הבעל</w:t>
      </w:r>
    </w:p>
    <w:p>
      <w:pPr>
        <w:bidi/>
        <w:spacing w:before="0" w:after="100" w:line="300" w:lineRule="auto"/>
        <w:jc w:val="both"/>
      </w:pPr>
      <w:r>
        <w:rPr>
          <w:rFonts w:ascii="Arial" w:hAnsi="Arial" w:cs="Arial" w:eastAsia="Arial"/>
          <w:color w:val="1F2430"/>
          <w:sz w:val="19"/>
          <w:szCs w:val="19"/>
          <w:rtl/>
        </w:rPr>
        <w:t>מאחר שהחיוב תלוי בהתנהגות האישה, הבעל מתגונן בטענות נגד התנהלותה. הטענות מתפצלות לשתי קטגוריות:</w:t>
      </w:r>
    </w:p>
    <w:tbl>
      <w:tblPr>
        <w:tblW w:type="dxa" w:w="10206"/>
        <w:jc w:val="center"/>
        <w:tblLook w:firstColumn="1" w:firstRow="1" w:lastColumn="0" w:lastRow="0" w:noHBand="0" w:noVBand="1" w:val="04A0"/>
        <w:bidiVisual/>
        <w:tblLayout w:type="fixed"/>
      </w:tblPr>
      <w:tblGrid>
        <w:gridCol w:w="1280"/>
        <w:gridCol w:w="3461"/>
        <w:gridCol w:w="5464"/>
      </w:tblGrid>
      <w:tr>
        <w:trPr>
          <w:tblHeader/>
        </w:trPr>
        <w:tc>
          <w:tcPr>
            <w:tcW w:type="dxa" w:w="1280"/>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p>
        </w:tc>
        <w:tc>
          <w:tcPr>
            <w:tcW w:type="dxa" w:w="3461"/>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טענות קיזוז</w:t>
            </w:r>
          </w:p>
        </w:tc>
        <w:tc>
          <w:tcPr>
            <w:tcW w:type="dxa" w:w="5464"/>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טענות פטור</w:t>
            </w:r>
          </w:p>
        </w:tc>
      </w:tr>
      <w:tr>
        <w:trPr>
          <w:cantSplit/>
        </w:trPr>
        <w:tc>
          <w:tcPr>
            <w:tcW w:type="dxa" w:w="12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מה הבעל טוען</w:t>
            </w:r>
          </w:p>
        </w:tc>
        <w:tc>
          <w:tcPr>
            <w:tcW w:type="dxa" w:w="346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"מגיעים לה מזונות, אבל יש לקזז"</w:t>
            </w:r>
          </w:p>
        </w:tc>
        <w:tc>
          <w:tcPr>
            <w:tcW w:type="dxa" w:w="546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מגיע לה דבר"</w:t>
            </w:r>
          </w:p>
        </w:tc>
      </w:tr>
      <w:tr>
        <w:trPr>
          <w:cantSplit/>
        </w:trPr>
        <w:tc>
          <w:tcPr>
            <w:tcW w:type="dxa" w:w="12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התוצאה</w:t>
            </w:r>
          </w:p>
        </w:tc>
        <w:tc>
          <w:tcPr>
            <w:tcW w:type="dxa" w:w="346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הפחתת סכום המזונות</w:t>
            </w:r>
          </w:p>
        </w:tc>
        <w:tc>
          <w:tcPr>
            <w:tcW w:type="dxa" w:w="546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שלילת המזונות כולם</w:t>
            </w:r>
          </w:p>
        </w:tc>
      </w:tr>
      <w:tr>
        <w:trPr>
          <w:cantSplit/>
        </w:trPr>
        <w:tc>
          <w:tcPr>
            <w:tcW w:type="dxa" w:w="12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הבסיס</w:t>
            </w:r>
          </w:p>
        </w:tc>
        <w:tc>
          <w:tcPr>
            <w:tcW w:type="dxa" w:w="346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זכויות הבעל: מעשה ידיה ופירות נכסיה</w:t>
            </w:r>
          </w:p>
        </w:tc>
        <w:tc>
          <w:tcPr>
            <w:tcW w:type="dxa" w:w="546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ברובן ככולן – </w:t>
            </w:r>
            <w:r>
              <w:rPr>
                <w:rFonts w:ascii="Arial" w:hAnsi="Arial" w:cs="Arial" w:eastAsia="Arial"/>
                <w:color w:val="1F2430"/>
                <w:sz w:val="17"/>
                <w:szCs w:val="17"/>
                <w:highlight w:val="yellow"/>
                <w:rtl/>
              </w:rPr>
              <w:t>עילות גירושין</w:t>
            </w:r>
          </w:p>
        </w:tc>
      </w:tr>
      <w:tr>
        <w:trPr>
          <w:cantSplit/>
        </w:trPr>
        <w:tc>
          <w:tcPr>
            <w:tcW w:type="dxa" w:w="12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הדוגמאות</w:t>
            </w:r>
          </w:p>
        </w:tc>
        <w:tc>
          <w:tcPr>
            <w:tcW w:type="dxa" w:w="346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מעשה ידיה (ופוטנציאל השתכרות), פירותיה</w:t>
            </w:r>
          </w:p>
        </w:tc>
        <w:tc>
          <w:tcPr>
            <w:tcW w:type="dxa" w:w="546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אין תוקף לנישואין, מעין מורדת, מורדת, בגידה, מעשה כיעור, עוברת על דת משה, עוברת על דת יהודית</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6.6 טענת קיזוז ראשונה: מעשה ידיה ופוטנציאל ההשתכרות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מעשה ידיה</w:t>
            </w:r>
          </w:p>
          <w:p>
            <w:pPr>
              <w:bidi/>
              <w:spacing w:before="0" w:after="60" w:line="300" w:lineRule="auto"/>
              <w:jc w:val="both"/>
            </w:pPr>
            <w:r>
              <w:rPr>
                <w:rFonts w:ascii="Arial" w:hAnsi="Arial" w:cs="Arial" w:eastAsia="Arial"/>
                <w:color w:val="1F2430"/>
                <w:sz w:val="18"/>
                <w:szCs w:val="18"/>
                <w:rtl/>
              </w:rPr>
              <w:t xml:space="preserve">השכר שהאישה מקבלת בעבור עבודתה. לפי ההלכה מעשה ידיה שייכים לבעל, </w:t>
            </w:r>
            <w:r>
              <w:rPr>
                <w:rFonts w:ascii="Arial" w:hAnsi="Arial" w:cs="Arial" w:eastAsia="Arial"/>
                <w:color w:val="1F2430"/>
                <w:sz w:val="18"/>
                <w:szCs w:val="18"/>
                <w:highlight w:val="yellow"/>
                <w:rtl/>
              </w:rPr>
              <w:t>כנגד מזונותיה</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האישה רשאית לוותר על ההסדר ולומר "</w:t>
      </w:r>
      <w:r>
        <w:rPr>
          <w:rFonts w:ascii="Arial" w:hAnsi="Arial" w:cs="Arial" w:eastAsia="Arial"/>
          <w:b/>
          <w:bCs/>
          <w:color w:val="1F2430"/>
          <w:sz w:val="19"/>
          <w:szCs w:val="19"/>
          <w:rtl/>
        </w:rPr>
        <w:t>אינני ניזונת ואינני עושה</w:t>
      </w:r>
      <w:r>
        <w:rPr>
          <w:rFonts w:ascii="Arial" w:hAnsi="Arial" w:cs="Arial" w:eastAsia="Arial"/>
          <w:color w:val="1F2430"/>
          <w:sz w:val="19"/>
          <w:szCs w:val="19"/>
          <w:rtl/>
        </w:rPr>
        <w:t>" – כלומר: אינני דורשת מזונות, ושכרי נשאר אצלי. היא תעשה זאת כאשר משכורתה גבוהה מהמזונות. כאן מתעוררות שתי שאלות:</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color w:val="1F2430"/>
          <w:sz w:val="19"/>
          <w:szCs w:val="19"/>
          <w:rtl/>
        </w:rPr>
        <w:t>האם ניתן לחייב אישה לצאת לעבוד?</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color w:val="1F2430"/>
          <w:sz w:val="19"/>
          <w:szCs w:val="19"/>
          <w:rtl/>
        </w:rPr>
        <w:t xml:space="preserve">אם לא – האם ניתן לפחות לקזז ממזונותיה את </w:t>
      </w:r>
      <w:r>
        <w:rPr>
          <w:rFonts w:ascii="Arial" w:hAnsi="Arial" w:cs="Arial" w:eastAsia="Arial"/>
          <w:b/>
          <w:bCs/>
          <w:color w:val="1F2430"/>
          <w:sz w:val="19"/>
          <w:szCs w:val="19"/>
          <w:rtl/>
        </w:rPr>
        <w:t>פוטנציאל ההשתכרות</w:t>
      </w:r>
      <w:r>
        <w:rPr>
          <w:rFonts w:ascii="Arial" w:hAnsi="Arial" w:cs="Arial" w:eastAsia="Arial"/>
          <w:color w:val="1F2430"/>
          <w:sz w:val="19"/>
          <w:szCs w:val="19"/>
          <w:rtl/>
        </w:rPr>
        <w:t xml:space="preserve"> שלה?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מזור</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התשובה לשתי השאלות – </w:t>
            </w:r>
            <w:r>
              <w:rPr>
                <w:rFonts w:ascii="Arial" w:hAnsi="Arial" w:cs="Arial" w:eastAsia="Arial"/>
                <w:color w:val="1F2430"/>
                <w:sz w:val="18"/>
                <w:szCs w:val="18"/>
                <w:highlight w:val="yellow"/>
                <w:rtl/>
              </w:rPr>
              <w:t>שלילית</w:t>
            </w:r>
            <w:r>
              <w:rPr>
                <w:rFonts w:ascii="Arial" w:hAnsi="Arial" w:cs="Arial" w:eastAsia="Arial"/>
                <w:color w:val="1F2430"/>
                <w:sz w:val="18"/>
                <w:szCs w:val="18"/>
                <w:rtl/>
              </w:rPr>
              <w:t xml:space="preserve">. ההלכה אינה מחייבת את האישה לצאת לעבוד; היא רק אומרת: אם יצאת לעבוד – מעשה ידייך לבעלך. לכן לא ניתן גם לקזז פוטנציאל השתכרות.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נקודת המוצא של כל הסוגיה.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השופט </w:t>
      </w:r>
      <w:r>
        <w:rPr>
          <w:rFonts w:ascii="Arial" w:hAnsi="Arial" w:cs="Arial" w:eastAsia="Arial"/>
          <w:b/>
          <w:bCs/>
          <w:color w:val="1F2430"/>
          <w:sz w:val="19"/>
          <w:szCs w:val="19"/>
          <w:rtl/>
        </w:rPr>
        <w:t>שמגר</w:t>
      </w:r>
      <w:r>
        <w:rPr>
          <w:rFonts w:ascii="Arial" w:hAnsi="Arial" w:cs="Arial" w:eastAsia="Arial"/>
          <w:color w:val="1F2430"/>
          <w:sz w:val="19"/>
          <w:szCs w:val="19"/>
          <w:rtl/>
        </w:rPr>
        <w:t xml:space="preserve"> ראה בכך תוצאה בעייתית – תמריץ לנשים לא לעבוד, ולהפסיק לעבוד בחוסר תום לב – וביקש לאמץ קו שוויוני: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ביקל נ' ביקל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יהודים, נישואים שניים. לאישה כישורים מקצועיים וניסיון תעסוקתי – עבדה כל חייה הבוגרים. כשהיחסים עלו על שרטון הודיעה שהיא מפסיקה לעבוד ותבעה מזונות.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שמגר הביע פליאה: מדוע אישה שעבדה כל חייה, שילדיה גדולים ומצבה הבריאותי טוב, מפסיקה לעבוד? הוא פסק לה רק חלק קטן מהסכום (לפי סיכום השיעור – </w:t>
            </w:r>
            <w:r>
              <w:rPr>
                <w:rFonts w:ascii="Arial" w:hAnsi="Arial" w:cs="Arial" w:eastAsia="Arial"/>
                <w:color w:val="1F2430"/>
                <w:sz w:val="18"/>
                <w:szCs w:val="18"/>
                <w:highlight w:val="yellow"/>
                <w:rtl/>
              </w:rPr>
              <w:t>כשליש מהסכום שתבעה</w:t>
            </w:r>
            <w:r>
              <w:rPr>
                <w:rFonts w:ascii="Arial" w:hAnsi="Arial" w:cs="Arial" w:eastAsia="Arial"/>
                <w:color w:val="1F2430"/>
                <w:sz w:val="18"/>
                <w:szCs w:val="18"/>
                <w:rtl/>
              </w:rPr>
              <w:t xml:space="preserve">), על בסיס עקרונות תום הלב והשוויון.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ניסיון לקזז בפועל פוטנציאל השתכרות.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פדן נ' פדן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צעירים בנישואים ראשונים, ילדה בת 4; האישה למדה תואר אקדמי, אך כשהיחסים התערערו בחרה לא לצאת לעבוד ותבעה מזונות.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שמגר: "דרכן של נשים צעירות לצאת ולעבוד". הוא ביקש לאמץ את עקרון </w:t>
            </w:r>
            <w:r>
              <w:rPr>
                <w:rFonts w:ascii="Arial" w:hAnsi="Arial" w:cs="Arial" w:eastAsia="Arial"/>
                <w:color w:val="1F2430"/>
                <w:sz w:val="18"/>
                <w:szCs w:val="18"/>
                <w:highlight w:val="yellow"/>
                <w:rtl/>
              </w:rPr>
              <w:t>הפרידה הנקייה</w:t>
            </w:r>
            <w:r>
              <w:rPr>
                <w:rFonts w:ascii="Arial" w:hAnsi="Arial" w:cs="Arial" w:eastAsia="Arial"/>
                <w:color w:val="1F2430"/>
                <w:sz w:val="18"/>
                <w:szCs w:val="18"/>
                <w:rtl/>
              </w:rPr>
              <w:t xml:space="preserve"> – לא לייצר תלות כלכלית בין בני הזוג, אלא שכל אחד יצא לדרכו הכלכלית. גם כאן נפסק כשליש מהסכום שנתבע.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על ביקל ופדן הסתמכו שורה ארוכה של פסקי דין בבתי המשפט לענייני משפחה – עד 1996.</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פלולי נ' פלולי (1996)</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נישואים כדמו"י של מעל 30 שנה, ארבעה ילדים משותפים (ולבעל שניים נוספים מאישה אחרת). האישה סבלה מאלימות כלכלית, נפשית ופיזית, מבעל מהמר ובוגד; היא מעולם לא עבדה. כשהייתה כבת 60 ביקש הבעל, בהסתמך על ביקל ופדן, לקזז את פוטנציאל השתכרותה.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(השופט טירקל) דחה את טענות הבעל ו"החזיר עטרה ליושנה": </w:t>
            </w:r>
            <w:r>
              <w:rPr>
                <w:rFonts w:ascii="Arial" w:hAnsi="Arial" w:cs="Arial" w:eastAsia="Arial"/>
                <w:color w:val="1F2430"/>
                <w:sz w:val="18"/>
                <w:szCs w:val="18"/>
                <w:highlight w:val="yellow"/>
                <w:rtl/>
              </w:rPr>
              <w:t>ככלל, לא ניתן לחייב אישה לצאת לעבוד ולא ניתן לקזז פוטנציאל השתכרות</w:t>
            </w:r>
            <w:r>
              <w:rPr>
                <w:rFonts w:ascii="Arial" w:hAnsi="Arial" w:cs="Arial" w:eastAsia="Arial"/>
                <w:color w:val="1F2430"/>
                <w:sz w:val="18"/>
                <w:szCs w:val="18"/>
                <w:rtl/>
              </w:rPr>
              <w:t xml:space="preserve">. אולם </w:t>
            </w:r>
            <w:r>
              <w:rPr>
                <w:rFonts w:ascii="Arial" w:hAnsi="Arial" w:cs="Arial" w:eastAsia="Arial"/>
                <w:b/>
                <w:bCs/>
                <w:color w:val="1F2430"/>
                <w:sz w:val="18"/>
                <w:szCs w:val="18"/>
                <w:rtl/>
              </w:rPr>
              <w:t>במקרים מתאימים</w:t>
            </w:r>
            <w:r>
              <w:rPr>
                <w:rFonts w:ascii="Arial" w:hAnsi="Arial" w:cs="Arial" w:eastAsia="Arial"/>
                <w:color w:val="1F2430"/>
                <w:sz w:val="18"/>
                <w:szCs w:val="18"/>
                <w:rtl/>
              </w:rPr>
              <w:t xml:space="preserve"> ניתן לבחון קיזוז פוטנציאל השתכרות (ביקל ופדן הם החריג) – לא באופן אוטומטי, ו</w:t>
            </w:r>
            <w:r>
              <w:rPr>
                <w:rFonts w:ascii="Arial" w:hAnsi="Arial" w:cs="Arial" w:eastAsia="Arial"/>
                <w:color w:val="1F2430"/>
                <w:sz w:val="18"/>
                <w:szCs w:val="18"/>
                <w:highlight w:val="yellow"/>
                <w:rtl/>
              </w:rPr>
              <w:t>נטל ההוכחה על הבעל</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ההלכה המחייבת כיום – כלל וחריג.</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הפרמטרים לבחינת פוטנציאל ההשתכרות</w:t>
      </w:r>
    </w:p>
    <w:p>
      <w:pPr>
        <w:bidi/>
        <w:spacing w:before="0" w:after="100" w:line="300" w:lineRule="auto"/>
        <w:jc w:val="both"/>
      </w:pPr>
      <w:r>
        <w:rPr>
          <w:rFonts w:ascii="Arial" w:hAnsi="Arial" w:cs="Arial" w:eastAsia="Arial"/>
          <w:color w:val="1F2430"/>
          <w:sz w:val="19"/>
          <w:szCs w:val="19"/>
          <w:rtl/>
        </w:rPr>
        <w:t xml:space="preserve">הפרמטרים התגבשו בשורת פסקי דין. הם </w:t>
      </w:r>
      <w:r>
        <w:rPr>
          <w:rFonts w:ascii="Arial" w:hAnsi="Arial" w:cs="Arial" w:eastAsia="Arial"/>
          <w:color w:val="1F2430"/>
          <w:sz w:val="19"/>
          <w:szCs w:val="19"/>
          <w:highlight w:val="yellow"/>
          <w:rtl/>
        </w:rPr>
        <w:t>אינם מצטברים</w:t>
      </w:r>
      <w:r>
        <w:rPr>
          <w:rFonts w:ascii="Arial" w:hAnsi="Arial" w:cs="Arial" w:eastAsia="Arial"/>
          <w:color w:val="1F2430"/>
          <w:sz w:val="19"/>
          <w:szCs w:val="19"/>
          <w:rtl/>
        </w:rPr>
        <w:t>, אך מלמדים את בית המשפט אם יש לאישה פוטנציאל השתכרות:</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color w:val="1F2430"/>
          <w:sz w:val="19"/>
          <w:szCs w:val="19"/>
          <w:rtl/>
        </w:rPr>
        <w:t>גילה של האישה.</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color w:val="1F2430"/>
          <w:sz w:val="19"/>
          <w:szCs w:val="19"/>
          <w:rtl/>
        </w:rPr>
        <w:t>מצבה הבריאותי.</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color w:val="1F2430"/>
          <w:sz w:val="19"/>
          <w:szCs w:val="19"/>
          <w:rtl/>
        </w:rPr>
        <w:t>כישוריה המקצועיים.</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4. </w:t>
      </w:r>
      <w:r>
        <w:tab/>
      </w:r>
      <w:r>
        <w:rPr>
          <w:rFonts w:ascii="Arial" w:hAnsi="Arial" w:cs="Arial" w:eastAsia="Arial"/>
          <w:color w:val="1F2430"/>
          <w:sz w:val="19"/>
          <w:szCs w:val="19"/>
          <w:rtl/>
        </w:rPr>
        <w:t>יכולתה להשתלב בשוק העבודה הרלוונטי.</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5. </w:t>
      </w:r>
      <w:r>
        <w:tab/>
      </w:r>
      <w:r>
        <w:rPr>
          <w:rFonts w:ascii="Arial" w:hAnsi="Arial" w:cs="Arial" w:eastAsia="Arial"/>
          <w:color w:val="1F2430"/>
          <w:sz w:val="19"/>
          <w:szCs w:val="19"/>
          <w:rtl/>
        </w:rPr>
        <w:t>ניסיון תעסוקתי – האם עבדה בעבר.</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6. </w:t>
      </w:r>
      <w:r>
        <w:tab/>
      </w:r>
      <w:r>
        <w:rPr>
          <w:rFonts w:ascii="Arial" w:hAnsi="Arial" w:cs="Arial" w:eastAsia="Arial"/>
          <w:color w:val="1F2430"/>
          <w:sz w:val="19"/>
          <w:szCs w:val="19"/>
          <w:rtl/>
        </w:rPr>
        <w:t>נסיבות הפסקת העבודה (אם עבדה).</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7. </w:t>
      </w:r>
      <w:r>
        <w:tab/>
      </w:r>
      <w:r>
        <w:rPr>
          <w:rFonts w:ascii="Arial" w:hAnsi="Arial" w:cs="Arial" w:eastAsia="Arial"/>
          <w:color w:val="1F2430"/>
          <w:sz w:val="19"/>
          <w:szCs w:val="19"/>
          <w:rtl/>
        </w:rPr>
        <w:t>משך הנישואין.</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8. </w:t>
      </w:r>
      <w:r>
        <w:tab/>
      </w:r>
      <w:r>
        <w:rPr>
          <w:rFonts w:ascii="Arial" w:hAnsi="Arial" w:cs="Arial" w:eastAsia="Arial"/>
          <w:color w:val="1F2430"/>
          <w:sz w:val="19"/>
          <w:szCs w:val="19"/>
          <w:rtl/>
        </w:rPr>
        <w:t>ילדים – האם יש ילדים קטנים, גילם ומצבם הבריאותי.</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9. </w:t>
      </w:r>
      <w:r>
        <w:tab/>
      </w:r>
      <w:r>
        <w:rPr>
          <w:rFonts w:ascii="Arial" w:hAnsi="Arial" w:cs="Arial" w:eastAsia="Arial"/>
          <w:color w:val="1F2430"/>
          <w:sz w:val="19"/>
          <w:szCs w:val="19"/>
          <w:rtl/>
        </w:rPr>
        <w:t>מגורים משותפים – האם בני הזוג עדיין גרים תחת אותה קורת גג.</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הפער בין ההלכה לפרקטיקה</w:t>
            </w:r>
          </w:p>
          <w:p>
            <w:pPr>
              <w:bidi/>
              <w:spacing w:before="0" w:after="60" w:line="300" w:lineRule="auto"/>
              <w:jc w:val="both"/>
            </w:pPr>
            <w:r>
              <w:rPr>
                <w:rFonts w:ascii="Arial" w:hAnsi="Arial" w:cs="Arial" w:eastAsia="Arial"/>
                <w:color w:val="1F2430"/>
                <w:sz w:val="18"/>
                <w:szCs w:val="18"/>
                <w:rtl/>
              </w:rPr>
              <w:t xml:space="preserve">לפי מה שנלמד בתרגול, הערכאות הדיוניות בוחנות כל מקרה לגופו, ובפועל טענת קיזוז פוטנציאל ההשתכרות מתקבלת לא פעם. במבחן – ענו לפי ההלכה: </w:t>
            </w:r>
            <w:r>
              <w:rPr>
                <w:rFonts w:ascii="Arial" w:hAnsi="Arial" w:cs="Arial" w:eastAsia="Arial"/>
                <w:b/>
                <w:bCs/>
                <w:color w:val="1F2430"/>
                <w:sz w:val="18"/>
                <w:szCs w:val="18"/>
                <w:rtl/>
              </w:rPr>
              <w:t>הכלל – אין קיזוז; החריג – במקרים מתאימים, לא אוטומטית, הנטל על הבעל</w:t>
            </w:r>
            <w:r>
              <w:rPr>
                <w:rFonts w:ascii="Arial" w:hAnsi="Arial" w:cs="Arial" w:eastAsia="Arial"/>
                <w:color w:val="1F2430"/>
                <w:sz w:val="18"/>
                <w:szCs w:val="18"/>
                <w:rtl/>
              </w:rPr>
              <w:t>. באירוע: השוו את האישה לפלולי (מבוגרת, ללא ניסיון, נפגעת) או לביקל ופדן (צעירה/מנוסה, הפסיקה לעבוד בחוסר תום לב).</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6.7 טענת קיזוז שנייה: פירותיה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פירותיה</w:t>
            </w:r>
          </w:p>
          <w:p>
            <w:pPr>
              <w:bidi/>
              <w:spacing w:before="0" w:after="60" w:line="300" w:lineRule="auto"/>
              <w:jc w:val="both"/>
            </w:pPr>
            <w:r>
              <w:rPr>
                <w:rFonts w:ascii="Arial" w:hAnsi="Arial" w:cs="Arial" w:eastAsia="Arial"/>
                <w:color w:val="1F2430"/>
                <w:sz w:val="18"/>
                <w:szCs w:val="18"/>
                <w:rtl/>
              </w:rPr>
              <w:t xml:space="preserve">הרווחים שהאישה מפיקה מנכסים שלה (לפי מה שנלמד – נכסים מלפני הנישואין), כגון דמי שכירות מדירתה או דיבידנד ממניות. </w:t>
            </w:r>
            <w:r>
              <w:rPr>
                <w:rFonts w:ascii="Arial" w:hAnsi="Arial" w:cs="Arial" w:eastAsia="Arial"/>
                <w:color w:val="1F2430"/>
                <w:sz w:val="18"/>
                <w:szCs w:val="18"/>
                <w:highlight w:val="yellow"/>
                <w:rtl/>
              </w:rPr>
              <w:t>הנכס עצמו נשאר שלה</w:t>
            </w:r>
            <w:r>
              <w:rPr>
                <w:rFonts w:ascii="Arial" w:hAnsi="Arial" w:cs="Arial" w:eastAsia="Arial"/>
                <w:color w:val="1F2430"/>
                <w:sz w:val="18"/>
                <w:szCs w:val="18"/>
                <w:rtl/>
              </w:rPr>
              <w:t>; לפי ההלכה הפירות שייכים לבעל.</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מדוע? כי אחד מעשרת חיובי הבעל הוא </w:t>
      </w:r>
      <w:r>
        <w:rPr>
          <w:rFonts w:ascii="Arial" w:hAnsi="Arial" w:cs="Arial" w:eastAsia="Arial"/>
          <w:color w:val="1F2430"/>
          <w:sz w:val="19"/>
          <w:szCs w:val="19"/>
          <w:highlight w:val="yellow"/>
          <w:rtl/>
        </w:rPr>
        <w:t>פדיונה מן השבי</w:t>
      </w:r>
      <w:r>
        <w:rPr>
          <w:rFonts w:ascii="Arial" w:hAnsi="Arial" w:cs="Arial" w:eastAsia="Arial"/>
          <w:color w:val="1F2430"/>
          <w:sz w:val="19"/>
          <w:szCs w:val="19"/>
          <w:rtl/>
        </w:rPr>
        <w:t xml:space="preserve">, והפירות הם כנגדו. בניגוד למעשה ידיה, את ההסדר הזה </w:t>
      </w:r>
      <w:r>
        <w:rPr>
          <w:rFonts w:ascii="Arial" w:hAnsi="Arial" w:cs="Arial" w:eastAsia="Arial"/>
          <w:color w:val="1F2430"/>
          <w:sz w:val="19"/>
          <w:szCs w:val="19"/>
          <w:highlight w:val="yellow"/>
          <w:rtl/>
        </w:rPr>
        <w:t>האישה אינה יכולה לוותר עליו</w:t>
      </w:r>
      <w:r>
        <w:rPr>
          <w:rFonts w:ascii="Arial" w:hAnsi="Arial" w:cs="Arial" w:eastAsia="Arial"/>
          <w:color w:val="1F2430"/>
          <w:sz w:val="19"/>
          <w:szCs w:val="19"/>
          <w:rtl/>
        </w:rPr>
        <w:t xml:space="preserve"> – גם אם תסכים בכתב לוותר על חובת הפדיון, ההלכה לא תקבל זאת.</w:t>
      </w:r>
    </w:p>
    <w:p>
      <w:pPr>
        <w:bidi/>
        <w:spacing w:before="0" w:after="100" w:line="300" w:lineRule="auto"/>
        <w:jc w:val="both"/>
      </w:pPr>
      <w:r>
        <w:rPr>
          <w:rFonts w:ascii="Arial" w:hAnsi="Arial" w:cs="Arial" w:eastAsia="Arial"/>
          <w:color w:val="1F2430"/>
          <w:sz w:val="19"/>
          <w:szCs w:val="19"/>
          <w:rtl/>
        </w:rPr>
        <w:t>ההלכה פוגעת אפוא בקניינה של האישה (וכיום – גם סעיף 3 לחוק יסוד: כבוד האדם וחירותו). המחוקק התמודד עם כך בשלבים: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שיווי זכויות האישה, התשי"א-1951 – סעיף 2</w:t>
            </w:r>
          </w:p>
          <w:p>
            <w:pPr>
              <w:bidi/>
              <w:spacing w:before="0" w:after="60" w:line="300" w:lineRule="auto"/>
              <w:jc w:val="both"/>
            </w:pPr>
            <w:r>
              <w:rPr>
                <w:rFonts w:ascii="Arial" w:hAnsi="Arial" w:cs="Arial" w:eastAsia="Arial"/>
                <w:color w:val="1F2430"/>
                <w:sz w:val="18"/>
                <w:szCs w:val="18"/>
                <w:rtl/>
              </w:rPr>
              <w:t>לאישה נשואה תהא כשרות מלאה לקניין ולעשיית פעולות בקניינה כאילו הייתה פנויה, ו</w:t>
            </w:r>
            <w:r>
              <w:rPr>
                <w:rFonts w:ascii="Arial" w:hAnsi="Arial" w:cs="Arial" w:eastAsia="Arial"/>
                <w:color w:val="1F2430"/>
                <w:sz w:val="18"/>
                <w:szCs w:val="18"/>
                <w:highlight w:val="yellow"/>
                <w:rtl/>
              </w:rPr>
              <w:t>אין בנישואין כדי לפגוע בקניינה שרכשה לפני הנישואין</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בעקבות זאת, בפס"ד </w:t>
      </w:r>
      <w:r>
        <w:rPr>
          <w:rFonts w:ascii="Arial" w:hAnsi="Arial" w:cs="Arial" w:eastAsia="Arial"/>
          <w:b/>
          <w:bCs/>
          <w:color w:val="1F2430"/>
          <w:sz w:val="19"/>
          <w:szCs w:val="19"/>
          <w:rtl/>
        </w:rPr>
        <w:t>סידיס נ' סידיס</w:t>
      </w:r>
      <w:r>
        <w:rPr>
          <w:rFonts w:ascii="Arial" w:hAnsi="Arial" w:cs="Arial" w:eastAsia="Arial"/>
          <w:color w:val="1F2430"/>
          <w:sz w:val="19"/>
          <w:szCs w:val="19"/>
          <w:rtl/>
        </w:rPr>
        <w:t xml:space="preserve"> – אישה עם נכסים מלפני הנישואין, בעל שביקש לקזז את פירותיה – בית המשפט דחה את טענת הבעל בהסתמך על סעיף 2 לחוק שיווי זכויות האישה. (אותו פסק דין הוא גם המקור לכלל שענייני הממון "נשרו" מענייני הנישואין, למעט הכתובה – ראו פרק 2.)</w:t>
      </w:r>
    </w:p>
    <w:p>
      <w:pPr>
        <w:bidi/>
        <w:spacing w:before="0" w:after="100" w:line="300" w:lineRule="auto"/>
        <w:jc w:val="both"/>
      </w:pPr>
      <w:r>
        <w:rPr>
          <w:rFonts w:ascii="Arial" w:hAnsi="Arial" w:cs="Arial" w:eastAsia="Arial"/>
          <w:color w:val="1F2430"/>
          <w:sz w:val="19"/>
          <w:szCs w:val="19"/>
          <w:rtl/>
        </w:rPr>
        <w:t xml:space="preserve">השופט שמגר רגז על התוצאה: נוצר </w:t>
      </w:r>
      <w:r>
        <w:rPr>
          <w:rFonts w:ascii="Arial" w:hAnsi="Arial" w:cs="Arial" w:eastAsia="Arial"/>
          <w:color w:val="1F2430"/>
          <w:sz w:val="19"/>
          <w:szCs w:val="19"/>
          <w:highlight w:val="yellow"/>
          <w:rtl/>
        </w:rPr>
        <w:t>אי-שוויון בין נשים</w:t>
      </w:r>
      <w:r>
        <w:rPr>
          <w:rFonts w:ascii="Arial" w:hAnsi="Arial" w:cs="Arial" w:eastAsia="Arial"/>
          <w:color w:val="1F2430"/>
          <w:sz w:val="19"/>
          <w:szCs w:val="19"/>
          <w:rtl/>
        </w:rPr>
        <w:t xml:space="preserve"> – לא בין גבר לאישה. אישה "עמידה" עם נכסים שומרת את פירותיה ומקבלת גם מזונות מלאים; ואילו אישה עובדת ללא נכסים – מעשה ידיה מתקזזים. כלומר: פירות אי אפשר לקזז, ומעשה ידיים כן.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 סעיף 2א (תיקון 1976)</w:t>
            </w:r>
          </w:p>
          <w:p>
            <w:pPr>
              <w:bidi/>
              <w:spacing w:before="0" w:after="60" w:line="300" w:lineRule="auto"/>
              <w:jc w:val="both"/>
            </w:pPr>
            <w:r>
              <w:rPr>
                <w:rFonts w:ascii="Arial" w:hAnsi="Arial" w:cs="Arial" w:eastAsia="Arial"/>
                <w:color w:val="1F2430"/>
                <w:sz w:val="18"/>
                <w:szCs w:val="18"/>
                <w:rtl/>
              </w:rPr>
              <w:t xml:space="preserve">"על אף האמור בחוק שיווי זכויות האישה", בקביעת מזונות לאישה רשאי בית המשפט </w:t>
            </w:r>
            <w:r>
              <w:rPr>
                <w:rFonts w:ascii="Arial" w:hAnsi="Arial" w:cs="Arial" w:eastAsia="Arial"/>
                <w:color w:val="1F2430"/>
                <w:sz w:val="18"/>
                <w:szCs w:val="18"/>
                <w:highlight w:val="yellow"/>
                <w:rtl/>
              </w:rPr>
              <w:t>להתחשב בהכנסות שיש לה מעבודה, מנכסים, ואם מצא לנכון – גם מכל מקור אחר</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הבעיה: סעיף 2א יושב בחוק שסעיף 2(א) שלו קובע ש"הוראות חוק זה לא יחולו" על מי שיש לו דין אישי. האם הוא חל על יהודים נשואים כדמו"י?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חקק נ' חקק (1991, הרכב של חמישה)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נשואים כדמו"י; לאישה נכסים. בתביעת המזונות ביקש הבעל לקזז ממזונותיה, בהסתמך על סעיף 2א.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 </w:t>
            </w:r>
            <w:r>
              <w:rPr>
                <w:rFonts w:ascii="Arial" w:hAnsi="Arial" w:cs="Arial" w:eastAsia="Arial"/>
                <w:b/>
                <w:bCs/>
                <w:color w:val="1F2430"/>
                <w:sz w:val="18"/>
                <w:szCs w:val="18"/>
                <w:rtl/>
              </w:rPr>
              <w:t>שמגר</w:t>
            </w:r>
            <w:r>
              <w:rPr>
                <w:rFonts w:ascii="Arial" w:hAnsi="Arial" w:cs="Arial" w:eastAsia="Arial"/>
                <w:color w:val="1F2430"/>
                <w:sz w:val="18"/>
                <w:szCs w:val="18"/>
                <w:rtl/>
              </w:rPr>
              <w:t xml:space="preserve"> (מיעוט) – יש להבחין בין הוראות מהותיות להוראות פרוצדורליות בחוק המזונות; סעיף 2א הוא הוראה פרוצדורלית, ולכן חל על כולם ומאפשר להתחשב </w:t>
            </w:r>
            <w:r>
              <w:rPr>
                <w:rFonts w:ascii="Arial" w:hAnsi="Arial" w:cs="Arial" w:eastAsia="Arial"/>
                <w:color w:val="1F2430"/>
                <w:sz w:val="18"/>
                <w:szCs w:val="18"/>
                <w:highlight w:val="yellow"/>
                <w:rtl/>
              </w:rPr>
              <w:t>בכל מקור הכנסה</w:t>
            </w:r>
            <w:r>
              <w:rPr>
                <w:rFonts w:ascii="Arial" w:hAnsi="Arial" w:cs="Arial" w:eastAsia="Arial"/>
                <w:color w:val="1F2430"/>
                <w:sz w:val="18"/>
                <w:szCs w:val="18"/>
                <w:rtl/>
              </w:rPr>
              <w:t xml:space="preserve">. השופט </w:t>
            </w:r>
            <w:r>
              <w:rPr>
                <w:rFonts w:ascii="Arial" w:hAnsi="Arial" w:cs="Arial" w:eastAsia="Arial"/>
                <w:b/>
                <w:bCs/>
                <w:color w:val="1F2430"/>
                <w:sz w:val="18"/>
                <w:szCs w:val="18"/>
                <w:rtl/>
              </w:rPr>
              <w:t>אלון</w:t>
            </w:r>
            <w:r>
              <w:rPr>
                <w:rFonts w:ascii="Arial" w:hAnsi="Arial" w:cs="Arial" w:eastAsia="Arial"/>
                <w:color w:val="1F2430"/>
                <w:sz w:val="18"/>
                <w:szCs w:val="18"/>
                <w:rtl/>
              </w:rPr>
              <w:t xml:space="preserve"> – במזונות חל דין תורה, ולפי דין תורה מותר לקזז מהמזונות </w:t>
            </w:r>
            <w:r>
              <w:rPr>
                <w:rFonts w:ascii="Arial" w:hAnsi="Arial" w:cs="Arial" w:eastAsia="Arial"/>
                <w:color w:val="1F2430"/>
                <w:sz w:val="18"/>
                <w:szCs w:val="18"/>
                <w:highlight w:val="yellow"/>
                <w:rtl/>
              </w:rPr>
              <w:t>רק פירות</w:t>
            </w:r>
            <w:r>
              <w:rPr>
                <w:rFonts w:ascii="Arial" w:hAnsi="Arial" w:cs="Arial" w:eastAsia="Arial"/>
                <w:color w:val="1F2430"/>
                <w:sz w:val="18"/>
                <w:szCs w:val="18"/>
                <w:rtl/>
              </w:rPr>
              <w:t xml:space="preserve"> ולא כל דבר. ב-1951 ניסה המחוקק להתגבר על הדין האישי; ב-1976 חזר בו ("על אף האמור בחוק שיווי זכויות...") – סימן שרצה לחזור לדין תורה. השופטים לוין, לוין ואור הצטרפו לאלון.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דעת הרוב (אלון): </w:t>
            </w:r>
            <w:r>
              <w:rPr>
                <w:rFonts w:ascii="Arial" w:hAnsi="Arial" w:cs="Arial" w:eastAsia="Arial"/>
                <w:color w:val="1F2430"/>
                <w:sz w:val="18"/>
                <w:szCs w:val="18"/>
                <w:highlight w:val="yellow"/>
                <w:rtl/>
              </w:rPr>
              <w:t>מותר לקזז ממזונות האישה את פירותיה – ורק את פירותיה בפועל</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ומה לגבי </w:t>
      </w:r>
      <w:r>
        <w:rPr>
          <w:rFonts w:ascii="Arial" w:hAnsi="Arial" w:cs="Arial" w:eastAsia="Arial"/>
          <w:b/>
          <w:bCs/>
          <w:color w:val="1F2430"/>
          <w:sz w:val="19"/>
          <w:szCs w:val="19"/>
          <w:rtl/>
        </w:rPr>
        <w:t>פוטנציאל פירות</w:t>
      </w:r>
      <w:r>
        <w:rPr>
          <w:rFonts w:ascii="Arial" w:hAnsi="Arial" w:cs="Arial" w:eastAsia="Arial"/>
          <w:color w:val="1F2430"/>
          <w:sz w:val="19"/>
          <w:szCs w:val="19"/>
          <w:rtl/>
        </w:rPr>
        <w:t xml:space="preserve"> – דירה שעומדת ריקה? </w:t>
      </w:r>
      <w:r>
        <w:rPr>
          <w:rFonts w:ascii="Arial" w:hAnsi="Arial" w:cs="Arial" w:eastAsia="Arial"/>
          <w:color w:val="1F2430"/>
          <w:sz w:val="19"/>
          <w:szCs w:val="19"/>
          <w:highlight w:val="yellow"/>
          <w:rtl/>
        </w:rPr>
        <w:t>לא</w:t>
      </w:r>
      <w:r>
        <w:rPr>
          <w:rFonts w:ascii="Arial" w:hAnsi="Arial" w:cs="Arial" w:eastAsia="Arial"/>
          <w:color w:val="1F2430"/>
          <w:sz w:val="19"/>
          <w:szCs w:val="19"/>
          <w:rtl/>
        </w:rPr>
        <w:t>. הנכס שלה בלבד ואי אפשר לחייבה להשכירו (ההשכרה עלולה להזיק לנכס); הבעל נהנה רק מפירות שבפועל (חקק, פלולי).</w:t>
      </w:r>
    </w:p>
    <w:tbl>
      <w:tblPr>
        <w:tblW w:type="dxa" w:w="10206"/>
        <w:jc w:val="center"/>
        <w:tblLook w:firstColumn="1" w:firstRow="1" w:lastColumn="0" w:lastRow="0" w:noHBand="0" w:noVBand="1" w:val="04A0"/>
        <w:bidiVisual/>
        <w:tblLayout w:type="fixed"/>
      </w:tblPr>
      <w:tblGrid>
        <w:gridCol w:w="2835"/>
        <w:gridCol w:w="4860"/>
        <w:gridCol w:w="2511"/>
      </w:tblGrid>
      <w:tr>
        <w:trPr>
          <w:tblHeader/>
        </w:trPr>
        <w:tc>
          <w:tcPr>
            <w:tcW w:type="dxa" w:w="2835"/>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מבקש הבעל לקזז</w:t>
            </w:r>
          </w:p>
        </w:tc>
        <w:tc>
          <w:tcPr>
            <w:tcW w:type="dxa" w:w="4859"/>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האם מותר?</w:t>
            </w:r>
          </w:p>
        </w:tc>
        <w:tc>
          <w:tcPr>
            <w:tcW w:type="dxa" w:w="2511"/>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המקור</w:t>
            </w:r>
          </w:p>
        </w:tc>
      </w:tr>
      <w:tr>
        <w:trPr>
          <w:cantSplit/>
        </w:trPr>
        <w:tc>
          <w:tcPr>
            <w:tcW w:type="dxa" w:w="28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שכר שהאישה משתכרת בפועל (מעשה ידיה)</w:t>
            </w:r>
          </w:p>
        </w:tc>
        <w:tc>
          <w:tcPr>
            <w:tcW w:type="dxa" w:w="485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 כנגד המזונות; האישה יכולה לבחור "אינני ניזונת ואינני עושה"</w:t>
            </w:r>
          </w:p>
        </w:tc>
        <w:tc>
          <w:tcPr>
            <w:tcW w:type="dxa" w:w="251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הדין העברי</w:t>
            </w:r>
          </w:p>
        </w:tc>
      </w:tr>
      <w:tr>
        <w:trPr>
          <w:cantSplit/>
        </w:trPr>
        <w:tc>
          <w:tcPr>
            <w:tcW w:type="dxa" w:w="28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פוטנציאל השתכרות</w:t>
            </w:r>
          </w:p>
        </w:tc>
        <w:tc>
          <w:tcPr>
            <w:tcW w:type="dxa" w:w="485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ככלל לא; בחריג – במקרים מתאימים, הנטל על הבעל</w:t>
            </w:r>
          </w:p>
        </w:tc>
        <w:tc>
          <w:tcPr>
            <w:tcW w:type="dxa" w:w="251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מזור; פלולי (מול ביקל, פדן)</w:t>
            </w:r>
          </w:p>
        </w:tc>
      </w:tr>
      <w:tr>
        <w:trPr>
          <w:cantSplit/>
        </w:trPr>
        <w:tc>
          <w:tcPr>
            <w:tcW w:type="dxa" w:w="28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פירות נכסיה בפועל</w:t>
            </w:r>
          </w:p>
        </w:tc>
        <w:tc>
          <w:tcPr>
            <w:tcW w:type="dxa" w:w="485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251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חקק (דעת אלון) + ס' 2א</w:t>
            </w:r>
          </w:p>
        </w:tc>
      </w:tr>
      <w:tr>
        <w:trPr>
          <w:cantSplit/>
        </w:trPr>
        <w:tc>
          <w:tcPr>
            <w:tcW w:type="dxa" w:w="28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פוטנציאל פירות</w:t>
            </w:r>
          </w:p>
        </w:tc>
        <w:tc>
          <w:tcPr>
            <w:tcW w:type="dxa" w:w="485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לא</w:t>
            </w:r>
          </w:p>
        </w:tc>
        <w:tc>
          <w:tcPr>
            <w:tcW w:type="dxa" w:w="251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חקק, פלולי</w:t>
            </w:r>
          </w:p>
        </w:tc>
      </w:tr>
      <w:tr>
        <w:trPr>
          <w:cantSplit/>
        </w:trPr>
        <w:tc>
          <w:tcPr>
            <w:tcW w:type="dxa" w:w="28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הקרן עצמה / הכנסות "מכל מקור"</w:t>
            </w:r>
          </w:p>
        </w:tc>
        <w:tc>
          <w:tcPr>
            <w:tcW w:type="dxa" w:w="485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(רק פירות)</w:t>
            </w:r>
          </w:p>
        </w:tc>
        <w:tc>
          <w:tcPr>
            <w:tcW w:type="dxa" w:w="251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חקק – דעת הרוב, מול שמגר במיעוט</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 חקק</w:t>
            </w:r>
          </w:p>
          <w:p>
            <w:pPr>
              <w:bidi/>
              <w:spacing w:before="0" w:after="60" w:line="300" w:lineRule="auto"/>
              <w:jc w:val="both"/>
            </w:pPr>
            <w:r>
              <w:rPr>
                <w:rFonts w:ascii="Arial" w:hAnsi="Arial" w:cs="Arial" w:eastAsia="Arial"/>
                <w:color w:val="1F2430"/>
                <w:sz w:val="18"/>
                <w:szCs w:val="18"/>
                <w:rtl/>
              </w:rPr>
              <w:t xml:space="preserve">בשאלה "האם הבעל יכול להסתמך על סעיף 2א ולקזז הכנסות מנכסי אשתו?" התשובה היא </w:t>
            </w:r>
            <w:r>
              <w:rPr>
                <w:rFonts w:ascii="Arial" w:hAnsi="Arial" w:cs="Arial" w:eastAsia="Arial"/>
                <w:b/>
                <w:bCs/>
                <w:color w:val="1F2430"/>
                <w:sz w:val="18"/>
                <w:szCs w:val="18"/>
                <w:rtl/>
              </w:rPr>
              <w:t>כן – לפי פס"ד חקק</w:t>
            </w:r>
            <w:r>
              <w:rPr>
                <w:rFonts w:ascii="Arial" w:hAnsi="Arial" w:cs="Arial" w:eastAsia="Arial"/>
                <w:color w:val="1F2430"/>
                <w:sz w:val="18"/>
                <w:szCs w:val="18"/>
                <w:rtl/>
              </w:rPr>
              <w:t xml:space="preserve">, אך רק פירות שבפועל. אל תתבלבלו: מי שקבע ש"סעיף 2א פרוצדורלי ולכן חל על כולם" הוא שמגר – </w:t>
            </w:r>
            <w:r>
              <w:rPr>
                <w:rFonts w:ascii="Arial" w:hAnsi="Arial" w:cs="Arial" w:eastAsia="Arial"/>
                <w:color w:val="1F2430"/>
                <w:sz w:val="18"/>
                <w:szCs w:val="18"/>
                <w:highlight w:val="yellow"/>
                <w:rtl/>
              </w:rPr>
              <w:t>דעת מיעוט</w:t>
            </w:r>
            <w:r>
              <w:rPr>
                <w:rFonts w:ascii="Arial" w:hAnsi="Arial" w:cs="Arial" w:eastAsia="Arial"/>
                <w:color w:val="1F2430"/>
                <w:sz w:val="18"/>
                <w:szCs w:val="18"/>
                <w:rtl/>
              </w:rPr>
              <w:t>. דעת הרוב היא של אלון: חזרה לדין תורה.</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6.8 טענות פטור</w:t>
      </w:r>
    </w:p>
    <w:p>
      <w:pPr>
        <w:bidi/>
        <w:spacing w:before="0" w:after="100" w:line="300" w:lineRule="auto"/>
        <w:jc w:val="both"/>
      </w:pPr>
      <w:r>
        <w:rPr>
          <w:rFonts w:ascii="Arial" w:hAnsi="Arial" w:cs="Arial" w:eastAsia="Arial"/>
          <w:color w:val="1F2430"/>
          <w:sz w:val="19"/>
          <w:szCs w:val="19"/>
          <w:rtl/>
        </w:rPr>
        <w:t xml:space="preserve">טענות הפטור מבוססות ברובן ככולן על </w:t>
      </w:r>
      <w:r>
        <w:rPr>
          <w:rFonts w:ascii="Arial" w:hAnsi="Arial" w:cs="Arial" w:eastAsia="Arial"/>
          <w:color w:val="1F2430"/>
          <w:sz w:val="19"/>
          <w:szCs w:val="19"/>
          <w:highlight w:val="yellow"/>
          <w:rtl/>
        </w:rPr>
        <w:t>עילות גירושין</w:t>
      </w:r>
      <w:r>
        <w:rPr>
          <w:rFonts w:ascii="Arial" w:hAnsi="Arial" w:cs="Arial" w:eastAsia="Arial"/>
          <w:color w:val="1F2430"/>
          <w:sz w:val="19"/>
          <w:szCs w:val="19"/>
          <w:rtl/>
        </w:rPr>
        <w:t xml:space="preserve">, וכאן פועל "אפקט הדומינו": </w:t>
      </w:r>
      <w:r>
        <w:rPr>
          <w:rFonts w:ascii="Arial" w:hAnsi="Arial" w:cs="Arial" w:eastAsia="Arial"/>
          <w:b/>
          <w:bCs/>
          <w:color w:val="1F2430"/>
          <w:sz w:val="19"/>
          <w:szCs w:val="19"/>
          <w:rtl/>
        </w:rPr>
        <w:t>יש עילת גירושין – אין כתובה ואין מזונות</w:t>
      </w:r>
      <w:r>
        <w:rPr>
          <w:rFonts w:ascii="Arial" w:hAnsi="Arial" w:cs="Arial" w:eastAsia="Arial"/>
          <w:color w:val="1F2430"/>
          <w:sz w:val="19"/>
          <w:szCs w:val="19"/>
          <w:rtl/>
        </w:rPr>
        <w:t>. האישה מאבדת את זכאותה למזונות אף שהיא עדיין נשואה. עילות הגירושין הן רשימה סגורה, ובתי הדין מפרשים מקרים בהתאמה להן; יש עילות של הבעל, של האישה והדדיות.</w:t>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טענה 1: אין תוקף לנישואין</w:t>
      </w:r>
    </w:p>
    <w:p>
      <w:pPr>
        <w:bidi/>
        <w:spacing w:before="0" w:after="100" w:line="300" w:lineRule="auto"/>
        <w:jc w:val="both"/>
      </w:pPr>
      <w:r>
        <w:rPr>
          <w:rFonts w:ascii="Arial" w:hAnsi="Arial" w:cs="Arial" w:eastAsia="Arial"/>
          <w:color w:val="1F2430"/>
          <w:sz w:val="19"/>
          <w:szCs w:val="19"/>
          <w:rtl/>
        </w:rPr>
        <w:t>לפי דין תורה קיים קשר הדוק בין תוקף הנישואין לחיוב במזונות – אין תוקף, אין חובה. נישואין תקפים דורשים קידושין באחת משלוש הדרכים (כסף, שטר, ביאה) ותנאים כמו שווה פרוטה, שני עדים כשרים, מילות קידושין ועוד. הבעל טוען שנפל פגם.</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ספק נישואין:</w:t>
      </w:r>
      <w:r>
        <w:rPr>
          <w:rFonts w:ascii="Arial" w:hAnsi="Arial" w:cs="Arial" w:eastAsia="Arial"/>
          <w:color w:val="1F2430"/>
          <w:sz w:val="19"/>
          <w:szCs w:val="19"/>
          <w:rtl/>
        </w:rPr>
        <w:t xml:space="preserve"> בענייני ממון הכלל הוא ש"אין מוציאין ממון מספק" – ולכן </w:t>
      </w:r>
      <w:r>
        <w:rPr>
          <w:rFonts w:ascii="Arial" w:hAnsi="Arial" w:cs="Arial" w:eastAsia="Arial"/>
          <w:color w:val="1F2430"/>
          <w:sz w:val="19"/>
          <w:szCs w:val="19"/>
          <w:highlight w:val="yellow"/>
          <w:rtl/>
        </w:rPr>
        <w:t>מנישואים בספק אין כתובה ואין מזונות אישה</w:t>
      </w:r>
      <w:r>
        <w:rPr>
          <w:rFonts w:ascii="Arial" w:hAnsi="Arial" w:cs="Arial" w:eastAsia="Arial"/>
          <w:color w:val="1F2430"/>
          <w:sz w:val="19"/>
          <w:szCs w:val="19"/>
          <w:rtl/>
        </w:rPr>
        <w:t xml:space="preserve"> (גם אם לעניין האיסור מחמירים ודורשים גט לחומרא). כך בבג"ץ אוה בסן: בית הדין הגדול קבע כי מדובר בספק יהודייה – גט לחומרא, ואין כתובה ומזונות (בג"ץ קבע שם שבית הדין איבד את סמכותו – ראו פרק 2).</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מי מכריע?</w:t>
      </w:r>
      <w:r>
        <w:rPr>
          <w:rFonts w:ascii="Arial" w:hAnsi="Arial" w:cs="Arial" w:eastAsia="Arial"/>
          <w:color w:val="1F2430"/>
          <w:sz w:val="19"/>
          <w:szCs w:val="19"/>
          <w:rtl/>
        </w:rPr>
        <w:t xml:space="preserve"> תוקף נישואין הוא עניין של נישואין וגירושין – בסמכות הייחודית של בית הדין הרבני. אולם בית המשפט לענייני משפחה הדן במזונות רשאי להכריע בשאלה </w:t>
      </w:r>
      <w:r>
        <w:rPr>
          <w:rFonts w:ascii="Arial" w:hAnsi="Arial" w:cs="Arial" w:eastAsia="Arial"/>
          <w:color w:val="1F2430"/>
          <w:sz w:val="19"/>
          <w:szCs w:val="19"/>
          <w:highlight w:val="yellow"/>
          <w:rtl/>
        </w:rPr>
        <w:t>באופן אגבי</w:t>
      </w:r>
      <w:r>
        <w:rPr>
          <w:rFonts w:ascii="Arial" w:hAnsi="Arial" w:cs="Arial" w:eastAsia="Arial"/>
          <w:color w:val="1F2430"/>
          <w:sz w:val="19"/>
          <w:szCs w:val="19"/>
          <w:rtl/>
        </w:rPr>
        <w:t xml:space="preserve"> מכוח </w:t>
      </w:r>
      <w:r>
        <w:rPr>
          <w:rFonts w:ascii="Arial" w:hAnsi="Arial" w:cs="Arial" w:eastAsia="Arial"/>
          <w:b/>
          <w:bCs/>
          <w:color w:val="1F2430"/>
          <w:sz w:val="19"/>
          <w:szCs w:val="19"/>
          <w:rtl/>
        </w:rPr>
        <w:t>סעיף 76 לחוק בתי המשפט [נוסח משולב]</w:t>
      </w:r>
      <w:r>
        <w:rPr>
          <w:rFonts w:ascii="Arial" w:hAnsi="Arial" w:cs="Arial" w:eastAsia="Arial"/>
          <w:color w:val="1F2430"/>
          <w:sz w:val="19"/>
          <w:szCs w:val="19"/>
          <w:rtl/>
        </w:rPr>
        <w:t>, רק לצורך התיק שלפניו וללא "מעשה בית דין".</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נישואין אזרחיים ונישואין פרטיים – אין מזונות לפי הדין הדתי; על מזונות חוזיים ראו פרק 8.</w:t>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טענה 2: "מעין מורדת" – האישה שאינה עמו</w:t>
      </w:r>
    </w:p>
    <w:p>
      <w:pPr>
        <w:bidi/>
        <w:spacing w:before="0" w:after="100" w:line="300" w:lineRule="auto"/>
        <w:jc w:val="both"/>
      </w:pPr>
      <w:r>
        <w:rPr>
          <w:rFonts w:ascii="Arial" w:hAnsi="Arial" w:cs="Arial" w:eastAsia="Arial"/>
          <w:color w:val="1F2430"/>
          <w:sz w:val="19"/>
          <w:szCs w:val="19"/>
          <w:rtl/>
        </w:rPr>
        <w:t>לאחר הנישואין אמורים בני הזוג לגור יחד. הבעל טוען: "אני נשוי לה כדמו"י והיא אינה גרה איתי". אישה שאינה עמו – לבעל עילת גירושין, והיא מאבדת כתובה ומזונות.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מילר</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האישה יכולה להוכיח שיש לה סיבה מוצדקת לכך שאינה עמו (למשל אלימות, או שהבעל הוא שעזב). הנטל עליה, אך הוא </w:t>
            </w:r>
            <w:r>
              <w:rPr>
                <w:rFonts w:ascii="Arial" w:hAnsi="Arial" w:cs="Arial" w:eastAsia="Arial"/>
                <w:color w:val="1F2430"/>
                <w:sz w:val="18"/>
                <w:szCs w:val="18"/>
                <w:highlight w:val="yellow"/>
                <w:rtl/>
              </w:rPr>
              <w:t>קל כנוצה</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בפועל קשה לבסס פטור על "מעין מורדת" בלבד.</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שני "מילר"</w:t>
            </w:r>
          </w:p>
          <w:p>
            <w:pPr>
              <w:bidi/>
              <w:spacing w:before="0" w:after="60" w:line="300" w:lineRule="auto"/>
              <w:jc w:val="both"/>
            </w:pPr>
            <w:r>
              <w:rPr>
                <w:rFonts w:ascii="Arial" w:hAnsi="Arial" w:cs="Arial" w:eastAsia="Arial"/>
                <w:color w:val="1F2430"/>
                <w:sz w:val="18"/>
                <w:szCs w:val="18"/>
                <w:rtl/>
              </w:rPr>
              <w:t>אל תבלבלו בין פס"ד מילר (מעין מורדת – נטל "קל כנוצה") לבין בג"ץ שושנה מילר, שעסק ברישום גיור רפורמי במרשם האוכלוסין (ראו פרק 9).</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טענה 3: מורדת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מורדת</w:t>
            </w:r>
          </w:p>
          <w:p>
            <w:pPr>
              <w:bidi/>
              <w:spacing w:before="0" w:after="60" w:line="300" w:lineRule="auto"/>
              <w:jc w:val="both"/>
            </w:pPr>
            <w:r>
              <w:rPr>
                <w:rFonts w:ascii="Arial" w:hAnsi="Arial" w:cs="Arial" w:eastAsia="Arial"/>
                <w:color w:val="1F2430"/>
                <w:sz w:val="18"/>
                <w:szCs w:val="18"/>
                <w:rtl/>
              </w:rPr>
              <w:t>אישה ש</w:t>
            </w:r>
            <w:r>
              <w:rPr>
                <w:rFonts w:ascii="Arial" w:hAnsi="Arial" w:cs="Arial" w:eastAsia="Arial"/>
                <w:color w:val="1F2430"/>
                <w:sz w:val="18"/>
                <w:szCs w:val="18"/>
                <w:highlight w:val="yellow"/>
                <w:rtl/>
              </w:rPr>
              <w:t>מונעת תשמיש מיטה מבעלה</w:t>
            </w:r>
            <w:r>
              <w:rPr>
                <w:rFonts w:ascii="Arial" w:hAnsi="Arial" w:cs="Arial" w:eastAsia="Arial"/>
                <w:color w:val="1F2430"/>
                <w:sz w:val="18"/>
                <w:szCs w:val="18"/>
                <w:rtl/>
              </w:rPr>
              <w:t xml:space="preserve"> (מסרבת לקיים עמו יחסי אישות). ההכרזה על מורדת היא הליך הדרגתי של </w:t>
            </w:r>
            <w:r>
              <w:rPr>
                <w:rFonts w:ascii="Arial" w:hAnsi="Arial" w:cs="Arial" w:eastAsia="Arial"/>
                <w:color w:val="1F2430"/>
                <w:sz w:val="18"/>
                <w:szCs w:val="18"/>
                <w:highlight w:val="yellow"/>
                <w:rtl/>
              </w:rPr>
              <w:t>י"ב חודשים</w:t>
            </w:r>
            <w:r>
              <w:rPr>
                <w:rFonts w:ascii="Arial" w:hAnsi="Arial" w:cs="Arial" w:eastAsia="Arial"/>
                <w:color w:val="1F2430"/>
                <w:sz w:val="18"/>
                <w:szCs w:val="18"/>
                <w:rtl/>
              </w:rPr>
              <w:t>, "לא של מה בכך".</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"מורדת" היא חלק מענייני נישואין וגירושין, ולכן </w:t>
      </w:r>
      <w:r>
        <w:rPr>
          <w:rFonts w:ascii="Arial" w:hAnsi="Arial" w:cs="Arial" w:eastAsia="Arial"/>
          <w:color w:val="1F2430"/>
          <w:sz w:val="19"/>
          <w:szCs w:val="19"/>
          <w:highlight w:val="yellow"/>
          <w:rtl/>
        </w:rPr>
        <w:t>לבית הדין הרבני סמכות ייחודית להכריז על אישה כמורדת</w:t>
      </w:r>
      <w:r>
        <w:rPr>
          <w:rFonts w:ascii="Arial" w:hAnsi="Arial" w:cs="Arial" w:eastAsia="Arial"/>
          <w:color w:val="1F2430"/>
          <w:sz w:val="19"/>
          <w:szCs w:val="19"/>
          <w:rtl/>
        </w:rPr>
        <w:t xml:space="preserve"> (סעיף 1 לחוק השיפוט). הכרזה </w:t>
      </w:r>
      <w:r>
        <w:rPr>
          <w:rFonts w:ascii="Arial" w:hAnsi="Arial" w:cs="Arial" w:eastAsia="Arial"/>
          <w:b/>
          <w:bCs/>
          <w:color w:val="1F2430"/>
          <w:sz w:val="19"/>
          <w:szCs w:val="19"/>
          <w:rtl/>
        </w:rPr>
        <w:t>כללית</w:t>
      </w:r>
      <w:r>
        <w:rPr>
          <w:rFonts w:ascii="Arial" w:hAnsi="Arial" w:cs="Arial" w:eastAsia="Arial"/>
          <w:color w:val="1F2430"/>
          <w:sz w:val="19"/>
          <w:szCs w:val="19"/>
          <w:rtl/>
        </w:rPr>
        <w:t xml:space="preserve"> כזו, בסיום ההליך, היא קונסטיטוטיבית – </w:t>
      </w:r>
      <w:r>
        <w:rPr>
          <w:rFonts w:ascii="Arial" w:hAnsi="Arial" w:cs="Arial" w:eastAsia="Arial"/>
          <w:color w:val="1F2430"/>
          <w:sz w:val="19"/>
          <w:szCs w:val="19"/>
          <w:highlight w:val="yellow"/>
          <w:rtl/>
        </w:rPr>
        <w:t>מחייבת גם את הערכאה האזרחית</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שרגאי (מורדת)</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האישה עזבה את הבית ותבעה גירושין בבית הדין; הבעל ביקש שלום בית, ואם לא – להכריז עליה כמורדת. האישה משכה את תביעת הגירושין ותבעה מזונות במחוזי. בית הדין, לבקשת הבעל, קבע כי "</w:t>
            </w:r>
            <w:r>
              <w:rPr>
                <w:rFonts w:ascii="Arial" w:hAnsi="Arial" w:cs="Arial" w:eastAsia="Arial"/>
                <w:color w:val="1F2430"/>
                <w:sz w:val="18"/>
                <w:szCs w:val="18"/>
                <w:highlight w:val="yellow"/>
                <w:rtl/>
              </w:rPr>
              <w:t>לעניין המזונות</w:t>
            </w:r>
            <w:r>
              <w:rPr>
                <w:rFonts w:ascii="Arial" w:hAnsi="Arial" w:cs="Arial" w:eastAsia="Arial"/>
                <w:color w:val="1F2430"/>
                <w:sz w:val="18"/>
                <w:szCs w:val="18"/>
                <w:rtl/>
              </w:rPr>
              <w:t xml:space="preserve"> דינה כדין מורדת", והמחוזי פטר את הבעל. האישה ערערה לעליון.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מזונות אישה בסמכות מקבילה, וכאן – האישה פנתה ראשונה לערכאה האזרחית, ולכן הסמכות במזונות היא שלה. בית הדין לא הכריז עליה כמורדת באופן כללי (זו סמכותו) ולא השלים את הליך י"ב החודשים, אלא קבע קביעה "לעניין המזונות" – ובכך </w:t>
            </w:r>
            <w:r>
              <w:rPr>
                <w:rFonts w:ascii="Arial" w:hAnsi="Arial" w:cs="Arial" w:eastAsia="Arial"/>
                <w:color w:val="1F2430"/>
                <w:sz w:val="18"/>
                <w:szCs w:val="18"/>
                <w:highlight w:val="yellow"/>
                <w:rtl/>
              </w:rPr>
              <w:t>חרג מסמכותו</w:t>
            </w:r>
            <w:r>
              <w:rPr>
                <w:rFonts w:ascii="Arial" w:hAnsi="Arial" w:cs="Arial" w:eastAsia="Arial"/>
                <w:color w:val="1F2430"/>
                <w:sz w:val="18"/>
                <w:szCs w:val="18"/>
                <w:rtl/>
              </w:rPr>
              <w:t xml:space="preserve">. הערעור התקבל. אילו היה בית הדין מכריז עליה כמורדת באופן כללי – ההכרזה הייתה מחייבת את בית המשפט.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ההבחנה בין הכרזה כללית (מחייבת) לבין קביעה "לעניין המזונות" (חריגה מסמכות).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שני "שרגאי"</w:t>
            </w:r>
          </w:p>
          <w:p>
            <w:pPr>
              <w:bidi/>
              <w:spacing w:before="0" w:after="60" w:line="300" w:lineRule="auto"/>
              <w:jc w:val="both"/>
            </w:pPr>
            <w:r>
              <w:rPr>
                <w:rFonts w:ascii="Arial" w:hAnsi="Arial" w:cs="Arial" w:eastAsia="Arial"/>
                <w:color w:val="1F2430"/>
                <w:sz w:val="18"/>
                <w:szCs w:val="18"/>
                <w:rtl/>
              </w:rPr>
              <w:t xml:space="preserve">השם שרגאי מופיע בקורס גם בהקשר של </w:t>
            </w:r>
            <w:r>
              <w:rPr>
                <w:rFonts w:ascii="Arial" w:hAnsi="Arial" w:cs="Arial" w:eastAsia="Arial"/>
                <w:b/>
                <w:bCs/>
                <w:color w:val="1F2430"/>
                <w:sz w:val="18"/>
                <w:szCs w:val="18"/>
                <w:rtl/>
              </w:rPr>
              <w:t>כריכת מזונות ילדים</w:t>
            </w:r>
            <w:r>
              <w:rPr>
                <w:rFonts w:ascii="Arial" w:hAnsi="Arial" w:cs="Arial" w:eastAsia="Arial"/>
                <w:color w:val="1F2430"/>
                <w:sz w:val="18"/>
                <w:szCs w:val="18"/>
                <w:rtl/>
              </w:rPr>
              <w:t xml:space="preserve"> (רק "השבת" מזונות ילדים ניתנת לכריכה – ראו פרקים 3 ו-10). בשאלת מורדת – הכוונה לפסק הדין על ההכרזה "לעניין המזונות".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ואם בית המשפט כבר פסק מזונות? לפי שאלות החזרה (פס"ד </w:t>
      </w:r>
      <w:r>
        <w:rPr>
          <w:rFonts w:ascii="Arial" w:hAnsi="Arial" w:cs="Arial" w:eastAsia="Arial"/>
          <w:b/>
          <w:bCs/>
          <w:color w:val="1F2430"/>
          <w:sz w:val="19"/>
          <w:szCs w:val="19"/>
          <w:rtl/>
        </w:rPr>
        <w:t>מקיטן</w:t>
      </w:r>
      <w:r>
        <w:rPr>
          <w:rFonts w:ascii="Arial" w:hAnsi="Arial" w:cs="Arial" w:eastAsia="Arial"/>
          <w:color w:val="1F2430"/>
          <w:sz w:val="19"/>
          <w:szCs w:val="19"/>
          <w:rtl/>
        </w:rPr>
        <w:t xml:space="preserve">): נוצר "מעשה בית דין", והכרזת מורדת שניתנה </w:t>
      </w:r>
      <w:r>
        <w:rPr>
          <w:rFonts w:ascii="Arial" w:hAnsi="Arial" w:cs="Arial" w:eastAsia="Arial"/>
          <w:b/>
          <w:bCs/>
          <w:color w:val="1F2430"/>
          <w:sz w:val="19"/>
          <w:szCs w:val="19"/>
          <w:rtl/>
        </w:rPr>
        <w:t>אחרי</w:t>
      </w:r>
      <w:r>
        <w:rPr>
          <w:rFonts w:ascii="Arial" w:hAnsi="Arial" w:cs="Arial" w:eastAsia="Arial"/>
          <w:color w:val="1F2430"/>
          <w:sz w:val="19"/>
          <w:szCs w:val="19"/>
          <w:rtl/>
        </w:rPr>
        <w:t xml:space="preserve"> הפסיקה לא תחייבו אוטומטית; אם טרם פסק – יקבל את ההכרזה הכללית.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"אני רוצה להתגרש"</w:t>
            </w:r>
          </w:p>
          <w:p>
            <w:pPr>
              <w:bidi/>
              <w:spacing w:before="0" w:after="60" w:line="300" w:lineRule="auto"/>
              <w:jc w:val="both"/>
            </w:pPr>
            <w:r>
              <w:rPr>
                <w:rFonts w:ascii="Arial" w:hAnsi="Arial" w:cs="Arial" w:eastAsia="Arial"/>
                <w:color w:val="1F2430"/>
                <w:sz w:val="18"/>
                <w:szCs w:val="18"/>
                <w:rtl/>
              </w:rPr>
              <w:t>לפי תשובת הפרופ': אישה שאומרת "אני רוצה להתגרש" ללא הצדקה רצינית – עלולה להפסיד כתובה, להיחשב מורדת ולהפסיד מזונות, ואף לייצר עילת גירושין נגדה. לכן לאישה לא כדאי למהר לתבוע גירושין בבית הדין – היא יכולה לתבוע מזונות בנפרד.</w:t>
            </w:r>
          </w:p>
        </w:tc>
      </w:tr>
    </w:tbl>
    <w:p>
      <w:pPr>
        <w:bidi/>
        <w:spacing w:after="0" w:before="0" w:line="120" w:lineRule="exact"/>
      </w:pPr>
      <w:r>
        <w:rPr>
          <w:sz w:val="2"/>
        </w:rPr>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טענה 4: בגידה ומעשה כיעור</w:t>
      </w:r>
    </w:p>
    <w:p>
      <w:pPr>
        <w:bidi/>
        <w:spacing w:before="0" w:after="100" w:line="300" w:lineRule="auto"/>
        <w:jc w:val="both"/>
      </w:pPr>
      <w:r>
        <w:rPr>
          <w:rFonts w:ascii="Arial" w:hAnsi="Arial" w:cs="Arial" w:eastAsia="Arial"/>
          <w:color w:val="1F2430"/>
          <w:sz w:val="19"/>
          <w:szCs w:val="19"/>
          <w:rtl/>
        </w:rPr>
        <w:t xml:space="preserve">שתי עילות גירושין </w:t>
      </w:r>
      <w:r>
        <w:rPr>
          <w:rFonts w:ascii="Arial" w:hAnsi="Arial" w:cs="Arial" w:eastAsia="Arial"/>
          <w:b/>
          <w:bCs/>
          <w:color w:val="1F2430"/>
          <w:sz w:val="19"/>
          <w:szCs w:val="19"/>
          <w:rtl/>
        </w:rPr>
        <w:t>נפרדות</w:t>
      </w:r>
      <w:r>
        <w:rPr>
          <w:rFonts w:ascii="Arial" w:hAnsi="Arial" w:cs="Arial" w:eastAsia="Arial"/>
          <w:color w:val="1F2430"/>
          <w:sz w:val="19"/>
          <w:szCs w:val="19"/>
          <w:rtl/>
        </w:rPr>
        <w:t xml:space="preserve"> של הבעל נגד אשתו בלבד:</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בגידה</w:t>
      </w:r>
      <w:r>
        <w:rPr>
          <w:rFonts w:ascii="Arial" w:hAnsi="Arial" w:cs="Arial" w:eastAsia="Arial"/>
          <w:color w:val="1F2430"/>
          <w:sz w:val="19"/>
          <w:szCs w:val="19"/>
          <w:rtl/>
        </w:rPr>
        <w:t xml:space="preserve"> – ראיות ברורות שהאישה מקיימת יחסי אישות עם גבר אחר. העילה החמורה ביותר (חשש ממזרות); מרגע הבגידה האישה אסורה על בעלה ועל הבועל.</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מעשה כיעור</w:t>
      </w:r>
      <w:r>
        <w:rPr>
          <w:rFonts w:ascii="Arial" w:hAnsi="Arial" w:cs="Arial" w:eastAsia="Arial"/>
          <w:color w:val="1F2430"/>
          <w:sz w:val="19"/>
          <w:szCs w:val="19"/>
          <w:rtl/>
        </w:rPr>
        <w:t xml:space="preserve"> – "עילת בת" של בגידה: מעשים מכוערים שמהם עולה </w:t>
      </w:r>
      <w:r>
        <w:rPr>
          <w:rFonts w:ascii="Arial" w:hAnsi="Arial" w:cs="Arial" w:eastAsia="Arial"/>
          <w:color w:val="1F2430"/>
          <w:sz w:val="19"/>
          <w:szCs w:val="19"/>
          <w:highlight w:val="yellow"/>
          <w:rtl/>
        </w:rPr>
        <w:t>חשד</w:t>
      </w:r>
      <w:r>
        <w:rPr>
          <w:rFonts w:ascii="Arial" w:hAnsi="Arial" w:cs="Arial" w:eastAsia="Arial"/>
          <w:color w:val="1F2430"/>
          <w:sz w:val="19"/>
          <w:szCs w:val="19"/>
          <w:rtl/>
        </w:rPr>
        <w:t xml:space="preserve"> לבגידה, בלי ראיות לבגידה עצמה (יחסים של אישה עם אישה ייחשבו מעשה כיעור). דוגמה מן התרגול: אישה שישנה סוף שבוע בבית ידיד גרוש – נקבע מעשה כיעור, אף שישנו בחדרים נפרדים.</w:t>
      </w:r>
    </w:p>
    <w:tbl>
      <w:tblPr>
        <w:tblW w:type="dxa" w:w="10206"/>
        <w:jc w:val="center"/>
        <w:tblLook w:firstColumn="1" w:firstRow="1" w:lastColumn="0" w:lastRow="0" w:noHBand="0" w:noVBand="1" w:val="04A0"/>
        <w:bidiVisual/>
        <w:tblLayout w:type="fixed"/>
      </w:tblPr>
      <w:tblGrid>
        <w:gridCol w:w="1243"/>
        <w:gridCol w:w="5782"/>
        <w:gridCol w:w="3180"/>
      </w:tblGrid>
      <w:tr>
        <w:trPr>
          <w:tblHeader/>
        </w:trPr>
        <w:tc>
          <w:tcPr>
            <w:tcW w:type="dxa" w:w="1244"/>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p>
        </w:tc>
        <w:tc>
          <w:tcPr>
            <w:tcW w:type="dxa" w:w="5781"/>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בגידה</w:t>
            </w:r>
          </w:p>
        </w:tc>
        <w:tc>
          <w:tcPr>
            <w:tcW w:type="dxa" w:w="3180"/>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מעשה כיעור</w:t>
            </w:r>
          </w:p>
        </w:tc>
      </w:tr>
      <w:tr>
        <w:trPr>
          <w:cantSplit/>
        </w:trPr>
        <w:tc>
          <w:tcPr>
            <w:tcW w:type="dxa" w:w="124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הדדיות</w:t>
            </w:r>
          </w:p>
        </w:tc>
        <w:tc>
          <w:tcPr>
            <w:tcW w:type="dxa" w:w="578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 רק לבעל</w:t>
            </w:r>
          </w:p>
        </w:tc>
        <w:tc>
          <w:tcPr>
            <w:tcW w:type="dxa" w:w="31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 רק לבעל</w:t>
            </w:r>
          </w:p>
        </w:tc>
      </w:tr>
      <w:tr>
        <w:trPr>
          <w:cantSplit/>
        </w:trPr>
        <w:tc>
          <w:tcPr>
            <w:tcW w:type="dxa" w:w="124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מחילה</w:t>
            </w:r>
          </w:p>
        </w:tc>
        <w:tc>
          <w:tcPr>
            <w:tcW w:type="dxa" w:w="578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highlight w:val="yellow"/>
                <w:rtl/>
              </w:rPr>
              <w:t>אין</w:t>
            </w:r>
          </w:p>
        </w:tc>
        <w:tc>
          <w:tcPr>
            <w:tcW w:type="dxa" w:w="31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highlight w:val="yellow"/>
                <w:rtl/>
              </w:rPr>
              <w:t>יש</w:t>
            </w:r>
            <w:r>
              <w:rPr>
                <w:rFonts w:ascii="Arial" w:hAnsi="Arial" w:cs="Arial" w:eastAsia="Arial"/>
                <w:color w:val="1F2430"/>
                <w:sz w:val="17"/>
                <w:szCs w:val="17"/>
                <w:rtl/>
              </w:rPr>
              <w:t xml:space="preserve"> – הבעל יכול "להחזירה אליו"</w:t>
            </w:r>
          </w:p>
        </w:tc>
      </w:tr>
      <w:tr>
        <w:trPr>
          <w:cantSplit/>
        </w:trPr>
        <w:tc>
          <w:tcPr>
            <w:tcW w:type="dxa" w:w="124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תוצאה</w:t>
            </w:r>
          </w:p>
        </w:tc>
        <w:tc>
          <w:tcPr>
            <w:tcW w:type="dxa" w:w="578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איבוד כתובה ומזונות</w:t>
            </w:r>
          </w:p>
        </w:tc>
        <w:tc>
          <w:tcPr>
            <w:tcW w:type="dxa" w:w="31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איבוד כתובה ומזונות</w:t>
            </w:r>
          </w:p>
        </w:tc>
      </w:tr>
      <w:tr>
        <w:trPr>
          <w:cantSplit/>
        </w:trPr>
        <w:tc>
          <w:tcPr>
            <w:tcW w:type="dxa" w:w="124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הוכחה</w:t>
            </w:r>
          </w:p>
        </w:tc>
        <w:tc>
          <w:tcPr>
            <w:tcW w:type="dxa" w:w="578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לפי דין תורה: שני עדים (ניתנים לחקירה נגדית); הודאת האישה לבדה אינה מספיקה, אלא אם יש "רגליים לדבר"</w:t>
            </w:r>
          </w:p>
        </w:tc>
        <w:tc>
          <w:tcPr>
            <w:tcW w:type="dxa" w:w="318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כנ"ל</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"רגליים לדבר" = תוספת ראייתית, למשל מסמך רפואי על הפלה בתקופה שבה בני הזוג לא קיימו יחסים. (לאישה עילה דומה – "רועה זונות" – קלה יותר להוכחה.)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פס"ד טביב נ' טביב</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נשואים כדמו"י; היחסים התערערו בחו"ל. האישה חזרה עם הילדים ותבעה מזונות לה ולילדים במחוזי, שפסק מזונות זמניים. הבעל תבע גירושין בבית הדין בטענת בגידה ולפחות מעשה כיעור, והציג שני חוקרים ותמונות; האישה זיהתה את עצמה אך הכחישה. בית הדין קבע "מעשה כיעור לכל הפחות", והמחוזי פטר את הבעל ממזונות האישה. האישה ערערה.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הערעור התקבל. הסמכות במזונות – לערכאה האזרחית, שאליה פנתה האישה. קביעת בית הדין בדבר מעשה הכיעור מהווה </w:t>
            </w:r>
            <w:r>
              <w:rPr>
                <w:rFonts w:ascii="Arial" w:hAnsi="Arial" w:cs="Arial" w:eastAsia="Arial"/>
                <w:color w:val="1F2430"/>
                <w:sz w:val="18"/>
                <w:szCs w:val="18"/>
                <w:highlight w:val="yellow"/>
                <w:rtl/>
              </w:rPr>
              <w:t>השתק פלוגתא לעניין העובדות – אך לא לעניין המסקנות</w:t>
            </w:r>
            <w:r>
              <w:rPr>
                <w:rFonts w:ascii="Arial" w:hAnsi="Arial" w:cs="Arial" w:eastAsia="Arial"/>
                <w:color w:val="1F2430"/>
                <w:sz w:val="18"/>
                <w:szCs w:val="18"/>
                <w:rtl/>
              </w:rPr>
              <w:t xml:space="preserve">. את המסקנות מסיקה הערכאה האזרחית: לפי הדין האישי, אך תוך שקילת מכלול הנסיבות.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גם אם בית הדין קבע בגידה, מעשה כיעור או מרד – הערכאה האזרחית עשויה לחייב במזונות (למשל כשהאישה מסבירה את התנהגותה באלימות הבעל). בפועל – התרחקות מהדין האישי.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ברוח זו נפסק גם בפס"ד </w:t>
      </w:r>
      <w:r>
        <w:rPr>
          <w:rFonts w:ascii="Arial" w:hAnsi="Arial" w:cs="Arial" w:eastAsia="Arial"/>
          <w:b/>
          <w:bCs/>
          <w:color w:val="1F2430"/>
          <w:sz w:val="19"/>
          <w:szCs w:val="19"/>
          <w:rtl/>
        </w:rPr>
        <w:t>גל נ' גל</w:t>
      </w:r>
      <w:r>
        <w:rPr>
          <w:rFonts w:ascii="Arial" w:hAnsi="Arial" w:cs="Arial" w:eastAsia="Arial"/>
          <w:color w:val="1F2430"/>
          <w:sz w:val="19"/>
          <w:szCs w:val="19"/>
          <w:rtl/>
        </w:rPr>
        <w:t xml:space="preserve"> ו</w:t>
      </w:r>
      <w:r>
        <w:rPr>
          <w:rFonts w:ascii="Arial" w:hAnsi="Arial" w:cs="Arial" w:eastAsia="Arial"/>
          <w:b/>
          <w:bCs/>
          <w:color w:val="1F2430"/>
          <w:sz w:val="19"/>
          <w:szCs w:val="19"/>
          <w:rtl/>
        </w:rPr>
        <w:t>כהן נ' כהן</w:t>
      </w:r>
      <w:r>
        <w:rPr>
          <w:rFonts w:ascii="Arial" w:hAnsi="Arial" w:cs="Arial" w:eastAsia="Arial"/>
          <w:color w:val="1F2430"/>
          <w:sz w:val="19"/>
          <w:szCs w:val="19"/>
          <w:rtl/>
        </w:rPr>
        <w:t>: במעשה כיעור, "גבר שלא חי עם אשתו לא יכול לצפות שהיא תשב בחיבוק ידיים" – ולכן לא נשללו המזונות.</w:t>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טענה 5: עוברת על דת משה וישראל</w:t>
      </w:r>
    </w:p>
    <w:p>
      <w:pPr>
        <w:bidi/>
        <w:spacing w:before="0" w:after="100" w:line="300" w:lineRule="auto"/>
        <w:jc w:val="both"/>
      </w:pPr>
      <w:r>
        <w:rPr>
          <w:rFonts w:ascii="Arial" w:hAnsi="Arial" w:cs="Arial" w:eastAsia="Arial"/>
          <w:color w:val="1F2430"/>
          <w:sz w:val="19"/>
          <w:szCs w:val="19"/>
          <w:rtl/>
        </w:rPr>
        <w:t xml:space="preserve">הבעל טוען שהאישה </w:t>
      </w:r>
      <w:r>
        <w:rPr>
          <w:rFonts w:ascii="Arial" w:hAnsi="Arial" w:cs="Arial" w:eastAsia="Arial"/>
          <w:color w:val="1F2430"/>
          <w:sz w:val="19"/>
          <w:szCs w:val="19"/>
          <w:highlight w:val="yellow"/>
          <w:rtl/>
        </w:rPr>
        <w:t>מחטיאה אותו במזיד</w:t>
      </w:r>
      <w:r>
        <w:rPr>
          <w:rFonts w:ascii="Arial" w:hAnsi="Arial" w:cs="Arial" w:eastAsia="Arial"/>
          <w:color w:val="1F2430"/>
          <w:sz w:val="19"/>
          <w:szCs w:val="19"/>
          <w:rtl/>
        </w:rPr>
        <w:t xml:space="preserve"> (מאכילה אותו טריפה, מקיימת עמו יחסים בעת טומאה וכדומה; לעיתים גם מחטיאה את הילדים). הטענה </w:t>
      </w:r>
      <w:r>
        <w:rPr>
          <w:rFonts w:ascii="Arial" w:hAnsi="Arial" w:cs="Arial" w:eastAsia="Arial"/>
          <w:b/>
          <w:bCs/>
          <w:color w:val="1F2430"/>
          <w:sz w:val="19"/>
          <w:szCs w:val="19"/>
          <w:rtl/>
        </w:rPr>
        <w:t>לא תתקבל</w:t>
      </w:r>
      <w:r>
        <w:rPr>
          <w:rFonts w:ascii="Arial" w:hAnsi="Arial" w:cs="Arial" w:eastAsia="Arial"/>
          <w:color w:val="1F2430"/>
          <w:sz w:val="19"/>
          <w:szCs w:val="19"/>
          <w:rtl/>
        </w:rPr>
        <w:t xml:space="preserve"> אם האישה עשתה זאת בשגגה, אם הבעל עצמו כפה זאת, או אם הבעל עצמו אינו מקפיד על המצוות. זו </w:t>
      </w:r>
      <w:r>
        <w:rPr>
          <w:rFonts w:ascii="Arial" w:hAnsi="Arial" w:cs="Arial" w:eastAsia="Arial"/>
          <w:color w:val="1F2430"/>
          <w:sz w:val="19"/>
          <w:szCs w:val="19"/>
          <w:highlight w:val="yellow"/>
          <w:rtl/>
        </w:rPr>
        <w:t>עילה הדדית</w:t>
      </w:r>
      <w:r>
        <w:rPr>
          <w:rFonts w:ascii="Arial" w:hAnsi="Arial" w:cs="Arial" w:eastAsia="Arial"/>
          <w:color w:val="1F2430"/>
          <w:sz w:val="19"/>
          <w:szCs w:val="19"/>
          <w:rtl/>
        </w:rPr>
        <w:t xml:space="preserve"> (גם האישה יכולה לטעון שהבעל עובר על דת משה), ויש בה </w:t>
      </w:r>
      <w:r>
        <w:rPr>
          <w:rFonts w:ascii="Arial" w:hAnsi="Arial" w:cs="Arial" w:eastAsia="Arial"/>
          <w:color w:val="1F2430"/>
          <w:sz w:val="19"/>
          <w:szCs w:val="19"/>
          <w:highlight w:val="yellow"/>
          <w:rtl/>
        </w:rPr>
        <w:t>מחילה</w:t>
      </w:r>
      <w:r>
        <w:rPr>
          <w:rFonts w:ascii="Arial" w:hAnsi="Arial" w:cs="Arial" w:eastAsia="Arial"/>
          <w:color w:val="1F2430"/>
          <w:sz w:val="19"/>
          <w:szCs w:val="19"/>
          <w:rtl/>
        </w:rPr>
        <w:t>. לערכאה האזרחית קל יותר עם עילה זו, דווקא בשל ההדדיות – אפשר לבחון גם את התנהגות הבעל.</w:t>
      </w:r>
    </w:p>
    <w:p>
      <w:pPr>
        <w:keepNext/>
        <w:bidi/>
        <w:spacing w:before="160" w:after="60" w:line="300" w:lineRule="auto"/>
      </w:pPr>
      <w:r>
        <w:rPr>
          <w:rFonts w:ascii="Arial" w:hAnsi="Arial" w:cs="Arial" w:eastAsia="Arial"/>
          <w:color w:val="2E7D4F"/>
          <w:sz w:val="22"/>
          <w:szCs w:val="22"/>
          <w:rtl/>
        </w:rPr>
        <w:t xml:space="preserve">▌ </w:t>
      </w:r>
      <w:r>
        <w:rPr>
          <w:rFonts w:ascii="Arial" w:hAnsi="Arial" w:cs="Arial" w:eastAsia="Arial"/>
          <w:b/>
          <w:bCs/>
          <w:color w:val="2E7D4F"/>
          <w:sz w:val="22"/>
          <w:szCs w:val="22"/>
          <w:rtl/>
        </w:rPr>
        <w:t>טענה 6: עוברת על דת יהודית</w:t>
      </w:r>
    </w:p>
    <w:p>
      <w:pPr>
        <w:bidi/>
        <w:spacing w:before="0" w:after="100" w:line="300" w:lineRule="auto"/>
        <w:jc w:val="both"/>
      </w:pPr>
      <w:r>
        <w:rPr>
          <w:rFonts w:ascii="Arial" w:hAnsi="Arial" w:cs="Arial" w:eastAsia="Arial"/>
          <w:color w:val="1F2430"/>
          <w:sz w:val="19"/>
          <w:szCs w:val="19"/>
          <w:rtl/>
        </w:rPr>
        <w:t xml:space="preserve">האישה מתנהגת בפריצות ובחוצפה: מקללת ומשפילה את בעלה, מונעת ממנו לבקר את הוריו, מפלרטטת עם גברים אחרים. אין די במעשים בודדים – נדרשים </w:t>
      </w:r>
      <w:r>
        <w:rPr>
          <w:rFonts w:ascii="Arial" w:hAnsi="Arial" w:cs="Arial" w:eastAsia="Arial"/>
          <w:color w:val="1F2430"/>
          <w:sz w:val="19"/>
          <w:szCs w:val="19"/>
          <w:highlight w:val="yellow"/>
          <w:rtl/>
        </w:rPr>
        <w:t>התמדה ודפוס התנהגות מכוון</w:t>
      </w:r>
      <w:r>
        <w:rPr>
          <w:rFonts w:ascii="Arial" w:hAnsi="Arial" w:cs="Arial" w:eastAsia="Arial"/>
          <w:color w:val="1F2430"/>
          <w:sz w:val="19"/>
          <w:szCs w:val="19"/>
          <w:rtl/>
        </w:rPr>
        <w:t>. כל חברה נבחנת לפי אורח חייה (בזוג חילוני שבו האישה תמיד התלבשה כך – הטענה לא תתקבל). גם כאן – הדדיות ומחילה.</w:t>
      </w:r>
    </w:p>
    <w:tbl>
      <w:tblPr>
        <w:tblW w:type="dxa" w:w="10206"/>
        <w:jc w:val="center"/>
        <w:tblLook w:firstColumn="1" w:firstRow="1" w:lastColumn="0" w:lastRow="0" w:noHBand="0" w:noVBand="1" w:val="04A0"/>
        <w:bidiVisual/>
        <w:tblLayout w:type="fixed"/>
      </w:tblPr>
      <w:tblGrid>
        <w:gridCol w:w="2313"/>
        <w:gridCol w:w="1247"/>
        <w:gridCol w:w="1247"/>
        <w:gridCol w:w="5397"/>
      </w:tblGrid>
      <w:tr>
        <w:trPr>
          <w:tblHeader/>
        </w:trPr>
        <w:tc>
          <w:tcPr>
            <w:tcW w:type="dxa" w:w="231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טענת הפטור</w:t>
            </w:r>
          </w:p>
        </w:tc>
        <w:tc>
          <w:tcPr>
            <w:tcW w:type="dxa" w:w="1248"/>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הדדית?</w:t>
            </w:r>
          </w:p>
        </w:tc>
        <w:tc>
          <w:tcPr>
            <w:tcW w:type="dxa" w:w="1248"/>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מחילה?</w:t>
            </w:r>
          </w:p>
        </w:tc>
        <w:tc>
          <w:tcPr>
            <w:tcW w:type="dxa" w:w="5396"/>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הערה מרכזית</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אין תוקף לנישואין</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ספק – אין מוציאין ממון; ס' 76</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מעין מורדת</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מילר: נטל "קל כנוצה"</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מורדת</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ייחודית לבית הדין; י"ב חודשים; שרגאי</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בגידה</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לא</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לא</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שני עדים; טביב</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מעשה כיעור</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טביב; גל, כהן</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עוברת על דת משה</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כן</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כן</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לא בשגגה, לא כשהבעל אינו מקפיד</w:t>
            </w:r>
          </w:p>
        </w:tc>
      </w:tr>
      <w:tr>
        <w:trPr>
          <w:cantSplit/>
        </w:trPr>
        <w:tc>
          <w:tcPr>
            <w:tcW w:type="dxa" w:w="23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עוברת על דת יהודית</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124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5396"/>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נדרשת התמדה; לפי אורח החיים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היתר נישואין</w:t>
            </w:r>
          </w:p>
          <w:p>
            <w:pPr>
              <w:bidi/>
              <w:spacing w:before="0" w:after="60" w:line="300" w:lineRule="auto"/>
              <w:jc w:val="both"/>
            </w:pPr>
            <w:r>
              <w:rPr>
                <w:rFonts w:ascii="Arial" w:hAnsi="Arial" w:cs="Arial" w:eastAsia="Arial"/>
                <w:color w:val="1F2430"/>
                <w:sz w:val="18"/>
                <w:szCs w:val="18"/>
                <w:rtl/>
              </w:rPr>
              <w:t>היתר לשאת אישה נוספת (חריג לחרם דרבנו גרשום, למשל באישה מורדת) שניתן בגלל התנהגות האישה – עשוי להשפיע על זכאותה למזונות; היתר שניתן בשל מחלתה – יותנה בתנאים כלכליים לטובתה (כגון הפקדת מזונות).</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6.9 סרבנות גט מטעמים כלכליים – בע"מ 3151/14 פלונית נ' פלוני</w:t>
      </w:r>
    </w:p>
    <w:p>
      <w:pPr>
        <w:bidi/>
        <w:spacing w:before="0" w:after="100" w:line="300" w:lineRule="auto"/>
        <w:jc w:val="both"/>
      </w:pPr>
      <w:r>
        <w:rPr>
          <w:rFonts w:ascii="Arial" w:hAnsi="Arial" w:cs="Arial" w:eastAsia="Arial"/>
          <w:color w:val="1F2430"/>
          <w:sz w:val="19"/>
          <w:szCs w:val="19"/>
          <w:rtl/>
        </w:rPr>
        <w:t xml:space="preserve">מאחר שהאישה זכאית למזונות כל עוד היא נשואה, נוצר </w:t>
      </w:r>
      <w:r>
        <w:rPr>
          <w:rFonts w:ascii="Arial" w:hAnsi="Arial" w:cs="Arial" w:eastAsia="Arial"/>
          <w:color w:val="1F2430"/>
          <w:sz w:val="19"/>
          <w:szCs w:val="19"/>
          <w:highlight w:val="yellow"/>
          <w:rtl/>
        </w:rPr>
        <w:t>תמריץ שלילי לסרבנות גט מצידה</w:t>
      </w:r>
      <w:r>
        <w:rPr>
          <w:rFonts w:ascii="Arial" w:hAnsi="Arial" w:cs="Arial" w:eastAsia="Arial"/>
          <w:color w:val="1F2430"/>
          <w:sz w:val="19"/>
          <w:szCs w:val="19"/>
          <w:rtl/>
        </w:rPr>
        <w:t>; מנגד, אישה התלויה כלכלית בבעלה עלולה להגיע לחרפת רעב אם תתגרש.</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3151/14 פלונית נ' פלוני (2015; השופטים רובינשטיין, זילברטל, ברק-ארז)</w:t>
            </w:r>
          </w:p>
          <w:p>
            <w:pPr>
              <w:bidi/>
              <w:spacing w:before="0" w:after="60" w:line="300" w:lineRule="auto"/>
              <w:jc w:val="both"/>
            </w:pPr>
            <w:r>
              <w:rPr>
                <w:rFonts w:ascii="Arial" w:hAnsi="Arial" w:cs="Arial" w:eastAsia="Arial"/>
                <w:b/>
                <w:bCs/>
                <w:color w:val="1F2430"/>
                <w:sz w:val="18"/>
                <w:szCs w:val="18"/>
                <w:rtl/>
              </w:rPr>
              <w:t>השאלות:</w:t>
            </w:r>
            <w:r>
              <w:rPr>
                <w:rFonts w:ascii="Arial" w:hAnsi="Arial" w:cs="Arial" w:eastAsia="Arial"/>
                <w:color w:val="1F2430"/>
                <w:sz w:val="18"/>
                <w:szCs w:val="18"/>
                <w:rtl/>
              </w:rPr>
              <w:t xml:space="preserve"> (1) באילו נסיבות, ובאיזו ערכאה, ניתן לקבוע שאישה היא סרבנית גט מטעמים כלכליים, כשאין נגדה שום עילת גירושין קלאסית? (2) האם קביעה כזו שוללת את מזונותיה אוטומטית? </w:t>
            </w:r>
            <w:r>
              <w:rPr>
                <w:rFonts w:ascii="Arial" w:hAnsi="Arial" w:cs="Arial" w:eastAsia="Arial"/>
                <w:b/>
                <w:bCs/>
                <w:color w:val="1F2430"/>
                <w:sz w:val="18"/>
                <w:szCs w:val="18"/>
                <w:rtl/>
              </w:rPr>
              <w:t>הלכה לשאלה 1:</w:t>
            </w:r>
            <w:r>
              <w:rPr>
                <w:rFonts w:ascii="Arial" w:hAnsi="Arial" w:cs="Arial" w:eastAsia="Arial"/>
                <w:color w:val="1F2430"/>
                <w:sz w:val="18"/>
                <w:szCs w:val="18"/>
                <w:rtl/>
              </w:rPr>
              <w:t xml:space="preserve"> יש אחיזה הלכתית (שאינה מקובלת על הכל) לכך שכשהנישואין "הגיעו לקיצם" ("מות הנישואין") ניתן לחייב בגט. הקביעה היא קודם כל ב</w:t>
            </w:r>
            <w:r>
              <w:rPr>
                <w:rFonts w:ascii="Arial" w:hAnsi="Arial" w:cs="Arial" w:eastAsia="Arial"/>
                <w:color w:val="1F2430"/>
                <w:sz w:val="18"/>
                <w:szCs w:val="18"/>
                <w:highlight w:val="yellow"/>
                <w:rtl/>
              </w:rPr>
              <w:t>סמכותו הייחודית של בית הדין הרבני</w:t>
            </w:r>
            <w:r>
              <w:rPr>
                <w:rFonts w:ascii="Arial" w:hAnsi="Arial" w:cs="Arial" w:eastAsia="Arial"/>
                <w:color w:val="1F2430"/>
                <w:sz w:val="18"/>
                <w:szCs w:val="18"/>
                <w:rtl/>
              </w:rPr>
              <w:t xml:space="preserve">. אך לפי השופטים רובינשטיין וזילברטל גם </w:t>
            </w:r>
            <w:r>
              <w:rPr>
                <w:rFonts w:ascii="Arial" w:hAnsi="Arial" w:cs="Arial" w:eastAsia="Arial"/>
                <w:color w:val="1F2430"/>
                <w:sz w:val="18"/>
                <w:szCs w:val="18"/>
                <w:highlight w:val="yellow"/>
                <w:rtl/>
              </w:rPr>
              <w:t>הערכאה האזרחית</w:t>
            </w:r>
            <w:r>
              <w:rPr>
                <w:rFonts w:ascii="Arial" w:hAnsi="Arial" w:cs="Arial" w:eastAsia="Arial"/>
                <w:color w:val="1F2430"/>
                <w:sz w:val="18"/>
                <w:szCs w:val="18"/>
                <w:rtl/>
              </w:rPr>
              <w:t xml:space="preserve"> רשאית לקבוע שהנישואין הגיעו לקיצם ושהאישה סרבנית גט – מכוח </w:t>
            </w:r>
            <w:r>
              <w:rPr>
                <w:rFonts w:ascii="Arial" w:hAnsi="Arial" w:cs="Arial" w:eastAsia="Arial"/>
                <w:color w:val="1F2430"/>
                <w:sz w:val="18"/>
                <w:szCs w:val="18"/>
                <w:highlight w:val="yellow"/>
                <w:rtl/>
              </w:rPr>
              <w:t>סמכות אגבית, סעיף 76 לחוק בתי המשפט [נוסח משולב]</w:t>
            </w:r>
            <w:r>
              <w:rPr>
                <w:rFonts w:ascii="Arial" w:hAnsi="Arial" w:cs="Arial" w:eastAsia="Arial"/>
                <w:color w:val="1F2430"/>
                <w:sz w:val="18"/>
                <w:szCs w:val="18"/>
                <w:rtl/>
              </w:rPr>
              <w:t xml:space="preserve">, לצורך תביעת המזונות בלבד, בלי שהקביעה תהווה מעשה בית דין. הרציונל – יעילות. </w:t>
            </w:r>
            <w:r>
              <w:rPr>
                <w:rFonts w:ascii="Arial" w:hAnsi="Arial" w:cs="Arial" w:eastAsia="Arial"/>
                <w:b/>
                <w:bCs/>
                <w:color w:val="1F2430"/>
                <w:sz w:val="18"/>
                <w:szCs w:val="18"/>
                <w:rtl/>
              </w:rPr>
              <w:t>הלכה לשאלה 2:</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לא</w:t>
            </w:r>
            <w:r>
              <w:rPr>
                <w:rFonts w:ascii="Arial" w:hAnsi="Arial" w:cs="Arial" w:eastAsia="Arial"/>
                <w:color w:val="1F2430"/>
                <w:sz w:val="18"/>
                <w:szCs w:val="18"/>
                <w:rtl/>
              </w:rPr>
              <w:t xml:space="preserve">. השלילה אינה אוטומטית. בוחנים: מקור הסרבנות (נקמנות וסחטנות – מול חשש קיומי-כלכלי אמיתי); יכולת הקיום השוטף אחרי הגירושין (רכוש; וכן העמדה שלפיה ניתן לחייב במזונות גם אחרי הגירושין עד חלוקת הרכוש); קרבה לגיל פרישה; ויכולת להשתלב בשוק העבודה. </w:t>
            </w:r>
            <w:r>
              <w:rPr>
                <w:rFonts w:ascii="Arial" w:hAnsi="Arial" w:cs="Arial" w:eastAsia="Arial"/>
                <w:b/>
                <w:bCs/>
                <w:color w:val="1F2430"/>
                <w:sz w:val="18"/>
                <w:szCs w:val="18"/>
                <w:rtl/>
              </w:rPr>
              <w:t>אמרת אגב:</w:t>
            </w:r>
            <w:r>
              <w:rPr>
                <w:rFonts w:ascii="Arial" w:hAnsi="Arial" w:cs="Arial" w:eastAsia="Arial"/>
                <w:color w:val="1F2430"/>
                <w:sz w:val="18"/>
                <w:szCs w:val="18"/>
                <w:rtl/>
              </w:rPr>
              <w:t xml:space="preserve"> אין מניעה עקרונית לפסוק במקרים מתאימים </w:t>
            </w:r>
            <w:r>
              <w:rPr>
                <w:rFonts w:ascii="Arial" w:hAnsi="Arial" w:cs="Arial" w:eastAsia="Arial"/>
                <w:color w:val="1F2430"/>
                <w:sz w:val="18"/>
                <w:szCs w:val="18"/>
                <w:highlight w:val="yellow"/>
                <w:rtl/>
              </w:rPr>
              <w:t>מזונות חוזיים אזרחיים גם בנישואין כדמו"י</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מעמדה של אמרת האגב</w:t>
            </w:r>
          </w:p>
          <w:p>
            <w:pPr>
              <w:bidi/>
              <w:spacing w:before="0" w:after="60" w:line="300" w:lineRule="auto"/>
              <w:jc w:val="both"/>
            </w:pPr>
            <w:r>
              <w:rPr>
                <w:rFonts w:ascii="Arial" w:hAnsi="Arial" w:cs="Arial" w:eastAsia="Arial"/>
                <w:color w:val="1F2430"/>
                <w:sz w:val="18"/>
                <w:szCs w:val="18"/>
                <w:rtl/>
              </w:rPr>
              <w:t xml:space="preserve">לפי תשובת הפרופ': אמרת האגב על מזונות משקמים לנשואים כדמו"י </w:t>
            </w:r>
            <w:r>
              <w:rPr>
                <w:rFonts w:ascii="Arial" w:hAnsi="Arial" w:cs="Arial" w:eastAsia="Arial"/>
                <w:color w:val="1F2430"/>
                <w:sz w:val="18"/>
                <w:szCs w:val="18"/>
                <w:highlight w:val="yellow"/>
                <w:rtl/>
              </w:rPr>
              <w:t>נשארה בגדר מיעוט ולמיטב ידיעתו טרם יושמה</w:t>
            </w:r>
            <w:r>
              <w:rPr>
                <w:rFonts w:ascii="Arial" w:hAnsi="Arial" w:cs="Arial" w:eastAsia="Arial"/>
                <w:color w:val="1F2430"/>
                <w:sz w:val="18"/>
                <w:szCs w:val="18"/>
                <w:rtl/>
              </w:rPr>
              <w:t>. כיום, בני זוג יהודים הנשואים כדמו"י – מזונות לפי הדין האישי בלבד; מזונות חוזיים (רע"א 8256/99) נפסקו רק לנישואין אזרחיים ולידועים בציבור.</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6.10 סמכות נמשכת, שינוי נסיבות ו"מעוכבת מחמתו"</w:t>
      </w:r>
    </w:p>
    <w:p>
      <w:pPr>
        <w:bidi/>
        <w:spacing w:before="0" w:after="100" w:line="300" w:lineRule="auto"/>
        <w:jc w:val="both"/>
      </w:pPr>
      <w:r>
        <w:rPr>
          <w:rFonts w:ascii="Arial" w:hAnsi="Arial" w:cs="Arial" w:eastAsia="Arial"/>
          <w:color w:val="1F2430"/>
          <w:sz w:val="19"/>
          <w:szCs w:val="19"/>
          <w:rtl/>
        </w:rPr>
        <w:t xml:space="preserve">מזונות אישה הם נושא </w:t>
      </w:r>
      <w:r>
        <w:rPr>
          <w:rFonts w:ascii="Arial" w:hAnsi="Arial" w:cs="Arial" w:eastAsia="Arial"/>
          <w:color w:val="1F2430"/>
          <w:sz w:val="19"/>
          <w:szCs w:val="19"/>
          <w:highlight w:val="yellow"/>
          <w:rtl/>
        </w:rPr>
        <w:t>בעל אופי מתמשך</w:t>
      </w:r>
      <w:r>
        <w:rPr>
          <w:rFonts w:ascii="Arial" w:hAnsi="Arial" w:cs="Arial" w:eastAsia="Arial"/>
          <w:color w:val="1F2430"/>
          <w:sz w:val="19"/>
          <w:szCs w:val="19"/>
          <w:rtl/>
        </w:rPr>
        <w:t xml:space="preserve"> – אין סופיות דיון. בשינוי נסיבות מהותי פותחים את התיק מחדש באותה ערכאה (כיבוד הדדי בין הערכאות; פרק 4), גם אם התחייבו שלא לתבוע בעתיד.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בגידה אחרי פסק הדין</w:t>
            </w:r>
          </w:p>
          <w:p>
            <w:pPr>
              <w:bidi/>
              <w:spacing w:before="0" w:after="60" w:line="300" w:lineRule="auto"/>
              <w:jc w:val="both"/>
            </w:pPr>
            <w:r>
              <w:rPr>
                <w:rFonts w:ascii="Arial" w:hAnsi="Arial" w:cs="Arial" w:eastAsia="Arial"/>
                <w:color w:val="1F2430"/>
                <w:sz w:val="18"/>
                <w:szCs w:val="18"/>
                <w:rtl/>
              </w:rPr>
              <w:t xml:space="preserve">בני זוג פרודים; בית הדין כבר פסק מזונות אישה (עד הגט), אך הגט טרם ניתן. כעבור שנתיים האישה בוגדת. האם ניתן לפתוח מחדש ולשלול את המזונות? לפי תשובת הפרופ': </w:t>
            </w:r>
            <w:r>
              <w:rPr>
                <w:rFonts w:ascii="Arial" w:hAnsi="Arial" w:cs="Arial" w:eastAsia="Arial"/>
                <w:b/>
                <w:bCs/>
                <w:color w:val="1F2430"/>
                <w:sz w:val="18"/>
                <w:szCs w:val="18"/>
                <w:rtl/>
              </w:rPr>
              <w:t>בוודאי – זה שינוי נסיבות</w:t>
            </w:r>
            <w:r>
              <w:rPr>
                <w:rFonts w:ascii="Arial" w:hAnsi="Arial" w:cs="Arial" w:eastAsia="Arial"/>
                <w:color w:val="1F2430"/>
                <w:sz w:val="18"/>
                <w:szCs w:val="18"/>
                <w:rtl/>
              </w:rPr>
              <w:t>. ומנגד – אם דווקא הבעל הוא שמעכב את הגט, האישה היא "</w:t>
            </w:r>
            <w:r>
              <w:rPr>
                <w:rFonts w:ascii="Arial" w:hAnsi="Arial" w:cs="Arial" w:eastAsia="Arial"/>
                <w:b/>
                <w:bCs/>
                <w:color w:val="1F2430"/>
                <w:sz w:val="18"/>
                <w:szCs w:val="18"/>
                <w:rtl/>
              </w:rPr>
              <w:t>מעוכבת מחמתו</w:t>
            </w:r>
            <w:r>
              <w:rPr>
                <w:rFonts w:ascii="Arial" w:hAnsi="Arial" w:cs="Arial" w:eastAsia="Arial"/>
                <w:color w:val="1F2430"/>
                <w:sz w:val="18"/>
                <w:szCs w:val="18"/>
                <w:rtl/>
              </w:rPr>
              <w:t>" (מעוכבת להינשא בגללו), ועשויה להמשיך להיות זכאית למזונות.</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6.11 מזונות אישה בשתי הערכאות – השוואה</w:t>
      </w:r>
    </w:p>
    <w:tbl>
      <w:tblPr>
        <w:tblW w:type="dxa" w:w="10206"/>
        <w:jc w:val="center"/>
        <w:tblLook w:firstColumn="1" w:firstRow="1" w:lastColumn="0" w:lastRow="0" w:noHBand="0" w:noVBand="1" w:val="04A0"/>
        <w:bidiVisual/>
        <w:tblLayout w:type="fixed"/>
      </w:tblPr>
      <w:tblGrid>
        <w:gridCol w:w="1458"/>
        <w:gridCol w:w="4374"/>
        <w:gridCol w:w="4374"/>
      </w:tblGrid>
      <w:tr>
        <w:trPr>
          <w:tblHeader/>
        </w:trPr>
        <w:tc>
          <w:tcPr>
            <w:tcW w:type="dxa" w:w="1458"/>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37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בית הדין הרבני</w:t>
            </w:r>
          </w:p>
        </w:tc>
        <w:tc>
          <w:tcPr>
            <w:tcW w:type="dxa" w:w="437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בית המשפט לענייני משפחה</w:t>
            </w:r>
          </w:p>
        </w:tc>
      </w:tr>
      <w:tr>
        <w:trPr>
          <w:cantSplit/>
        </w:trPr>
        <w:tc>
          <w:tcPr>
            <w:tcW w:type="dxa" w:w="145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הדרך להגיע</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 4 (האישה), ס' 9 (הסכמה), ס' 3 (כריכה מפורשת)</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תביעה עצמאית – ס' 3 לחוק בימ"ש לענייני משפחה</w:t>
            </w:r>
          </w:p>
        </w:tc>
      </w:tr>
      <w:tr>
        <w:trPr>
          <w:cantSplit/>
        </w:trPr>
        <w:tc>
          <w:tcPr>
            <w:tcW w:type="dxa" w:w="145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הדין</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דין תורה</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דין תורה (ס' 2(א)) – בפרשנות אזרחית</w:t>
            </w:r>
          </w:p>
        </w:tc>
      </w:tr>
      <w:tr>
        <w:trPr>
          <w:cantSplit/>
        </w:trPr>
        <w:tc>
          <w:tcPr>
            <w:tcW w:type="dxa" w:w="145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מדור</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נוטה למדור ספציפי (אקנין, יאיר, גולדנברג)</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מדור חלופי אפשרי (כליפה)</w:t>
            </w:r>
          </w:p>
        </w:tc>
      </w:tr>
      <w:tr>
        <w:trPr>
          <w:cantSplit/>
        </w:trPr>
        <w:tc>
          <w:tcPr>
            <w:tcW w:type="dxa" w:w="145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מורדת / בגידה</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קובע עובדות ומסקנות; הכרזת מורדת – סמכות ייחודית</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כפוף להכרזה כללית; השתק פלוגתא רק לעובדות (טביב)</w:t>
            </w:r>
          </w:p>
        </w:tc>
      </w:tr>
      <w:tr>
        <w:trPr>
          <w:cantSplit/>
        </w:trPr>
        <w:tc>
          <w:tcPr>
            <w:tcW w:type="dxa" w:w="1458"/>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סרבנות גט כלכלית</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ייחודית – "מות הנישואין"</w:t>
            </w:r>
          </w:p>
        </w:tc>
        <w:tc>
          <w:tcPr>
            <w:tcW w:type="dxa" w:w="437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אגבית – ס' 76 (3151/14)</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לעומת כל אלה, במזונות חוזיים/משקמים (נשואים אזרחית, ידועים בציבור – פרק 8) אין בדיקת אשם ועילות גירושין, בגידה אינה שוללת אוטומטית (עקרון תום הלב), והם יכולים להינתן גם אחרי הפרידה.</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מלכודות נפוצות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"הדין הולך אחר הדיין"</w:t>
      </w:r>
      <w:r>
        <w:rPr>
          <w:rFonts w:ascii="Arial" w:hAnsi="Arial" w:cs="Arial" w:eastAsia="Arial"/>
          <w:color w:val="1F2430"/>
          <w:sz w:val="19"/>
          <w:szCs w:val="19"/>
          <w:rtl/>
        </w:rPr>
        <w:t xml:space="preserve"> – לא במזונות אישה (ס' 2(א)).</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פוטנציאל</w:t>
      </w:r>
      <w:r>
        <w:rPr>
          <w:rFonts w:ascii="Arial" w:hAnsi="Arial" w:cs="Arial" w:eastAsia="Arial"/>
          <w:color w:val="1F2430"/>
          <w:sz w:val="19"/>
          <w:szCs w:val="19"/>
          <w:rtl/>
        </w:rPr>
        <w:t xml:space="preserve"> – לא פוטנציאל פירות, וככלל גם לא פוטנציאל השתכרות (פלולי). ביקל ופדן אינם ההלכה המחייבת.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"אינני ניזונת ואינני עושה"</w:t>
      </w:r>
      <w:r>
        <w:rPr>
          <w:rFonts w:ascii="Arial" w:hAnsi="Arial" w:cs="Arial" w:eastAsia="Arial"/>
          <w:color w:val="1F2430"/>
          <w:sz w:val="19"/>
          <w:szCs w:val="19"/>
          <w:rtl/>
        </w:rPr>
        <w:t xml:space="preserve"> – האישה יכולה לוותר על מזונות כנגד מעשה ידיה; על הסדר הפירות-פדיון אינה יכולה לוותר.</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קביעה "לעניין המזונות"</w:t>
      </w:r>
      <w:r>
        <w:rPr>
          <w:rFonts w:ascii="Arial" w:hAnsi="Arial" w:cs="Arial" w:eastAsia="Arial"/>
          <w:color w:val="1F2430"/>
          <w:sz w:val="19"/>
          <w:szCs w:val="19"/>
          <w:rtl/>
        </w:rPr>
        <w:t xml:space="preserve"> של בית הדין אינה הכרזת מורדת – חריגה מסמכות (שרגאי).</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השתק פלוגתא</w:t>
      </w:r>
      <w:r>
        <w:rPr>
          <w:rFonts w:ascii="Arial" w:hAnsi="Arial" w:cs="Arial" w:eastAsia="Arial"/>
          <w:color w:val="1F2430"/>
          <w:sz w:val="19"/>
          <w:szCs w:val="19"/>
          <w:rtl/>
        </w:rPr>
        <w:t xml:space="preserve"> (טביב) – רק לעובדות, לא למסקנות.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אחרי הגירושין</w:t>
      </w:r>
      <w:r>
        <w:rPr>
          <w:rFonts w:ascii="Arial" w:hAnsi="Arial" w:cs="Arial" w:eastAsia="Arial"/>
          <w:color w:val="1F2430"/>
          <w:sz w:val="19"/>
          <w:szCs w:val="19"/>
          <w:rtl/>
        </w:rPr>
        <w:t xml:space="preserve"> – ככלל אין מזונות אישה (בכפוף לפסיקה החדשה של בית הדין עד חלוקת הרכוש).</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1. </w:t>
            </w:r>
            <w:r>
              <w:tab/>
            </w:r>
            <w:r>
              <w:rPr>
                <w:rFonts w:ascii="Arial" w:hAnsi="Arial" w:cs="Arial" w:eastAsia="Arial"/>
                <w:color w:val="1F2430"/>
                <w:sz w:val="18"/>
                <w:szCs w:val="18"/>
                <w:rtl/>
              </w:rPr>
              <w:t>מזונות אישה – חיוב חד-סטרי של הבעל, קיים כל עוד הנישואין כדמו"י קיימים, ותלוי בהתנהגות האישה.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2. </w:t>
            </w:r>
            <w:r>
              <w:tab/>
            </w:r>
            <w:r>
              <w:rPr>
                <w:rFonts w:ascii="Arial" w:hAnsi="Arial" w:cs="Arial" w:eastAsia="Arial"/>
                <w:color w:val="1F2430"/>
                <w:sz w:val="18"/>
                <w:szCs w:val="18"/>
                <w:rtl/>
              </w:rPr>
              <w:t>הדין – דין אישי בשתי הערכאות (ס' 2(א) לחוק המזונות); סעיפים פרוצדורליים (10, 11, וגם 2א לפי חקק) חלים על כולם.</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3. </w:t>
            </w:r>
            <w:r>
              <w:tab/>
            </w:r>
            <w:r>
              <w:rPr>
                <w:rFonts w:ascii="Arial" w:hAnsi="Arial" w:cs="Arial" w:eastAsia="Arial"/>
                <w:color w:val="1F2430"/>
                <w:sz w:val="18"/>
                <w:szCs w:val="18"/>
                <w:rtl/>
              </w:rPr>
              <w:t>שיעור – "עולה עמו ואינה יורדת", "כדי צרכיה", אינה מתפרנסת מרכושה; המדור הוא חלק מהמזונות (כליפה מול אקנין; יאיר וגולדנברג; סייגי דיכובסקי).</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4. </w:t>
            </w:r>
            <w:r>
              <w:tab/>
            </w:r>
            <w:r>
              <w:rPr>
                <w:rFonts w:ascii="Arial" w:hAnsi="Arial" w:cs="Arial" w:eastAsia="Arial"/>
                <w:color w:val="1F2430"/>
                <w:sz w:val="18"/>
                <w:szCs w:val="18"/>
                <w:rtl/>
              </w:rPr>
              <w:t>קיזוז – מעשה ידיה בפועל (מזור, ביקל, פדן, פלולי) ופירותיה בפועל (שיווי זכויות האישה, סידיס, ס' 2א, חקק). פוטנציאל – לא, למעט חריג בהשתכרות.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5. </w:t>
            </w:r>
            <w:r>
              <w:tab/>
            </w:r>
            <w:r>
              <w:rPr>
                <w:rFonts w:ascii="Arial" w:hAnsi="Arial" w:cs="Arial" w:eastAsia="Arial"/>
                <w:color w:val="1F2430"/>
                <w:sz w:val="18"/>
                <w:szCs w:val="18"/>
                <w:rtl/>
              </w:rPr>
              <w:t>פטור – עילות גירושין: אין תוקף, מעין מורדת (מילר), מורדת (שרגאי), בגידה ומעשה כיעור (טביב), עוברת על דת משה, עוברת על דת יהודית.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6. </w:t>
            </w:r>
            <w:r>
              <w:tab/>
            </w:r>
            <w:r>
              <w:rPr>
                <w:rFonts w:ascii="Arial" w:hAnsi="Arial" w:cs="Arial" w:eastAsia="Arial"/>
                <w:color w:val="1F2430"/>
                <w:sz w:val="18"/>
                <w:szCs w:val="18"/>
                <w:rtl/>
              </w:rPr>
              <w:t>סרבנות גט כלכלית – גם בית המשפט רשאי לקבוע באופן אגבי (ס' 76), והשלילה אינה אוטומטית (3151/14).</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3949AB"/>
            <w:tcBorders>
              <w:top w:val="single" w:sz="4" w:space="0" w:color="3949AB"/>
              <w:left w:val="single" w:sz="4" w:space="0" w:color="3949AB"/>
              <w:bottom w:val="single" w:sz="4" w:space="0" w:color="3949AB"/>
              <w:right w:val="single" w:sz="4" w:space="0" w:color="3949AB"/>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7</w:t>
            </w:r>
          </w:p>
          <w:p>
            <w:pPr>
              <w:bidi/>
              <w:spacing w:before="0" w:after="0" w:line="264" w:lineRule="auto"/>
              <w:outlineLvl w:val="0"/>
            </w:pPr>
            <w:r>
              <w:rPr>
                <w:rFonts w:ascii="Arial" w:hAnsi="Arial" w:cs="Arial" w:eastAsia="Arial"/>
                <w:b/>
                <w:bCs/>
                <w:color w:val="FFFFFF"/>
                <w:sz w:val="42"/>
                <w:szCs w:val="42"/>
                <w:rtl/>
              </w:rPr>
              <w:t>נישואין בדין הדתי ובעיות הכשרות</w:t>
            </w:r>
          </w:p>
        </w:tc>
      </w:tr>
    </w:tbl>
    <w:p>
      <w:pPr>
        <w:bidi/>
        <w:spacing w:after="0" w:before="0" w:line="20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מבוא: למה צריך להכיר את הדין הדתי?</w:t>
      </w:r>
    </w:p>
    <w:p>
      <w:pPr>
        <w:bidi/>
        <w:spacing w:before="0" w:after="100" w:line="300" w:lineRule="auto"/>
        <w:jc w:val="both"/>
      </w:pPr>
      <w:r>
        <w:rPr>
          <w:rFonts w:ascii="Arial" w:hAnsi="Arial" w:cs="Arial" w:eastAsia="Arial"/>
          <w:color w:val="1F2430"/>
          <w:sz w:val="19"/>
          <w:szCs w:val="19"/>
          <w:rtl/>
        </w:rPr>
        <w:t>סעיף 2 לחוק שיפוט בתי דין רבניים (נישואין וגירושין), התשי"ג-1953 קובע: "נישואין וגירושין של יהודים ייערכו בישראל על פי דין תורה". לכן השאלות אם זוג יהודי נשוי, אם נדרש גט ומה מעמד ילדיו – מוכרעות לפי ההלכה.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שני התנאים לתוקף נישואין</w:t>
            </w:r>
          </w:p>
          <w:p>
            <w:pPr>
              <w:bidi/>
              <w:spacing w:before="0" w:after="60" w:line="300" w:lineRule="auto"/>
              <w:jc w:val="both"/>
            </w:pPr>
            <w:r>
              <w:rPr>
                <w:rFonts w:ascii="Arial" w:hAnsi="Arial" w:cs="Arial" w:eastAsia="Arial"/>
                <w:color w:val="1F2430"/>
                <w:sz w:val="18"/>
                <w:szCs w:val="18"/>
                <w:rtl/>
              </w:rPr>
              <w:t>כדי שנישואין יתפסו צריך לעמוד בשני תנאים:</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b/>
                <w:bCs/>
                <w:color w:val="1F2430"/>
                <w:sz w:val="18"/>
                <w:szCs w:val="18"/>
                <w:rtl/>
              </w:rPr>
              <w:t>כושר</w:t>
            </w:r>
            <w:r>
              <w:rPr>
                <w:rFonts w:ascii="Arial" w:hAnsi="Arial" w:cs="Arial" w:eastAsia="Arial"/>
                <w:color w:val="1F2430"/>
                <w:sz w:val="18"/>
                <w:szCs w:val="18"/>
                <w:rtl/>
              </w:rPr>
              <w:t xml:space="preserve"> – האם האנשים האלה יכולים בכלל להינשא זה לזה (גיל, קרבה, מעמד: כהן, ממזר, אשת איש וכו').</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b/>
                <w:bCs/>
                <w:color w:val="1F2430"/>
                <w:sz w:val="18"/>
                <w:szCs w:val="18"/>
                <w:rtl/>
              </w:rPr>
              <w:t>צורה</w:t>
            </w:r>
            <w:r>
              <w:rPr>
                <w:rFonts w:ascii="Arial" w:hAnsi="Arial" w:cs="Arial" w:eastAsia="Arial"/>
                <w:color w:val="1F2430"/>
                <w:sz w:val="18"/>
                <w:szCs w:val="18"/>
                <w:rtl/>
              </w:rPr>
              <w:t xml:space="preserve"> – בהנחה שהם רשאים להינשא, מהו המעשה (האקט) שעליהם לבצע כדי שהנישואין יתפסו.</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הפרק בנוי לפי שני התנאים האלה: קודם הצורה (טקס הנישואין), אחר כך בעיות הכושר מהחמורה ביותר (עריות) ועד לנישואין אסורים שבכל זאת תופסים, ולבסוף נישואין אזרחיים בעיני ההלכה ודיני בני נח.</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7.1 צורת טקס הנישואין</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שני שלבים: קידושין ונישואין</w:t>
      </w:r>
    </w:p>
    <w:p>
      <w:pPr>
        <w:bidi/>
        <w:spacing w:before="0" w:after="100" w:line="300" w:lineRule="auto"/>
        <w:jc w:val="both"/>
      </w:pPr>
      <w:r>
        <w:rPr>
          <w:rFonts w:ascii="Arial" w:hAnsi="Arial" w:cs="Arial" w:eastAsia="Arial"/>
          <w:color w:val="1F2430"/>
          <w:sz w:val="19"/>
          <w:szCs w:val="19"/>
          <w:rtl/>
        </w:rPr>
        <w:t>בהלכה הנישואין בנויים משני שלבים:</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b/>
          <w:bCs/>
          <w:color w:val="1F2430"/>
          <w:sz w:val="19"/>
          <w:szCs w:val="19"/>
          <w:rtl/>
        </w:rPr>
        <w:t>קידושין (אירוסין)</w:t>
      </w:r>
      <w:r>
        <w:rPr>
          <w:rFonts w:ascii="Arial" w:hAnsi="Arial" w:cs="Arial" w:eastAsia="Arial"/>
          <w:color w:val="1F2430"/>
          <w:sz w:val="19"/>
          <w:szCs w:val="19"/>
          <w:rtl/>
        </w:rPr>
        <w:t xml:space="preserve"> – בעבר זה היה טקס קטן ו"מינורי": האיש מקדש את האישה בטבעת בפני שני עדים, והיא מיועדת לו, אך הם עדיין לא חיים יחד.</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נישואין</w:t>
      </w:r>
      <w:r>
        <w:rPr>
          <w:rFonts w:ascii="Arial" w:hAnsi="Arial" w:cs="Arial" w:eastAsia="Arial"/>
          <w:color w:val="1F2430"/>
          <w:sz w:val="19"/>
          <w:szCs w:val="19"/>
          <w:rtl/>
        </w:rPr>
        <w:t xml:space="preserve"> – כעבור כשנה נערך האירוע הגדול, והזוג מתחיל לחיות יחד.</w:t>
      </w:r>
    </w:p>
    <w:p>
      <w:pPr>
        <w:bidi/>
        <w:spacing w:before="0" w:after="100" w:line="300" w:lineRule="auto"/>
        <w:jc w:val="both"/>
      </w:pPr>
      <w:r>
        <w:rPr>
          <w:rFonts w:ascii="Arial" w:hAnsi="Arial" w:cs="Arial" w:eastAsia="Arial"/>
          <w:color w:val="1F2430"/>
          <w:sz w:val="19"/>
          <w:szCs w:val="19"/>
          <w:rtl/>
        </w:rPr>
        <w:t>הפיצול גרם לתקלות: טקס מינימלי עם טבעת ושני עדים יכול היה ליצור קידושין בלי שאיש יידע. לכן חכמים איחדו את השלבים לטקס אחד "רב רושם", שכולם יידעו עליו ושלכלה יהיה ברור שזו חופה ולא הבעת חיבה. כיום: בשלב הראשון מברכים, נותנים טבעת ואומרים "הרי את מקודשת לי"; בשלב השני מקריאים את הכתובה, השייכת לשלב הנישואין.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אין "התחרטות" בין קידושין לנישואין</w:t>
            </w:r>
          </w:p>
          <w:p>
            <w:pPr>
              <w:bidi/>
              <w:spacing w:before="0" w:after="60" w:line="300" w:lineRule="auto"/>
              <w:jc w:val="both"/>
            </w:pPr>
            <w:r>
              <w:rPr>
                <w:rFonts w:ascii="Arial" w:hAnsi="Arial" w:cs="Arial" w:eastAsia="Arial"/>
                <w:color w:val="1F2430"/>
                <w:sz w:val="18"/>
                <w:szCs w:val="18"/>
                <w:rtl/>
              </w:rPr>
              <w:t>מרגע שנעשו קידושין, האישה היא "אשת איש". מי שהתחרט אחרי הקידושין ולפני הנישואין צריך לסדר גט.</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שלוש דרכי הקידושין</w:t>
      </w:r>
    </w:p>
    <w:p>
      <w:pPr>
        <w:bidi/>
        <w:spacing w:before="0" w:after="100" w:line="300" w:lineRule="auto"/>
        <w:jc w:val="both"/>
      </w:pPr>
      <w:r>
        <w:rPr>
          <w:rFonts w:ascii="Arial" w:hAnsi="Arial" w:cs="Arial" w:eastAsia="Arial"/>
          <w:color w:val="1F2430"/>
          <w:sz w:val="19"/>
          <w:szCs w:val="19"/>
          <w:rtl/>
        </w:rPr>
        <w:t>האישה יכולה להתקדש בשלוש דרכים:</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b/>
          <w:bCs/>
          <w:color w:val="1F2430"/>
          <w:sz w:val="19"/>
          <w:szCs w:val="19"/>
          <w:rtl/>
        </w:rPr>
        <w:t>כסף</w:t>
      </w:r>
      <w:r>
        <w:rPr>
          <w:rFonts w:ascii="Arial" w:hAnsi="Arial" w:cs="Arial" w:eastAsia="Arial"/>
          <w:color w:val="1F2430"/>
          <w:sz w:val="19"/>
          <w:szCs w:val="19"/>
          <w:rtl/>
        </w:rPr>
        <w:t xml:space="preserve"> – נותנים לאישה דבר ששווה לפחות פרוטה (בדרך כלל טבעת, אך לא חייבים טבעת) ואומרים "הרי את מקודשת לי", בפני שני עדים. זו הדרך המקובלת כיום. מדוע די בשווה פרוטה? כדי שהאישה "לא תשים עינה בטבעת אלא בבעל", וכדי שגם בעלים חסרי יכולת יוכלו לקדש ולהינשא.</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שטר</w:t>
      </w:r>
      <w:r>
        <w:rPr>
          <w:rFonts w:ascii="Arial" w:hAnsi="Arial" w:cs="Arial" w:eastAsia="Arial"/>
          <w:color w:val="1F2430"/>
          <w:sz w:val="19"/>
          <w:szCs w:val="19"/>
          <w:rtl/>
        </w:rPr>
        <w:t xml:space="preserve"> – האיש כותב על נייר "הרי את מקודשת לי" ונותן לאישה, בפני עדים. עלתה השאלה אם מילוי הטפסים והחתימות בנישואין בקפריסין אינם "קידושי שטר". </w:t>
      </w:r>
      <w:r>
        <w:rPr>
          <w:rFonts w:ascii="Arial" w:hAnsi="Arial" w:cs="Arial" w:eastAsia="Arial"/>
          <w:b/>
          <w:bCs/>
          <w:color w:val="1F2430"/>
          <w:sz w:val="19"/>
          <w:szCs w:val="19"/>
          <w:rtl/>
        </w:rPr>
        <w:t>רוב הפוסקים סבורים שלא</w:t>
      </w:r>
      <w:r>
        <w:rPr>
          <w:rFonts w:ascii="Arial" w:hAnsi="Arial" w:cs="Arial" w:eastAsia="Arial"/>
          <w:color w:val="1F2430"/>
          <w:sz w:val="19"/>
          <w:szCs w:val="19"/>
          <w:rtl/>
        </w:rPr>
        <w:t xml:space="preserve">: בקידושי שטר המסמך הוא </w:t>
      </w:r>
      <w:r>
        <w:rPr>
          <w:rFonts w:ascii="Arial" w:hAnsi="Arial" w:cs="Arial" w:eastAsia="Arial"/>
          <w:b/>
          <w:bCs/>
          <w:color w:val="1F2430"/>
          <w:sz w:val="19"/>
          <w:szCs w:val="19"/>
          <w:rtl/>
        </w:rPr>
        <w:t>קונסטיטוטיבי</w:t>
      </w:r>
      <w:r>
        <w:rPr>
          <w:rFonts w:ascii="Arial" w:hAnsi="Arial" w:cs="Arial" w:eastAsia="Arial"/>
          <w:color w:val="1F2430"/>
          <w:sz w:val="19"/>
          <w:szCs w:val="19"/>
          <w:rtl/>
        </w:rPr>
        <w:t xml:space="preserve"> – הוא עצמו יוצר את הקידושין והאיש נותן אותו לאישה; ואילו בקפריסין רק חותמים על מסמך </w:t>
      </w:r>
      <w:r>
        <w:rPr>
          <w:rFonts w:ascii="Arial" w:hAnsi="Arial" w:cs="Arial" w:eastAsia="Arial"/>
          <w:b/>
          <w:bCs/>
          <w:color w:val="1F2430"/>
          <w:sz w:val="19"/>
          <w:szCs w:val="19"/>
          <w:rtl/>
        </w:rPr>
        <w:t>דקלרטיבי</w:t>
      </w:r>
      <w:r>
        <w:rPr>
          <w:rFonts w:ascii="Arial" w:hAnsi="Arial" w:cs="Arial" w:eastAsia="Arial"/>
          <w:color w:val="1F2430"/>
          <w:sz w:val="19"/>
          <w:szCs w:val="19"/>
          <w:rtl/>
        </w:rPr>
        <w:t>, שמצהיר על מה שנעשה ואינו המעשה עצמו.</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b/>
          <w:bCs/>
          <w:color w:val="1F2430"/>
          <w:sz w:val="19"/>
          <w:szCs w:val="19"/>
          <w:rtl/>
        </w:rPr>
        <w:t>ביאה</w:t>
      </w:r>
      <w:r>
        <w:rPr>
          <w:rFonts w:ascii="Arial" w:hAnsi="Arial" w:cs="Arial" w:eastAsia="Arial"/>
          <w:color w:val="1F2430"/>
          <w:sz w:val="19"/>
          <w:szCs w:val="19"/>
          <w:rtl/>
        </w:rPr>
        <w:t xml:space="preserve"> – יחסי אישות לשם קידושין, כשהאיש אומר "הרי את מקודשת לי בביאה זו" ושני עדים שומעים את המילים (לא רואים את המעשה). </w:t>
      </w:r>
      <w:r>
        <w:rPr>
          <w:rFonts w:ascii="Arial" w:hAnsi="Arial" w:cs="Arial" w:eastAsia="Arial"/>
          <w:b/>
          <w:bCs/>
          <w:color w:val="1F2430"/>
          <w:sz w:val="19"/>
          <w:szCs w:val="19"/>
          <w:rtl/>
        </w:rPr>
        <w:t>חכמים אסרו דרך זו בגלל פריצות</w:t>
      </w:r>
      <w:r>
        <w:rPr>
          <w:rFonts w:ascii="Arial" w:hAnsi="Arial" w:cs="Arial" w:eastAsia="Arial"/>
          <w:color w:val="1F2430"/>
          <w:sz w:val="19"/>
          <w:szCs w:val="19"/>
          <w:rtl/>
        </w:rPr>
        <w:t xml:space="preserve"> – אך האיסור אינו מבטל את התוקף: התורה פתחה את הפתח, ולכן קידושי ביאה </w:t>
      </w:r>
      <w:r>
        <w:rPr>
          <w:rFonts w:ascii="Arial" w:hAnsi="Arial" w:cs="Arial" w:eastAsia="Arial"/>
          <w:b/>
          <w:bCs/>
          <w:color w:val="1F2430"/>
          <w:sz w:val="19"/>
          <w:szCs w:val="19"/>
          <w:rtl/>
        </w:rPr>
        <w:t>עדיין יכולים לתפוס</w:t>
      </w:r>
      <w:r>
        <w:rPr>
          <w:rFonts w:ascii="Arial" w:hAnsi="Arial" w:cs="Arial" w:eastAsia="Arial"/>
          <w:color w:val="1F2430"/>
          <w:sz w:val="19"/>
          <w:szCs w:val="19"/>
          <w:rtl/>
        </w:rPr>
        <w:t>. זה המקור לכל "בעיית הספק" בנישואין אזרחיים (ראו 7.7).</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התנאים המצטברים מדין תורה</w:t>
      </w:r>
    </w:p>
    <w:p>
      <w:pPr>
        <w:bidi/>
        <w:spacing w:before="0" w:after="100" w:line="300" w:lineRule="auto"/>
        <w:jc w:val="both"/>
      </w:pPr>
      <w:r>
        <w:rPr>
          <w:rFonts w:ascii="Arial" w:hAnsi="Arial" w:cs="Arial" w:eastAsia="Arial"/>
          <w:color w:val="1F2430"/>
          <w:sz w:val="19"/>
          <w:szCs w:val="19"/>
          <w:rtl/>
        </w:rPr>
        <w:t xml:space="preserve">כדי שקידושין יתפסו מדין תורה צריך, </w:t>
      </w:r>
      <w:r>
        <w:rPr>
          <w:rFonts w:ascii="Arial" w:hAnsi="Arial" w:cs="Arial" w:eastAsia="Arial"/>
          <w:b/>
          <w:bCs/>
          <w:color w:val="1F2430"/>
          <w:sz w:val="19"/>
          <w:szCs w:val="19"/>
          <w:rtl/>
        </w:rPr>
        <w:t>במצטבר</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color w:val="1F2430"/>
          <w:sz w:val="19"/>
          <w:szCs w:val="19"/>
          <w:rtl/>
        </w:rPr>
        <w:t>אחת משלוש הדרכים – כסף, שטר או ביאה.</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אמירה או כוונה להתקדש</w:t>
      </w:r>
      <w:r>
        <w:rPr>
          <w:rFonts w:ascii="Arial" w:hAnsi="Arial" w:cs="Arial" w:eastAsia="Arial"/>
          <w:color w:val="1F2430"/>
          <w:sz w:val="19"/>
          <w:szCs w:val="19"/>
          <w:rtl/>
        </w:rPr>
        <w:t xml:space="preserve"> – המעשה נעשה לשם קידושין.</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b/>
          <w:bCs/>
          <w:color w:val="1F2430"/>
          <w:sz w:val="19"/>
          <w:szCs w:val="19"/>
          <w:rtl/>
        </w:rPr>
        <w:t>שני עדים כשרים</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color w:val="1F2430"/>
          <w:sz w:val="19"/>
          <w:szCs w:val="19"/>
          <w:rtl/>
        </w:rPr>
        <w:t xml:space="preserve">אין קידושין בכפייה: אמנם בהלכה אב יכול לקדש את בתו כשהיא קטנה, אך משהגיעה לגיל 12 וחצי ומעלה – אי אפשר לחתן אותה בניגוד לדעתה. בטקס הבסיסי מדין תורה </w:t>
      </w:r>
      <w:r>
        <w:rPr>
          <w:rFonts w:ascii="Arial" w:hAnsi="Arial" w:cs="Arial" w:eastAsia="Arial"/>
          <w:b/>
          <w:bCs/>
          <w:color w:val="1F2430"/>
          <w:sz w:val="19"/>
          <w:szCs w:val="19"/>
          <w:rtl/>
        </w:rPr>
        <w:t>אין צורך ברב</w:t>
      </w:r>
      <w:r>
        <w:rPr>
          <w:rFonts w:ascii="Arial" w:hAnsi="Arial" w:cs="Arial" w:eastAsia="Arial"/>
          <w:color w:val="1F2430"/>
          <w:sz w:val="19"/>
          <w:szCs w:val="19"/>
          <w:rtl/>
        </w:rPr>
        <w:t>: די במקדש, במקודשת, בעדים ובצורת הקידושין.</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העדים – לב הטקס</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עדי קיום (לא עדי בירור)</w:t>
            </w:r>
          </w:p>
          <w:p>
            <w:pPr>
              <w:bidi/>
              <w:spacing w:before="0" w:after="60" w:line="300" w:lineRule="auto"/>
              <w:jc w:val="both"/>
            </w:pPr>
            <w:r>
              <w:rPr>
                <w:rFonts w:ascii="Arial" w:hAnsi="Arial" w:cs="Arial" w:eastAsia="Arial"/>
                <w:color w:val="1F2430"/>
                <w:sz w:val="18"/>
                <w:szCs w:val="18"/>
                <w:rtl/>
              </w:rPr>
              <w:t xml:space="preserve">עדי הקידושין אינם רק "הוכחה" למה שקרה. הם </w:t>
            </w:r>
            <w:r>
              <w:rPr>
                <w:rFonts w:ascii="Arial" w:hAnsi="Arial" w:cs="Arial" w:eastAsia="Arial"/>
                <w:b/>
                <w:bCs/>
                <w:color w:val="1F2430"/>
                <w:sz w:val="18"/>
                <w:szCs w:val="18"/>
                <w:rtl/>
              </w:rPr>
              <w:t>חלק מהטקס עצמו</w:t>
            </w:r>
            <w:r>
              <w:rPr>
                <w:rFonts w:ascii="Arial" w:hAnsi="Arial" w:cs="Arial" w:eastAsia="Arial"/>
                <w:color w:val="1F2430"/>
                <w:sz w:val="18"/>
                <w:szCs w:val="18"/>
                <w:rtl/>
              </w:rPr>
              <w:t xml:space="preserve"> – בלעדיהם אין קידושין. לכן הם חשובים אפילו יותר מהרב: אם יתברר בעתיד שאחד העדים פסול, הקידושין עלולים ליפול.</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שני סוגי פסול עיקריים: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פסול קרבה</w:t>
      </w:r>
      <w:r>
        <w:rPr>
          <w:rFonts w:ascii="Arial" w:hAnsi="Arial" w:cs="Arial" w:eastAsia="Arial"/>
          <w:color w:val="1F2430"/>
          <w:sz w:val="19"/>
          <w:szCs w:val="19"/>
          <w:rtl/>
        </w:rPr>
        <w:t xml:space="preserve"> – עד שהוא קרוב של החתן או של הכלה (או בניהם) פסול; די שאחד מהשניים קרוב.</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פסול מחלל שבת בפרהסיה</w:t>
      </w:r>
      <w:r>
        <w:rPr>
          <w:rFonts w:ascii="Arial" w:hAnsi="Arial" w:cs="Arial" w:eastAsia="Arial"/>
          <w:color w:val="1F2430"/>
          <w:sz w:val="19"/>
          <w:szCs w:val="19"/>
          <w:rtl/>
        </w:rPr>
        <w:t xml:space="preserve"> – לפי מה שנלמד בקורס, עד כשר הוא מי שאינו מחלל שבת בפרהסיה. בתיק 1068330/1 נקבע שלא די שהעד עצמו מודה שהוא מחלל שבת: צריך שני עדים שומרי שבת שיעידו </w:t>
      </w:r>
      <w:r>
        <w:rPr>
          <w:rFonts w:ascii="Arial" w:hAnsi="Arial" w:cs="Arial" w:eastAsia="Arial"/>
          <w:b/>
          <w:bCs/>
          <w:color w:val="1F2430"/>
          <w:sz w:val="19"/>
          <w:szCs w:val="19"/>
          <w:rtl/>
        </w:rPr>
        <w:t>בפניו</w:t>
      </w:r>
      <w:r>
        <w:rPr>
          <w:rFonts w:ascii="Arial" w:hAnsi="Arial" w:cs="Arial" w:eastAsia="Arial"/>
          <w:color w:val="1F2430"/>
          <w:sz w:val="19"/>
          <w:szCs w:val="19"/>
          <w:rtl/>
        </w:rPr>
        <w:t xml:space="preserve"> (כדי שיוכל להסביר) שראו אותו מחלל שבת בפרהסיה סמוך למועד החופה.</w:t>
      </w:r>
    </w:p>
    <w:p>
      <w:pPr>
        <w:bidi/>
        <w:spacing w:before="0" w:after="100" w:line="300" w:lineRule="auto"/>
        <w:jc w:val="both"/>
      </w:pPr>
      <w:r>
        <w:rPr>
          <w:rFonts w:ascii="Arial" w:hAnsi="Arial" w:cs="Arial" w:eastAsia="Arial"/>
          <w:color w:val="1F2430"/>
          <w:sz w:val="19"/>
          <w:szCs w:val="19"/>
          <w:rtl/>
        </w:rPr>
        <w:t>הפסולים האלה שימשו את ההלכה כ"פתח מילוט" לביטול נישואין במצוקה (למשל למניעת ממזרות). עם זאת, לא בקלות מבטלים נישואין: יש פוסקים הסבורים שגם אם העדים שנבחרו פסולים, יש בקהל עדים כשרים.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כשרות העדים – סמכות ייחודית</w:t>
            </w:r>
          </w:p>
          <w:p>
            <w:pPr>
              <w:bidi/>
              <w:spacing w:before="0" w:after="60" w:line="300" w:lineRule="auto"/>
              <w:jc w:val="both"/>
            </w:pPr>
            <w:r>
              <w:rPr>
                <w:rFonts w:ascii="Arial" w:hAnsi="Arial" w:cs="Arial" w:eastAsia="Arial"/>
                <w:color w:val="1F2430"/>
                <w:sz w:val="18"/>
                <w:szCs w:val="18"/>
                <w:rtl/>
              </w:rPr>
              <w:t>שאלות כמו כשרות להינשא וכשרות העדים הן "ענייני נישואין" שבסמכות הייחודית של בית הדין הרבני (סעיף 1 לחוק השיפוט). לפי מה שנלמד, רק בית הדין קובע אם עד כשר, ובג"ץ אינו מתערב בכך.</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שתי הבהרות מתשובות הפרופסור:</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חדר ייחוד</w:t>
      </w:r>
      <w:r>
        <w:rPr>
          <w:rFonts w:ascii="Arial" w:hAnsi="Arial" w:cs="Arial" w:eastAsia="Arial"/>
          <w:color w:val="1F2430"/>
          <w:sz w:val="19"/>
          <w:szCs w:val="19"/>
          <w:rtl/>
        </w:rPr>
        <w:t xml:space="preserve"> – המתנת העדים מחוץ לחדר </w:t>
      </w:r>
      <w:r>
        <w:rPr>
          <w:rFonts w:ascii="Arial" w:hAnsi="Arial" w:cs="Arial" w:eastAsia="Arial"/>
          <w:b/>
          <w:bCs/>
          <w:color w:val="1F2430"/>
          <w:sz w:val="19"/>
          <w:szCs w:val="19"/>
          <w:rtl/>
        </w:rPr>
        <w:t>אינה מעכבת</w:t>
      </w:r>
      <w:r>
        <w:rPr>
          <w:rFonts w:ascii="Arial" w:hAnsi="Arial" w:cs="Arial" w:eastAsia="Arial"/>
          <w:color w:val="1F2430"/>
          <w:sz w:val="19"/>
          <w:szCs w:val="19"/>
          <w:rtl/>
        </w:rPr>
        <w:t xml:space="preserve"> את התוקף; זו תוספת, מעין "קידושי ביאה".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אירוסין במובן המודרני</w:t>
      </w:r>
      <w:r>
        <w:rPr>
          <w:rFonts w:ascii="Arial" w:hAnsi="Arial" w:cs="Arial" w:eastAsia="Arial"/>
          <w:color w:val="1F2430"/>
          <w:sz w:val="19"/>
          <w:szCs w:val="19"/>
          <w:rtl/>
        </w:rPr>
        <w:t xml:space="preserve"> (הכרזה, "מזל טוב", מודעה בעיתון) – </w:t>
      </w:r>
      <w:r>
        <w:rPr>
          <w:rFonts w:ascii="Arial" w:hAnsi="Arial" w:cs="Arial" w:eastAsia="Arial"/>
          <w:b/>
          <w:bCs/>
          <w:color w:val="1F2430"/>
          <w:sz w:val="19"/>
          <w:szCs w:val="19"/>
          <w:rtl/>
        </w:rPr>
        <w:t>לא נוצר דבר</w:t>
      </w:r>
      <w:r>
        <w:rPr>
          <w:rFonts w:ascii="Arial" w:hAnsi="Arial" w:cs="Arial" w:eastAsia="Arial"/>
          <w:color w:val="1F2430"/>
          <w:sz w:val="19"/>
          <w:szCs w:val="19"/>
          <w:rtl/>
        </w:rPr>
        <w:t xml:space="preserve"> כל עוד לא היה מעשה קידושין: טבעת ועדים.</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תקנות תש"י – ארבעת התנאים של הטקס הממוסד</w:t>
      </w:r>
    </w:p>
    <w:p>
      <w:pPr>
        <w:bidi/>
        <w:spacing w:before="0" w:after="100" w:line="300" w:lineRule="auto"/>
        <w:jc w:val="both"/>
      </w:pPr>
      <w:r>
        <w:rPr>
          <w:rFonts w:ascii="Arial" w:hAnsi="Arial" w:cs="Arial" w:eastAsia="Arial"/>
          <w:color w:val="1F2430"/>
          <w:sz w:val="19"/>
          <w:szCs w:val="19"/>
          <w:rtl/>
        </w:rPr>
        <w:t xml:space="preserve">מחשש לתקלות ול"קידושי סתר", ב-1950 תיקנו הרבנים הראשיים תקנות (בסיכומי התרגול הן מכונות גם "חרם ירושלים"), שלפיהן בטקס הממוסד נדרשים </w:t>
      </w:r>
      <w:r>
        <w:rPr>
          <w:rFonts w:ascii="Arial" w:hAnsi="Arial" w:cs="Arial" w:eastAsia="Arial"/>
          <w:b/>
          <w:bCs/>
          <w:color w:val="1F2430"/>
          <w:sz w:val="19"/>
          <w:szCs w:val="19"/>
          <w:rtl/>
        </w:rPr>
        <w:t>ארבעה תנאים מצטברים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b/>
          <w:bCs/>
          <w:color w:val="1F2430"/>
          <w:sz w:val="19"/>
          <w:szCs w:val="19"/>
          <w:rtl/>
        </w:rPr>
        <w:t>נוכחות רב והשגחתו</w:t>
      </w:r>
      <w:r>
        <w:rPr>
          <w:rFonts w:ascii="Arial" w:hAnsi="Arial" w:cs="Arial" w:eastAsia="Arial"/>
          <w:color w:val="1F2430"/>
          <w:sz w:val="19"/>
          <w:szCs w:val="19"/>
          <w:rtl/>
        </w:rPr>
        <w:t xml:space="preserve"> – הרב יודע לסדר קידושין ולבדוק מי נגד מי. אבל הרב אינו יוצר את הקידושין.</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בשעת חופה</w:t>
      </w:r>
      <w:r>
        <w:rPr>
          <w:rFonts w:ascii="Arial" w:hAnsi="Arial" w:cs="Arial" w:eastAsia="Arial"/>
          <w:color w:val="1F2430"/>
          <w:sz w:val="19"/>
          <w:szCs w:val="19"/>
          <w:rtl/>
        </w:rPr>
        <w:t xml:space="preserve"> – ולא באירוע אקראי (למשל במחנה נוער).</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b/>
          <w:bCs/>
          <w:color w:val="1F2430"/>
          <w:sz w:val="19"/>
          <w:szCs w:val="19"/>
          <w:rtl/>
        </w:rPr>
        <w:t>בנוכחות מניין</w:t>
      </w:r>
      <w:r>
        <w:rPr>
          <w:rFonts w:ascii="Arial" w:hAnsi="Arial" w:cs="Arial" w:eastAsia="Arial"/>
          <w:color w:val="1F2430"/>
          <w:sz w:val="19"/>
          <w:szCs w:val="19"/>
          <w:rtl/>
        </w:rPr>
        <w:t xml:space="preserve"> – עשרה אנשים.</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4. </w:t>
      </w:r>
      <w:r>
        <w:tab/>
      </w:r>
      <w:r>
        <w:rPr>
          <w:rFonts w:ascii="Arial" w:hAnsi="Arial" w:cs="Arial" w:eastAsia="Arial"/>
          <w:b/>
          <w:bCs/>
          <w:color w:val="1F2430"/>
          <w:sz w:val="19"/>
          <w:szCs w:val="19"/>
          <w:rtl/>
        </w:rPr>
        <w:t>מעבר דרך רשות רושמת</w:t>
      </w:r>
      <w:r>
        <w:rPr>
          <w:rFonts w:ascii="Arial" w:hAnsi="Arial" w:cs="Arial" w:eastAsia="Arial"/>
          <w:color w:val="1F2430"/>
          <w:sz w:val="19"/>
          <w:szCs w:val="19"/>
          <w:rtl/>
        </w:rPr>
        <w:t xml:space="preserve"> – הרבנות. זהו חידוש ישראלי מובהק: הרבנות בודקת שהאדם כשיר להינשא.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התקנות לא מבטלות את דין התורה</w:t>
            </w:r>
          </w:p>
          <w:p>
            <w:pPr>
              <w:bidi/>
              <w:spacing w:before="0" w:after="60" w:line="300" w:lineRule="auto"/>
              <w:jc w:val="both"/>
            </w:pPr>
            <w:r>
              <w:rPr>
                <w:rFonts w:ascii="Arial" w:hAnsi="Arial" w:cs="Arial" w:eastAsia="Arial"/>
                <w:color w:val="1F2430"/>
                <w:sz w:val="18"/>
                <w:szCs w:val="18"/>
                <w:rtl/>
              </w:rPr>
              <w:t xml:space="preserve">גם אם אף אחד מארבעת התנאים לא התקיים – </w:t>
            </w:r>
            <w:r>
              <w:rPr>
                <w:rFonts w:ascii="Arial" w:hAnsi="Arial" w:cs="Arial" w:eastAsia="Arial"/>
                <w:b/>
                <w:bCs/>
                <w:color w:val="1F2430"/>
                <w:sz w:val="18"/>
                <w:szCs w:val="18"/>
                <w:rtl/>
              </w:rPr>
              <w:t>הקידושין תופסים</w:t>
            </w:r>
            <w:r>
              <w:rPr>
                <w:rFonts w:ascii="Arial" w:hAnsi="Arial" w:cs="Arial" w:eastAsia="Arial"/>
                <w:color w:val="1F2430"/>
                <w:sz w:val="18"/>
                <w:szCs w:val="18"/>
                <w:rtl/>
              </w:rPr>
              <w:t>, כי מדין תורה לא צריך אותם. מי שמתחתן שלא דרך הרבנות לא יירשם כנשוי (ואף עובר עבירה שכמעט אינה נאכפת), אבל הקידושין תופסים כ"נישואין פרטיים" (פרקים 8–9).</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מצבי ספק בצורה</w:t>
      </w:r>
    </w:p>
    <w:p>
      <w:pPr>
        <w:bidi/>
        <w:spacing w:before="0" w:after="100" w:line="300" w:lineRule="auto"/>
        <w:jc w:val="both"/>
      </w:pPr>
      <w:r>
        <w:rPr>
          <w:rFonts w:ascii="Arial" w:hAnsi="Arial" w:cs="Arial" w:eastAsia="Arial"/>
          <w:b/>
          <w:bCs/>
          <w:color w:val="1F2430"/>
          <w:sz w:val="19"/>
          <w:szCs w:val="19"/>
          <w:rtl/>
        </w:rPr>
        <w:t>המגרש את אשתו וחזר ובעלה.</w:t>
      </w:r>
      <w:r>
        <w:rPr>
          <w:rFonts w:ascii="Arial" w:hAnsi="Arial" w:cs="Arial" w:eastAsia="Arial"/>
          <w:color w:val="1F2430"/>
          <w:sz w:val="19"/>
          <w:szCs w:val="19"/>
          <w:rtl/>
        </w:rPr>
        <w:t xml:space="preserve"> ההלכה המובאת בקורס: "המגרש את אשתו, וחזר ובעלה בפני עדים, או שגלוי לכל שבא עליה... הואיל ואשתו היתה, הרי זו בחזקת שהחזירה ולשם קדושין בעל ולא לשם זנות... שחזקה היא שאין אדם עושה בעילתו בעילת זנות והרי בידו לעשותה בעילת מצוה. לפיכך, הרי זו מקודשת קידושי ודאי, וצריכה ממנו גט שני". כלומר: זוג גרוש שחזר לקיים יחסי אישות (ואפילו רק ידוע שחזרו לגור יחד) – בית הדין עלול לחייב גט נוסף.</w:t>
      </w:r>
    </w:p>
    <w:p>
      <w:pPr>
        <w:bidi/>
        <w:spacing w:before="0" w:after="100" w:line="300" w:lineRule="auto"/>
        <w:jc w:val="both"/>
      </w:pPr>
      <w:r>
        <w:rPr>
          <w:rFonts w:ascii="Arial" w:hAnsi="Arial" w:cs="Arial" w:eastAsia="Arial"/>
          <w:b/>
          <w:bCs/>
          <w:color w:val="1F2430"/>
          <w:sz w:val="19"/>
          <w:szCs w:val="19"/>
          <w:rtl/>
        </w:rPr>
        <w:t>הצעת נישואין עם טבעת ועדים.</w:t>
      </w:r>
      <w:r>
        <w:rPr>
          <w:rFonts w:ascii="Arial" w:hAnsi="Arial" w:cs="Arial" w:eastAsia="Arial"/>
          <w:color w:val="1F2430"/>
          <w:sz w:val="19"/>
          <w:szCs w:val="19"/>
          <w:rtl/>
        </w:rPr>
        <w:t xml:space="preserve"> "התינשאי לי?" עם טבעת מול חברים עלול להתפרש כקידושין. בקורס צוין שהרב יצחק יוסף פרסם אזהרה לציבור שלא להציע נישואין עם טבעת בנוכחות עדים.</w:t>
      </w:r>
    </w:p>
    <w:p>
      <w:pPr>
        <w:bidi/>
        <w:spacing w:before="0" w:after="100" w:line="300" w:lineRule="auto"/>
        <w:jc w:val="both"/>
      </w:pP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אצל ידועים בציבור כמעט לא מעלים את חזקת "אין אדם עושה בעילתו בעילת זנות": הם בחרו מלכתחילה לא להינשא, ואין ראיה שהתכוונו להתקדש. בתיק 1178079/1 (פלונית נ' פלוני, בית הדין הרבני ירושלים) נקבע שככלל אין מסדרים גט לידועים בציבור, אפילו לא לחומרא – </w:t>
      </w:r>
      <w:r>
        <w:rPr>
          <w:rFonts w:ascii="Arial" w:hAnsi="Arial" w:cs="Arial" w:eastAsia="Arial"/>
          <w:b/>
          <w:bCs/>
          <w:color w:val="1F2430"/>
          <w:sz w:val="19"/>
          <w:szCs w:val="19"/>
          <w:rtl/>
        </w:rPr>
        <w:t>למעט</w:t>
      </w:r>
      <w:r>
        <w:rPr>
          <w:rFonts w:ascii="Arial" w:hAnsi="Arial" w:cs="Arial" w:eastAsia="Arial"/>
          <w:color w:val="1F2430"/>
          <w:sz w:val="19"/>
          <w:szCs w:val="19"/>
          <w:rtl/>
        </w:rPr>
        <w:t xml:space="preserve"> בני זוג שהיו נשואים כדמו"י, התגרשו וחזרו לחיות יחד (הרחבה על ידועים בציבור – פרק 8).</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ספק קידושין: לחומרא באיסור, לקולא בממון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באיסור והיתר</w:t>
            </w:r>
            <w:r>
              <w:rPr>
                <w:rFonts w:ascii="Arial" w:hAnsi="Arial" w:cs="Arial" w:eastAsia="Arial"/>
                <w:color w:val="1F2430"/>
                <w:sz w:val="18"/>
                <w:szCs w:val="18"/>
                <w:rtl/>
              </w:rPr>
              <w:t xml:space="preserve"> – "אם יש ספק אז אין ספק": מחשש אשת איש וממזרות מסדרים </w:t>
            </w:r>
            <w:r>
              <w:rPr>
                <w:rFonts w:ascii="Arial" w:hAnsi="Arial" w:cs="Arial" w:eastAsia="Arial"/>
                <w:b/>
                <w:bCs/>
                <w:color w:val="1F2430"/>
                <w:sz w:val="18"/>
                <w:szCs w:val="18"/>
                <w:rtl/>
              </w:rPr>
              <w:t>גט לחומרא (גט מספק)</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בממון</w:t>
            </w:r>
            <w:r>
              <w:rPr>
                <w:rFonts w:ascii="Arial" w:hAnsi="Arial" w:cs="Arial" w:eastAsia="Arial"/>
                <w:color w:val="1F2430"/>
                <w:sz w:val="18"/>
                <w:szCs w:val="18"/>
                <w:rtl/>
              </w:rPr>
              <w:t xml:space="preserve"> – הכלל הפוך: </w:t>
            </w:r>
            <w:r>
              <w:rPr>
                <w:rFonts w:ascii="Arial" w:hAnsi="Arial" w:cs="Arial" w:eastAsia="Arial"/>
                <w:b/>
                <w:bCs/>
                <w:color w:val="1F2430"/>
                <w:sz w:val="18"/>
                <w:szCs w:val="18"/>
                <w:rtl/>
              </w:rPr>
              <w:t>"אין מוציאין ממון מספק"</w:t>
            </w:r>
            <w:r>
              <w:rPr>
                <w:rFonts w:ascii="Arial" w:hAnsi="Arial" w:cs="Arial" w:eastAsia="Arial"/>
                <w:color w:val="1F2430"/>
                <w:sz w:val="18"/>
                <w:szCs w:val="18"/>
                <w:rtl/>
              </w:rPr>
              <w:t xml:space="preserve">. מנישואין שתוקפם בספק אין כתובה ואין מזונות אישה בדין הדתי. כלומר הספק יוצר </w:t>
            </w:r>
            <w:r>
              <w:rPr>
                <w:rFonts w:ascii="Arial" w:hAnsi="Arial" w:cs="Arial" w:eastAsia="Arial"/>
                <w:b/>
                <w:bCs/>
                <w:color w:val="1F2430"/>
                <w:sz w:val="18"/>
                <w:szCs w:val="18"/>
                <w:rtl/>
              </w:rPr>
              <w:t>חובות ולא זכויות</w:t>
            </w:r>
            <w:r>
              <w:rPr>
                <w:rFonts w:ascii="Arial" w:hAnsi="Arial" w:cs="Arial" w:eastAsia="Arial"/>
                <w:color w:val="1F2430"/>
                <w:sz w:val="18"/>
                <w:szCs w:val="18"/>
                <w:rtl/>
              </w:rPr>
              <w:t>.</w:t>
            </w:r>
          </w:p>
        </w:tc>
      </w:tr>
    </w:tbl>
    <w:p>
      <w:pPr>
        <w:bidi/>
        <w:spacing w:after="0" w:before="0" w:line="12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7.2 כשרות לנישואין: גיל הנישואין</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הדין הדתי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מדין תורה</w:t>
      </w:r>
      <w:r>
        <w:rPr>
          <w:rFonts w:ascii="Arial" w:hAnsi="Arial" w:cs="Arial" w:eastAsia="Arial"/>
          <w:color w:val="1F2430"/>
          <w:sz w:val="19"/>
          <w:szCs w:val="19"/>
          <w:rtl/>
        </w:rPr>
        <w:t xml:space="preserve"> – בן 13 הוא בגיר לכל דבר: למצוות, למניין ולחתונה. די שנער בן 13 יאמר לנערה בת 12 וחצי "הרי את מקודשת לי" בפני שני עדים (שגם הם יכולים להיות בני 13) – והקידושין תופסים לכל דבר.</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כינוס הרבנות תש"י (1950)</w:t>
      </w:r>
      <w:r>
        <w:rPr>
          <w:rFonts w:ascii="Arial" w:hAnsi="Arial" w:cs="Arial" w:eastAsia="Arial"/>
          <w:color w:val="1F2430"/>
          <w:sz w:val="19"/>
          <w:szCs w:val="19"/>
          <w:rtl/>
        </w:rPr>
        <w:t xml:space="preserve"> – תקנת חכמים העלתה את גיל הנישואין של </w:t>
      </w:r>
      <w:r>
        <w:rPr>
          <w:rFonts w:ascii="Arial" w:hAnsi="Arial" w:cs="Arial" w:eastAsia="Arial"/>
          <w:b/>
          <w:bCs/>
          <w:color w:val="1F2430"/>
          <w:sz w:val="19"/>
          <w:szCs w:val="19"/>
          <w:rtl/>
        </w:rPr>
        <w:t>האישה בלבד</w:t>
      </w:r>
      <w:r>
        <w:rPr>
          <w:rFonts w:ascii="Arial" w:hAnsi="Arial" w:cs="Arial" w:eastAsia="Arial"/>
          <w:color w:val="1F2430"/>
          <w:sz w:val="19"/>
          <w:szCs w:val="19"/>
          <w:rtl/>
        </w:rPr>
        <w:t xml:space="preserve"> ל-16, מחשש לסכנת חיים לאם ולעובר בהיריון בגיל צעיר. גיל הגבר לא שונה, כי הוא אינו נכנס להיריון. התקנה באה </w:t>
      </w:r>
      <w:r>
        <w:rPr>
          <w:rFonts w:ascii="Arial" w:hAnsi="Arial" w:cs="Arial" w:eastAsia="Arial"/>
          <w:b/>
          <w:bCs/>
          <w:color w:val="1F2430"/>
          <w:sz w:val="19"/>
          <w:szCs w:val="19"/>
          <w:rtl/>
        </w:rPr>
        <w:t>להוסיף</w:t>
      </w:r>
      <w:r>
        <w:rPr>
          <w:rFonts w:ascii="Arial" w:hAnsi="Arial" w:cs="Arial" w:eastAsia="Arial"/>
          <w:color w:val="1F2430"/>
          <w:sz w:val="19"/>
          <w:szCs w:val="19"/>
          <w:rtl/>
        </w:rPr>
        <w:t xml:space="preserve"> ואינה יכולה לעקור דין תורה.</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חוק גיל הנישואין, התש"י-1950</w:t>
      </w:r>
    </w:p>
    <w:p>
      <w:pPr>
        <w:bidi/>
        <w:spacing w:before="0" w:after="100" w:line="300" w:lineRule="auto"/>
        <w:jc w:val="both"/>
      </w:pPr>
      <w:r>
        <w:rPr>
          <w:rFonts w:ascii="Arial" w:hAnsi="Arial" w:cs="Arial" w:eastAsia="Arial"/>
          <w:color w:val="1F2430"/>
          <w:sz w:val="19"/>
          <w:szCs w:val="19"/>
          <w:rtl/>
        </w:rPr>
        <w:t xml:space="preserve">החוק האזרחי קובע כיום גיל </w:t>
      </w:r>
      <w:r>
        <w:rPr>
          <w:rFonts w:ascii="Arial" w:hAnsi="Arial" w:cs="Arial" w:eastAsia="Arial"/>
          <w:b/>
          <w:bCs/>
          <w:color w:val="1F2430"/>
          <w:sz w:val="19"/>
          <w:szCs w:val="19"/>
          <w:rtl/>
        </w:rPr>
        <w:t>18</w:t>
      </w:r>
      <w:r>
        <w:rPr>
          <w:rFonts w:ascii="Arial" w:hAnsi="Arial" w:cs="Arial" w:eastAsia="Arial"/>
          <w:color w:val="1F2430"/>
          <w:sz w:val="19"/>
          <w:szCs w:val="19"/>
          <w:rtl/>
        </w:rPr>
        <w:t xml:space="preserve"> לשני המינים. עד 2013 הגיל היה 17 (ההגדרות "נער" ו"נערה" נמחקו); ארגוני נשים פעלו להעלאתו כדי להגן על נשים בחברה החרדית והערבית, שבהן מקובל להינשא מוקדם.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גיל הנישואין, התש"י-1950 – סעיף 1 (הגדרות)</w:t>
            </w:r>
          </w:p>
          <w:p>
            <w:pPr>
              <w:bidi/>
              <w:spacing w:before="0" w:after="60" w:line="300" w:lineRule="auto"/>
              <w:jc w:val="both"/>
            </w:pPr>
            <w:r>
              <w:rPr>
                <w:rFonts w:ascii="Arial" w:hAnsi="Arial" w:cs="Arial" w:eastAsia="Arial"/>
                <w:color w:val="1F2430"/>
                <w:sz w:val="18"/>
                <w:szCs w:val="18"/>
                <w:rtl/>
              </w:rPr>
              <w:t>"נישואין" – כוללים קידושין. "קטין" – כמשמעותו בסעיף 3 לחוק הכשרות המשפטית והאפוטרופסות, התשכ"ב-1962.</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שתי הגדרות חשובות: ראשית, החוק אינו כותב "18" במפורש אלא מפנה לחוק הכשרות (שם קטין הוא מי שטרם מלאו לו 18). שנית, </w:t>
      </w:r>
      <w:r>
        <w:rPr>
          <w:rFonts w:ascii="Arial" w:hAnsi="Arial" w:cs="Arial" w:eastAsia="Arial"/>
          <w:b/>
          <w:bCs/>
          <w:color w:val="1F2430"/>
          <w:sz w:val="19"/>
          <w:szCs w:val="19"/>
          <w:rtl/>
        </w:rPr>
        <w:t>"נישואין" כוללים קידושין</w:t>
      </w:r>
      <w:r>
        <w:rPr>
          <w:rFonts w:ascii="Arial" w:hAnsi="Arial" w:cs="Arial" w:eastAsia="Arial"/>
          <w:color w:val="1F2430"/>
          <w:sz w:val="19"/>
          <w:szCs w:val="19"/>
          <w:rtl/>
        </w:rPr>
        <w:t xml:space="preserve"> – כדי לעבור עבירה לא צריך לקיים טקס מלא; די בקידושין בלבד.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גיל הנישואין – סעיף 2 (עבירות)</w:t>
            </w:r>
          </w:p>
          <w:p>
            <w:pPr>
              <w:bidi/>
              <w:spacing w:before="0" w:after="60" w:line="300" w:lineRule="auto"/>
              <w:jc w:val="both"/>
            </w:pPr>
            <w:r>
              <w:rPr>
                <w:rFonts w:ascii="Arial" w:hAnsi="Arial" w:cs="Arial" w:eastAsia="Arial"/>
                <w:color w:val="1F2430"/>
                <w:sz w:val="18"/>
                <w:szCs w:val="18"/>
                <w:rtl/>
              </w:rPr>
              <w:t>מי שעשה אחד מאלה: (א) נשא קטינה או נשאה קטין; (ב) ערך נישואין, או סייע בכל תפקיד שהוא בעריכת נישואין, של קטינה או של קטין; (ג) השיא קטינה או קטין שהם בתו או בנו או שהם נתונים לאפוטרופסותו – דינו מאסר שנתיים או קנס כאמור בסעיף 61(א)(3) לחוק העונשין.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בפועל העבירה כמעט אינה נאכפת, וקשה למצוא פסקי דין עליה. גם </w:t>
      </w:r>
      <w:r>
        <w:rPr>
          <w:rFonts w:ascii="Arial" w:hAnsi="Arial" w:cs="Arial" w:eastAsia="Arial"/>
          <w:b/>
          <w:bCs/>
          <w:color w:val="1F2430"/>
          <w:sz w:val="19"/>
          <w:szCs w:val="19"/>
          <w:rtl/>
        </w:rPr>
        <w:t>מגורים משותפים</w:t>
      </w:r>
      <w:r>
        <w:rPr>
          <w:rFonts w:ascii="Arial" w:hAnsi="Arial" w:cs="Arial" w:eastAsia="Arial"/>
          <w:color w:val="1F2430"/>
          <w:sz w:val="19"/>
          <w:szCs w:val="19"/>
          <w:rtl/>
        </w:rPr>
        <w:t xml:space="preserve"> בגיל 16–17 אינם עבירה.</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תוקף נישואי קטינים – סעיף 3א</w:t>
      </w:r>
    </w:p>
    <w:p>
      <w:pPr>
        <w:bidi/>
        <w:spacing w:before="0" w:after="100" w:line="300" w:lineRule="auto"/>
        <w:jc w:val="both"/>
      </w:pPr>
      <w:r>
        <w:rPr>
          <w:rFonts w:ascii="Arial" w:hAnsi="Arial" w:cs="Arial" w:eastAsia="Arial"/>
          <w:color w:val="1F2430"/>
          <w:sz w:val="19"/>
          <w:szCs w:val="19"/>
          <w:rtl/>
        </w:rPr>
        <w:t xml:space="preserve">מה אם היום בן 13 אומר לבת 14 "הרי את מקודשת לי" בפני עדים? </w:t>
      </w:r>
      <w:r>
        <w:rPr>
          <w:rFonts w:ascii="Arial" w:hAnsi="Arial" w:cs="Arial" w:eastAsia="Arial"/>
          <w:b/>
          <w:bCs/>
          <w:color w:val="1F2430"/>
          <w:sz w:val="19"/>
          <w:szCs w:val="19"/>
          <w:rtl/>
        </w:rPr>
        <w:t>הקידושין תופסים דתית</w:t>
      </w:r>
      <w:r>
        <w:rPr>
          <w:rFonts w:ascii="Arial" w:hAnsi="Arial" w:cs="Arial" w:eastAsia="Arial"/>
          <w:color w:val="1F2430"/>
          <w:sz w:val="19"/>
          <w:szCs w:val="19"/>
          <w:rtl/>
        </w:rPr>
        <w:t>, משום שהחוק האזרחי אינו יכול לעקור את הדין הדתי – הרי המחוקק עצמו קבע (בסעיף 2 לחוק השיפוט) שהנישואין נערכים לפי דין תורה.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גיל הנישואין – סעיף 3א (עילת תביעה להתרת קשר נישואין)</w:t>
            </w:r>
          </w:p>
          <w:p>
            <w:pPr>
              <w:bidi/>
              <w:spacing w:before="0" w:after="60" w:line="300" w:lineRule="auto"/>
              <w:jc w:val="both"/>
            </w:pPr>
            <w:r>
              <w:rPr>
                <w:rFonts w:ascii="Arial" w:hAnsi="Arial" w:cs="Arial" w:eastAsia="Arial"/>
                <w:color w:val="1F2430"/>
                <w:sz w:val="18"/>
                <w:szCs w:val="18"/>
                <w:rtl/>
              </w:rPr>
              <w:t>"נערכו נישואין בניגוד לסעיף 2, והם תופסים לפי החוק החל על עניני המעמד האישי של הצדדים – תשמש העובדה שהנישואין נערכו בניגוד לסעיף 2 עילת תביעה להתרתם בדרך של גט, או בדרך של פירוק קשר הנישואין, או בדרך אחרת, הכל לפי הוראות החוק החל על עניני המעמד האישי של הצדדים."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המחוקק ניסה ליצור עילת גירושין, אבל הכול כפוף ל"חוק החל על ענייני המעמד האישי". לפי ההלכה גיל 13 / 12 וחצי הוא גיל תקין, ולכן אין כאן עילת גירושין הלכתית. לפי מה שנלמד בקורס, לסעיף אין משמעות מעשית רבה: "יכול להיות שיכניסו אותם לכלא, אבל בנישואין הם לא יכולים לגעת".</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היתר נישואין – סעיף 5א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גיל הנישואין – סעיף 5א</w:t>
            </w:r>
          </w:p>
          <w:p>
            <w:pPr>
              <w:bidi/>
              <w:spacing w:before="0" w:after="60" w:line="300" w:lineRule="auto"/>
              <w:jc w:val="both"/>
            </w:pPr>
            <w:r>
              <w:rPr>
                <w:rFonts w:ascii="Arial" w:hAnsi="Arial" w:cs="Arial" w:eastAsia="Arial"/>
                <w:color w:val="1F2430"/>
                <w:sz w:val="18"/>
                <w:szCs w:val="18"/>
                <w:rtl/>
              </w:rPr>
              <w:t>"על אף האמור בחוק זה, רשאי בית המשפט לענייני משפחה לתת היתר לנישואי קטין או קטינה אם מלאו להם שש עשרה שנים, ולדעת בית המשפט קיימות נסיבות מיוחדות הקשורות בטובת הקטין או הקטינה, לפי העניין, המצדיקות מתן היתר זה; בית המשפט לענייני משפחה יכריע בבקשה למתן היתר לאחר ששמע את הקטין או הקטינה, לפי העניין."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מי נותן את ההיתר?</w:t>
      </w:r>
      <w:r>
        <w:rPr>
          <w:rFonts w:ascii="Arial" w:hAnsi="Arial" w:cs="Arial" w:eastAsia="Arial"/>
          <w:color w:val="1F2430"/>
          <w:sz w:val="19"/>
          <w:szCs w:val="19"/>
          <w:rtl/>
        </w:rPr>
        <w:t xml:space="preserve"> בית המשפט לענייני משפחה – ולא בית הדין הרבני. מבחינת הדין הדתי אין בעיה לחתן גם בגיל 13; האיסור הוא יצירה של המשפט האזרחי, ולכן ההיתר נתון לערכאה האזרחית.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תנאים</w:t>
      </w:r>
      <w:r>
        <w:rPr>
          <w:rFonts w:ascii="Arial" w:hAnsi="Arial" w:cs="Arial" w:eastAsia="Arial"/>
          <w:color w:val="1F2430"/>
          <w:sz w:val="19"/>
          <w:szCs w:val="19"/>
          <w:rtl/>
        </w:rPr>
        <w:t xml:space="preserve">: גיל 16 לפחות + נסיבות מיוחדות הקשורות </w:t>
      </w:r>
      <w:r>
        <w:rPr>
          <w:rFonts w:ascii="Arial" w:hAnsi="Arial" w:cs="Arial" w:eastAsia="Arial"/>
          <w:b/>
          <w:bCs/>
          <w:color w:val="1F2430"/>
          <w:sz w:val="19"/>
          <w:szCs w:val="19"/>
          <w:rtl/>
        </w:rPr>
        <w:t>בטובת הקטין</w:t>
      </w:r>
      <w:r>
        <w:rPr>
          <w:rFonts w:ascii="Arial" w:hAnsi="Arial" w:cs="Arial" w:eastAsia="Arial"/>
          <w:color w:val="1F2430"/>
          <w:sz w:val="19"/>
          <w:szCs w:val="19"/>
          <w:rtl/>
        </w:rPr>
        <w:t xml:space="preserve"> + שמיעת הקטין. החוק מגדיר גם "עובד סוציאלי לפי חוק גיל הנישואין" שמונה בידי שר הרווחה.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הנוסח הישן (סעיף 5)</w:t>
      </w:r>
      <w:r>
        <w:rPr>
          <w:rFonts w:ascii="Arial" w:hAnsi="Arial" w:cs="Arial" w:eastAsia="Arial"/>
          <w:color w:val="1F2430"/>
          <w:sz w:val="19"/>
          <w:szCs w:val="19"/>
          <w:rtl/>
        </w:rPr>
        <w:t xml:space="preserve"> אפשר לבית המשפט המחוזי להתיר נישואי "נערה שילדה לאיש או שהיא בהריונו ממנו". המבחן היה ההיריון – וכל מי שרצה להתחתן מוקדם יכול היה "להשתמש" בכך. תיקון מס' 6 צמצם מאוד את שיקול הדעת, וההיתר הוא החריג.</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צמ"ש 58933-12-18 (14.1.2019) – בקשת קטינים להינשא</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קטין ביקש להינשא לקטינה שהייתה בהיריון. השניים הכירו באינסטגרם כשמונה חודשים קודם, וכשלושה חודשים לפני הבקשה עברה הקטינה לגור עמו. הקטינה גדלה במשפחה חרדית שהתפרקה; הם תיארו קשר יציב ואוהב והיריון מתוכנן. הוזמן תסקיר סעד; לדיון הגיעו באיחור של חצי שעה, והקטין נכנס כשהוא מצחקק. השופטת התרשמה מקטינה "חיננית" אך חסרת בשלות רגשית.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המחוקק לא הגדיר "נסיבות מיוחדות", אך התיקון הבהיר כי </w:t>
            </w:r>
            <w:r>
              <w:rPr>
                <w:rFonts w:ascii="Arial" w:hAnsi="Arial" w:cs="Arial" w:eastAsia="Arial"/>
                <w:b/>
                <w:bCs/>
                <w:color w:val="1F2430"/>
                <w:sz w:val="18"/>
                <w:szCs w:val="18"/>
                <w:rtl/>
              </w:rPr>
              <w:t>היריון כשלעצמו אינו נסיבה מיוחדת</w:t>
            </w:r>
            <w:r>
              <w:rPr>
                <w:rFonts w:ascii="Arial" w:hAnsi="Arial" w:cs="Arial" w:eastAsia="Arial"/>
                <w:color w:val="1F2430"/>
                <w:sz w:val="18"/>
                <w:szCs w:val="18"/>
                <w:rtl/>
              </w:rPr>
              <w:t xml:space="preserve">. גם השתייכות למגזר מסוים אינה נסיבה הקשורה בטובת הקטין. הבקשה נדחתה – עליהם להמתין עד גיל 18.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היריון לבדו לא מספיק. רק צירוף נסיבות (למשל בית הורים הרוס של הקטינה מול בית יציב וחם של הקטין) עשוי להטות את הכף. הנטייה היא לא לאשר.</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501/81</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אירוסין והכנות רבות לטקס הנישואין </w:t>
            </w:r>
            <w:r>
              <w:rPr>
                <w:rFonts w:ascii="Arial" w:hAnsi="Arial" w:cs="Arial" w:eastAsia="Arial"/>
                <w:b/>
                <w:bCs/>
                <w:color w:val="1F2430"/>
                <w:sz w:val="18"/>
                <w:szCs w:val="18"/>
                <w:rtl/>
              </w:rPr>
              <w:t>אינם מצדיקים</w:t>
            </w:r>
            <w:r>
              <w:rPr>
                <w:rFonts w:ascii="Arial" w:hAnsi="Arial" w:cs="Arial" w:eastAsia="Arial"/>
                <w:color w:val="1F2430"/>
                <w:sz w:val="18"/>
                <w:szCs w:val="18"/>
                <w:rtl/>
              </w:rPr>
              <w:t xml:space="preserve"> מתן היתר; העובדה שהקטינים שייכים למגזר זה או אחר אינה נסיבה הקשורה בטובת הקטין המצדיקה "נישואי בוסר".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הלכה שצוטטה בצמ"ש 58933-12-18; מסיח קלאסי במבחן ("היו אירוסין, הם מהמגזר החסידי, היא בהיריון – לכן יאשרו").</w:t>
            </w:r>
          </w:p>
        </w:tc>
      </w:tr>
    </w:tbl>
    <w:p>
      <w:pPr>
        <w:bidi/>
        <w:spacing w:after="0" w:before="0" w:line="12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7.3 קידושי עריות ואשת איש: חייבי כריתות</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הדין</w:t>
      </w:r>
    </w:p>
    <w:p>
      <w:pPr>
        <w:bidi/>
        <w:spacing w:before="0" w:after="100" w:line="300" w:lineRule="auto"/>
        <w:jc w:val="both"/>
      </w:pPr>
      <w:r>
        <w:rPr>
          <w:rFonts w:ascii="Arial" w:hAnsi="Arial" w:cs="Arial" w:eastAsia="Arial"/>
          <w:color w:val="1F2430"/>
          <w:sz w:val="19"/>
          <w:szCs w:val="19"/>
          <w:rtl/>
        </w:rPr>
        <w:t xml:space="preserve">עריות הן פסולי חיתון "במעגל הראשון": אח ואחותו, אם ובנה, אב ובתו (ברוב מדינות העולם גם המשפט האזרחי אוסר זאת). גם </w:t>
      </w:r>
      <w:r>
        <w:rPr>
          <w:rFonts w:ascii="Arial" w:hAnsi="Arial" w:cs="Arial" w:eastAsia="Arial"/>
          <w:b/>
          <w:bCs/>
          <w:color w:val="1F2430"/>
          <w:sz w:val="19"/>
          <w:szCs w:val="19"/>
          <w:rtl/>
        </w:rPr>
        <w:t>אשת איש</w:t>
      </w:r>
      <w:r>
        <w:rPr>
          <w:rFonts w:ascii="Arial" w:hAnsi="Arial" w:cs="Arial" w:eastAsia="Arial"/>
          <w:color w:val="1F2430"/>
          <w:sz w:val="19"/>
          <w:szCs w:val="19"/>
          <w:rtl/>
        </w:rPr>
        <w:t xml:space="preserve"> נכנסת להגדרה: אם אישה נשואה עושה "אקט נישואין" עם אחר, הקידושין אינם תופסים.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 כריתות</w:t>
            </w:r>
          </w:p>
          <w:p>
            <w:pPr>
              <w:bidi/>
              <w:spacing w:before="0" w:after="60" w:line="300" w:lineRule="auto"/>
              <w:jc w:val="both"/>
            </w:pPr>
            <w:r>
              <w:rPr>
                <w:rFonts w:ascii="Arial" w:hAnsi="Arial" w:cs="Arial" w:eastAsia="Arial"/>
                <w:color w:val="1F2430"/>
                <w:sz w:val="18"/>
                <w:szCs w:val="18"/>
                <w:rtl/>
              </w:rPr>
              <w:t xml:space="preserve">איסורים שעונשם ההלכתי הוא </w:t>
            </w:r>
            <w:r>
              <w:rPr>
                <w:rFonts w:ascii="Arial" w:hAnsi="Arial" w:cs="Arial" w:eastAsia="Arial"/>
                <w:b/>
                <w:bCs/>
                <w:color w:val="1F2430"/>
                <w:sz w:val="18"/>
                <w:szCs w:val="18"/>
                <w:rtl/>
              </w:rPr>
              <w:t>כרת או מיתה</w:t>
            </w:r>
            <w:r>
              <w:rPr>
                <w:rFonts w:ascii="Arial" w:hAnsi="Arial" w:cs="Arial" w:eastAsia="Arial"/>
                <w:color w:val="1F2430"/>
                <w:sz w:val="18"/>
                <w:szCs w:val="18"/>
                <w:rtl/>
              </w:rPr>
              <w:t xml:space="preserve">. בהם </w:t>
            </w:r>
            <w:r>
              <w:rPr>
                <w:rFonts w:ascii="Arial" w:hAnsi="Arial" w:cs="Arial" w:eastAsia="Arial"/>
                <w:b/>
                <w:bCs/>
                <w:color w:val="1F2430"/>
                <w:sz w:val="18"/>
                <w:szCs w:val="18"/>
                <w:rtl/>
              </w:rPr>
              <w:t>הקידושין אינם תופסים כלל</w:t>
            </w:r>
            <w:r>
              <w:rPr>
                <w:rFonts w:ascii="Arial" w:hAnsi="Arial" w:cs="Arial" w:eastAsia="Arial"/>
                <w:color w:val="1F2430"/>
                <w:sz w:val="18"/>
                <w:szCs w:val="18"/>
                <w:rtl/>
              </w:rPr>
              <w:t xml:space="preserve"> – הנישואין אינם "ניתנים לביטול" אלא </w:t>
            </w:r>
            <w:r>
              <w:rPr>
                <w:rFonts w:ascii="Arial" w:hAnsi="Arial" w:cs="Arial" w:eastAsia="Arial"/>
                <w:b/>
                <w:bCs/>
                <w:color w:val="1F2430"/>
                <w:sz w:val="18"/>
                <w:szCs w:val="18"/>
                <w:rtl/>
              </w:rPr>
              <w:t>בטלים מעיקרם</w:t>
            </w:r>
            <w:r>
              <w:rPr>
                <w:rFonts w:ascii="Arial" w:hAnsi="Arial" w:cs="Arial" w:eastAsia="Arial"/>
                <w:color w:val="1F2430"/>
                <w:sz w:val="18"/>
                <w:szCs w:val="18"/>
                <w:rtl/>
              </w:rPr>
              <w:t xml:space="preserve">. התוצאות: </w:t>
            </w:r>
            <w:r>
              <w:rPr>
                <w:rFonts w:ascii="Arial" w:hAnsi="Arial" w:cs="Arial" w:eastAsia="Arial"/>
                <w:b/>
                <w:bCs/>
                <w:color w:val="1F2430"/>
                <w:sz w:val="18"/>
                <w:szCs w:val="18"/>
                <w:rtl/>
              </w:rPr>
              <w:t>אין צורך בגט</w:t>
            </w:r>
            <w:r>
              <w:rPr>
                <w:rFonts w:ascii="Arial" w:hAnsi="Arial" w:cs="Arial" w:eastAsia="Arial"/>
                <w:color w:val="1F2430"/>
                <w:sz w:val="18"/>
                <w:szCs w:val="18"/>
                <w:rtl/>
              </w:rPr>
              <w:t xml:space="preserve">; </w:t>
            </w:r>
            <w:r>
              <w:rPr>
                <w:rFonts w:ascii="Arial" w:hAnsi="Arial" w:cs="Arial" w:eastAsia="Arial"/>
                <w:b/>
                <w:bCs/>
                <w:color w:val="1F2430"/>
                <w:sz w:val="18"/>
                <w:szCs w:val="18"/>
                <w:rtl/>
              </w:rPr>
              <w:t>הילדים ממזרים</w:t>
            </w:r>
            <w:r>
              <w:rPr>
                <w:rFonts w:ascii="Arial" w:hAnsi="Arial" w:cs="Arial" w:eastAsia="Arial"/>
                <w:color w:val="1F2430"/>
                <w:sz w:val="18"/>
                <w:szCs w:val="18"/>
                <w:rtl/>
              </w:rPr>
              <w:t xml:space="preserve"> (בין אם נולדו במסגרת "נישואין" ובין אם לאו); </w:t>
            </w:r>
            <w:r>
              <w:rPr>
                <w:rFonts w:ascii="Arial" w:hAnsi="Arial" w:cs="Arial" w:eastAsia="Arial"/>
                <w:b/>
                <w:bCs/>
                <w:color w:val="1F2430"/>
                <w:sz w:val="18"/>
                <w:szCs w:val="18"/>
                <w:rtl/>
              </w:rPr>
              <w:t>אין זכויות ממוניות</w:t>
            </w:r>
            <w:r>
              <w:rPr>
                <w:rFonts w:ascii="Arial" w:hAnsi="Arial" w:cs="Arial" w:eastAsia="Arial"/>
                <w:color w:val="1F2430"/>
                <w:sz w:val="18"/>
                <w:szCs w:val="18"/>
                <w:rtl/>
              </w:rPr>
              <w:t xml:space="preserve"> מכוח הדין הדתי.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אחים מאומצים</w:t>
            </w:r>
          </w:p>
          <w:p>
            <w:pPr>
              <w:bidi/>
              <w:spacing w:before="0" w:after="60" w:line="300" w:lineRule="auto"/>
              <w:jc w:val="both"/>
            </w:pPr>
            <w:r>
              <w:rPr>
                <w:rFonts w:ascii="Arial" w:hAnsi="Arial" w:cs="Arial" w:eastAsia="Arial"/>
                <w:color w:val="1F2430"/>
                <w:sz w:val="18"/>
                <w:szCs w:val="18"/>
                <w:rtl/>
              </w:rPr>
              <w:t>שני אחים נמסרו לאימוץ למשפחות שונות, לא עיינו בתיק האימוץ בגיל 18 והתחתנו כדת, עם רב וחופה. כשהתגלה שהם אחים – הטקס לא תפס בכלל, ואין צורך בגט, משום שמדובר בחייבי כריתות.</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ממזרות</w:t>
      </w:r>
    </w:p>
    <w:p>
      <w:pPr>
        <w:bidi/>
        <w:spacing w:before="0" w:after="100" w:line="300" w:lineRule="auto"/>
        <w:jc w:val="both"/>
      </w:pPr>
      <w:r>
        <w:rPr>
          <w:rFonts w:ascii="Arial" w:hAnsi="Arial" w:cs="Arial" w:eastAsia="Arial"/>
          <w:color w:val="1F2430"/>
          <w:sz w:val="19"/>
          <w:szCs w:val="19"/>
          <w:rtl/>
        </w:rPr>
        <w:t>ממזר הוא מי שנולד מקשר של עריות או של אשת איש עם גבר אחר. זהו "כתם" לדורי דורות: ממזר יכול להינשא רק לממזרה או לגיורת, וילדיו ממזרים. לכן המדינה ובתי הדין עושים כל מאמץ לא להכתים איש בכתם זה. דוגמה מהקורס: אח ואחות באו להינשא, והתברר שאמם ילדה אותם מגבר שאינו בעלה. שמונה דיינים בעילום שם ביטלו את נישואי האם (הבעל התגייר בלי כוונה לשמור מצוות) – וכך פטרו את הילדים מממזרות.</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תרומת זרע</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תיק 1123955/1 – רווקה מבקשת היתר נישואין לבתה שנולדה מתרומה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אישה דתייה רווקה ילדה בת מתרומת זרע ופנתה לבית הדין הרבני, כשהתינוקת עוד בעריסה, וביקשה היתר נישואין מראש לבתה. הבעיה: הבת היא "שתוקי" (מי שלא יודעים מי אביו), ולא מחתנים שתוקי – שמא האב ממזר. אם התורם אינו יהודי – הילדה יהודייה (כי האם יהודייה) אך אסורה להינשא לכהן.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לפי הרב פיינשטיין, אשת איש נאסרת ובנה ממזר רק כשהקשר נעשה </w:t>
            </w:r>
            <w:r>
              <w:rPr>
                <w:rFonts w:ascii="Arial" w:hAnsi="Arial" w:cs="Arial" w:eastAsia="Arial"/>
                <w:b/>
                <w:bCs/>
                <w:color w:val="1F2430"/>
                <w:sz w:val="18"/>
                <w:szCs w:val="18"/>
                <w:rtl/>
              </w:rPr>
              <w:t>בדרך אישות</w:t>
            </w:r>
            <w:r>
              <w:rPr>
                <w:rFonts w:ascii="Arial" w:hAnsi="Arial" w:cs="Arial" w:eastAsia="Arial"/>
                <w:color w:val="1F2430"/>
                <w:sz w:val="18"/>
                <w:szCs w:val="18"/>
                <w:rtl/>
              </w:rPr>
              <w:t xml:space="preserve">, ולא בדרך טכנולוגית (הפריה במבחנה). ואם התורם יהודי שחוששים שהוא ממזר – לפי הרב עובדיה יש כאן "ספק ספיקא" (רוב האנשים בעיר אינם ממזרים, ורוב התורמים – חיילים וסטודנטים – אינם ממזרים), ושני הספקות פותרים את הבעיה. לכן נקבע תחילה שהבת </w:t>
            </w:r>
            <w:r>
              <w:rPr>
                <w:rFonts w:ascii="Arial" w:hAnsi="Arial" w:cs="Arial" w:eastAsia="Arial"/>
                <w:b/>
                <w:bCs/>
                <w:color w:val="1F2430"/>
                <w:sz w:val="18"/>
                <w:szCs w:val="18"/>
                <w:rtl/>
              </w:rPr>
              <w:t>כשרה לגמרי לנישואין</w:t>
            </w:r>
            <w:r>
              <w:rPr>
                <w:rFonts w:ascii="Arial" w:hAnsi="Arial" w:cs="Arial" w:eastAsia="Arial"/>
                <w:color w:val="1F2430"/>
                <w:sz w:val="18"/>
                <w:szCs w:val="18"/>
                <w:rtl/>
              </w:rPr>
              <w:t xml:space="preserve">. כעבור ארבעה חודשים ניתן פסק דין מתוקן: מאחר שתורם אחד עשוי לתרום לכמה נשים, יש </w:t>
            </w:r>
            <w:r>
              <w:rPr>
                <w:rFonts w:ascii="Arial" w:hAnsi="Arial" w:cs="Arial" w:eastAsia="Arial"/>
                <w:b/>
                <w:bCs/>
                <w:color w:val="1F2430"/>
                <w:sz w:val="18"/>
                <w:szCs w:val="18"/>
                <w:rtl/>
              </w:rPr>
              <w:t>חשש נישואי אחים</w:t>
            </w:r>
            <w:r>
              <w:rPr>
                <w:rFonts w:ascii="Arial" w:hAnsi="Arial" w:cs="Arial" w:eastAsia="Arial"/>
                <w:color w:val="1F2430"/>
                <w:sz w:val="18"/>
                <w:szCs w:val="18"/>
                <w:rtl/>
              </w:rPr>
              <w:t xml:space="preserve">, והוצע שכשהבת תבוא להינשא ייעשו בדיקה גנטית (בצו שופט, כי היא עלולה "להוציא ממזר"), או שישאלו את אבי החתן אם תרם זרע.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ממחיש את שני חששות הכשרות בתרומה: ממזרות/חללות ונישואי אחים.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בקורס הוזכר גם </w:t>
      </w:r>
      <w:r>
        <w:rPr>
          <w:rFonts w:ascii="Arial" w:hAnsi="Arial" w:cs="Arial" w:eastAsia="Arial"/>
          <w:b/>
          <w:bCs/>
          <w:color w:val="1F2430"/>
          <w:sz w:val="19"/>
          <w:szCs w:val="19"/>
          <w:rtl/>
        </w:rPr>
        <w:t>תזכיר חוק בנק הזרע, התשע"ז-2016</w:t>
      </w:r>
      <w:r>
        <w:rPr>
          <w:rFonts w:ascii="Arial" w:hAnsi="Arial" w:cs="Arial" w:eastAsia="Arial"/>
          <w:color w:val="1F2430"/>
          <w:sz w:val="19"/>
          <w:szCs w:val="19"/>
          <w:rtl/>
        </w:rPr>
        <w:t xml:space="preserve"> (שלא עבר): היילוד ייחשב ילדה של הנתרמת, בלי זכויות וחובות כלפי התורם, ובלי לפגוע בדיני איסור והיתר לעניין נישואין. כיום רק החיסיון מגן על התורם מחיוב במזונות.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4077/12 פלונית נ' משרד הבריאות</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תורם חתם על חיסיון זהותו (למעט הצלבה עם מרשם ארצי של תורמים ושל פסולי חיתון); הטפסים לא עסקו בחזרה מהסכמה. בעקבות שינוי באורח חייו ביקש להפסיק את השימוש בזרעו, והבנק נענה. אישה שילדה מאותו תורם רצתה ילד נוסף ממנו ועתרה.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לפי מה שנלמד בקורס, בית המשפט שקל את האוטונומיה של התורם מול הזכות החוזית של האישה, ופסק לטובת התורם.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האוטונומיה של התורם גוברת על הזכות החוזית של הנתרמת.</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חוק אימוץ ילדים – פנקס סגור, אך לא בפני רושם הנישואין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אימוץ ילדים, התשמ"א-1981 – סעיף 30</w:t>
            </w:r>
          </w:p>
          <w:p>
            <w:pPr>
              <w:bidi/>
              <w:spacing w:before="0" w:after="60" w:line="300" w:lineRule="auto"/>
              <w:jc w:val="both"/>
            </w:pPr>
            <w:r>
              <w:rPr>
                <w:rFonts w:ascii="Arial" w:hAnsi="Arial" w:cs="Arial" w:eastAsia="Arial"/>
                <w:color w:val="1F2430"/>
                <w:sz w:val="18"/>
                <w:szCs w:val="18"/>
                <w:rtl/>
              </w:rPr>
              <w:t>(א) פנקס האימוצים לא יהיה פתוח לעיון, ואולם רשאי לעיין בו: (1) היועץ המשפטי לממשלה או בא כוחו; (2) רושם נישואין או מי שהוא הסמיך לכך, כשהעיון דרוש למילוי תפקידו הרשמי; (3) עובד סוציאלי ראשי. (ב) לפי בקשת מאומץ שמלאו לו 18 שנים, רשאי עובד סוציאלי להתיר לו לעיין ברישום המתייחס אליו; סירב – רשאי בית המשפט להתיר לאחר קבלת תסקיר.</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המטרה: למנוע נישואי עריות בין קרובים שאינם יודעים זה על זה. במרשם האוכלוסין אין רישום של אימוץ, תרומה או פונדקאות, ולכן הרבנות בודקת רק אם האדם מספר לה. בפונדקאות ובתרומת ביצית יש הסדר דומה; בתרומת זרע – חיסיון.</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7.4 נישואי אחים ופונדקאות: חוק הסכמים לנשיאת עוברים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הסכמים לנשיאת עוברים (אישור הסכם ומעמד היילוד), התשנ"ו-1996 – הסעיפים שנלמדו</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5(א)</w:t>
            </w:r>
            <w:r>
              <w:rPr>
                <w:rFonts w:ascii="Arial" w:hAnsi="Arial" w:cs="Arial" w:eastAsia="Arial"/>
                <w:color w:val="1F2430"/>
                <w:sz w:val="18"/>
                <w:szCs w:val="18"/>
                <w:rtl/>
              </w:rPr>
              <w:t xml:space="preserve"> – ועדת האישורים רשאית לאשר הסכם אם: (1) האם הנושאת וההורים המיועדים תושבי ישראל; (1א)(א) </w:t>
            </w:r>
            <w:r>
              <w:rPr>
                <w:rFonts w:ascii="Arial" w:hAnsi="Arial" w:cs="Arial" w:eastAsia="Arial"/>
                <w:b/>
                <w:bCs/>
                <w:color w:val="1F2430"/>
                <w:sz w:val="18"/>
                <w:szCs w:val="18"/>
                <w:rtl/>
              </w:rPr>
              <w:t>האם הנושאת אינה נשואה</w:t>
            </w:r>
            <w:r>
              <w:rPr>
                <w:rFonts w:ascii="Arial" w:hAnsi="Arial" w:cs="Arial" w:eastAsia="Arial"/>
                <w:color w:val="1F2430"/>
                <w:sz w:val="18"/>
                <w:szCs w:val="18"/>
                <w:rtl/>
              </w:rPr>
              <w:t>, אלא אם הוכח שלא עלה בידי ההורים, במאמץ סביר, להתקשר עם אם נושאת שאינה נשואה.</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10(א)</w:t>
            </w:r>
            <w:r>
              <w:rPr>
                <w:rFonts w:ascii="Arial" w:hAnsi="Arial" w:cs="Arial" w:eastAsia="Arial"/>
                <w:color w:val="1F2430"/>
                <w:sz w:val="18"/>
                <w:szCs w:val="18"/>
                <w:rtl/>
              </w:rPr>
              <w:t xml:space="preserve"> – עם לידתו יהיה הילד </w:t>
            </w:r>
            <w:r>
              <w:rPr>
                <w:rFonts w:ascii="Arial" w:hAnsi="Arial" w:cs="Arial" w:eastAsia="Arial"/>
                <w:b/>
                <w:bCs/>
                <w:color w:val="1F2430"/>
                <w:sz w:val="18"/>
                <w:szCs w:val="18"/>
                <w:rtl/>
              </w:rPr>
              <w:t>במשמורת</w:t>
            </w:r>
            <w:r>
              <w:rPr>
                <w:rFonts w:ascii="Arial" w:hAnsi="Arial" w:cs="Arial" w:eastAsia="Arial"/>
                <w:color w:val="1F2430"/>
                <w:sz w:val="18"/>
                <w:szCs w:val="18"/>
                <w:rtl/>
              </w:rPr>
              <w:t xml:space="preserve"> ההורים המיועדים. </w:t>
            </w:r>
            <w:r>
              <w:rPr>
                <w:rFonts w:ascii="Arial" w:hAnsi="Arial" w:cs="Arial" w:eastAsia="Arial"/>
                <w:b/>
                <w:bCs/>
                <w:color w:val="1F2430"/>
                <w:sz w:val="18"/>
                <w:szCs w:val="18"/>
                <w:rtl/>
              </w:rPr>
              <w:t>10(ב)</w:t>
            </w:r>
            <w:r>
              <w:rPr>
                <w:rFonts w:ascii="Arial" w:hAnsi="Arial" w:cs="Arial" w:eastAsia="Arial"/>
                <w:color w:val="1F2430"/>
                <w:sz w:val="18"/>
                <w:szCs w:val="18"/>
                <w:rtl/>
              </w:rPr>
              <w:t xml:space="preserve"> – עובד סוציאלי יהיה </w:t>
            </w:r>
            <w:r>
              <w:rPr>
                <w:rFonts w:ascii="Arial" w:hAnsi="Arial" w:cs="Arial" w:eastAsia="Arial"/>
                <w:b/>
                <w:bCs/>
                <w:color w:val="1F2430"/>
                <w:sz w:val="18"/>
                <w:szCs w:val="18"/>
                <w:rtl/>
              </w:rPr>
              <w:t>האפוטרופוס הבלעדי</w:t>
            </w:r>
            <w:r>
              <w:rPr>
                <w:rFonts w:ascii="Arial" w:hAnsi="Arial" w:cs="Arial" w:eastAsia="Arial"/>
                <w:color w:val="1F2430"/>
                <w:sz w:val="18"/>
                <w:szCs w:val="18"/>
                <w:rtl/>
              </w:rPr>
              <w:t xml:space="preserve"> משעת הלידה ועד צו הורות.</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11(א)</w:t>
            </w:r>
            <w:r>
              <w:rPr>
                <w:rFonts w:ascii="Arial" w:hAnsi="Arial" w:cs="Arial" w:eastAsia="Arial"/>
                <w:color w:val="1F2430"/>
                <w:sz w:val="18"/>
                <w:szCs w:val="18"/>
                <w:rtl/>
              </w:rPr>
              <w:t xml:space="preserve"> – תוך </w:t>
            </w:r>
            <w:r>
              <w:rPr>
                <w:rFonts w:ascii="Arial" w:hAnsi="Arial" w:cs="Arial" w:eastAsia="Arial"/>
                <w:b/>
                <w:bCs/>
                <w:color w:val="1F2430"/>
                <w:sz w:val="18"/>
                <w:szCs w:val="18"/>
                <w:rtl/>
              </w:rPr>
              <w:t>7 ימים</w:t>
            </w:r>
            <w:r>
              <w:rPr>
                <w:rFonts w:ascii="Arial" w:hAnsi="Arial" w:cs="Arial" w:eastAsia="Arial"/>
                <w:color w:val="1F2430"/>
                <w:sz w:val="18"/>
                <w:szCs w:val="18"/>
                <w:rtl/>
              </w:rPr>
              <w:t xml:space="preserve"> מהלידה יגישו ההורים המיועדים בקשה לצו הורות; לא הגישו – תוגש בקשה על ידי עובד סוציאלי באמצעות נציג היועמ"ש.</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12(א)</w:t>
            </w:r>
            <w:r>
              <w:rPr>
                <w:rFonts w:ascii="Arial" w:hAnsi="Arial" w:cs="Arial" w:eastAsia="Arial"/>
                <w:color w:val="1F2430"/>
                <w:sz w:val="18"/>
                <w:szCs w:val="18"/>
                <w:rtl/>
              </w:rPr>
              <w:t xml:space="preserve"> – עם צו ההורות יהיו ההורים המיועדים הורים ואפוטרופסים בלעדיים. </w:t>
            </w:r>
            <w:r>
              <w:rPr>
                <w:rFonts w:ascii="Arial" w:hAnsi="Arial" w:cs="Arial" w:eastAsia="Arial"/>
                <w:b/>
                <w:bCs/>
                <w:color w:val="1F2430"/>
                <w:sz w:val="18"/>
                <w:szCs w:val="18"/>
                <w:rtl/>
              </w:rPr>
              <w:t>12(ב)</w:t>
            </w:r>
            <w:r>
              <w:rPr>
                <w:rFonts w:ascii="Arial" w:hAnsi="Arial" w:cs="Arial" w:eastAsia="Arial"/>
                <w:color w:val="1F2430"/>
                <w:sz w:val="18"/>
                <w:szCs w:val="18"/>
                <w:rtl/>
              </w:rPr>
              <w:t xml:space="preserve"> – "אין בצו הורות כדי לפגוע בדיני איסור והיתר לעניני נישואין וגירושין".</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13(א)</w:t>
            </w:r>
            <w:r>
              <w:rPr>
                <w:rFonts w:ascii="Arial" w:hAnsi="Arial" w:cs="Arial" w:eastAsia="Arial"/>
                <w:color w:val="1F2430"/>
                <w:sz w:val="18"/>
                <w:szCs w:val="18"/>
                <w:rtl/>
              </w:rPr>
              <w:t xml:space="preserve"> – חזרת אם נושאת: בית המשפט יאשר רק אם, לאחר תסקיר, חל </w:t>
            </w:r>
            <w:r>
              <w:rPr>
                <w:rFonts w:ascii="Arial" w:hAnsi="Arial" w:cs="Arial" w:eastAsia="Arial"/>
                <w:b/>
                <w:bCs/>
                <w:color w:val="1F2430"/>
                <w:sz w:val="18"/>
                <w:szCs w:val="18"/>
                <w:rtl/>
              </w:rPr>
              <w:t>שינוי נסיבות</w:t>
            </w:r>
            <w:r>
              <w:rPr>
                <w:rFonts w:ascii="Arial" w:hAnsi="Arial" w:cs="Arial" w:eastAsia="Arial"/>
                <w:color w:val="1F2430"/>
                <w:sz w:val="18"/>
                <w:szCs w:val="18"/>
                <w:rtl/>
              </w:rPr>
              <w:t xml:space="preserve"> המצדיק זאת </w:t>
            </w:r>
            <w:r>
              <w:rPr>
                <w:rFonts w:ascii="Arial" w:hAnsi="Arial" w:cs="Arial" w:eastAsia="Arial"/>
                <w:b/>
                <w:bCs/>
                <w:color w:val="1F2430"/>
                <w:sz w:val="18"/>
                <w:szCs w:val="18"/>
                <w:rtl/>
              </w:rPr>
              <w:t>ואין בכך פגיעה בטובת הילד</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16(א)</w:t>
            </w:r>
            <w:r>
              <w:rPr>
                <w:rFonts w:ascii="Arial" w:hAnsi="Arial" w:cs="Arial" w:eastAsia="Arial"/>
                <w:color w:val="1F2430"/>
                <w:sz w:val="18"/>
                <w:szCs w:val="18"/>
                <w:rtl/>
              </w:rPr>
              <w:t xml:space="preserve"> – הצווים יירשמו בפנקס שינוהל בידי רשם שימנה שר המשפטים.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ההיגיון ההלכתי של ההסדרים: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מדוע אם נושאת לא נשואה?</w:t>
      </w:r>
      <w:r>
        <w:rPr>
          <w:rFonts w:ascii="Arial" w:hAnsi="Arial" w:cs="Arial" w:eastAsia="Arial"/>
          <w:color w:val="1F2430"/>
          <w:sz w:val="19"/>
          <w:szCs w:val="19"/>
          <w:rtl/>
        </w:rPr>
        <w:t xml:space="preserve"> מחשש </w:t>
      </w:r>
      <w:r>
        <w:rPr>
          <w:rFonts w:ascii="Arial" w:hAnsi="Arial" w:cs="Arial" w:eastAsia="Arial"/>
          <w:b/>
          <w:bCs/>
          <w:color w:val="1F2430"/>
          <w:sz w:val="19"/>
          <w:szCs w:val="19"/>
          <w:rtl/>
        </w:rPr>
        <w:t>ממזרות</w:t>
      </w:r>
      <w:r>
        <w:rPr>
          <w:rFonts w:ascii="Arial" w:hAnsi="Arial" w:cs="Arial" w:eastAsia="Arial"/>
          <w:color w:val="1F2430"/>
          <w:sz w:val="19"/>
          <w:szCs w:val="19"/>
          <w:rtl/>
        </w:rPr>
        <w:t xml:space="preserve"> – ילד שנולד לאישה נשואה מזרעו של גבר אחר.</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מי האם ההלכתית?</w:t>
      </w:r>
      <w:r>
        <w:rPr>
          <w:rFonts w:ascii="Arial" w:hAnsi="Arial" w:cs="Arial" w:eastAsia="Arial"/>
          <w:color w:val="1F2430"/>
          <w:sz w:val="19"/>
          <w:szCs w:val="19"/>
          <w:rtl/>
        </w:rPr>
        <w:t xml:space="preserve"> לפי רוב הפוסקים – </w:t>
      </w:r>
      <w:r>
        <w:rPr>
          <w:rFonts w:ascii="Arial" w:hAnsi="Arial" w:cs="Arial" w:eastAsia="Arial"/>
          <w:b/>
          <w:bCs/>
          <w:color w:val="1F2430"/>
          <w:sz w:val="19"/>
          <w:szCs w:val="19"/>
          <w:rtl/>
        </w:rPr>
        <w:t>הפונדקאית</w:t>
      </w:r>
      <w:r>
        <w:rPr>
          <w:rFonts w:ascii="Arial" w:hAnsi="Arial" w:cs="Arial" w:eastAsia="Arial"/>
          <w:color w:val="1F2430"/>
          <w:sz w:val="19"/>
          <w:szCs w:val="19"/>
          <w:rtl/>
        </w:rPr>
        <w:t>, משום שהיא נותנת לעובר חיות ודם, כלומר נותנת לו חיים. לכן סעיף 12(ב) מבהיר שצו ההורות (ומה שכתוב בתעודת הזהות) אינו מחייב לעניין נישואין.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פנקס הרישום (16(א))</w:t>
      </w:r>
      <w:r>
        <w:rPr>
          <w:rFonts w:ascii="Arial" w:hAnsi="Arial" w:cs="Arial" w:eastAsia="Arial"/>
          <w:color w:val="1F2430"/>
          <w:sz w:val="19"/>
          <w:szCs w:val="19"/>
          <w:rtl/>
        </w:rPr>
        <w:t xml:space="preserve"> נועד לכך שהיילוד, כשיבוא להינשא, יוכל לבדוק שאינו נישא לאחותו – </w:t>
      </w:r>
      <w:r>
        <w:rPr>
          <w:rFonts w:ascii="Arial" w:hAnsi="Arial" w:cs="Arial" w:eastAsia="Arial"/>
          <w:b/>
          <w:bCs/>
          <w:color w:val="1F2430"/>
          <w:sz w:val="19"/>
          <w:szCs w:val="19"/>
          <w:rtl/>
        </w:rPr>
        <w:t>אחותו ההלכתית</w:t>
      </w:r>
      <w:r>
        <w:rPr>
          <w:rFonts w:ascii="Arial" w:hAnsi="Arial" w:cs="Arial" w:eastAsia="Arial"/>
          <w:color w:val="1F2430"/>
          <w:sz w:val="19"/>
          <w:szCs w:val="19"/>
          <w:rtl/>
        </w:rPr>
        <w:t>, ולא בהכרח הגנטית.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פונדקאית שאינה יהודייה</w:t>
      </w:r>
      <w:r>
        <w:rPr>
          <w:rFonts w:ascii="Arial" w:hAnsi="Arial" w:cs="Arial" w:eastAsia="Arial"/>
          <w:color w:val="1F2430"/>
          <w:sz w:val="19"/>
          <w:szCs w:val="19"/>
          <w:rtl/>
        </w:rPr>
        <w:t xml:space="preserve"> – הילד צריך גיור (ורבנים מהססים לגייר קטין שלא יגדל בבית שומר מצוות).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עד צו ההורות ההורים הם </w:t>
      </w:r>
      <w:r>
        <w:rPr>
          <w:rFonts w:ascii="Arial" w:hAnsi="Arial" w:cs="Arial" w:eastAsia="Arial"/>
          <w:b/>
          <w:bCs/>
          <w:color w:val="1F2430"/>
          <w:sz w:val="19"/>
          <w:szCs w:val="19"/>
          <w:rtl/>
        </w:rPr>
        <w:t>משמורנים</w:t>
      </w:r>
      <w:r>
        <w:rPr>
          <w:rFonts w:ascii="Arial" w:hAnsi="Arial" w:cs="Arial" w:eastAsia="Arial"/>
          <w:color w:val="1F2430"/>
          <w:sz w:val="19"/>
          <w:szCs w:val="19"/>
          <w:rtl/>
        </w:rPr>
        <w:t xml:space="preserve"> (הילד אצלם פיזית) אך </w:t>
      </w:r>
      <w:r>
        <w:rPr>
          <w:rFonts w:ascii="Arial" w:hAnsi="Arial" w:cs="Arial" w:eastAsia="Arial"/>
          <w:b/>
          <w:bCs/>
          <w:color w:val="1F2430"/>
          <w:sz w:val="19"/>
          <w:szCs w:val="19"/>
          <w:rtl/>
        </w:rPr>
        <w:t>לא אפוטרופסים</w:t>
      </w:r>
      <w:r>
        <w:rPr>
          <w:rFonts w:ascii="Arial" w:hAnsi="Arial" w:cs="Arial" w:eastAsia="Arial"/>
          <w:color w:val="1F2430"/>
          <w:sz w:val="19"/>
          <w:szCs w:val="19"/>
          <w:rtl/>
        </w:rPr>
        <w:t>.</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7.5 נישואין אסורים שבכל זאת תופסים: חייבי לאוין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 לאוין</w:t>
            </w:r>
          </w:p>
          <w:p>
            <w:pPr>
              <w:bidi/>
              <w:spacing w:before="0" w:after="60" w:line="300" w:lineRule="auto"/>
              <w:jc w:val="both"/>
            </w:pPr>
            <w:r>
              <w:rPr>
                <w:rFonts w:ascii="Arial" w:hAnsi="Arial" w:cs="Arial" w:eastAsia="Arial"/>
                <w:color w:val="1F2430"/>
                <w:sz w:val="18"/>
                <w:szCs w:val="18"/>
                <w:rtl/>
              </w:rPr>
              <w:t xml:space="preserve">איסור שנאמר בלשון "לא תעשה" (לאו) ואין עונשו כרת. כאן קיימת </w:t>
            </w:r>
            <w:r>
              <w:rPr>
                <w:rFonts w:ascii="Arial" w:hAnsi="Arial" w:cs="Arial" w:eastAsia="Arial"/>
                <w:b/>
                <w:bCs/>
                <w:color w:val="1F2430"/>
                <w:sz w:val="18"/>
                <w:szCs w:val="18"/>
                <w:rtl/>
              </w:rPr>
              <w:t>דואליות</w:t>
            </w:r>
            <w:r>
              <w:rPr>
                <w:rFonts w:ascii="Arial" w:hAnsi="Arial" w:cs="Arial" w:eastAsia="Arial"/>
                <w:color w:val="1F2430"/>
                <w:sz w:val="18"/>
                <w:szCs w:val="18"/>
                <w:rtl/>
              </w:rPr>
              <w:t xml:space="preserve">: מצד אחד אסור להינשא ("אין כושר"), ומצד שני, אם בכל זאת נערך טקס קידושין תקף – </w:t>
            </w:r>
            <w:r>
              <w:rPr>
                <w:rFonts w:ascii="Arial" w:hAnsi="Arial" w:cs="Arial" w:eastAsia="Arial"/>
                <w:b/>
                <w:bCs/>
                <w:color w:val="1F2430"/>
                <w:sz w:val="18"/>
                <w:szCs w:val="18"/>
                <w:rtl/>
              </w:rPr>
              <w:t>הקידושין תופסים</w:t>
            </w:r>
            <w:r>
              <w:rPr>
                <w:rFonts w:ascii="Arial" w:hAnsi="Arial" w:cs="Arial" w:eastAsia="Arial"/>
                <w:color w:val="1F2430"/>
                <w:sz w:val="18"/>
                <w:szCs w:val="18"/>
                <w:rtl/>
              </w:rPr>
              <w:t>. זה שונה משיטות משפט אחרות, שבהן מה שאסור – גם אינו תקף.</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כהן וגרושה (וגם כהן וגיורת)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תוקף</w:t>
      </w:r>
      <w:r>
        <w:rPr>
          <w:rFonts w:ascii="Arial" w:hAnsi="Arial" w:cs="Arial" w:eastAsia="Arial"/>
          <w:color w:val="1F2430"/>
          <w:sz w:val="19"/>
          <w:szCs w:val="19"/>
          <w:rtl/>
        </w:rPr>
        <w:t xml:space="preserve">: כהן שנותן לגרושה טבעת ואומר "הרי את מקודשת לי" בפני עדים – הנישואין </w:t>
      </w:r>
      <w:r>
        <w:rPr>
          <w:rFonts w:ascii="Arial" w:hAnsi="Arial" w:cs="Arial" w:eastAsia="Arial"/>
          <w:b/>
          <w:bCs/>
          <w:color w:val="1F2430"/>
          <w:sz w:val="19"/>
          <w:szCs w:val="19"/>
          <w:rtl/>
        </w:rPr>
        <w:t>אסורים אך תקפים</w:t>
      </w:r>
      <w:r>
        <w:rPr>
          <w:rFonts w:ascii="Arial" w:hAnsi="Arial" w:cs="Arial" w:eastAsia="Arial"/>
          <w:color w:val="1F2430"/>
          <w:sz w:val="19"/>
          <w:szCs w:val="19"/>
          <w:rtl/>
        </w:rPr>
        <w:t xml:space="preserve"> לחומרא. יש להם תוקף לכל דבר, ו</w:t>
      </w:r>
      <w:r>
        <w:rPr>
          <w:rFonts w:ascii="Arial" w:hAnsi="Arial" w:cs="Arial" w:eastAsia="Arial"/>
          <w:b/>
          <w:bCs/>
          <w:color w:val="1F2430"/>
          <w:sz w:val="19"/>
          <w:szCs w:val="19"/>
          <w:rtl/>
        </w:rPr>
        <w:t>נדרש גט</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גט</w:t>
      </w:r>
      <w:r>
        <w:rPr>
          <w:rFonts w:ascii="Arial" w:hAnsi="Arial" w:cs="Arial" w:eastAsia="Arial"/>
          <w:color w:val="1F2430"/>
          <w:sz w:val="19"/>
          <w:szCs w:val="19"/>
          <w:rtl/>
        </w:rPr>
        <w:t xml:space="preserve">: בית הדין ישתדל </w:t>
      </w:r>
      <w:r>
        <w:rPr>
          <w:rFonts w:ascii="Arial" w:hAnsi="Arial" w:cs="Arial" w:eastAsia="Arial"/>
          <w:b/>
          <w:bCs/>
          <w:color w:val="1F2430"/>
          <w:sz w:val="19"/>
          <w:szCs w:val="19"/>
          <w:rtl/>
        </w:rPr>
        <w:t>לכפות</w:t>
      </w:r>
      <w:r>
        <w:rPr>
          <w:rFonts w:ascii="Arial" w:hAnsi="Arial" w:cs="Arial" w:eastAsia="Arial"/>
          <w:color w:val="1F2430"/>
          <w:sz w:val="19"/>
          <w:szCs w:val="19"/>
          <w:rtl/>
        </w:rPr>
        <w:t xml:space="preserve"> גירושין ("יכפוהו") – כמובן רק אם הם מגיעים אליו. אם הם לא באים, אין לו סמכות לעשות דבר.</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ילדים</w:t>
      </w:r>
      <w:r>
        <w:rPr>
          <w:rFonts w:ascii="Arial" w:hAnsi="Arial" w:cs="Arial" w:eastAsia="Arial"/>
          <w:color w:val="1F2430"/>
          <w:sz w:val="19"/>
          <w:szCs w:val="19"/>
          <w:rtl/>
        </w:rPr>
        <w:t xml:space="preserve">: </w:t>
      </w:r>
      <w:r>
        <w:rPr>
          <w:rFonts w:ascii="Arial" w:hAnsi="Arial" w:cs="Arial" w:eastAsia="Arial"/>
          <w:b/>
          <w:bCs/>
          <w:color w:val="1F2430"/>
          <w:sz w:val="19"/>
          <w:szCs w:val="19"/>
          <w:rtl/>
        </w:rPr>
        <w:t>אינם ממזרים</w:t>
      </w:r>
      <w:r>
        <w:rPr>
          <w:rFonts w:ascii="Arial" w:hAnsi="Arial" w:cs="Arial" w:eastAsia="Arial"/>
          <w:color w:val="1F2430"/>
          <w:sz w:val="19"/>
          <w:szCs w:val="19"/>
          <w:rtl/>
        </w:rPr>
        <w:t xml:space="preserve">, הם יהודים כשרים, אבל הם </w:t>
      </w:r>
      <w:r>
        <w:rPr>
          <w:rFonts w:ascii="Arial" w:hAnsi="Arial" w:cs="Arial" w:eastAsia="Arial"/>
          <w:b/>
          <w:bCs/>
          <w:color w:val="1F2430"/>
          <w:sz w:val="19"/>
          <w:szCs w:val="19"/>
          <w:rtl/>
        </w:rPr>
        <w:t>חללים</w:t>
      </w:r>
      <w:r>
        <w:rPr>
          <w:rFonts w:ascii="Arial" w:hAnsi="Arial" w:cs="Arial" w:eastAsia="Arial"/>
          <w:color w:val="1F2430"/>
          <w:sz w:val="19"/>
          <w:szCs w:val="19"/>
          <w:rtl/>
        </w:rPr>
        <w:t>: הבן אינו כהן ("חלל") ויכול להינשא לכל מי שירצה; הבת "חללה" ואסורה להינשא לכהן.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זכויות ממוניות</w:t>
      </w:r>
      <w:r>
        <w:rPr>
          <w:rFonts w:ascii="Arial" w:hAnsi="Arial" w:cs="Arial" w:eastAsia="Arial"/>
          <w:color w:val="1F2430"/>
          <w:sz w:val="19"/>
          <w:szCs w:val="19"/>
          <w:rtl/>
        </w:rPr>
        <w:t>: בדין הדתי אין בין בני הזוג את הזכויות הרגילות של נישואין כשרים (כלפי הילדים יש חובות). אם נישאו גם אזרחית – ייתכנו זכויות מכוח הדין האזרחי.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מישור אזרחי</w:t>
      </w:r>
      <w:r>
        <w:rPr>
          <w:rFonts w:ascii="Arial" w:hAnsi="Arial" w:cs="Arial" w:eastAsia="Arial"/>
          <w:color w:val="1F2430"/>
          <w:sz w:val="19"/>
          <w:szCs w:val="19"/>
          <w:rtl/>
        </w:rPr>
        <w:t xml:space="preserve">: זו עבירה </w:t>
      </w:r>
      <w:r>
        <w:rPr>
          <w:rFonts w:ascii="Arial" w:hAnsi="Arial" w:cs="Arial" w:eastAsia="Arial"/>
          <w:b/>
          <w:bCs/>
          <w:color w:val="1F2430"/>
          <w:sz w:val="19"/>
          <w:szCs w:val="19"/>
          <w:rtl/>
        </w:rPr>
        <w:t>דתית</w:t>
      </w:r>
      <w:r>
        <w:rPr>
          <w:rFonts w:ascii="Arial" w:hAnsi="Arial" w:cs="Arial" w:eastAsia="Arial"/>
          <w:color w:val="1F2430"/>
          <w:sz w:val="19"/>
          <w:szCs w:val="19"/>
          <w:rtl/>
        </w:rPr>
        <w:t xml:space="preserve"> ולא פלילית; מרשם האוכלוסין רושם גם אותם. כהן וגרושה אינם יכולים להינשא דרך הרבנות, ולכן הם נישאים בנישואין פרטיים או אזרחיים בחו"ל (ראו פרק 8).</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החללות נובעת מזהות ההורים, לא מצורת הטקס</w:t>
            </w:r>
          </w:p>
          <w:p>
            <w:pPr>
              <w:bidi/>
              <w:spacing w:before="0" w:after="60" w:line="300" w:lineRule="auto"/>
              <w:jc w:val="both"/>
            </w:pPr>
            <w:r>
              <w:rPr>
                <w:rFonts w:ascii="Arial" w:hAnsi="Arial" w:cs="Arial" w:eastAsia="Arial"/>
                <w:color w:val="1F2430"/>
                <w:sz w:val="18"/>
                <w:szCs w:val="18"/>
                <w:rtl/>
              </w:rPr>
              <w:t xml:space="preserve">ילד של כהן וגרושה הוא חלל בגלל האיסור ההלכתי – בין אם נישאו בנישואין פרטיים, אזרחיים או בכלל לא. לעומת זאת, ילדים של זוג </w:t>
            </w:r>
            <w:r>
              <w:rPr>
                <w:rFonts w:ascii="Arial" w:hAnsi="Arial" w:cs="Arial" w:eastAsia="Arial"/>
                <w:b/>
                <w:bCs/>
                <w:color w:val="1F2430"/>
                <w:sz w:val="18"/>
                <w:szCs w:val="18"/>
                <w:rtl/>
              </w:rPr>
              <w:t>כשר</w:t>
            </w:r>
            <w:r>
              <w:rPr>
                <w:rFonts w:ascii="Arial" w:hAnsi="Arial" w:cs="Arial" w:eastAsia="Arial"/>
                <w:color w:val="1F2430"/>
                <w:sz w:val="18"/>
                <w:szCs w:val="18"/>
                <w:rtl/>
              </w:rPr>
              <w:t xml:space="preserve"> שנישא אזרחית הם </w:t>
            </w:r>
            <w:r>
              <w:rPr>
                <w:rFonts w:ascii="Arial" w:hAnsi="Arial" w:cs="Arial" w:eastAsia="Arial"/>
                <w:b/>
                <w:bCs/>
                <w:color w:val="1F2430"/>
                <w:sz w:val="18"/>
                <w:szCs w:val="18"/>
                <w:rtl/>
              </w:rPr>
              <w:t>כשרים</w:t>
            </w:r>
            <w:r>
              <w:rPr>
                <w:rFonts w:ascii="Arial" w:hAnsi="Arial" w:cs="Arial" w:eastAsia="Arial"/>
                <w:color w:val="1F2430"/>
                <w:sz w:val="18"/>
                <w:szCs w:val="18"/>
                <w:rtl/>
              </w:rPr>
              <w:t xml:space="preserve"> – הנישואין האזרחיים לא הופכים אותם לפסולי חיתון.</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ממזר ויהודייה</w:t>
      </w:r>
    </w:p>
    <w:p>
      <w:pPr>
        <w:bidi/>
        <w:spacing w:before="0" w:after="100" w:line="300" w:lineRule="auto"/>
        <w:jc w:val="both"/>
      </w:pPr>
      <w:r>
        <w:rPr>
          <w:rFonts w:ascii="Arial" w:hAnsi="Arial" w:cs="Arial" w:eastAsia="Arial"/>
          <w:color w:val="1F2430"/>
          <w:sz w:val="19"/>
          <w:szCs w:val="19"/>
          <w:rtl/>
        </w:rPr>
        <w:t xml:space="preserve">גם זה איסור לאו: הנישואין אסורים, אך אם נערך טקס קידושין תקף הם </w:t>
      </w:r>
      <w:r>
        <w:rPr>
          <w:rFonts w:ascii="Arial" w:hAnsi="Arial" w:cs="Arial" w:eastAsia="Arial"/>
          <w:b/>
          <w:bCs/>
          <w:color w:val="1F2430"/>
          <w:sz w:val="19"/>
          <w:szCs w:val="19"/>
          <w:rtl/>
        </w:rPr>
        <w:t>תופסים לחומרא</w:t>
      </w:r>
      <w:r>
        <w:rPr>
          <w:rFonts w:ascii="Arial" w:hAnsi="Arial" w:cs="Arial" w:eastAsia="Arial"/>
          <w:color w:val="1F2430"/>
          <w:sz w:val="19"/>
          <w:szCs w:val="19"/>
          <w:rtl/>
        </w:rPr>
        <w:t xml:space="preserve">, </w:t>
      </w:r>
      <w:r>
        <w:rPr>
          <w:rFonts w:ascii="Arial" w:hAnsi="Arial" w:cs="Arial" w:eastAsia="Arial"/>
          <w:b/>
          <w:bCs/>
          <w:color w:val="1F2430"/>
          <w:sz w:val="19"/>
          <w:szCs w:val="19"/>
          <w:rtl/>
        </w:rPr>
        <w:t>נדרש גט</w:t>
      </w:r>
      <w:r>
        <w:rPr>
          <w:rFonts w:ascii="Arial" w:hAnsi="Arial" w:cs="Arial" w:eastAsia="Arial"/>
          <w:color w:val="1F2430"/>
          <w:sz w:val="19"/>
          <w:szCs w:val="19"/>
          <w:rtl/>
        </w:rPr>
        <w:t xml:space="preserve"> (יכפוהו), ו</w:t>
      </w:r>
      <w:r>
        <w:rPr>
          <w:rFonts w:ascii="Arial" w:hAnsi="Arial" w:cs="Arial" w:eastAsia="Arial"/>
          <w:b/>
          <w:bCs/>
          <w:color w:val="1F2430"/>
          <w:sz w:val="19"/>
          <w:szCs w:val="19"/>
          <w:rtl/>
        </w:rPr>
        <w:t>הילדים ממזרים</w:t>
      </w:r>
      <w:r>
        <w:rPr>
          <w:rFonts w:ascii="Arial" w:hAnsi="Arial" w:cs="Arial" w:eastAsia="Arial"/>
          <w:color w:val="1F2430"/>
          <w:sz w:val="19"/>
          <w:szCs w:val="19"/>
          <w:rtl/>
        </w:rPr>
        <w:t>. בדין הדתי אין זכויות ממוניות, אך בדין האזרחי ייתכנו. כאמור, ממזר יכול להינשא כדין רק לממזרה או לגיורת.</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אשת איש שבגדה</w:t>
      </w:r>
    </w:p>
    <w:p>
      <w:pPr>
        <w:bidi/>
        <w:spacing w:before="0" w:after="100" w:line="300" w:lineRule="auto"/>
        <w:jc w:val="both"/>
      </w:pPr>
      <w:r>
        <w:rPr>
          <w:rFonts w:ascii="Arial" w:hAnsi="Arial" w:cs="Arial" w:eastAsia="Arial"/>
          <w:color w:val="1F2430"/>
          <w:sz w:val="19"/>
          <w:szCs w:val="19"/>
          <w:rtl/>
        </w:rPr>
        <w:t xml:space="preserve">אישה שבגדה בבעלה </w:t>
      </w:r>
      <w:r>
        <w:rPr>
          <w:rFonts w:ascii="Arial" w:hAnsi="Arial" w:cs="Arial" w:eastAsia="Arial"/>
          <w:b/>
          <w:bCs/>
          <w:color w:val="1F2430"/>
          <w:sz w:val="19"/>
          <w:szCs w:val="19"/>
          <w:rtl/>
        </w:rPr>
        <w:t>אסורה לבעלה ולבועלה</w:t>
      </w:r>
      <w:r>
        <w:rPr>
          <w:rFonts w:ascii="Arial" w:hAnsi="Arial" w:cs="Arial" w:eastAsia="Arial"/>
          <w:color w:val="1F2430"/>
          <w:sz w:val="19"/>
          <w:szCs w:val="19"/>
          <w:rtl/>
        </w:rPr>
        <w:t xml:space="preserve"> – גם אחרי הגירושין. ההפך אינו נכון: גבר שבגד אינו נאסר על אשתו או על מי שעמה בגד. כיצד יידע בית הדין בעתיד? לפי הנחיות נשיא בית הדין הרבני הגדול (נדונו בבג"ץ 5676/12 פלונית), כשהזוג מתגרש </w:t>
      </w:r>
      <w:r>
        <w:rPr>
          <w:rFonts w:ascii="Arial" w:hAnsi="Arial" w:cs="Arial" w:eastAsia="Arial"/>
          <w:b/>
          <w:bCs/>
          <w:color w:val="1F2430"/>
          <w:sz w:val="19"/>
          <w:szCs w:val="19"/>
          <w:rtl/>
        </w:rPr>
        <w:t>נרשם שהיא בגדה</w:t>
      </w:r>
      <w:r>
        <w:rPr>
          <w:rFonts w:ascii="Arial" w:hAnsi="Arial" w:cs="Arial" w:eastAsia="Arial"/>
          <w:color w:val="1F2430"/>
          <w:sz w:val="19"/>
          <w:szCs w:val="19"/>
          <w:rtl/>
        </w:rPr>
        <w:t>. בשל האיסור, בני זוג כאלה פונים לא פעם לנישואין פרטיים (פרק 8).</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ריבוי נישואין: חרם דרבנו גרשום והדין הפלילי</w:t>
      </w:r>
    </w:p>
    <w:p>
      <w:pPr>
        <w:bidi/>
        <w:spacing w:before="0" w:after="100" w:line="300" w:lineRule="auto"/>
        <w:jc w:val="both"/>
      </w:pPr>
      <w:r>
        <w:rPr>
          <w:rFonts w:ascii="Arial" w:hAnsi="Arial" w:cs="Arial" w:eastAsia="Arial"/>
          <w:color w:val="1F2430"/>
          <w:sz w:val="19"/>
          <w:szCs w:val="19"/>
          <w:rtl/>
        </w:rPr>
        <w:t>רבנו גרשום (סביב שנת 1000 לספירה) התקין שתי תקנות מרכזיות:</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b/>
          <w:bCs/>
          <w:color w:val="1F2430"/>
          <w:sz w:val="19"/>
          <w:szCs w:val="19"/>
          <w:rtl/>
        </w:rPr>
        <w:t>אסור לאיש לשאת אישה נוספת על אשתו</w:t>
      </w:r>
      <w:r>
        <w:rPr>
          <w:rFonts w:ascii="Arial" w:hAnsi="Arial" w:cs="Arial" w:eastAsia="Arial"/>
          <w:color w:val="1F2430"/>
          <w:sz w:val="19"/>
          <w:szCs w:val="19"/>
          <w:rtl/>
        </w:rPr>
        <w:t xml:space="preserve"> – אף שמדין תורה הדבר הותר. החרם חל בעיקר כשמדובר באישה כשרה, ולכן במקרים חריגים (למשל אישה מורדת, או אישה חולה שאינה מסוגלת לקבל גט) ניתן לקבל מבית הדין </w:t>
      </w:r>
      <w:r>
        <w:rPr>
          <w:rFonts w:ascii="Arial" w:hAnsi="Arial" w:cs="Arial" w:eastAsia="Arial"/>
          <w:b/>
          <w:bCs/>
          <w:color w:val="1F2430"/>
          <w:sz w:val="19"/>
          <w:szCs w:val="19"/>
          <w:rtl/>
        </w:rPr>
        <w:t>היתר נישואין</w:t>
      </w:r>
      <w:r>
        <w:rPr>
          <w:rFonts w:ascii="Arial" w:hAnsi="Arial" w:cs="Arial" w:eastAsia="Arial"/>
          <w:color w:val="1F2430"/>
          <w:sz w:val="19"/>
          <w:szCs w:val="19"/>
          <w:rtl/>
        </w:rPr>
        <w:t xml:space="preserve"> לשאת אישה שנייה.</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אסור לגרש אישה בעל כורחה</w:t>
      </w:r>
      <w:r>
        <w:rPr>
          <w:rFonts w:ascii="Arial" w:hAnsi="Arial" w:cs="Arial" w:eastAsia="Arial"/>
          <w:color w:val="1F2430"/>
          <w:sz w:val="19"/>
          <w:szCs w:val="19"/>
          <w:rtl/>
        </w:rPr>
        <w:t xml:space="preserve"> – מכאן ואילך נדרשת הסכמתה.</w:t>
      </w:r>
    </w:p>
    <w:p>
      <w:pPr>
        <w:bidi/>
        <w:spacing w:before="0" w:after="100" w:line="300" w:lineRule="auto"/>
        <w:jc w:val="both"/>
      </w:pPr>
      <w:r>
        <w:rPr>
          <w:rFonts w:ascii="Arial" w:hAnsi="Arial" w:cs="Arial" w:eastAsia="Arial"/>
          <w:color w:val="1F2430"/>
          <w:sz w:val="19"/>
          <w:szCs w:val="19"/>
          <w:rtl/>
        </w:rPr>
        <w:t>ההבדל בין המינים: לגבר ניתן במקרים חריגים היתר לאישה שנייה, אבל לאישה אין אפשרות מקבילה להינשא לגבר נוסף בעודה נשואה – ומכאן בעיית העגינות.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העונשין, התשל"ז-1977 – סעיפים 176, 178, 179</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176 (ריבוי נישואין)</w:t>
            </w:r>
            <w:r>
              <w:rPr>
                <w:rFonts w:ascii="Arial" w:hAnsi="Arial" w:cs="Arial" w:eastAsia="Arial"/>
                <w:color w:val="1F2430"/>
                <w:sz w:val="18"/>
                <w:szCs w:val="18"/>
                <w:rtl/>
              </w:rPr>
              <w:t>: "נשוי הנושא אשה אחרת, ונשואה הנישאת לאיש אחר, דינם – מאסר חמש שנים".</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178</w:t>
            </w:r>
            <w:r>
              <w:rPr>
                <w:rFonts w:ascii="Arial" w:hAnsi="Arial" w:cs="Arial" w:eastAsia="Arial"/>
                <w:color w:val="1F2430"/>
                <w:sz w:val="18"/>
                <w:szCs w:val="18"/>
                <w:rtl/>
              </w:rPr>
              <w:t>: לעניין סעיף 176 אין נפקא מינה (1) אם תוקף הנישואין הקודמים לפי דין המדינה שבה נערכו או לפי דין דתי; (2) אם הנישואין החדשים תקפים או בטלים; (3) אם נערכו מחוץ לישראל, ובלבד שהנושא היה אזרח או תושב ישראל.</w:t>
            </w:r>
          </w:p>
          <w:p>
            <w:pPr>
              <w:bidi/>
              <w:tabs>
                <w:tab w:val="left" w:pos="311"/>
              </w:tabs>
              <w:spacing w:before="0" w:after="40" w:line="288" w:lineRule="auto"/>
              <w:ind w:right="311" w:hanging="255"/>
            </w:pPr>
            <w:r>
              <w:rPr>
                <w:rFonts w:ascii="Arial" w:hAnsi="Arial" w:cs="Arial" w:eastAsia="Arial"/>
                <w:b/>
                <w:bCs/>
                <w:color w:val="7B4FD0"/>
                <w:sz w:val="14"/>
                <w:szCs w:val="14"/>
                <w:rtl/>
              </w:rPr>
              <w:t xml:space="preserve">● </w:t>
            </w:r>
            <w:r>
              <w:tab/>
            </w:r>
            <w:r>
              <w:rPr>
                <w:rFonts w:ascii="Arial" w:hAnsi="Arial" w:cs="Arial" w:eastAsia="Arial"/>
                <w:b/>
                <w:bCs/>
                <w:color w:val="1F2430"/>
                <w:sz w:val="18"/>
                <w:szCs w:val="18"/>
                <w:rtl/>
              </w:rPr>
              <w:t>179</w:t>
            </w:r>
            <w:r>
              <w:rPr>
                <w:rFonts w:ascii="Arial" w:hAnsi="Arial" w:cs="Arial" w:eastAsia="Arial"/>
                <w:color w:val="1F2430"/>
                <w:sz w:val="18"/>
                <w:szCs w:val="18"/>
                <w:rtl/>
              </w:rPr>
              <w:t xml:space="preserve">: היה הדין החל על הנישואין החדשים דין תורה, לא יורשע אדם אם נישא לאחר שניתן לו </w:t>
            </w:r>
            <w:r>
              <w:rPr>
                <w:rFonts w:ascii="Arial" w:hAnsi="Arial" w:cs="Arial" w:eastAsia="Arial"/>
                <w:b/>
                <w:bCs/>
                <w:color w:val="1F2430"/>
                <w:sz w:val="18"/>
                <w:szCs w:val="18"/>
                <w:rtl/>
              </w:rPr>
              <w:t>היתר נישואין</w:t>
            </w:r>
            <w:r>
              <w:rPr>
                <w:rFonts w:ascii="Arial" w:hAnsi="Arial" w:cs="Arial" w:eastAsia="Arial"/>
                <w:color w:val="1F2430"/>
                <w:sz w:val="18"/>
                <w:szCs w:val="18"/>
                <w:rtl/>
              </w:rPr>
              <w:t xml:space="preserve"> לפי פסק דין סופי של בית דין רבני, ש</w:t>
            </w:r>
            <w:r>
              <w:rPr>
                <w:rFonts w:ascii="Arial" w:hAnsi="Arial" w:cs="Arial" w:eastAsia="Arial"/>
                <w:b/>
                <w:bCs/>
                <w:color w:val="1F2430"/>
                <w:sz w:val="18"/>
                <w:szCs w:val="18"/>
                <w:rtl/>
              </w:rPr>
              <w:t>אושר בידי נשיא בית הדין הרבני הגדול</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שים לב: העבירה היא </w:t>
      </w:r>
      <w:r>
        <w:rPr>
          <w:rFonts w:ascii="Arial" w:hAnsi="Arial" w:cs="Arial" w:eastAsia="Arial"/>
          <w:b/>
          <w:bCs/>
          <w:color w:val="1F2430"/>
          <w:sz w:val="19"/>
          <w:szCs w:val="19"/>
          <w:rtl/>
        </w:rPr>
        <w:t>ביצוע נישואין נוספים</w:t>
      </w:r>
      <w:r>
        <w:rPr>
          <w:rFonts w:ascii="Arial" w:hAnsi="Arial" w:cs="Arial" w:eastAsia="Arial"/>
          <w:color w:val="1F2430"/>
          <w:sz w:val="19"/>
          <w:szCs w:val="19"/>
          <w:rtl/>
        </w:rPr>
        <w:t>, ולא חיים משותפים – נשוי שחי עם ידועה בציבור אינו עובר ביגמיה. היתר שניתן משום שהאישה חולה יכול להיות מותנה בתנאים כלכליים (הפקדת צוואה ומזונות).</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אמצעי בית הדין לגירושין</w:t>
      </w:r>
    </w:p>
    <w:p>
      <w:pPr>
        <w:bidi/>
        <w:spacing w:before="0" w:after="100" w:line="300" w:lineRule="auto"/>
        <w:jc w:val="both"/>
      </w:pPr>
      <w:r>
        <w:rPr>
          <w:rFonts w:ascii="Arial" w:hAnsi="Arial" w:cs="Arial" w:eastAsia="Arial"/>
          <w:color w:val="1F2430"/>
          <w:sz w:val="19"/>
          <w:szCs w:val="19"/>
          <w:rtl/>
        </w:rPr>
        <w:t>כשבית הדין קובע שיש לפרק נישואין, עומדים לרשותו שלושה אמצעים: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כפייה</w:t>
      </w:r>
      <w:r>
        <w:rPr>
          <w:rFonts w:ascii="Arial" w:hAnsi="Arial" w:cs="Arial" w:eastAsia="Arial"/>
          <w:color w:val="1F2430"/>
          <w:sz w:val="19"/>
          <w:szCs w:val="19"/>
          <w:rtl/>
        </w:rPr>
        <w:t xml:space="preserve"> – קיצוני ונדיר, כי גט שנכפה שלא כדין </w:t>
      </w:r>
      <w:r>
        <w:rPr>
          <w:rFonts w:ascii="Arial" w:hAnsi="Arial" w:cs="Arial" w:eastAsia="Arial"/>
          <w:b/>
          <w:bCs/>
          <w:color w:val="1F2430"/>
          <w:sz w:val="19"/>
          <w:szCs w:val="19"/>
          <w:rtl/>
        </w:rPr>
        <w:t>פסול</w:t>
      </w:r>
      <w:r>
        <w:rPr>
          <w:rFonts w:ascii="Arial" w:hAnsi="Arial" w:cs="Arial" w:eastAsia="Arial"/>
          <w:color w:val="1F2430"/>
          <w:sz w:val="19"/>
          <w:szCs w:val="19"/>
          <w:rtl/>
        </w:rPr>
        <w:t>; בכהן וגרושה ניתן להפעילו.</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חיוב</w:t>
      </w:r>
      <w:r>
        <w:rPr>
          <w:rFonts w:ascii="Arial" w:hAnsi="Arial" w:cs="Arial" w:eastAsia="Arial"/>
          <w:color w:val="1F2430"/>
          <w:sz w:val="19"/>
          <w:szCs w:val="19"/>
          <w:rtl/>
        </w:rPr>
        <w:t xml:space="preserve"> – סנקציות: חסימת חשבון בנק ורישיון מקצועי, עיקולים, צו עיכוב יציאה. מופעל רק כשיש עילת גירושין בנישואין דתיים.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משא ומתן</w:t>
      </w:r>
      <w:r>
        <w:rPr>
          <w:rFonts w:ascii="Arial" w:hAnsi="Arial" w:cs="Arial" w:eastAsia="Arial"/>
          <w:color w:val="1F2430"/>
          <w:sz w:val="19"/>
          <w:szCs w:val="19"/>
          <w:rtl/>
        </w:rPr>
        <w:t xml:space="preserve"> – אין עילה, ובית הדין מורה לצדדים להגיע להסכם; פתח לסחיטה ("קונים" את הגט).</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7.6 נישואי יהודייה ולא יהודי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ביהדות</w:t>
      </w:r>
      <w:r>
        <w:rPr>
          <w:rFonts w:ascii="Arial" w:hAnsi="Arial" w:cs="Arial" w:eastAsia="Arial"/>
          <w:color w:val="1F2430"/>
          <w:sz w:val="19"/>
          <w:szCs w:val="19"/>
          <w:rtl/>
        </w:rPr>
        <w:t xml:space="preserve"> – נישואין לא יהודי אסורים (איסור לאו) ו</w:t>
      </w:r>
      <w:r>
        <w:rPr>
          <w:rFonts w:ascii="Arial" w:hAnsi="Arial" w:cs="Arial" w:eastAsia="Arial"/>
          <w:b/>
          <w:bCs/>
          <w:color w:val="1F2430"/>
          <w:sz w:val="19"/>
          <w:szCs w:val="19"/>
          <w:rtl/>
        </w:rPr>
        <w:t>אין להם תוקף כלל</w:t>
      </w:r>
      <w:r>
        <w:rPr>
          <w:rFonts w:ascii="Arial" w:hAnsi="Arial" w:cs="Arial" w:eastAsia="Arial"/>
          <w:color w:val="1F2430"/>
          <w:sz w:val="19"/>
          <w:szCs w:val="19"/>
          <w:rtl/>
        </w:rPr>
        <w:t>. אין צורך בגט, אפילו לא לחומרא.</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באסלאם</w:t>
      </w:r>
      <w:r>
        <w:rPr>
          <w:rFonts w:ascii="Arial" w:hAnsi="Arial" w:cs="Arial" w:eastAsia="Arial"/>
          <w:color w:val="1F2430"/>
          <w:sz w:val="19"/>
          <w:szCs w:val="19"/>
          <w:rtl/>
        </w:rPr>
        <w:t xml:space="preserve"> – גבר מוסלמי רשאי לשאת יהודייה, והנישואין תקפים (ולכן לפי האסלאם נדרש גירושין).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הילד</w:t>
      </w:r>
      <w:r>
        <w:rPr>
          <w:rFonts w:ascii="Arial" w:hAnsi="Arial" w:cs="Arial" w:eastAsia="Arial"/>
          <w:color w:val="1F2430"/>
          <w:sz w:val="19"/>
          <w:szCs w:val="19"/>
          <w:rtl/>
        </w:rPr>
        <w:t xml:space="preserve"> – "</w:t>
      </w:r>
      <w:r>
        <w:rPr>
          <w:rFonts w:ascii="Arial" w:hAnsi="Arial" w:cs="Arial" w:eastAsia="Arial"/>
          <w:b/>
          <w:bCs/>
          <w:color w:val="1F2430"/>
          <w:sz w:val="19"/>
          <w:szCs w:val="19"/>
          <w:rtl/>
        </w:rPr>
        <w:t>כפול דת</w:t>
      </w:r>
      <w:r>
        <w:rPr>
          <w:rFonts w:ascii="Arial" w:hAnsi="Arial" w:cs="Arial" w:eastAsia="Arial"/>
          <w:color w:val="1F2430"/>
          <w:sz w:val="19"/>
          <w:szCs w:val="19"/>
          <w:rtl/>
        </w:rPr>
        <w:t>": ביהדות הדת נקבעת לפי האם, ולכן הוא יהודי; באסלאם היא מיוחסת לאב, ולכן הוא מוסלמי.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זכויות ממוניות</w:t>
      </w:r>
      <w:r>
        <w:rPr>
          <w:rFonts w:ascii="Arial" w:hAnsi="Arial" w:cs="Arial" w:eastAsia="Arial"/>
          <w:color w:val="1F2430"/>
          <w:sz w:val="19"/>
          <w:szCs w:val="19"/>
          <w:rtl/>
        </w:rPr>
        <w:t xml:space="preserve"> – אין בדין הדתי; יש בדין האזרחי.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האישה, אם תיפרד, </w:t>
      </w:r>
      <w:r>
        <w:rPr>
          <w:rFonts w:ascii="Arial" w:hAnsi="Arial" w:cs="Arial" w:eastAsia="Arial"/>
          <w:b/>
          <w:bCs/>
          <w:color w:val="1F2430"/>
          <w:sz w:val="19"/>
          <w:szCs w:val="19"/>
          <w:rtl/>
        </w:rPr>
        <w:t>אסורה להינשא לכהן</w:t>
      </w:r>
      <w:r>
        <w:rPr>
          <w:rFonts w:ascii="Arial" w:hAnsi="Arial" w:cs="Arial" w:eastAsia="Arial"/>
          <w:color w:val="1F2430"/>
          <w:sz w:val="19"/>
          <w:szCs w:val="19"/>
          <w:rtl/>
        </w:rPr>
        <w:t>, כי הייתה עם לא יהודי.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האם בכל איסורי הלאו הקידושין תופסים?</w:t>
            </w:r>
          </w:p>
          <w:p>
            <w:pPr>
              <w:bidi/>
              <w:spacing w:before="0" w:after="60" w:line="300" w:lineRule="auto"/>
              <w:jc w:val="both"/>
            </w:pPr>
            <w:r>
              <w:rPr>
                <w:rFonts w:ascii="Arial" w:hAnsi="Arial" w:cs="Arial" w:eastAsia="Arial"/>
                <w:color w:val="1F2430"/>
                <w:sz w:val="18"/>
                <w:szCs w:val="18"/>
                <w:rtl/>
              </w:rPr>
              <w:t xml:space="preserve">התשובה "כן" אינה חד-משמעית. בדרך כלל בנישואי לאוין (כהן וגרושה, ממזר ויהודייה) הקידושין תופסים לחומרא ונדרש גט. אבל גם נישואי יהודי ולא יהודי הם איסור לאו ("לא תתחתן בם"), ובהם </w:t>
            </w:r>
            <w:r>
              <w:rPr>
                <w:rFonts w:ascii="Arial" w:hAnsi="Arial" w:cs="Arial" w:eastAsia="Arial"/>
                <w:b/>
                <w:bCs/>
                <w:color w:val="1F2430"/>
                <w:sz w:val="18"/>
                <w:szCs w:val="18"/>
                <w:rtl/>
              </w:rPr>
              <w:t>אין כל תוקף</w:t>
            </w:r>
            <w:r>
              <w:rPr>
                <w:rFonts w:ascii="Arial" w:hAnsi="Arial" w:cs="Arial" w:eastAsia="Arial"/>
                <w:color w:val="1F2430"/>
                <w:sz w:val="18"/>
                <w:szCs w:val="18"/>
                <w:rtl/>
              </w:rPr>
              <w:t xml:space="preserve"> ואין צורך בגט, אפילו לא לחומרא.</w:t>
            </w:r>
          </w:p>
        </w:tc>
      </w:tr>
    </w:tbl>
    <w:p>
      <w:pPr>
        <w:bidi/>
        <w:spacing w:after="0" w:before="0" w:line="12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7.7 פגם בנישואין אזרחיים בדין הדתי</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הרקע</w:t>
      </w:r>
    </w:p>
    <w:p>
      <w:pPr>
        <w:bidi/>
        <w:spacing w:before="0" w:after="100" w:line="300" w:lineRule="auto"/>
        <w:jc w:val="both"/>
      </w:pPr>
      <w:r>
        <w:rPr>
          <w:rFonts w:ascii="Arial" w:hAnsi="Arial" w:cs="Arial" w:eastAsia="Arial"/>
          <w:color w:val="1F2430"/>
          <w:sz w:val="19"/>
          <w:szCs w:val="19"/>
          <w:rtl/>
        </w:rPr>
        <w:t xml:space="preserve">יהודים נישאים אזרחית בטיסה לחו"ל (קפריסין), באמצעות שליח (מקסיקו, פרגוואי) או באופן מקוון (יוטה), ונרשמים במרשם לפי התעודה הזרה (פרק 9). </w:t>
      </w:r>
      <w:r>
        <w:rPr>
          <w:rFonts w:ascii="Arial" w:hAnsi="Arial" w:cs="Arial" w:eastAsia="Arial"/>
          <w:b/>
          <w:bCs/>
          <w:color w:val="1F2430"/>
          <w:sz w:val="19"/>
          <w:szCs w:val="19"/>
          <w:rtl/>
        </w:rPr>
        <w:t>אזרחית</w:t>
      </w:r>
      <w:r>
        <w:rPr>
          <w:rFonts w:ascii="Arial" w:hAnsi="Arial" w:cs="Arial" w:eastAsia="Arial"/>
          <w:color w:val="1F2430"/>
          <w:sz w:val="19"/>
          <w:szCs w:val="19"/>
          <w:rtl/>
        </w:rPr>
        <w:t xml:space="preserve"> הנישואין תקפים; השאלה כאן היא </w:t>
      </w:r>
      <w:r>
        <w:rPr>
          <w:rFonts w:ascii="Arial" w:hAnsi="Arial" w:cs="Arial" w:eastAsia="Arial"/>
          <w:b/>
          <w:bCs/>
          <w:color w:val="1F2430"/>
          <w:sz w:val="19"/>
          <w:szCs w:val="19"/>
          <w:rtl/>
        </w:rPr>
        <w:t>האם הם תופסים גם דתית</w:t>
      </w:r>
      <w:r>
        <w:rPr>
          <w:rFonts w:ascii="Arial" w:hAnsi="Arial" w:cs="Arial" w:eastAsia="Arial"/>
          <w:color w:val="1F2430"/>
          <w:sz w:val="19"/>
          <w:szCs w:val="19"/>
          <w:rtl/>
        </w:rPr>
        <w:t>. אם כן, אפילו מספק – נדרש גט.</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מקור הספק הוא יחסי האישות, לא הטקס האזרחי</w:t>
            </w:r>
          </w:p>
          <w:p>
            <w:pPr>
              <w:bidi/>
              <w:spacing w:before="0" w:after="60" w:line="300" w:lineRule="auto"/>
              <w:jc w:val="both"/>
            </w:pPr>
            <w:r>
              <w:rPr>
                <w:rFonts w:ascii="Arial" w:hAnsi="Arial" w:cs="Arial" w:eastAsia="Arial"/>
                <w:color w:val="1F2430"/>
                <w:sz w:val="18"/>
                <w:szCs w:val="18"/>
                <w:rtl/>
              </w:rPr>
              <w:t xml:space="preserve">הטקס האזרחי עצמו אינו מקדש מבחינה דתית (הוא "טקס לא יהודי", וגם החתימה על הטפסים אינה קידושי שטר לפי רוב הפוסקים). הספק נוצר בגלל </w:t>
            </w:r>
            <w:r>
              <w:rPr>
                <w:rFonts w:ascii="Arial" w:hAnsi="Arial" w:cs="Arial" w:eastAsia="Arial"/>
                <w:b/>
                <w:bCs/>
                <w:color w:val="1F2430"/>
                <w:sz w:val="18"/>
                <w:szCs w:val="18"/>
                <w:rtl/>
              </w:rPr>
              <w:t>יחסי האישות לאחר הנישואין</w:t>
            </w:r>
            <w:r>
              <w:rPr>
                <w:rFonts w:ascii="Arial" w:hAnsi="Arial" w:cs="Arial" w:eastAsia="Arial"/>
                <w:color w:val="1F2430"/>
                <w:sz w:val="18"/>
                <w:szCs w:val="18"/>
                <w:rtl/>
              </w:rPr>
              <w:t>: ביאה היא אחת משלוש דרכי הקידושין, והשאלה היא אם נעשתה מתוך כוונת קידושין.</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שתי הדעות</w:t>
      </w:r>
    </w:p>
    <w:tbl>
      <w:tblPr>
        <w:tblW w:type="dxa" w:w="10206"/>
        <w:jc w:val="center"/>
        <w:tblLook w:firstColumn="1" w:firstRow="1" w:lastColumn="0" w:lastRow="0" w:noHBand="0" w:noVBand="1" w:val="04A0"/>
        <w:bidiVisual/>
        <w:tblLayout w:type="fixed"/>
      </w:tblPr>
      <w:tblGrid>
        <w:gridCol w:w="1253"/>
        <w:gridCol w:w="4281"/>
        <w:gridCol w:w="4670"/>
      </w:tblGrid>
      <w:tr>
        <w:trPr>
          <w:tblHeader/>
        </w:trPr>
        <w:tc>
          <w:tcPr>
            <w:tcW w:type="dxa" w:w="125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p>
        </w:tc>
        <w:tc>
          <w:tcPr>
            <w:tcW w:type="dxa" w:w="4281"/>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הדעה המקלה</w:t>
            </w:r>
          </w:p>
        </w:tc>
        <w:tc>
          <w:tcPr>
            <w:tcW w:type="dxa" w:w="4670"/>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הדעה המחמירה</w:t>
            </w:r>
          </w:p>
        </w:tc>
      </w:tr>
      <w:tr>
        <w:trPr>
          <w:cantSplit/>
        </w:trPr>
        <w:tc>
          <w:tcPr>
            <w:tcW w:type="dxa" w:w="125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העמדה</w:t>
            </w:r>
          </w:p>
        </w:tc>
        <w:tc>
          <w:tcPr>
            <w:tcW w:type="dxa" w:w="428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תוקף דתי לנישואין; אין לדרוש גט, לא מספק ולא לחומרא</w:t>
            </w:r>
          </w:p>
        </w:tc>
        <w:tc>
          <w:tcPr>
            <w:tcW w:type="dxa" w:w="46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ייתכן שהם נשואים מספק, ונדרש גט מספק (לחומרא)</w:t>
            </w:r>
          </w:p>
        </w:tc>
      </w:tr>
      <w:tr>
        <w:trPr>
          <w:cantSplit/>
        </w:trPr>
        <w:tc>
          <w:tcPr>
            <w:tcW w:type="dxa" w:w="125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הנימוק</w:t>
            </w:r>
          </w:p>
        </w:tc>
        <w:tc>
          <w:tcPr>
            <w:tcW w:type="dxa" w:w="428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הזוג לא התכוון להינשא דתית; אילו רצה – היה הולך לרבנות</w:t>
            </w:r>
          </w:p>
        </w:tc>
        <w:tc>
          <w:tcPr>
            <w:tcW w:type="dxa" w:w="46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יש ביאה, והחזקה "אין אדם עושה בעילתו בעילת זנות" מלמדת על כוונת קידושין</w:t>
            </w:r>
          </w:p>
        </w:tc>
      </w:tr>
      <w:tr>
        <w:trPr>
          <w:cantSplit/>
        </w:trPr>
        <w:tc>
          <w:tcPr>
            <w:tcW w:type="dxa" w:w="125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מי מחזיק בה</w:t>
            </w:r>
          </w:p>
        </w:tc>
        <w:tc>
          <w:tcPr>
            <w:tcW w:type="dxa" w:w="428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רוב הפוסקים; זו "הדעה המרכזית"</w:t>
            </w:r>
          </w:p>
        </w:tc>
        <w:tc>
          <w:tcPr>
            <w:tcW w:type="dxa" w:w="46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חלק מהפוסקים; לעולם לא יודעים מה יאמר הדיין שיושב בתיק</w:t>
            </w:r>
          </w:p>
        </w:tc>
      </w:tr>
      <w:tr>
        <w:trPr>
          <w:cantSplit/>
        </w:trPr>
        <w:tc>
          <w:tcPr>
            <w:tcW w:type="dxa" w:w="125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מתי מקובלת</w:t>
            </w:r>
          </w:p>
        </w:tc>
        <w:tc>
          <w:tcPr>
            <w:tcW w:type="dxa" w:w="428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 xml:space="preserve">כשלא הייתה מניעה להינשא כדמו"י – </w:t>
            </w:r>
            <w:r>
              <w:rPr>
                <w:rFonts w:ascii="Arial" w:hAnsi="Arial" w:cs="Arial" w:eastAsia="Arial"/>
                <w:b/>
                <w:bCs/>
                <w:color w:val="1F2430"/>
                <w:sz w:val="17"/>
                <w:szCs w:val="17"/>
                <w:rtl/>
              </w:rPr>
              <w:t>כשירי חיתון</w:t>
            </w:r>
          </w:p>
        </w:tc>
        <w:tc>
          <w:tcPr>
            <w:tcW w:type="dxa" w:w="46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כשהייתה מניעה להינשא כדמו"י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חזקת "אאעבב"ז"</w:t>
            </w:r>
          </w:p>
          <w:p>
            <w:pPr>
              <w:bidi/>
              <w:spacing w:before="0" w:after="60" w:line="300" w:lineRule="auto"/>
              <w:jc w:val="both"/>
            </w:pPr>
            <w:r>
              <w:rPr>
                <w:rFonts w:ascii="Arial" w:hAnsi="Arial" w:cs="Arial" w:eastAsia="Arial"/>
                <w:color w:val="1F2430"/>
                <w:sz w:val="18"/>
                <w:szCs w:val="18"/>
                <w:rtl/>
              </w:rPr>
              <w:t>אין אדם עושה בעילתו בעילת זנות (והרי בידו לעשותה בעילת מצווה). אנו מחזיקים את האדם כישר שאינו מתכוון לעבור עבירה; יחסי אישות בין איש לאישה לא נשואים מותרים רק אם הם לשם קידושין – ולכן מניחים שהתכוון לקדש.</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מי בסיכון גבוה יותר להיחשב נשוי מספק?</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b/>
          <w:bCs/>
          <w:color w:val="1F2430"/>
          <w:sz w:val="19"/>
          <w:szCs w:val="19"/>
          <w:rtl/>
        </w:rPr>
        <w:t>כשירי חיתון שנישאו אזרחית</w:t>
      </w:r>
      <w:r>
        <w:rPr>
          <w:rFonts w:ascii="Arial" w:hAnsi="Arial" w:cs="Arial" w:eastAsia="Arial"/>
          <w:color w:val="1F2430"/>
          <w:sz w:val="19"/>
          <w:szCs w:val="19"/>
          <w:rtl/>
        </w:rPr>
        <w:t xml:space="preserve"> – הנטייה </w:t>
      </w:r>
      <w:r>
        <w:rPr>
          <w:rFonts w:ascii="Arial" w:hAnsi="Arial" w:cs="Arial" w:eastAsia="Arial"/>
          <w:b/>
          <w:bCs/>
          <w:color w:val="1F2430"/>
          <w:sz w:val="19"/>
          <w:szCs w:val="19"/>
          <w:rtl/>
        </w:rPr>
        <w:t>להקל</w:t>
      </w:r>
      <w:r>
        <w:rPr>
          <w:rFonts w:ascii="Arial" w:hAnsi="Arial" w:cs="Arial" w:eastAsia="Arial"/>
          <w:color w:val="1F2430"/>
          <w:sz w:val="19"/>
          <w:szCs w:val="19"/>
          <w:rtl/>
        </w:rPr>
        <w:t>: אילו רצו נישואין דתיים, היו נישאים ברבנות. דווקא אצלם, שלכאורה "למה לא", הנטייה היא לומר שהנישואין לא תפסו.</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פסולי חיתון</w:t>
      </w:r>
      <w:r>
        <w:rPr>
          <w:rFonts w:ascii="Arial" w:hAnsi="Arial" w:cs="Arial" w:eastAsia="Arial"/>
          <w:color w:val="1F2430"/>
          <w:sz w:val="19"/>
          <w:szCs w:val="19"/>
          <w:rtl/>
        </w:rPr>
        <w:t xml:space="preserve"> (כהן וגרושה וכדומה) – הנטייה </w:t>
      </w:r>
      <w:r>
        <w:rPr>
          <w:rFonts w:ascii="Arial" w:hAnsi="Arial" w:cs="Arial" w:eastAsia="Arial"/>
          <w:b/>
          <w:bCs/>
          <w:color w:val="1F2430"/>
          <w:sz w:val="19"/>
          <w:szCs w:val="19"/>
          <w:rtl/>
        </w:rPr>
        <w:t>להחמיר</w:t>
      </w:r>
      <w:r>
        <w:rPr>
          <w:rFonts w:ascii="Arial" w:hAnsi="Arial" w:cs="Arial" w:eastAsia="Arial"/>
          <w:color w:val="1F2430"/>
          <w:sz w:val="19"/>
          <w:szCs w:val="19"/>
          <w:rtl/>
        </w:rPr>
        <w:t>: ייתכן שרצו להינשא כדמו"י, ורק לא אפשרו להם בארץ.</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b/>
          <w:bCs/>
          <w:color w:val="1F2430"/>
          <w:sz w:val="19"/>
          <w:szCs w:val="19"/>
          <w:rtl/>
        </w:rPr>
        <w:t>מי שחיו בחו"ל, נישאו שם אזרחית ועלו לישראל</w:t>
      </w:r>
      <w:r>
        <w:rPr>
          <w:rFonts w:ascii="Arial" w:hAnsi="Arial" w:cs="Arial" w:eastAsia="Arial"/>
          <w:color w:val="1F2430"/>
          <w:sz w:val="19"/>
          <w:szCs w:val="19"/>
          <w:rtl/>
        </w:rPr>
        <w:t xml:space="preserve"> – הנטייה </w:t>
      </w:r>
      <w:r>
        <w:rPr>
          <w:rFonts w:ascii="Arial" w:hAnsi="Arial" w:cs="Arial" w:eastAsia="Arial"/>
          <w:b/>
          <w:bCs/>
          <w:color w:val="1F2430"/>
          <w:sz w:val="19"/>
          <w:szCs w:val="19"/>
          <w:rtl/>
        </w:rPr>
        <w:t>להחמיר</w:t>
      </w:r>
      <w:r>
        <w:rPr>
          <w:rFonts w:ascii="Arial" w:hAnsi="Arial" w:cs="Arial" w:eastAsia="Arial"/>
          <w:color w:val="1F2430"/>
          <w:sz w:val="19"/>
          <w:szCs w:val="19"/>
          <w:rtl/>
        </w:rPr>
        <w:t>: ייתכן שרצו נישואין דתיים, אך במדינתם זו הייתה הדרך המקובלת, או שלא הוכרה שם דרך אחרת.</w:t>
      </w:r>
    </w:p>
    <w:p>
      <w:pPr>
        <w:bidi/>
        <w:spacing w:before="0" w:after="100" w:line="300" w:lineRule="auto"/>
        <w:jc w:val="both"/>
      </w:pPr>
      <w:r>
        <w:rPr>
          <w:rFonts w:ascii="Arial" w:hAnsi="Arial" w:cs="Arial" w:eastAsia="Arial"/>
          <w:color w:val="1F2430"/>
          <w:sz w:val="19"/>
          <w:szCs w:val="19"/>
          <w:rtl/>
        </w:rPr>
        <w:t xml:space="preserve">בבירור שואל בית הדין, למשל, אם בני הזוג ניסו קודם להינשא ברבנות (תשובה חיובית מחזקת כוונה לנישואין דתיים). גם </w:t>
      </w:r>
      <w:r>
        <w:rPr>
          <w:rFonts w:ascii="Arial" w:hAnsi="Arial" w:cs="Arial" w:eastAsia="Arial"/>
          <w:b/>
          <w:bCs/>
          <w:color w:val="1F2430"/>
          <w:sz w:val="19"/>
          <w:szCs w:val="19"/>
          <w:rtl/>
        </w:rPr>
        <w:t>טקס אצל רב רפורמי</w:t>
      </w:r>
      <w:r>
        <w:rPr>
          <w:rFonts w:ascii="Arial" w:hAnsi="Arial" w:cs="Arial" w:eastAsia="Arial"/>
          <w:color w:val="1F2430"/>
          <w:sz w:val="19"/>
          <w:szCs w:val="19"/>
          <w:rtl/>
        </w:rPr>
        <w:t xml:space="preserve"> מגביר את הסיכון.</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השלכות קביעה של גט מספק</w:t>
      </w:r>
    </w:p>
    <w:p>
      <w:pPr>
        <w:bidi/>
        <w:spacing w:before="0" w:after="100" w:line="300" w:lineRule="auto"/>
        <w:jc w:val="both"/>
      </w:pPr>
      <w:r>
        <w:rPr>
          <w:rFonts w:ascii="Arial" w:hAnsi="Arial" w:cs="Arial" w:eastAsia="Arial"/>
          <w:color w:val="1F2430"/>
          <w:sz w:val="19"/>
          <w:szCs w:val="19"/>
          <w:rtl/>
        </w:rPr>
        <w:t>כשבית הדין קובע שנדרש גט מספק, יש לכך השלכות כבדות:</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b/>
          <w:bCs/>
          <w:color w:val="1F2430"/>
          <w:sz w:val="19"/>
          <w:szCs w:val="19"/>
          <w:rtl/>
        </w:rPr>
        <w:t>ביגמיה</w:t>
      </w:r>
      <w:r>
        <w:rPr>
          <w:rFonts w:ascii="Arial" w:hAnsi="Arial" w:cs="Arial" w:eastAsia="Arial"/>
          <w:color w:val="1F2430"/>
          <w:sz w:val="19"/>
          <w:szCs w:val="19"/>
          <w:rtl/>
        </w:rPr>
        <w:t xml:space="preserve"> – מי שנחשב נשוי, אפילו מספק, לא יוכל להינשא לאחרת.</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b/>
          <w:bCs/>
          <w:color w:val="1F2430"/>
          <w:sz w:val="19"/>
          <w:szCs w:val="19"/>
          <w:rtl/>
        </w:rPr>
        <w:t>ממזרות</w:t>
      </w:r>
      <w:r>
        <w:rPr>
          <w:rFonts w:ascii="Arial" w:hAnsi="Arial" w:cs="Arial" w:eastAsia="Arial"/>
          <w:color w:val="1F2430"/>
          <w:sz w:val="19"/>
          <w:szCs w:val="19"/>
          <w:rtl/>
        </w:rPr>
        <w:t xml:space="preserve"> – אם האישה נחשבת נשואה, ילד שייוולד לה מגבר אחר עלול להיחשב ממזר.</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b/>
          <w:bCs/>
          <w:color w:val="1F2430"/>
          <w:sz w:val="19"/>
          <w:szCs w:val="19"/>
          <w:rtl/>
        </w:rPr>
        <w:t>עגינות</w:t>
      </w:r>
      <w:r>
        <w:rPr>
          <w:rFonts w:ascii="Arial" w:hAnsi="Arial" w:cs="Arial" w:eastAsia="Arial"/>
          <w:color w:val="1F2430"/>
          <w:sz w:val="19"/>
          <w:szCs w:val="19"/>
          <w:rtl/>
        </w:rPr>
        <w:t xml:space="preserve"> – אם הנישואין תופסים מספק, האישה עלולה להיות מעוגנת (ובית הדין יקל).</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7.8 דיני בני נח: בג"ץ 2232/03 (תיק ביד"ר 4276/ס"ג)</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2232/03 פלונית נ' בית הדין הרבני האזורי (דיני בני נח)</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זוג כשירי חיתון נישא בקפריסין (1987) וגם אצל רב רפורמי בארץ. כשהאישה הגישה תביעות ממוניות באזרחי, פנה הבעל לבית הדין הרבני וקיבל הצהרה שאינם נשואים כדמו"י ו"רשאים להינשא כפנויים". בית הדין הגדול תיקן את הנוסח ל"בית הדין </w:t>
            </w:r>
            <w:r>
              <w:rPr>
                <w:rFonts w:ascii="Arial" w:hAnsi="Arial" w:cs="Arial" w:eastAsia="Arial"/>
                <w:b/>
                <w:bCs/>
                <w:color w:val="1F2430"/>
                <w:sz w:val="18"/>
                <w:szCs w:val="18"/>
                <w:rtl/>
              </w:rPr>
              <w:t>מתיר</w:t>
            </w:r>
            <w:r>
              <w:rPr>
                <w:rFonts w:ascii="Arial" w:hAnsi="Arial" w:cs="Arial" w:eastAsia="Arial"/>
                <w:color w:val="1F2430"/>
                <w:sz w:val="18"/>
                <w:szCs w:val="18"/>
                <w:rtl/>
              </w:rPr>
              <w:t xml:space="preserve"> את הנישואין". האישה עתרה, והנשיא ברק – במהלך חריג – שאל את בית הדין הגדול ארבע שאלות: תוקף, סמכות, עילות וזכויות ממוניות (פירוט – פרק 8). </w:t>
            </w:r>
            <w:r>
              <w:rPr>
                <w:rFonts w:ascii="Arial" w:hAnsi="Arial" w:cs="Arial" w:eastAsia="Arial"/>
                <w:b/>
                <w:bCs/>
                <w:color w:val="1F2430"/>
                <w:sz w:val="18"/>
                <w:szCs w:val="18"/>
                <w:rtl/>
              </w:rPr>
              <w:t>הלכה (תשובת בית הדין הרבני הגדול):</w:t>
            </w:r>
            <w:r>
              <w:rPr>
                <w:rFonts w:ascii="Arial" w:hAnsi="Arial" w:cs="Arial" w:eastAsia="Arial"/>
                <w:color w:val="1F2430"/>
                <w:sz w:val="18"/>
                <w:szCs w:val="18"/>
                <w:rtl/>
              </w:rPr>
              <w:t xml:space="preserve"> לפני מתן תורה היה העם היהודי ככל העמים ונישא כמו "בני נח"; כשקיבל את התורה הוא קיבל מערכת נישואין מקיפה, אך </w:t>
            </w:r>
            <w:r>
              <w:rPr>
                <w:rFonts w:ascii="Arial" w:hAnsi="Arial" w:cs="Arial" w:eastAsia="Arial"/>
                <w:b/>
                <w:bCs/>
                <w:color w:val="1F2430"/>
                <w:sz w:val="18"/>
                <w:szCs w:val="18"/>
                <w:rtl/>
              </w:rPr>
              <w:t>לא הפסיק להיות בן נח</w:t>
            </w:r>
            <w:r>
              <w:rPr>
                <w:rFonts w:ascii="Arial" w:hAnsi="Arial" w:cs="Arial" w:eastAsia="Arial"/>
                <w:color w:val="1F2430"/>
                <w:sz w:val="18"/>
                <w:szCs w:val="18"/>
                <w:rtl/>
              </w:rPr>
              <w:t>. לכן יש שתי שכבות: (1) נישואין כדמו"י; (2) נישואין אזרחיים, שיש להם ערך בהלכה כ</w:t>
            </w:r>
            <w:r>
              <w:rPr>
                <w:rFonts w:ascii="Arial" w:hAnsi="Arial" w:cs="Arial" w:eastAsia="Arial"/>
                <w:b/>
                <w:bCs/>
                <w:color w:val="1F2430"/>
                <w:sz w:val="18"/>
                <w:szCs w:val="18"/>
                <w:rtl/>
              </w:rPr>
              <w:t>נישואי בני נח</w:t>
            </w:r>
            <w:r>
              <w:rPr>
                <w:rFonts w:ascii="Arial" w:hAnsi="Arial" w:cs="Arial" w:eastAsia="Arial"/>
                <w:color w:val="1F2430"/>
                <w:sz w:val="18"/>
                <w:szCs w:val="18"/>
                <w:rtl/>
              </w:rPr>
              <w:t xml:space="preserve"> – "דרג ב'", "חצי נשואים": לא נשואים במלוא המובן, אך גם לא פנויים. בית הדין לוקח אחריות על פירוק כל הנישואין האלה: הוא מתחיל ב"</w:t>
            </w:r>
            <w:r>
              <w:rPr>
                <w:rFonts w:ascii="Arial" w:hAnsi="Arial" w:cs="Arial" w:eastAsia="Arial"/>
                <w:b/>
                <w:bCs/>
                <w:color w:val="1F2430"/>
                <w:sz w:val="18"/>
                <w:szCs w:val="18"/>
                <w:rtl/>
              </w:rPr>
              <w:t>כובע דתי</w:t>
            </w:r>
            <w:r>
              <w:rPr>
                <w:rFonts w:ascii="Arial" w:hAnsi="Arial" w:cs="Arial" w:eastAsia="Arial"/>
                <w:color w:val="1F2430"/>
                <w:sz w:val="18"/>
                <w:szCs w:val="18"/>
                <w:rtl/>
              </w:rPr>
              <w:t xml:space="preserve">" ובודק אם נוצרו קידושין; אם כן או שיש ספק – יסדר </w:t>
            </w:r>
            <w:r>
              <w:rPr>
                <w:rFonts w:ascii="Arial" w:hAnsi="Arial" w:cs="Arial" w:eastAsia="Arial"/>
                <w:b/>
                <w:bCs/>
                <w:color w:val="1F2430"/>
                <w:sz w:val="18"/>
                <w:szCs w:val="18"/>
                <w:rtl/>
              </w:rPr>
              <w:t>גט מספק</w:t>
            </w:r>
            <w:r>
              <w:rPr>
                <w:rFonts w:ascii="Arial" w:hAnsi="Arial" w:cs="Arial" w:eastAsia="Arial"/>
                <w:color w:val="1F2430"/>
                <w:sz w:val="18"/>
                <w:szCs w:val="18"/>
                <w:rtl/>
              </w:rPr>
              <w:t>; אם לא – הוא מחליף ל"</w:t>
            </w:r>
            <w:r>
              <w:rPr>
                <w:rFonts w:ascii="Arial" w:hAnsi="Arial" w:cs="Arial" w:eastAsia="Arial"/>
                <w:b/>
                <w:bCs/>
                <w:color w:val="1F2430"/>
                <w:sz w:val="18"/>
                <w:szCs w:val="18"/>
                <w:rtl/>
              </w:rPr>
              <w:t>כובע אזרחי</w:t>
            </w:r>
            <w:r>
              <w:rPr>
                <w:rFonts w:ascii="Arial" w:hAnsi="Arial" w:cs="Arial" w:eastAsia="Arial"/>
                <w:color w:val="1F2430"/>
                <w:sz w:val="18"/>
                <w:szCs w:val="18"/>
                <w:rtl/>
              </w:rPr>
              <w:t xml:space="preserve">" ומתיר את הנישואין </w:t>
            </w:r>
            <w:r>
              <w:rPr>
                <w:rFonts w:ascii="Arial" w:hAnsi="Arial" w:cs="Arial" w:eastAsia="Arial"/>
                <w:b/>
                <w:bCs/>
                <w:color w:val="1F2430"/>
                <w:sz w:val="18"/>
                <w:szCs w:val="18"/>
                <w:rtl/>
              </w:rPr>
              <w:t>בפסק דין</w:t>
            </w:r>
            <w:r>
              <w:rPr>
                <w:rFonts w:ascii="Arial" w:hAnsi="Arial" w:cs="Arial" w:eastAsia="Arial"/>
                <w:color w:val="1F2430"/>
                <w:sz w:val="18"/>
                <w:szCs w:val="18"/>
                <w:rtl/>
              </w:rPr>
              <w:t xml:space="preserve"> ולא בגט, בעילת </w:t>
            </w:r>
            <w:r>
              <w:rPr>
                <w:rFonts w:ascii="Arial" w:hAnsi="Arial" w:cs="Arial" w:eastAsia="Arial"/>
                <w:b/>
                <w:bCs/>
                <w:color w:val="1F2430"/>
                <w:sz w:val="18"/>
                <w:szCs w:val="18"/>
                <w:rtl/>
              </w:rPr>
              <w:t>תום הקשר</w:t>
            </w:r>
            <w:r>
              <w:rPr>
                <w:rFonts w:ascii="Arial" w:hAnsi="Arial" w:cs="Arial" w:eastAsia="Arial"/>
                <w:color w:val="1F2430"/>
                <w:sz w:val="18"/>
                <w:szCs w:val="18"/>
                <w:rtl/>
              </w:rPr>
              <w:t xml:space="preserve">, בלי צורך בהסכמה. </w:t>
            </w:r>
            <w:r>
              <w:rPr>
                <w:rFonts w:ascii="Arial" w:hAnsi="Arial" w:cs="Arial" w:eastAsia="Arial"/>
                <w:b/>
                <w:bCs/>
                <w:color w:val="1F2430"/>
                <w:sz w:val="18"/>
                <w:szCs w:val="18"/>
                <w:rtl/>
              </w:rPr>
              <w:t>זכויות ממוניות</w:t>
            </w:r>
            <w:r>
              <w:rPr>
                <w:rFonts w:ascii="Arial" w:hAnsi="Arial" w:cs="Arial" w:eastAsia="Arial"/>
                <w:color w:val="1F2430"/>
                <w:sz w:val="18"/>
                <w:szCs w:val="18"/>
                <w:rtl/>
              </w:rPr>
              <w:t xml:space="preserve"> בית הדין לא ייתן, לא מכוח הנישואין הדתיים בספק ("אין מוציאין ממון מספק") ולא בכובע האזרחי – ולכן רכוש ומזונות אישה יתנהלו בבית המשפט האזרחי.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זהו מקור "דיני בני נח" – ההכרה ההלכתית ברובד נוסף של נישואין אזרחיים. ההיבטים האזרחיים (הגנה על הצד החלש, מזונות חוזיים, כריכה לא כנה) – ראו פרק 8.</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שתי הערות נוספות: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מדוע בית הדין הסכים להכיר בנישואין אזרחיים?</w:t>
      </w:r>
      <w:r>
        <w:rPr>
          <w:rFonts w:ascii="Arial" w:hAnsi="Arial" w:cs="Arial" w:eastAsia="Arial"/>
          <w:color w:val="1F2430"/>
          <w:sz w:val="19"/>
          <w:szCs w:val="19"/>
          <w:rtl/>
        </w:rPr>
        <w:t xml:space="preserve"> כדי שכל הזוגות יעברו דרכו ויוכל לבדוק אם חלקם נשואים גם דתית (ובלי "לגרש כל זוג פעמיים").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תיק (טבריה) 80581-21-1 (נבו, 24.6.09)</w:t>
      </w:r>
      <w:r>
        <w:rPr>
          <w:rFonts w:ascii="Arial" w:hAnsi="Arial" w:cs="Arial" w:eastAsia="Arial"/>
          <w:color w:val="1F2430"/>
          <w:sz w:val="19"/>
          <w:szCs w:val="19"/>
          <w:rtl/>
        </w:rPr>
        <w:t xml:space="preserve"> – כשלוש שנים אחר כך קבע בית הדין הרבני בטבריה שגם בהלכה ניתן לפסוק </w:t>
      </w:r>
      <w:r>
        <w:rPr>
          <w:rFonts w:ascii="Arial" w:hAnsi="Arial" w:cs="Arial" w:eastAsia="Arial"/>
          <w:b/>
          <w:bCs/>
          <w:color w:val="1F2430"/>
          <w:sz w:val="19"/>
          <w:szCs w:val="19"/>
          <w:rtl/>
        </w:rPr>
        <w:t>מזונות חוזיים</w:t>
      </w:r>
      <w:r>
        <w:rPr>
          <w:rFonts w:ascii="Arial" w:hAnsi="Arial" w:cs="Arial" w:eastAsia="Arial"/>
          <w:color w:val="1F2430"/>
          <w:sz w:val="19"/>
          <w:szCs w:val="19"/>
          <w:rtl/>
        </w:rPr>
        <w:t xml:space="preserve"> ולחלק רכוש באופן חוזי בין בני זוג שנישאו אזרחית, מכוח "</w:t>
      </w:r>
      <w:r>
        <w:rPr>
          <w:rFonts w:ascii="Arial" w:hAnsi="Arial" w:cs="Arial" w:eastAsia="Arial"/>
          <w:b/>
          <w:bCs/>
          <w:color w:val="1F2430"/>
          <w:sz w:val="19"/>
          <w:szCs w:val="19"/>
          <w:rtl/>
        </w:rPr>
        <w:t>מנהג המדינה</w:t>
      </w:r>
      <w:r>
        <w:rPr>
          <w:rFonts w:ascii="Arial" w:hAnsi="Arial" w:cs="Arial" w:eastAsia="Arial"/>
          <w:color w:val="1F2430"/>
          <w:sz w:val="19"/>
          <w:szCs w:val="19"/>
          <w:rtl/>
        </w:rPr>
        <w:t>": בענייני ממון ההלכה יכולה לקלוט את המקובל בחברה האזרחית. האם בכך "בוטל" ההסדר של בג"ץ? לא ידוע, עד שהעניין יעלה שוב לבג"ץ.</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טבלת הסיכום של המרצה: סוגי נישואין בדין הדתי</w:t>
      </w:r>
    </w:p>
    <w:tbl>
      <w:tblPr>
        <w:tblW w:type="dxa" w:w="10206"/>
        <w:jc w:val="center"/>
        <w:tblLook w:firstColumn="1" w:firstRow="1" w:lastColumn="0" w:lastRow="0" w:noHBand="0" w:noVBand="1" w:val="04A0"/>
        <w:bidiVisual/>
        <w:tblLayout w:type="fixed"/>
      </w:tblPr>
      <w:tblGrid>
        <w:gridCol w:w="2163"/>
        <w:gridCol w:w="1303"/>
        <w:gridCol w:w="3462"/>
        <w:gridCol w:w="1607"/>
        <w:gridCol w:w="1669"/>
      </w:tblGrid>
      <w:tr>
        <w:trPr>
          <w:tblHeader/>
        </w:trPr>
        <w:tc>
          <w:tcPr>
            <w:tcW w:type="dxa" w:w="2164"/>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 הנישואין</w:t>
            </w:r>
          </w:p>
        </w:tc>
        <w:tc>
          <w:tcPr>
            <w:tcW w:type="dxa" w:w="130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חומרת האיסור</w:t>
            </w:r>
          </w:p>
        </w:tc>
        <w:tc>
          <w:tcPr>
            <w:tcW w:type="dxa" w:w="3462"/>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תוקף ונדרש גט</w:t>
            </w:r>
          </w:p>
        </w:tc>
        <w:tc>
          <w:tcPr>
            <w:tcW w:type="dxa" w:w="1607"/>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 הילדים</w:t>
            </w:r>
          </w:p>
        </w:tc>
        <w:tc>
          <w:tcPr>
            <w:tcW w:type="dxa" w:w="1669"/>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זכויות ממוניות בין בני הזוג</w:t>
            </w:r>
          </w:p>
        </w:tc>
      </w:tr>
      <w:tr>
        <w:trPr>
          <w:cantSplit/>
        </w:trPr>
        <w:tc>
          <w:tcPr>
            <w:tcW w:type="dxa" w:w="216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עריות / אשת איש</w:t>
            </w:r>
          </w:p>
        </w:tc>
        <w:tc>
          <w:tcPr>
            <w:tcW w:type="dxa" w:w="130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כרת / מיתה</w:t>
            </w:r>
          </w:p>
        </w:tc>
        <w:tc>
          <w:tcPr>
            <w:tcW w:type="dxa" w:w="346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תוקף; אין צורך בגט</w:t>
            </w:r>
          </w:p>
        </w:tc>
        <w:tc>
          <w:tcPr>
            <w:tcW w:type="dxa" w:w="160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ממזרים</w:t>
            </w:r>
          </w:p>
        </w:tc>
        <w:tc>
          <w:tcPr>
            <w:tcW w:type="dxa" w:w="16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w:t>
            </w:r>
          </w:p>
        </w:tc>
      </w:tr>
      <w:tr>
        <w:trPr>
          <w:cantSplit/>
        </w:trPr>
        <w:tc>
          <w:tcPr>
            <w:tcW w:type="dxa" w:w="216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כהן וגרושה</w:t>
            </w:r>
          </w:p>
        </w:tc>
        <w:tc>
          <w:tcPr>
            <w:tcW w:type="dxa" w:w="130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חייבי לאוין</w:t>
            </w:r>
          </w:p>
        </w:tc>
        <w:tc>
          <w:tcPr>
            <w:tcW w:type="dxa" w:w="346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יש תוקף לחומרא; גט לחומרא (יכפוהו)</w:t>
            </w:r>
          </w:p>
        </w:tc>
        <w:tc>
          <w:tcPr>
            <w:tcW w:type="dxa" w:w="160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כשרים, אך חללים</w:t>
            </w:r>
          </w:p>
        </w:tc>
        <w:tc>
          <w:tcPr>
            <w:tcW w:type="dxa" w:w="16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אין (בדין הדתי)</w:t>
            </w:r>
          </w:p>
        </w:tc>
      </w:tr>
      <w:tr>
        <w:trPr>
          <w:cantSplit/>
        </w:trPr>
        <w:tc>
          <w:tcPr>
            <w:tcW w:type="dxa" w:w="216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ממזר ויהודייה</w:t>
            </w:r>
          </w:p>
        </w:tc>
        <w:tc>
          <w:tcPr>
            <w:tcW w:type="dxa" w:w="130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חייבי לאוין</w:t>
            </w:r>
          </w:p>
        </w:tc>
        <w:tc>
          <w:tcPr>
            <w:tcW w:type="dxa" w:w="346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יש תוקף לחומרא; גט לחומרא (יכפוהו)</w:t>
            </w:r>
          </w:p>
        </w:tc>
        <w:tc>
          <w:tcPr>
            <w:tcW w:type="dxa" w:w="160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ממזרים</w:t>
            </w:r>
          </w:p>
        </w:tc>
        <w:tc>
          <w:tcPr>
            <w:tcW w:type="dxa" w:w="16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(בדין הדתי)</w:t>
            </w:r>
          </w:p>
        </w:tc>
      </w:tr>
      <w:tr>
        <w:trPr>
          <w:cantSplit/>
        </w:trPr>
        <w:tc>
          <w:tcPr>
            <w:tcW w:type="dxa" w:w="216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נישואין פרטיים (בניגוד לתקנות תש"י)</w:t>
            </w:r>
          </w:p>
        </w:tc>
        <w:tc>
          <w:tcPr>
            <w:tcW w:type="dxa" w:w="130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עבירה על תקנות הרבנות</w:t>
            </w:r>
          </w:p>
        </w:tc>
        <w:tc>
          <w:tcPr>
            <w:tcW w:type="dxa" w:w="346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לפי המקראה: יש תוקף לחומרא; גט (יחייבוהו) – הרחבה בפרק 8</w:t>
            </w:r>
          </w:p>
        </w:tc>
        <w:tc>
          <w:tcPr>
            <w:tcW w:type="dxa" w:w="160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כשרים (אם ההורים כשרים)</w:t>
            </w:r>
          </w:p>
        </w:tc>
        <w:tc>
          <w:tcPr>
            <w:tcW w:type="dxa" w:w="16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אין בדין הדתי</w:t>
            </w:r>
          </w:p>
        </w:tc>
      </w:tr>
      <w:tr>
        <w:trPr>
          <w:cantSplit/>
        </w:trPr>
        <w:tc>
          <w:tcPr>
            <w:tcW w:type="dxa" w:w="216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אזרחיים (נישואי בני נח)</w:t>
            </w:r>
          </w:p>
        </w:tc>
        <w:tc>
          <w:tcPr>
            <w:tcW w:type="dxa" w:w="130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טקס לא יהודי</w:t>
            </w:r>
          </w:p>
        </w:tc>
        <w:tc>
          <w:tcPr>
            <w:tcW w:type="dxa" w:w="346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מחלוקת פוסקים, רובד נוסף; גט לחומרא או פסק דין התרה</w:t>
            </w:r>
          </w:p>
        </w:tc>
        <w:tc>
          <w:tcPr>
            <w:tcW w:type="dxa" w:w="160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כשרים (בהורים כשירי חיתון)</w:t>
            </w:r>
          </w:p>
        </w:tc>
        <w:tc>
          <w:tcPr>
            <w:tcW w:type="dxa" w:w="16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בדין הדתי; יש אזרחיות</w:t>
            </w:r>
          </w:p>
        </w:tc>
      </w:tr>
      <w:tr>
        <w:trPr>
          <w:cantSplit/>
        </w:trPr>
        <w:tc>
          <w:tcPr>
            <w:tcW w:type="dxa" w:w="216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יהודייה ולא יהודי (למשל מוסלמי)</w:t>
            </w:r>
          </w:p>
        </w:tc>
        <w:tc>
          <w:tcPr>
            <w:tcW w:type="dxa" w:w="130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לאו ביהדות</w:t>
            </w:r>
          </w:p>
        </w:tc>
        <w:tc>
          <w:tcPr>
            <w:tcW w:type="dxa" w:w="346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ביהדות אין תוקף ואין צורך בגט; באסלאם יש</w:t>
            </w:r>
          </w:p>
        </w:tc>
        <w:tc>
          <w:tcPr>
            <w:tcW w:type="dxa" w:w="160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כפולי דת</w:t>
            </w:r>
          </w:p>
        </w:tc>
        <w:tc>
          <w:tcPr>
            <w:tcW w:type="dxa" w:w="16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אין בדין הדתי; יש אזרחיות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איך פותרים שאלת "תוקף" במבחן</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1. </w:t>
            </w:r>
            <w:r>
              <w:tab/>
            </w:r>
            <w:r>
              <w:rPr>
                <w:rFonts w:ascii="Arial" w:hAnsi="Arial" w:cs="Arial" w:eastAsia="Arial"/>
                <w:color w:val="1F2430"/>
                <w:sz w:val="18"/>
                <w:szCs w:val="18"/>
                <w:rtl/>
              </w:rPr>
              <w:t>האם בני הזוג יהודים? אם אחד אינו יהודי – אין תוקף ביהדות (ועל הסמכות ראו פרק 2).</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2. </w:t>
            </w:r>
            <w:r>
              <w:tab/>
            </w:r>
            <w:r>
              <w:rPr>
                <w:rFonts w:ascii="Arial" w:hAnsi="Arial" w:cs="Arial" w:eastAsia="Arial"/>
                <w:color w:val="1F2430"/>
                <w:sz w:val="18"/>
                <w:szCs w:val="18"/>
                <w:rtl/>
              </w:rPr>
              <w:t>האם יש בעיית כושר? עריות / אשת איש = אין תוקף, אין גט, ממזרים. לאו (כהן וגרושה, ממזר) = תופס, גט לחומרא, חללים / ממזרים.</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3. </w:t>
            </w:r>
            <w:r>
              <w:tab/>
            </w:r>
            <w:r>
              <w:rPr>
                <w:rFonts w:ascii="Arial" w:hAnsi="Arial" w:cs="Arial" w:eastAsia="Arial"/>
                <w:color w:val="1F2430"/>
                <w:sz w:val="18"/>
                <w:szCs w:val="18"/>
                <w:rtl/>
              </w:rPr>
              <w:t>האם הייתה צורה? כסף/שטר/ביאה + כוונה + שני עדים כשרים. חסרים רב, חופה, מניין או רישום? עדיין תופס.</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4. </w:t>
            </w:r>
            <w:r>
              <w:tab/>
            </w:r>
            <w:r>
              <w:rPr>
                <w:rFonts w:ascii="Arial" w:hAnsi="Arial" w:cs="Arial" w:eastAsia="Arial"/>
                <w:color w:val="1F2430"/>
                <w:sz w:val="18"/>
                <w:szCs w:val="18"/>
                <w:rtl/>
              </w:rPr>
              <w:t>נישואין אזרחיים? בדוק: כשירי חיתון (נטייה להקל) או פסולי חיתון / עולים (נטייה להחמיר).</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5. </w:t>
            </w:r>
            <w:r>
              <w:tab/>
            </w:r>
            <w:r>
              <w:rPr>
                <w:rFonts w:ascii="Arial" w:hAnsi="Arial" w:cs="Arial" w:eastAsia="Arial"/>
                <w:color w:val="1F2430"/>
                <w:sz w:val="18"/>
                <w:szCs w:val="18"/>
                <w:rtl/>
              </w:rPr>
              <w:t>זכויות ממוניות? בספק – "אין מוציאין ממון מספק"; זכויות אזרחיות – בבית המשפט האזרחי.</w:t>
            </w:r>
          </w:p>
        </w:tc>
      </w:tr>
    </w:tbl>
    <w:p>
      <w:pPr>
        <w:bidi/>
        <w:spacing w:after="0" w:before="0" w:line="12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מלכודות נפוצות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"בלי רב (או חופה, מניין, רישום) הנישואין בטלים" – </w:t>
      </w:r>
      <w:r>
        <w:rPr>
          <w:rFonts w:ascii="Arial" w:hAnsi="Arial" w:cs="Arial" w:eastAsia="Arial"/>
          <w:b/>
          <w:bCs/>
          <w:color w:val="1F2430"/>
          <w:sz w:val="19"/>
          <w:szCs w:val="19"/>
          <w:rtl/>
        </w:rPr>
        <w:t>לא נכון</w:t>
      </w:r>
      <w:r>
        <w:rPr>
          <w:rFonts w:ascii="Arial" w:hAnsi="Arial" w:cs="Arial" w:eastAsia="Arial"/>
          <w:color w:val="1F2430"/>
          <w:sz w:val="19"/>
          <w:szCs w:val="19"/>
          <w:rtl/>
        </w:rPr>
        <w:t>; מדין תורה הם תופסים.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"קידושי ביאה אסורים ולכן אינם תופסים" – </w:t>
      </w:r>
      <w:r>
        <w:rPr>
          <w:rFonts w:ascii="Arial" w:hAnsi="Arial" w:cs="Arial" w:eastAsia="Arial"/>
          <w:b/>
          <w:bCs/>
          <w:color w:val="1F2430"/>
          <w:sz w:val="19"/>
          <w:szCs w:val="19"/>
          <w:rtl/>
        </w:rPr>
        <w:t>לא נכון</w:t>
      </w:r>
      <w:r>
        <w:rPr>
          <w:rFonts w:ascii="Arial" w:hAnsi="Arial" w:cs="Arial" w:eastAsia="Arial"/>
          <w:color w:val="1F2430"/>
          <w:sz w:val="19"/>
          <w:szCs w:val="19"/>
          <w:rtl/>
        </w:rPr>
        <w:t>; האיסור של חכמים, והקידושין תקפים.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"העדים רק מוכיחים שהיו קידושין" – </w:t>
      </w:r>
      <w:r>
        <w:rPr>
          <w:rFonts w:ascii="Arial" w:hAnsi="Arial" w:cs="Arial" w:eastAsia="Arial"/>
          <w:b/>
          <w:bCs/>
          <w:color w:val="1F2430"/>
          <w:sz w:val="19"/>
          <w:szCs w:val="19"/>
          <w:rtl/>
        </w:rPr>
        <w:t>לא נכון</w:t>
      </w:r>
      <w:r>
        <w:rPr>
          <w:rFonts w:ascii="Arial" w:hAnsi="Arial" w:cs="Arial" w:eastAsia="Arial"/>
          <w:color w:val="1F2430"/>
          <w:sz w:val="19"/>
          <w:szCs w:val="19"/>
          <w:rtl/>
        </w:rPr>
        <w:t xml:space="preserve">; הם </w:t>
      </w:r>
      <w:r>
        <w:rPr>
          <w:rFonts w:ascii="Arial" w:hAnsi="Arial" w:cs="Arial" w:eastAsia="Arial"/>
          <w:b/>
          <w:bCs/>
          <w:color w:val="1F2430"/>
          <w:sz w:val="19"/>
          <w:szCs w:val="19"/>
          <w:rtl/>
        </w:rPr>
        <w:t>עדי קיום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"כהן וגרושה – הקידושין לא תופסים" – </w:t>
      </w:r>
      <w:r>
        <w:rPr>
          <w:rFonts w:ascii="Arial" w:hAnsi="Arial" w:cs="Arial" w:eastAsia="Arial"/>
          <w:b/>
          <w:bCs/>
          <w:color w:val="1F2430"/>
          <w:sz w:val="19"/>
          <w:szCs w:val="19"/>
          <w:rtl/>
        </w:rPr>
        <w:t>לא נכון</w:t>
      </w:r>
      <w:r>
        <w:rPr>
          <w:rFonts w:ascii="Arial" w:hAnsi="Arial" w:cs="Arial" w:eastAsia="Arial"/>
          <w:color w:val="1F2430"/>
          <w:sz w:val="19"/>
          <w:szCs w:val="19"/>
          <w:rtl/>
        </w:rPr>
        <w:t>; אסור אך תקף, והילדים חללים ולא ממזרים.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"ממזר ויהודייה = כרת" – </w:t>
      </w:r>
      <w:r>
        <w:rPr>
          <w:rFonts w:ascii="Arial" w:hAnsi="Arial" w:cs="Arial" w:eastAsia="Arial"/>
          <w:b/>
          <w:bCs/>
          <w:color w:val="1F2430"/>
          <w:sz w:val="19"/>
          <w:szCs w:val="19"/>
          <w:rtl/>
        </w:rPr>
        <w:t>לא נכון</w:t>
      </w:r>
      <w:r>
        <w:rPr>
          <w:rFonts w:ascii="Arial" w:hAnsi="Arial" w:cs="Arial" w:eastAsia="Arial"/>
          <w:color w:val="1F2430"/>
          <w:sz w:val="19"/>
          <w:szCs w:val="19"/>
          <w:rtl/>
        </w:rPr>
        <w:t>; זה לאו, הקידושין תופסים והילדים ממזרים.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"היריון של קטינה = נסיבה מיוחדת" – </w:t>
      </w:r>
      <w:r>
        <w:rPr>
          <w:rFonts w:ascii="Arial" w:hAnsi="Arial" w:cs="Arial" w:eastAsia="Arial"/>
          <w:b/>
          <w:bCs/>
          <w:color w:val="1F2430"/>
          <w:sz w:val="19"/>
          <w:szCs w:val="19"/>
          <w:rtl/>
        </w:rPr>
        <w:t>לא נכון</w:t>
      </w:r>
      <w:r>
        <w:rPr>
          <w:rFonts w:ascii="Arial" w:hAnsi="Arial" w:cs="Arial" w:eastAsia="Arial"/>
          <w:color w:val="1F2430"/>
          <w:sz w:val="19"/>
          <w:szCs w:val="19"/>
          <w:rtl/>
        </w:rPr>
        <w:t xml:space="preserve"> אחרי התיקון; וההיתר ניתן בבית המשפט לענייני משפחה, לא בבית הדין.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"צו הורות קובע מי האם לעניין נישואין" – </w:t>
      </w:r>
      <w:r>
        <w:rPr>
          <w:rFonts w:ascii="Arial" w:hAnsi="Arial" w:cs="Arial" w:eastAsia="Arial"/>
          <w:b/>
          <w:bCs/>
          <w:color w:val="1F2430"/>
          <w:sz w:val="19"/>
          <w:szCs w:val="19"/>
          <w:rtl/>
        </w:rPr>
        <w:t>לא נכון</w:t>
      </w:r>
      <w:r>
        <w:rPr>
          <w:rFonts w:ascii="Arial" w:hAnsi="Arial" w:cs="Arial" w:eastAsia="Arial"/>
          <w:color w:val="1F2430"/>
          <w:sz w:val="19"/>
          <w:szCs w:val="19"/>
          <w:rtl/>
        </w:rPr>
        <w:t xml:space="preserve"> (סעיף 12(ב)).</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"נשוי שגר עם ידועה בציבור עובר ביגמיה" – </w:t>
      </w:r>
      <w:r>
        <w:rPr>
          <w:rFonts w:ascii="Arial" w:hAnsi="Arial" w:cs="Arial" w:eastAsia="Arial"/>
          <w:b/>
          <w:bCs/>
          <w:color w:val="1F2430"/>
          <w:sz w:val="19"/>
          <w:szCs w:val="19"/>
          <w:rtl/>
        </w:rPr>
        <w:t>לא נכון</w:t>
      </w:r>
      <w:r>
        <w:rPr>
          <w:rFonts w:ascii="Arial" w:hAnsi="Arial" w:cs="Arial" w:eastAsia="Arial"/>
          <w:color w:val="1F2430"/>
          <w:sz w:val="19"/>
          <w:szCs w:val="19"/>
          <w:rtl/>
        </w:rPr>
        <w:t xml:space="preserve"> (סעיף 176 עוסק בעריכת נישואין).</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סיכום הפרק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כושר + צורה</w:t>
            </w:r>
            <w:r>
              <w:rPr>
                <w:rFonts w:ascii="Arial" w:hAnsi="Arial" w:cs="Arial" w:eastAsia="Arial"/>
                <w:color w:val="1F2430"/>
                <w:sz w:val="18"/>
                <w:szCs w:val="18"/>
                <w:rtl/>
              </w:rPr>
              <w:t>. צורה מדין תורה: כסף / שטר / ביאה + כוונה + שני עדים כשרים (עדי קיום). תקנות תש"י הן תוספת שאינה מבטלת את דין התורה.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ספק קידושין: </w:t>
            </w:r>
            <w:r>
              <w:rPr>
                <w:rFonts w:ascii="Arial" w:hAnsi="Arial" w:cs="Arial" w:eastAsia="Arial"/>
                <w:b/>
                <w:bCs/>
                <w:color w:val="1F2430"/>
                <w:sz w:val="18"/>
                <w:szCs w:val="18"/>
                <w:rtl/>
              </w:rPr>
              <w:t>גט לחומרא</w:t>
            </w:r>
            <w:r>
              <w:rPr>
                <w:rFonts w:ascii="Arial" w:hAnsi="Arial" w:cs="Arial" w:eastAsia="Arial"/>
                <w:color w:val="1F2430"/>
                <w:sz w:val="18"/>
                <w:szCs w:val="18"/>
                <w:rtl/>
              </w:rPr>
              <w:t xml:space="preserve"> באיסור; </w:t>
            </w:r>
            <w:r>
              <w:rPr>
                <w:rFonts w:ascii="Arial" w:hAnsi="Arial" w:cs="Arial" w:eastAsia="Arial"/>
                <w:b/>
                <w:bCs/>
                <w:color w:val="1F2430"/>
                <w:sz w:val="18"/>
                <w:szCs w:val="18"/>
                <w:rtl/>
              </w:rPr>
              <w:t>"אין מוציאין ממון מספק"</w:t>
            </w:r>
            <w:r>
              <w:rPr>
                <w:rFonts w:ascii="Arial" w:hAnsi="Arial" w:cs="Arial" w:eastAsia="Arial"/>
                <w:color w:val="1F2430"/>
                <w:sz w:val="18"/>
                <w:szCs w:val="18"/>
                <w:rtl/>
              </w:rPr>
              <w:t xml:space="preserve"> בממון.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גיל: בהלכה 13 / 12 וחצי (תש"י: אישה 16); בחוק </w:t>
            </w:r>
            <w:r>
              <w:rPr>
                <w:rFonts w:ascii="Arial" w:hAnsi="Arial" w:cs="Arial" w:eastAsia="Arial"/>
                <w:b/>
                <w:bCs/>
                <w:color w:val="1F2430"/>
                <w:sz w:val="18"/>
                <w:szCs w:val="18"/>
                <w:rtl/>
              </w:rPr>
              <w:t>18</w:t>
            </w:r>
            <w:r>
              <w:rPr>
                <w:rFonts w:ascii="Arial" w:hAnsi="Arial" w:cs="Arial" w:eastAsia="Arial"/>
                <w:color w:val="1F2430"/>
                <w:sz w:val="18"/>
                <w:szCs w:val="18"/>
                <w:rtl/>
              </w:rPr>
              <w:t xml:space="preserve">; עבירה – שנתיים או קנס; היתר – בית המשפט לענייני משפחה, מגיל </w:t>
            </w:r>
            <w:r>
              <w:rPr>
                <w:rFonts w:ascii="Arial" w:hAnsi="Arial" w:cs="Arial" w:eastAsia="Arial"/>
                <w:b/>
                <w:bCs/>
                <w:color w:val="1F2430"/>
                <w:sz w:val="18"/>
                <w:szCs w:val="18"/>
                <w:rtl/>
              </w:rPr>
              <w:t>16</w:t>
            </w:r>
            <w:r>
              <w:rPr>
                <w:rFonts w:ascii="Arial" w:hAnsi="Arial" w:cs="Arial" w:eastAsia="Arial"/>
                <w:color w:val="1F2430"/>
                <w:sz w:val="18"/>
                <w:szCs w:val="18"/>
                <w:rtl/>
              </w:rPr>
              <w:t>, נסיבות מיוחדות (סעיף 5א).</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עריות / אשת איש</w:t>
            </w:r>
            <w:r>
              <w:rPr>
                <w:rFonts w:ascii="Arial" w:hAnsi="Arial" w:cs="Arial" w:eastAsia="Arial"/>
                <w:color w:val="1F2430"/>
                <w:sz w:val="18"/>
                <w:szCs w:val="18"/>
                <w:rtl/>
              </w:rPr>
              <w:t xml:space="preserve">: אין תוקף, אין גט, ממזרים. </w:t>
            </w:r>
            <w:r>
              <w:rPr>
                <w:rFonts w:ascii="Arial" w:hAnsi="Arial" w:cs="Arial" w:eastAsia="Arial"/>
                <w:b/>
                <w:bCs/>
                <w:color w:val="1F2430"/>
                <w:sz w:val="18"/>
                <w:szCs w:val="18"/>
                <w:rtl/>
              </w:rPr>
              <w:t>לאוין</w:t>
            </w:r>
            <w:r>
              <w:rPr>
                <w:rFonts w:ascii="Arial" w:hAnsi="Arial" w:cs="Arial" w:eastAsia="Arial"/>
                <w:color w:val="1F2430"/>
                <w:sz w:val="18"/>
                <w:szCs w:val="18"/>
                <w:rtl/>
              </w:rPr>
              <w:t xml:space="preserve"> (כהן וגרושה, ממזר ויהודייה): תופס, גט לחומרא, חללים / ממזרים.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אימוץ, תרומה ופונדקאות</w:t>
            </w:r>
            <w:r>
              <w:rPr>
                <w:rFonts w:ascii="Arial" w:hAnsi="Arial" w:cs="Arial" w:eastAsia="Arial"/>
                <w:color w:val="1F2430"/>
                <w:sz w:val="18"/>
                <w:szCs w:val="18"/>
                <w:rtl/>
              </w:rPr>
              <w:t>: מנגנוני רישום למניעת עריות; הפונדקאית – האם ההלכתית.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נישואין אזרחיים</w:t>
            </w:r>
            <w:r>
              <w:rPr>
                <w:rFonts w:ascii="Arial" w:hAnsi="Arial" w:cs="Arial" w:eastAsia="Arial"/>
                <w:color w:val="1F2430"/>
                <w:sz w:val="18"/>
                <w:szCs w:val="18"/>
                <w:rtl/>
              </w:rPr>
              <w:t xml:space="preserve">: מקלה (כשירי חיתון) מול מחמירה (פסולי חיתון, עולים); </w:t>
            </w:r>
            <w:r>
              <w:rPr>
                <w:rFonts w:ascii="Arial" w:hAnsi="Arial" w:cs="Arial" w:eastAsia="Arial"/>
                <w:b/>
                <w:bCs/>
                <w:color w:val="1F2430"/>
                <w:sz w:val="18"/>
                <w:szCs w:val="18"/>
                <w:rtl/>
              </w:rPr>
              <w:t>בני נח</w:t>
            </w:r>
            <w:r>
              <w:rPr>
                <w:rFonts w:ascii="Arial" w:hAnsi="Arial" w:cs="Arial" w:eastAsia="Arial"/>
                <w:color w:val="1F2430"/>
                <w:sz w:val="18"/>
                <w:szCs w:val="18"/>
                <w:rtl/>
              </w:rPr>
              <w:t xml:space="preserve"> – רובד "דרג ב'", גט מספק או פסק דין התרה.</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9C2F7E"/>
            <w:tcBorders>
              <w:top w:val="single" w:sz="4" w:space="0" w:color="9C2F7E"/>
              <w:left w:val="single" w:sz="4" w:space="0" w:color="9C2F7E"/>
              <w:bottom w:val="single" w:sz="4" w:space="0" w:color="9C2F7E"/>
              <w:right w:val="single" w:sz="4" w:space="0" w:color="9C2F7E"/>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8</w:t>
            </w:r>
          </w:p>
          <w:p>
            <w:pPr>
              <w:bidi/>
              <w:spacing w:before="0" w:after="0" w:line="264" w:lineRule="auto"/>
              <w:outlineLvl w:val="0"/>
            </w:pPr>
            <w:r>
              <w:rPr>
                <w:rFonts w:ascii="Arial" w:hAnsi="Arial" w:cs="Arial" w:eastAsia="Arial"/>
                <w:b/>
                <w:bCs/>
                <w:color w:val="FFFFFF"/>
                <w:sz w:val="42"/>
                <w:szCs w:val="42"/>
                <w:rtl/>
              </w:rPr>
              <w:t>נישואין פרטיים ונישואין אזרחיים – תוקפם והתרתם</w:t>
            </w:r>
          </w:p>
        </w:tc>
      </w:tr>
    </w:tbl>
    <w:p>
      <w:pPr>
        <w:bidi/>
        <w:spacing w:after="0" w:before="0" w:line="20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8.1 מבוא: שלוש דרכים "לעקוף" את סעיף 2</w:t>
      </w:r>
    </w:p>
    <w:p>
      <w:pPr>
        <w:bidi/>
        <w:spacing w:before="0" w:after="100" w:line="300" w:lineRule="auto"/>
        <w:jc w:val="both"/>
      </w:pPr>
      <w:r>
        <w:rPr>
          <w:rFonts w:ascii="Arial" w:hAnsi="Arial" w:cs="Arial" w:eastAsia="Arial"/>
          <w:color w:val="1F2430"/>
          <w:sz w:val="19"/>
          <w:szCs w:val="19"/>
          <w:rtl/>
        </w:rPr>
        <w:t xml:space="preserve">סעיף 2 לחוק שיפוט בתי דין רבניים קובע שנישואין וגירושין של יהודים </w:t>
      </w:r>
      <w:r>
        <w:rPr>
          <w:rFonts w:ascii="Arial" w:hAnsi="Arial" w:cs="Arial" w:eastAsia="Arial"/>
          <w:b/>
          <w:bCs/>
          <w:color w:val="1F2430"/>
          <w:sz w:val="19"/>
          <w:szCs w:val="19"/>
          <w:rtl/>
        </w:rPr>
        <w:t>בישראל</w:t>
      </w:r>
      <w:r>
        <w:rPr>
          <w:rFonts w:ascii="Arial" w:hAnsi="Arial" w:cs="Arial" w:eastAsia="Arial"/>
          <w:color w:val="1F2430"/>
          <w:sz w:val="19"/>
          <w:szCs w:val="19"/>
          <w:rtl/>
        </w:rPr>
        <w:t xml:space="preserve"> ייערכו לפי דין תורה. מי שאינו רוצה (או אינו יכול) להינשא דרך הרבנות בוחר באחד משלושה מסלולים חלופיים:</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1. </w:t>
      </w:r>
      <w:r>
        <w:tab/>
      </w:r>
      <w:r>
        <w:rPr>
          <w:rFonts w:ascii="Arial" w:hAnsi="Arial" w:cs="Arial" w:eastAsia="Arial"/>
          <w:b/>
          <w:bCs/>
          <w:color w:val="1F2430"/>
          <w:sz w:val="19"/>
          <w:szCs w:val="19"/>
          <w:rtl/>
        </w:rPr>
        <w:t>נישואין אזרחיים</w:t>
      </w:r>
      <w:r>
        <w:rPr>
          <w:rFonts w:ascii="Arial" w:hAnsi="Arial" w:cs="Arial" w:eastAsia="Arial"/>
          <w:color w:val="1F2430"/>
          <w:sz w:val="19"/>
          <w:szCs w:val="19"/>
          <w:rtl/>
        </w:rPr>
        <w:t xml:space="preserve"> – הדרך הנפוצה ביותר: באמצעות שליח (מקסיקו, פרגוואי), בנוכחות אישית (קפריסין, פראג) או בזום מול מדינת יוטה.</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2. </w:t>
      </w:r>
      <w:r>
        <w:tab/>
      </w:r>
      <w:r>
        <w:rPr>
          <w:rFonts w:ascii="Arial" w:hAnsi="Arial" w:cs="Arial" w:eastAsia="Arial"/>
          <w:b/>
          <w:bCs/>
          <w:color w:val="1F2430"/>
          <w:sz w:val="19"/>
          <w:szCs w:val="19"/>
          <w:rtl/>
        </w:rPr>
        <w:t>נישואין פרטיים</w:t>
      </w:r>
      <w:r>
        <w:rPr>
          <w:rFonts w:ascii="Arial" w:hAnsi="Arial" w:cs="Arial" w:eastAsia="Arial"/>
          <w:color w:val="1F2430"/>
          <w:sz w:val="19"/>
          <w:szCs w:val="19"/>
          <w:rtl/>
        </w:rPr>
        <w:t xml:space="preserve"> – טקס דתי ללא רבנות. המשפט הישראלי "לא אוהב" את המסלול הזה, בעיקר משום שבני הזוג אינם רשומים במרשם ולכן איש אינו יודע שהם נשואים.</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3. </w:t>
      </w:r>
      <w:r>
        <w:tab/>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 חיים משותפים ללא כל טקס.</w:t>
      </w:r>
    </w:p>
    <w:p>
      <w:pPr>
        <w:bidi/>
        <w:spacing w:before="0" w:after="100" w:line="300" w:lineRule="auto"/>
        <w:jc w:val="both"/>
      </w:pPr>
      <w:r>
        <w:rPr>
          <w:rFonts w:ascii="Arial" w:hAnsi="Arial" w:cs="Arial" w:eastAsia="Arial"/>
          <w:color w:val="1F2430"/>
          <w:sz w:val="19"/>
          <w:szCs w:val="19"/>
          <w:rtl/>
        </w:rPr>
        <w:t>בכל אחד מהמסלולים יש לשאול שלוש שאלות נפרדות, ואסור לערבב ביניהן:</w:t>
      </w:r>
    </w:p>
    <w:tbl>
      <w:tblPr>
        <w:tblW w:type="dxa" w:w="10206"/>
        <w:jc w:val="center"/>
        <w:tblLook w:firstColumn="1" w:firstRow="1" w:lastColumn="0" w:lastRow="0" w:noHBand="0" w:noVBand="1" w:val="04A0"/>
        <w:bidiVisual/>
        <w:tblLayout w:type="fixed"/>
      </w:tblPr>
      <w:tblGrid>
        <w:gridCol w:w="1831"/>
        <w:gridCol w:w="5233"/>
        <w:gridCol w:w="3140"/>
      </w:tblGrid>
      <w:tr>
        <w:trPr>
          <w:tblHeader/>
        </w:trPr>
        <w:tc>
          <w:tcPr>
            <w:tcW w:type="dxa" w:w="1832"/>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שאלה</w:t>
            </w:r>
          </w:p>
        </w:tc>
        <w:tc>
          <w:tcPr>
            <w:tcW w:type="dxa" w:w="5233"/>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בודקים</w:t>
            </w:r>
          </w:p>
        </w:tc>
        <w:tc>
          <w:tcPr>
            <w:tcW w:type="dxa" w:w="3140"/>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איפה בפרק</w:t>
            </w:r>
          </w:p>
        </w:tc>
      </w:tr>
      <w:tr>
        <w:trPr>
          <w:cantSplit/>
        </w:trPr>
        <w:tc>
          <w:tcPr>
            <w:tcW w:type="dxa" w:w="183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תוקף והתרה</w:t>
            </w:r>
          </w:p>
        </w:tc>
        <w:tc>
          <w:tcPr>
            <w:tcW w:type="dxa" w:w="523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נשואים? מי מפרק ואיך (גט / פסק דין)?</w:t>
            </w:r>
          </w:p>
        </w:tc>
        <w:tc>
          <w:tcPr>
            <w:tcW w:type="dxa" w:w="314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8.2–8.6</w:t>
            </w:r>
          </w:p>
        </w:tc>
      </w:tr>
      <w:tr>
        <w:trPr>
          <w:cantSplit/>
        </w:trPr>
        <w:tc>
          <w:tcPr>
            <w:tcW w:type="dxa" w:w="183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זכויות ממוניות</w:t>
            </w:r>
          </w:p>
        </w:tc>
        <w:tc>
          <w:tcPr>
            <w:tcW w:type="dxa" w:w="523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מזונות, רכוש</w:t>
            </w:r>
          </w:p>
        </w:tc>
        <w:tc>
          <w:tcPr>
            <w:tcW w:type="dxa" w:w="314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8.7–8.8</w:t>
            </w:r>
          </w:p>
        </w:tc>
      </w:tr>
      <w:tr>
        <w:trPr>
          <w:cantSplit/>
        </w:trPr>
        <w:tc>
          <w:tcPr>
            <w:tcW w:type="dxa" w:w="183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רישום במרשם</w:t>
            </w:r>
          </w:p>
        </w:tc>
        <w:tc>
          <w:tcPr>
            <w:tcW w:type="dxa" w:w="523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האם יירשמו כנשואים?</w:t>
            </w:r>
          </w:p>
        </w:tc>
        <w:tc>
          <w:tcPr>
            <w:tcW w:type="dxa" w:w="314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אזכור קצר; ההרחבה בפרק 9</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עיקרון־על לפרק</w:t>
            </w:r>
          </w:p>
          <w:p>
            <w:pPr>
              <w:bidi/>
              <w:spacing w:before="0" w:after="60" w:line="300" w:lineRule="auto"/>
              <w:jc w:val="both"/>
            </w:pPr>
            <w:r>
              <w:rPr>
                <w:rFonts w:ascii="Arial" w:hAnsi="Arial" w:cs="Arial" w:eastAsia="Arial"/>
                <w:color w:val="1F2430"/>
                <w:sz w:val="18"/>
                <w:szCs w:val="18"/>
                <w:rtl/>
              </w:rPr>
              <w:t>"אין קשר בין שאלת הסטטוס לבין שאלת החיובים" (ברק, הלכת פלונית). במבחן – פרקו כל אירוע לשלוש השאלות: תוקף/התרה, ממון, רישום. תשובה נכונה באחת אינה מכריעה את האחרות.</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8.2 נישואין פרטיים – מהם ומי עורך אותם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נישואין פרטיים</w:t>
            </w:r>
          </w:p>
          <w:p>
            <w:pPr>
              <w:bidi/>
              <w:spacing w:before="0" w:after="60" w:line="300" w:lineRule="auto"/>
              <w:jc w:val="both"/>
            </w:pPr>
            <w:r>
              <w:rPr>
                <w:rFonts w:ascii="Arial" w:hAnsi="Arial" w:cs="Arial" w:eastAsia="Arial"/>
                <w:color w:val="1F2430"/>
                <w:sz w:val="18"/>
                <w:szCs w:val="18"/>
                <w:rtl/>
              </w:rPr>
              <w:t xml:space="preserve">טקס נישואין (בדרך כלל דתי – טבעת, עדים, "הרי את מקודשת לי") שנערך </w:t>
            </w:r>
            <w:r>
              <w:rPr>
                <w:rFonts w:ascii="Arial" w:hAnsi="Arial" w:cs="Arial" w:eastAsia="Arial"/>
                <w:b/>
                <w:bCs/>
                <w:color w:val="1F2430"/>
                <w:sz w:val="18"/>
                <w:szCs w:val="18"/>
                <w:rtl/>
              </w:rPr>
              <w:t>בלי לעבור דרך רשות הנישואין הרשמית</w:t>
            </w:r>
            <w:r>
              <w:rPr>
                <w:rFonts w:ascii="Arial" w:hAnsi="Arial" w:cs="Arial" w:eastAsia="Arial"/>
                <w:color w:val="1F2430"/>
                <w:sz w:val="18"/>
                <w:szCs w:val="18"/>
                <w:rtl/>
              </w:rPr>
              <w:t xml:space="preserve"> (הרבנות), ולכן גם בלי רישום. מבחינה הלכתית טקס כזה </w:t>
            </w:r>
            <w:r>
              <w:rPr>
                <w:rFonts w:ascii="Arial" w:hAnsi="Arial" w:cs="Arial" w:eastAsia="Arial"/>
                <w:b/>
                <w:bCs/>
                <w:color w:val="1F2430"/>
                <w:sz w:val="18"/>
                <w:szCs w:val="18"/>
                <w:rtl/>
              </w:rPr>
              <w:t>עשוי לתפוס</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ביהדות נישאו אנשים באופן פרטי במשך דורות; רק סביב 1950 קבעה הרבנות שהנישואין בישראל יעברו דרכה. מי שנישא פרטית הוא בדרך כלל אדם דתי או מסורתי שאינו רוצה לחיות עם בן זוגו באיסור, אך אינו רוצה או אינו יכול להינשא ברבנות. הקבוצות העיקריות:</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קטינים</w:t>
      </w:r>
      <w:r>
        <w:rPr>
          <w:rFonts w:ascii="Arial" w:hAnsi="Arial" w:cs="Arial" w:eastAsia="Arial"/>
          <w:color w:val="1F2430"/>
          <w:sz w:val="19"/>
          <w:szCs w:val="19"/>
          <w:rtl/>
        </w:rPr>
        <w:t xml:space="preserve"> (מתחת לגיל הנישואין).</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רפורמים וקונסרבטיבים</w:t>
      </w:r>
      <w:r>
        <w:rPr>
          <w:rFonts w:ascii="Arial" w:hAnsi="Arial" w:cs="Arial" w:eastAsia="Arial"/>
          <w:color w:val="1F2430"/>
          <w:sz w:val="19"/>
          <w:szCs w:val="19"/>
          <w:rtl/>
        </w:rPr>
        <w:t xml:space="preserve"> – הרב שלהם אינו מוסמך כרושם נישואין, ולכן נישואיהם הם פרטיים.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פסולי חיתון</w:t>
      </w:r>
      <w:r>
        <w:rPr>
          <w:rFonts w:ascii="Arial" w:hAnsi="Arial" w:cs="Arial" w:eastAsia="Arial"/>
          <w:color w:val="1F2430"/>
          <w:sz w:val="19"/>
          <w:szCs w:val="19"/>
          <w:rtl/>
        </w:rPr>
        <w:t xml:space="preserve"> – למשל כהן וגרושה.</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מי שרוצים </w:t>
      </w:r>
      <w:r>
        <w:rPr>
          <w:rFonts w:ascii="Arial" w:hAnsi="Arial" w:cs="Arial" w:eastAsia="Arial"/>
          <w:b/>
          <w:bCs/>
          <w:color w:val="1F2430"/>
          <w:sz w:val="19"/>
          <w:szCs w:val="19"/>
          <w:rtl/>
        </w:rPr>
        <w:t>להישאר רשומים כיחידים</w:t>
      </w:r>
      <w:r>
        <w:rPr>
          <w:rFonts w:ascii="Arial" w:hAnsi="Arial" w:cs="Arial" w:eastAsia="Arial"/>
          <w:color w:val="1F2430"/>
          <w:sz w:val="19"/>
          <w:szCs w:val="19"/>
          <w:rtl/>
        </w:rPr>
        <w:t xml:space="preserve"> מול הרשויות (שיקולי מס שבח ורכישה, קצבאות, הטבות לחד־הוריים).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מי שרוצים </w:t>
      </w:r>
      <w:r>
        <w:rPr>
          <w:rFonts w:ascii="Arial" w:hAnsi="Arial" w:cs="Arial" w:eastAsia="Arial"/>
          <w:b/>
          <w:bCs/>
          <w:color w:val="1F2430"/>
          <w:sz w:val="19"/>
          <w:szCs w:val="19"/>
          <w:rtl/>
        </w:rPr>
        <w:t>להקל על הפרידה</w:t>
      </w:r>
      <w:r>
        <w:rPr>
          <w:rFonts w:ascii="Arial" w:hAnsi="Arial" w:cs="Arial" w:eastAsia="Arial"/>
          <w:color w:val="1F2430"/>
          <w:sz w:val="19"/>
          <w:szCs w:val="19"/>
          <w:rtl/>
        </w:rPr>
        <w:t xml:space="preserve"> בעתיד.</w:t>
      </w:r>
    </w:p>
    <w:p>
      <w:pPr>
        <w:bidi/>
        <w:spacing w:before="0" w:after="100" w:line="300" w:lineRule="auto"/>
        <w:jc w:val="both"/>
      </w:pPr>
      <w:r>
        <w:rPr>
          <w:rFonts w:ascii="Arial" w:hAnsi="Arial" w:cs="Arial" w:eastAsia="Arial"/>
          <w:color w:val="1F2430"/>
          <w:sz w:val="19"/>
          <w:szCs w:val="19"/>
          <w:rtl/>
        </w:rPr>
        <w:t xml:space="preserve">מי שנישא פרטית </w:t>
      </w:r>
      <w:r>
        <w:rPr>
          <w:rFonts w:ascii="Arial" w:hAnsi="Arial" w:cs="Arial" w:eastAsia="Arial"/>
          <w:b/>
          <w:bCs/>
          <w:color w:val="1F2430"/>
          <w:sz w:val="19"/>
          <w:szCs w:val="19"/>
          <w:rtl/>
        </w:rPr>
        <w:t>אינו נרשם</w:t>
      </w:r>
      <w:r>
        <w:rPr>
          <w:rFonts w:ascii="Arial" w:hAnsi="Arial" w:cs="Arial" w:eastAsia="Arial"/>
          <w:color w:val="1F2430"/>
          <w:sz w:val="19"/>
          <w:szCs w:val="19"/>
          <w:rtl/>
        </w:rPr>
        <w:t xml:space="preserve"> במרשם, משום שפקיד הרישום אינו מקבל הצהרות פרטיות. שינוי מצב אישי דורש אישור של גורם שלטוני: רשות מוסמכת, בית משפט או בית דין (פירוט – פרק 9).</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פקודת הנישואין והגירושין (רישום), סעיף 7</w:t>
            </w:r>
          </w:p>
          <w:p>
            <w:pPr>
              <w:bidi/>
              <w:spacing w:before="0" w:after="60" w:line="300" w:lineRule="auto"/>
              <w:jc w:val="both"/>
            </w:pPr>
            <w:r>
              <w:rPr>
                <w:rFonts w:ascii="Arial" w:hAnsi="Arial" w:cs="Arial" w:eastAsia="Arial"/>
                <w:color w:val="1F2430"/>
                <w:sz w:val="18"/>
                <w:szCs w:val="18"/>
                <w:rtl/>
              </w:rPr>
              <w:t>"כל שאינו דואג לרישום הנשואין או הגרושין שלו או לרישום הנישואין או הגירושין שהוא סידר לאחר, דינו – מאסר שנתיים."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הסעיף מבטא את רצון המדינה </w:t>
      </w:r>
      <w:r>
        <w:rPr>
          <w:rFonts w:ascii="Arial" w:hAnsi="Arial" w:cs="Arial" w:eastAsia="Arial"/>
          <w:b/>
          <w:bCs/>
          <w:color w:val="1F2430"/>
          <w:sz w:val="19"/>
          <w:szCs w:val="19"/>
          <w:rtl/>
        </w:rPr>
        <w:t>להילחם בנישואין פרטיים</w:t>
      </w:r>
      <w:r>
        <w:rPr>
          <w:rFonts w:ascii="Arial" w:hAnsi="Arial" w:cs="Arial" w:eastAsia="Arial"/>
          <w:color w:val="1F2430"/>
          <w:sz w:val="19"/>
          <w:szCs w:val="19"/>
          <w:rtl/>
        </w:rPr>
        <w:t xml:space="preserve">: העבירה חלה גם על </w:t>
      </w:r>
      <w:r>
        <w:rPr>
          <w:rFonts w:ascii="Arial" w:hAnsi="Arial" w:cs="Arial" w:eastAsia="Arial"/>
          <w:b/>
          <w:bCs/>
          <w:color w:val="1F2430"/>
          <w:sz w:val="19"/>
          <w:szCs w:val="19"/>
          <w:rtl/>
        </w:rPr>
        <w:t>מי שסידר</w:t>
      </w:r>
      <w:r>
        <w:rPr>
          <w:rFonts w:ascii="Arial" w:hAnsi="Arial" w:cs="Arial" w:eastAsia="Arial"/>
          <w:color w:val="1F2430"/>
          <w:sz w:val="19"/>
          <w:szCs w:val="19"/>
          <w:rtl/>
        </w:rPr>
        <w:t xml:space="preserve"> את הנישואין, ולא רק על בני הזוג. בפועל העבירה כמעט אינה נאכפת. (לצד זה, סעיף 2א לפקודה מאפשר להירשם לנישואין אצל כל רב שמונה כרושם נישואין, בלי קשר למקום המגורים.)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נישואין פרטיים – אסורים, אבל עשויים לתפוס</w:t>
            </w:r>
          </w:p>
          <w:p>
            <w:pPr>
              <w:bidi/>
              <w:spacing w:before="0" w:after="60" w:line="300" w:lineRule="auto"/>
              <w:jc w:val="both"/>
            </w:pPr>
            <w:r>
              <w:rPr>
                <w:rFonts w:ascii="Arial" w:hAnsi="Arial" w:cs="Arial" w:eastAsia="Arial"/>
                <w:color w:val="1F2430"/>
                <w:sz w:val="18"/>
                <w:szCs w:val="18"/>
                <w:rtl/>
              </w:rPr>
              <w:t>לפי הדין הישראלי נישואין פרטיים אסורים ואף מהווים עבירה פלילית. מבחינה הלכתית יכול להיות להם תוקף, לפחות לחומרא. לכן בדרך כלל יש לפרק אותם בגט (לעיתים גט מספק).</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450/70 רוגוזינסקי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שני זוגות של חברי קיבוץ ערכו טקס – שני עדים ואמירות "הרי את/ה" – וביקשו מבית המשפט המחוזי להצהיר על תוקף נישואיהם. המחוזי העביר את העניין לבית הדין הרבני. בערעור טענו שהם חסרי אמונה ואינם רואים עצמם יהודים.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המילה "יהודים" בחוק שיפוט בתי דין רבניים מתפרשת לפי </w:t>
            </w:r>
            <w:r>
              <w:rPr>
                <w:rFonts w:ascii="Arial" w:hAnsi="Arial" w:cs="Arial" w:eastAsia="Arial"/>
                <w:b/>
                <w:bCs/>
                <w:color w:val="1F2430"/>
                <w:sz w:val="18"/>
                <w:szCs w:val="18"/>
                <w:rtl/>
              </w:rPr>
              <w:t>המבחן ההלכתי</w:t>
            </w:r>
            <w:r>
              <w:rPr>
                <w:rFonts w:ascii="Arial" w:hAnsi="Arial" w:cs="Arial" w:eastAsia="Arial"/>
                <w:color w:val="1F2430"/>
                <w:sz w:val="18"/>
                <w:szCs w:val="18"/>
                <w:rtl/>
              </w:rPr>
              <w:t xml:space="preserve"> (אם יהודייה). אמונתם האישית של בני הזוג אינה משנה. התוקף של נישואיהם הוא עניין שבשיפוט הייחודי של בית הדין הרבני.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כשירי חיתון שנישאו פרטית אינם יכולים "לברוח" לערכאה האזרחית כדי שזו תכריע בתוקף נישואיהם.</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8.3 נישואין פרטיים של כשירי חיתון – "לא נעזור לכם"</w:t>
      </w:r>
    </w:p>
    <w:p>
      <w:pPr>
        <w:bidi/>
        <w:spacing w:before="0" w:after="100" w:line="300" w:lineRule="auto"/>
        <w:jc w:val="both"/>
      </w:pPr>
      <w:r>
        <w:rPr>
          <w:rFonts w:ascii="Arial" w:hAnsi="Arial" w:cs="Arial" w:eastAsia="Arial"/>
          <w:color w:val="1F2430"/>
          <w:sz w:val="19"/>
          <w:szCs w:val="19"/>
          <w:rtl/>
        </w:rPr>
        <w:t xml:space="preserve">כשבני הזוג </w:t>
      </w:r>
      <w:r>
        <w:rPr>
          <w:rFonts w:ascii="Arial" w:hAnsi="Arial" w:cs="Arial" w:eastAsia="Arial"/>
          <w:b/>
          <w:bCs/>
          <w:color w:val="1F2430"/>
          <w:sz w:val="19"/>
          <w:szCs w:val="19"/>
          <w:rtl/>
        </w:rPr>
        <w:t>יכלו</w:t>
      </w:r>
      <w:r>
        <w:rPr>
          <w:rFonts w:ascii="Arial" w:hAnsi="Arial" w:cs="Arial" w:eastAsia="Arial"/>
          <w:color w:val="1F2430"/>
          <w:sz w:val="19"/>
          <w:szCs w:val="19"/>
          <w:rtl/>
        </w:rPr>
        <w:t xml:space="preserve"> להינשא ברבנות ובחרו בכל זאת במסלול פרטי, המשפט משתמש </w:t>
      </w:r>
      <w:r>
        <w:rPr>
          <w:rFonts w:ascii="Arial" w:hAnsi="Arial" w:cs="Arial" w:eastAsia="Arial"/>
          <w:b/>
          <w:bCs/>
          <w:color w:val="1F2430"/>
          <w:sz w:val="19"/>
          <w:szCs w:val="19"/>
          <w:rtl/>
        </w:rPr>
        <w:t>בשלילת זכויות אזרחיות כאמצעי הרתעה</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32/81 צונן נ' שטל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נתין ותושב ארה"ב רצה להינשא בישראל. הרבנות סירבה לחתנו כי לא המציא אישור שהתגרש (גם דתית) מאשתו הקודמת. הוא ערך עם בת זוגו טקס יהודי פרטי מלא (שני עדים, טבעת). כעבור שנים היחסים עלו על שרטון, והאישה תבעה מזונות. הבעל טען שאינם נשואים ושלא התכוון להינשא באמת ("לא רציתי לאכזב את המוזמנים"). המחוזי קבע שהנישואין אינם יוצרים חיוב רגיל, אך חייב אותו במזונות מכוח </w:t>
            </w:r>
            <w:r>
              <w:rPr>
                <w:rFonts w:ascii="Arial" w:hAnsi="Arial" w:cs="Arial" w:eastAsia="Arial"/>
                <w:b/>
                <w:bCs/>
                <w:color w:val="1F2430"/>
                <w:sz w:val="18"/>
                <w:szCs w:val="18"/>
                <w:rtl/>
              </w:rPr>
              <w:t>הסכם משתמע</w:t>
            </w:r>
            <w:r>
              <w:rPr>
                <w:rFonts w:ascii="Arial" w:hAnsi="Arial" w:cs="Arial" w:eastAsia="Arial"/>
                <w:color w:val="1F2430"/>
                <w:sz w:val="18"/>
                <w:szCs w:val="18"/>
                <w:rtl/>
              </w:rPr>
              <w:t xml:space="preserve">.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(השופט אלון) קיבל את הערעור. נישואין פרטיים יוצרים </w:t>
            </w:r>
            <w:r>
              <w:rPr>
                <w:rFonts w:ascii="Arial" w:hAnsi="Arial" w:cs="Arial" w:eastAsia="Arial"/>
                <w:b/>
                <w:bCs/>
                <w:color w:val="1F2430"/>
                <w:sz w:val="18"/>
                <w:szCs w:val="18"/>
                <w:rtl/>
              </w:rPr>
              <w:t>"קידושין נסתרים"</w:t>
            </w:r>
            <w:r>
              <w:rPr>
                <w:rFonts w:ascii="Arial" w:hAnsi="Arial" w:cs="Arial" w:eastAsia="Arial"/>
                <w:color w:val="1F2430"/>
                <w:sz w:val="18"/>
                <w:szCs w:val="18"/>
                <w:rtl/>
              </w:rPr>
              <w:t xml:space="preserve"> ופוגעים </w:t>
            </w:r>
            <w:r>
              <w:rPr>
                <w:rFonts w:ascii="Arial" w:hAnsi="Arial" w:cs="Arial" w:eastAsia="Arial"/>
                <w:b/>
                <w:bCs/>
                <w:color w:val="1F2430"/>
                <w:sz w:val="18"/>
                <w:szCs w:val="18"/>
                <w:rtl/>
              </w:rPr>
              <w:t>בתקנת הציבור</w:t>
            </w:r>
            <w:r>
              <w:rPr>
                <w:rFonts w:ascii="Arial" w:hAnsi="Arial" w:cs="Arial" w:eastAsia="Arial"/>
                <w:color w:val="1F2430"/>
                <w:sz w:val="18"/>
                <w:szCs w:val="18"/>
                <w:rtl/>
              </w:rPr>
              <w:t xml:space="preserve">. אם אפשר להינשא פרטית ולקבל את כל זכויות הנשואים, אין לאיש תמריץ לעבור במערכת הרשמית. לכן אין מזונות, בלי להיכנס לשאלת תוקף הנישואין. השופט שמגר הוסיף שגמירות הדעת להתחייב קיימת רק אם יש נישואין, ולכן אין גם חוזה.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אצל כשירי חיתון שנישאו פרטית הנטייה היא </w:t>
            </w:r>
            <w:r>
              <w:rPr>
                <w:rFonts w:ascii="Arial" w:hAnsi="Arial" w:cs="Arial" w:eastAsia="Arial"/>
                <w:b/>
                <w:bCs/>
                <w:color w:val="1F2430"/>
                <w:sz w:val="18"/>
                <w:szCs w:val="18"/>
                <w:rtl/>
              </w:rPr>
              <w:t>לא לתת זכויות</w:t>
            </w:r>
            <w:r>
              <w:rPr>
                <w:rFonts w:ascii="Arial" w:hAnsi="Arial" w:cs="Arial" w:eastAsia="Arial"/>
                <w:color w:val="1F2430"/>
                <w:sz w:val="18"/>
                <w:szCs w:val="18"/>
                <w:rtl/>
              </w:rPr>
              <w:t xml:space="preserve"> ולא לרשום. גם בית הדין הרבני אינו אמור לעודד את המסלול.</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כשירי חיתון בנישואין פרטיים מול ידועים בציבור</w:t>
            </w:r>
          </w:p>
          <w:p>
            <w:pPr>
              <w:bidi/>
              <w:spacing w:before="0" w:after="60" w:line="300" w:lineRule="auto"/>
              <w:jc w:val="both"/>
            </w:pPr>
            <w:r>
              <w:rPr>
                <w:rFonts w:ascii="Arial" w:hAnsi="Arial" w:cs="Arial" w:eastAsia="Arial"/>
                <w:color w:val="1F2430"/>
                <w:sz w:val="18"/>
                <w:szCs w:val="18"/>
                <w:rtl/>
              </w:rPr>
              <w:t xml:space="preserve">לפי מה שנלמד בקורס, מצבם של כשירי חיתון שנישאו פרטית </w:t>
            </w:r>
            <w:r>
              <w:rPr>
                <w:rFonts w:ascii="Arial" w:hAnsi="Arial" w:cs="Arial" w:eastAsia="Arial"/>
                <w:b/>
                <w:bCs/>
                <w:color w:val="1F2430"/>
                <w:sz w:val="18"/>
                <w:szCs w:val="18"/>
                <w:rtl/>
              </w:rPr>
              <w:t>גרוע</w:t>
            </w:r>
            <w:r>
              <w:rPr>
                <w:rFonts w:ascii="Arial" w:hAnsi="Arial" w:cs="Arial" w:eastAsia="Arial"/>
                <w:color w:val="1F2430"/>
                <w:sz w:val="18"/>
                <w:szCs w:val="18"/>
                <w:rtl/>
              </w:rPr>
              <w:t xml:space="preserve"> ממצבם של ידועים בציבור. ידועים בציבור יכולים לקבל מזונות חוזיים, ואילו מי שנישא פרטית "גורם תקלה" (אשת איש שאינה רשומה, חשש ממזרות). המלצה מעשית: מי שנישא פרטית שיחתום על </w:t>
            </w:r>
            <w:r>
              <w:rPr>
                <w:rFonts w:ascii="Arial" w:hAnsi="Arial" w:cs="Arial" w:eastAsia="Arial"/>
                <w:b/>
                <w:bCs/>
                <w:color w:val="1F2430"/>
                <w:sz w:val="18"/>
                <w:szCs w:val="18"/>
                <w:rtl/>
              </w:rPr>
              <w:t>הסכם מפורש</w:t>
            </w:r>
            <w:r>
              <w:rPr>
                <w:rFonts w:ascii="Arial" w:hAnsi="Arial" w:cs="Arial" w:eastAsia="Arial"/>
                <w:color w:val="1F2430"/>
                <w:sz w:val="18"/>
                <w:szCs w:val="18"/>
                <w:rtl/>
              </w:rPr>
              <w:t>, אחרת לא יהיו לו זכויות.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בהלכת פלונית (8.7) הדגיש ברק שהמזונות החוזיים </w:t>
      </w:r>
      <w:r>
        <w:rPr>
          <w:rFonts w:ascii="Arial" w:hAnsi="Arial" w:cs="Arial" w:eastAsia="Arial"/>
          <w:b/>
          <w:bCs/>
          <w:color w:val="1F2430"/>
          <w:sz w:val="19"/>
          <w:szCs w:val="19"/>
          <w:rtl/>
        </w:rPr>
        <w:t>אינם חלים</w:t>
      </w:r>
      <w:r>
        <w:rPr>
          <w:rFonts w:ascii="Arial" w:hAnsi="Arial" w:cs="Arial" w:eastAsia="Arial"/>
          <w:color w:val="1F2430"/>
          <w:sz w:val="19"/>
          <w:szCs w:val="19"/>
          <w:rtl/>
        </w:rPr>
        <w:t xml:space="preserve"> על נישואין פרטיים של כשירי חיתון. כך גיבה את צונן והמשיך "להעניש" את מי שגורם תקלה ציבורית.</w:t>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המסלול של בית הדין הרבני "להלבנת" נישואין פרטיים</w:t>
      </w:r>
    </w:p>
    <w:p>
      <w:pPr>
        <w:bidi/>
        <w:spacing w:before="0" w:after="100" w:line="300" w:lineRule="auto"/>
        <w:jc w:val="both"/>
      </w:pPr>
      <w:r>
        <w:rPr>
          <w:rFonts w:ascii="Arial" w:hAnsi="Arial" w:cs="Arial" w:eastAsia="Arial"/>
          <w:color w:val="1F2430"/>
          <w:sz w:val="19"/>
          <w:szCs w:val="19"/>
          <w:rtl/>
        </w:rPr>
        <w:t xml:space="preserve">בתיק 1093889/1 (אזורי ירושלים, הרב לביא) ביקש זוג לאשר נישואין שנערכו ללא רישום. בית הדין קבע </w:t>
      </w:r>
      <w:r>
        <w:rPr>
          <w:rFonts w:ascii="Arial" w:hAnsi="Arial" w:cs="Arial" w:eastAsia="Arial"/>
          <w:b/>
          <w:bCs/>
          <w:color w:val="1F2430"/>
          <w:sz w:val="19"/>
          <w:szCs w:val="19"/>
          <w:rtl/>
        </w:rPr>
        <w:t>נוהל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המבקשים חייבים למסור את שם עורך הנישואין, שיצהיר שהיה ברור לו שבני הזוג פנויים ורשאים להינשא.</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עורך הנישואין נדרש להתחייב שלא יערוך עוד נישואין לבני זוג שלא נרשמו.</w:t>
      </w:r>
    </w:p>
    <w:p>
      <w:pPr>
        <w:bidi/>
        <w:spacing w:before="0" w:after="100" w:line="300" w:lineRule="auto"/>
        <w:jc w:val="both"/>
      </w:pPr>
      <w:r>
        <w:rPr>
          <w:rFonts w:ascii="Arial" w:hAnsi="Arial" w:cs="Arial" w:eastAsia="Arial"/>
          <w:color w:val="1F2430"/>
          <w:sz w:val="19"/>
          <w:szCs w:val="19"/>
          <w:rtl/>
        </w:rPr>
        <w:t>בתיק עצמו העורך סירב להתחייב. בית הדין קבע שהנישואין סודרו בידי אדם שאינו מוסמך, וש"התנהלות זו חסרת תום לב". הוא הורה לצדדים להסדיר נישואין כדמו"י דרך הרבנות ולרשום אותם ב</w:t>
      </w:r>
      <w:r>
        <w:rPr>
          <w:rFonts w:ascii="Arial" w:hAnsi="Arial" w:cs="Arial" w:eastAsia="Arial"/>
          <w:b/>
          <w:bCs/>
          <w:color w:val="1F2430"/>
          <w:sz w:val="19"/>
          <w:szCs w:val="19"/>
          <w:rtl/>
        </w:rPr>
        <w:t>רשימת מעוכבי הנישואין</w:t>
      </w:r>
      <w:r>
        <w:rPr>
          <w:rFonts w:ascii="Arial" w:hAnsi="Arial" w:cs="Arial" w:eastAsia="Arial"/>
          <w:color w:val="1F2430"/>
          <w:sz w:val="19"/>
          <w:szCs w:val="19"/>
          <w:rtl/>
        </w:rPr>
        <w:t xml:space="preserve"> (כך תידלק "נורה אדומה" אם ינסו להינשא לאחרים). </w:t>
      </w:r>
      <w:r>
        <w:rPr>
          <w:rFonts w:ascii="Arial" w:hAnsi="Arial" w:cs="Arial" w:eastAsia="Arial"/>
          <w:b/>
          <w:bCs/>
          <w:color w:val="1F2430"/>
          <w:sz w:val="19"/>
          <w:szCs w:val="19"/>
          <w:rtl/>
        </w:rPr>
        <w:t>בג"ץ 2102/18 פלוני נ' בית הדין הרבני הגדול</w:t>
      </w:r>
      <w:r>
        <w:rPr>
          <w:rFonts w:ascii="Arial" w:hAnsi="Arial" w:cs="Arial" w:eastAsia="Arial"/>
          <w:color w:val="1F2430"/>
          <w:sz w:val="19"/>
          <w:szCs w:val="19"/>
          <w:rtl/>
        </w:rPr>
        <w:t xml:space="preserve"> דחה את העתירה: בית הדין לא חרג מסמכותו, במיוחד כשהתעוררו "ספקות רציניים" בתוקף הטקס.</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8.4 נישואין פרטיים של פסולי חיתון – נישואין אסורים</w:t>
      </w:r>
    </w:p>
    <w:p>
      <w:pPr>
        <w:bidi/>
        <w:spacing w:before="0" w:after="100" w:line="300" w:lineRule="auto"/>
        <w:jc w:val="both"/>
      </w:pPr>
      <w:r>
        <w:rPr>
          <w:rFonts w:ascii="Arial" w:hAnsi="Arial" w:cs="Arial" w:eastAsia="Arial"/>
          <w:color w:val="1F2430"/>
          <w:sz w:val="19"/>
          <w:szCs w:val="19"/>
          <w:rtl/>
        </w:rPr>
        <w:t xml:space="preserve">תזכורת קצרה (ההרחבה בפרק 7): באיסורי </w:t>
      </w:r>
      <w:r>
        <w:rPr>
          <w:rFonts w:ascii="Arial" w:hAnsi="Arial" w:cs="Arial" w:eastAsia="Arial"/>
          <w:b/>
          <w:bCs/>
          <w:color w:val="1F2430"/>
          <w:sz w:val="19"/>
          <w:szCs w:val="19"/>
          <w:rtl/>
        </w:rPr>
        <w:t>כרת/מיתה</w:t>
      </w:r>
      <w:r>
        <w:rPr>
          <w:rFonts w:ascii="Arial" w:hAnsi="Arial" w:cs="Arial" w:eastAsia="Arial"/>
          <w:color w:val="1F2430"/>
          <w:sz w:val="19"/>
          <w:szCs w:val="19"/>
          <w:rtl/>
        </w:rPr>
        <w:t xml:space="preserve"> (עריות, אשת איש) הקידושין </w:t>
      </w:r>
      <w:r>
        <w:rPr>
          <w:rFonts w:ascii="Arial" w:hAnsi="Arial" w:cs="Arial" w:eastAsia="Arial"/>
          <w:b/>
          <w:bCs/>
          <w:color w:val="1F2430"/>
          <w:sz w:val="19"/>
          <w:szCs w:val="19"/>
          <w:rtl/>
        </w:rPr>
        <w:t>אינם תופסים</w:t>
      </w:r>
      <w:r>
        <w:rPr>
          <w:rFonts w:ascii="Arial" w:hAnsi="Arial" w:cs="Arial" w:eastAsia="Arial"/>
          <w:color w:val="1F2430"/>
          <w:sz w:val="19"/>
          <w:szCs w:val="19"/>
          <w:rtl/>
        </w:rPr>
        <w:t xml:space="preserve">. באיסורי </w:t>
      </w:r>
      <w:r>
        <w:rPr>
          <w:rFonts w:ascii="Arial" w:hAnsi="Arial" w:cs="Arial" w:eastAsia="Arial"/>
          <w:b/>
          <w:bCs/>
          <w:color w:val="1F2430"/>
          <w:sz w:val="19"/>
          <w:szCs w:val="19"/>
          <w:rtl/>
        </w:rPr>
        <w:t>לאוין</w:t>
      </w:r>
      <w:r>
        <w:rPr>
          <w:rFonts w:ascii="Arial" w:hAnsi="Arial" w:cs="Arial" w:eastAsia="Arial"/>
          <w:color w:val="1F2430"/>
          <w:sz w:val="19"/>
          <w:szCs w:val="19"/>
          <w:rtl/>
        </w:rPr>
        <w:t xml:space="preserve"> (כהן וגרושה, ממזר ויהודייה) הנישואין </w:t>
      </w:r>
      <w:r>
        <w:rPr>
          <w:rFonts w:ascii="Arial" w:hAnsi="Arial" w:cs="Arial" w:eastAsia="Arial"/>
          <w:b/>
          <w:bCs/>
          <w:color w:val="1F2430"/>
          <w:sz w:val="19"/>
          <w:szCs w:val="19"/>
          <w:rtl/>
        </w:rPr>
        <w:t>אסורים, אבל אם נערך טקס קידושין תקף הם תופסים לחומרא</w:t>
      </w:r>
      <w:r>
        <w:rPr>
          <w:rFonts w:ascii="Arial" w:hAnsi="Arial" w:cs="Arial" w:eastAsia="Arial"/>
          <w:color w:val="1F2430"/>
          <w:sz w:val="19"/>
          <w:szCs w:val="19"/>
          <w:rtl/>
        </w:rPr>
        <w:t xml:space="preserve"> ונדרש גט. הרבנות לא תחתן פסולי חיתון, ולכן הם נאלצים לבחור בין נישואין פרטיים, נישואין אזרחיים בחו"ל ומגורים כידועים בציבור. כאן בית המשפט </w:t>
      </w:r>
      <w:r>
        <w:rPr>
          <w:rFonts w:ascii="Arial" w:hAnsi="Arial" w:cs="Arial" w:eastAsia="Arial"/>
          <w:b/>
          <w:bCs/>
          <w:color w:val="1F2430"/>
          <w:sz w:val="19"/>
          <w:szCs w:val="19"/>
          <w:rtl/>
        </w:rPr>
        <w:t>מרגיש לא בנוח</w:t>
      </w:r>
      <w:r>
        <w:rPr>
          <w:rFonts w:ascii="Arial" w:hAnsi="Arial" w:cs="Arial" w:eastAsia="Arial"/>
          <w:color w:val="1F2430"/>
          <w:sz w:val="19"/>
          <w:szCs w:val="19"/>
          <w:rtl/>
        </w:rPr>
        <w:t xml:space="preserve"> לשלוח אותם לחו"ל, ולכן </w:t>
      </w:r>
      <w:r>
        <w:rPr>
          <w:rFonts w:ascii="Arial" w:hAnsi="Arial" w:cs="Arial" w:eastAsia="Arial"/>
          <w:b/>
          <w:bCs/>
          <w:color w:val="1F2430"/>
          <w:sz w:val="19"/>
          <w:szCs w:val="19"/>
          <w:rtl/>
        </w:rPr>
        <w:t>נוטה לעזור</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51/69 רודניצקי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רודניצקי, כהן (נודע מתעודת הנישואין של הוריו), ובת זוגו הגרושה, יהודים תושבי ישראל, ערכו טקס פרטי (טבעת, עדים). נולד להם ילד, שהוא חלל לפי ההלכה. הם ביקשו מבית הדין הרבני להצהיר על מעמדם. בית הדין כתב רק שיש </w:t>
            </w:r>
            <w:r>
              <w:rPr>
                <w:rFonts w:ascii="Arial" w:hAnsi="Arial" w:cs="Arial" w:eastAsia="Arial"/>
                <w:b/>
                <w:bCs/>
                <w:color w:val="1F2430"/>
                <w:sz w:val="18"/>
                <w:szCs w:val="18"/>
                <w:rtl/>
              </w:rPr>
              <w:t>"חששות"</w:t>
            </w:r>
            <w:r>
              <w:rPr>
                <w:rFonts w:ascii="Arial" w:hAnsi="Arial" w:cs="Arial" w:eastAsia="Arial"/>
                <w:color w:val="1F2430"/>
                <w:sz w:val="18"/>
                <w:szCs w:val="18"/>
                <w:rtl/>
              </w:rPr>
              <w:t xml:space="preserve">: אחת העדות אמרה שהטבעת ניתנה לפני אמירת נוסח הקידושין, והעדים לא היו שומרי שבת. הוא נמנע מלכתוב "נשואים מספק", שכן קביעה כזו הייתה מאפשרת רישום ופותחת פתח לכל מי שיבחר בטקס פרטי. גם בית הדין הגדול לא נתן הכרה ברורה. פקיד המרשם סירב לרשום: עם "נישואין מספק" היה רושם, עם "חששות" לא.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שאל אם האישה קרובה יותר לנשואה או לרווקה. הוא קבע שמחמת הספק בני הזוג </w:t>
            </w:r>
            <w:r>
              <w:rPr>
                <w:rFonts w:ascii="Arial" w:hAnsi="Arial" w:cs="Arial" w:eastAsia="Arial"/>
                <w:b/>
                <w:bCs/>
                <w:color w:val="1F2430"/>
                <w:sz w:val="18"/>
                <w:szCs w:val="18"/>
                <w:rtl/>
              </w:rPr>
              <w:t>אסורים להינשא לאחרים בלי גט פיטורין</w:t>
            </w:r>
            <w:r>
              <w:rPr>
                <w:rFonts w:ascii="Arial" w:hAnsi="Arial" w:cs="Arial" w:eastAsia="Arial"/>
                <w:color w:val="1F2430"/>
                <w:sz w:val="18"/>
                <w:szCs w:val="18"/>
                <w:rtl/>
              </w:rPr>
              <w:t xml:space="preserve">, ולכן הורה </w:t>
            </w:r>
            <w:r>
              <w:rPr>
                <w:rFonts w:ascii="Arial" w:hAnsi="Arial" w:cs="Arial" w:eastAsia="Arial"/>
                <w:b/>
                <w:bCs/>
                <w:color w:val="1F2430"/>
                <w:sz w:val="18"/>
                <w:szCs w:val="18"/>
                <w:rtl/>
              </w:rPr>
              <w:t>לרשום אותם כנשואים</w:t>
            </w:r>
            <w:r>
              <w:rPr>
                <w:rFonts w:ascii="Arial" w:hAnsi="Arial" w:cs="Arial" w:eastAsia="Arial"/>
                <w:color w:val="1F2430"/>
                <w:sz w:val="18"/>
                <w:szCs w:val="18"/>
                <w:rtl/>
              </w:rPr>
              <w:t xml:space="preserve">. בדבריו: "איזה פתרון הוא זה למחוקק הישראלי ולבית המשפט לשלוח את תושבי המדינה אל מחוץ לגבולותיה כדי שיבואו שם על תיקונם".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הדין המרכזי בנישואין פרטיים של פסולי חיתון. אצלם הנטייה היא לעזור ולרשום.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איך בג"ץ הכריע בשאלה שבשיפוט הייחודי של בית הדין? באמצעות </w:t>
      </w:r>
      <w:r>
        <w:rPr>
          <w:rFonts w:ascii="Arial" w:hAnsi="Arial" w:cs="Arial" w:eastAsia="Arial"/>
          <w:b/>
          <w:bCs/>
          <w:color w:val="1F2430"/>
          <w:sz w:val="19"/>
          <w:szCs w:val="19"/>
          <w:rtl/>
        </w:rPr>
        <w:t>סמכות נגררת</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בתי המשפט [נוסח משולב], סעיף 76</w:t>
            </w:r>
          </w:p>
          <w:p>
            <w:pPr>
              <w:bidi/>
              <w:spacing w:before="0" w:after="60" w:line="300" w:lineRule="auto"/>
              <w:jc w:val="both"/>
            </w:pPr>
            <w:r>
              <w:rPr>
                <w:rFonts w:ascii="Arial" w:hAnsi="Arial" w:cs="Arial" w:eastAsia="Arial"/>
                <w:color w:val="1F2430"/>
                <w:sz w:val="18"/>
                <w:szCs w:val="18"/>
                <w:rtl/>
              </w:rPr>
              <w:t>"הובא ענין כדין לפני בית משפט והתעוררה בו דרך אגב שאלה שהכרעתה דרושה לבירור הענין, רשאי בית המשפט להכריע בה לצורך אותו ענין אף אם הענין שבשאלה הוא בסמכותו הייחודית של בית משפט אחר או של בית דין אחר."</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ההכרעה טובה </w:t>
      </w:r>
      <w:r>
        <w:rPr>
          <w:rFonts w:ascii="Arial" w:hAnsi="Arial" w:cs="Arial" w:eastAsia="Arial"/>
          <w:b/>
          <w:bCs/>
          <w:color w:val="1F2430"/>
          <w:sz w:val="19"/>
          <w:szCs w:val="19"/>
          <w:rtl/>
        </w:rPr>
        <w:t>רק לאותו עניין</w:t>
      </w:r>
      <w:r>
        <w:rPr>
          <w:rFonts w:ascii="Arial" w:hAnsi="Arial" w:cs="Arial" w:eastAsia="Arial"/>
          <w:color w:val="1F2430"/>
          <w:sz w:val="19"/>
          <w:szCs w:val="19"/>
          <w:rtl/>
        </w:rPr>
        <w:t xml:space="preserve"> (כאן – הרישום). אם בני הזוג יגיעו בעתיד לבית הדין הרבני, הוא אינו כבול לקביעת בג"ץ בשאלת תוקף הנישואין.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גורפינקל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כהן שנישא פרטית לגרושה פנה ישירות למשרד הפנים עם תצהירי עדים ותמונות מהחתונה. הפקיד סירב לקבל מסמכים פרטיים ודרש החלטה של בית משפט או בית דין.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הפנה אותו </w:t>
            </w:r>
            <w:r>
              <w:rPr>
                <w:rFonts w:ascii="Arial" w:hAnsi="Arial" w:cs="Arial" w:eastAsia="Arial"/>
                <w:b/>
                <w:bCs/>
                <w:color w:val="1F2430"/>
                <w:sz w:val="18"/>
                <w:szCs w:val="18"/>
                <w:rtl/>
              </w:rPr>
              <w:t>קודם לבית הדין הרבני</w:t>
            </w:r>
            <w:r>
              <w:rPr>
                <w:rFonts w:ascii="Arial" w:hAnsi="Arial" w:cs="Arial" w:eastAsia="Arial"/>
                <w:color w:val="1F2430"/>
                <w:sz w:val="18"/>
                <w:szCs w:val="18"/>
                <w:rtl/>
              </w:rPr>
              <w:t xml:space="preserve">; רק אם יסרב יוכל לחזור לבג"ץ.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חובת מיצוי הליכים. בג"ץ מתערב כמפקח על הרישום, לא כתחליף לבית הדין.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640/82 כהן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כהן וגרושה ערכו טקס פרטי וחתמו על הסכם לחיי משפחה. הם ביקשו לאשרו כהסכם ממון לפי חוק יחסי ממון (שחל על בני זוג נשואים). בית המשפט סירב, כי בתעודות הזהות הוא רשום רווק והיא גרושה. בזמן הערעור פנו לבית הדין הרבני. בית הדין הגדול קבע שלא יוכלו להינשא לאחרים בלי </w:t>
            </w:r>
            <w:r>
              <w:rPr>
                <w:rFonts w:ascii="Arial" w:hAnsi="Arial" w:cs="Arial" w:eastAsia="Arial"/>
                <w:b/>
                <w:bCs/>
                <w:color w:val="1F2430"/>
                <w:sz w:val="18"/>
                <w:szCs w:val="18"/>
                <w:rtl/>
              </w:rPr>
              <w:t>גט מספק או מחומרא</w:t>
            </w:r>
            <w:r>
              <w:rPr>
                <w:rFonts w:ascii="Arial" w:hAnsi="Arial" w:cs="Arial" w:eastAsia="Arial"/>
                <w:color w:val="1F2430"/>
                <w:sz w:val="18"/>
                <w:szCs w:val="18"/>
                <w:rtl/>
              </w:rPr>
              <w:t xml:space="preserve">, ועם קביעה זו שבו לעליון.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(השופט ברק) הכיר בזכויותיהם הממוניות. הם אולי אינם "נשואים מושלמים", אך הם </w:t>
            </w:r>
            <w:r>
              <w:rPr>
                <w:rFonts w:ascii="Arial" w:hAnsi="Arial" w:cs="Arial" w:eastAsia="Arial"/>
                <w:b/>
                <w:bCs/>
                <w:color w:val="1F2430"/>
                <w:sz w:val="18"/>
                <w:szCs w:val="18"/>
                <w:rtl/>
              </w:rPr>
              <w:t>"יותר נשואים מרווקים"</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פסולי חיתון שנישאו פרטית עשויים לקבל זכויות ממוניות.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373/72 טפר</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יהודי ונוצרייה שהכיר בקיבוץ ערכו ביניהם טקס יהודי פרטי. הם ביקשו מהמחוזי (לא מבית הדין, כי מדובר בזוג מעורב) להצהיר שהם נשואים, בטענה שגם הם "פסולי חיתון" כמו רודניצקי.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התביעה נדחתה. ברודניצקי היה סיכוי שהנישואין תופסים לפחות מספק, ולכן הם "קרובים לנשואים". בנישואי יהודי ונוצרייה הקידושין </w:t>
            </w:r>
            <w:r>
              <w:rPr>
                <w:rFonts w:ascii="Arial" w:hAnsi="Arial" w:cs="Arial" w:eastAsia="Arial"/>
                <w:b/>
                <w:bCs/>
                <w:color w:val="1F2430"/>
                <w:sz w:val="18"/>
                <w:szCs w:val="18"/>
                <w:rtl/>
              </w:rPr>
              <w:t>אינם תופסים כלל</w:t>
            </w:r>
            <w:r>
              <w:rPr>
                <w:rFonts w:ascii="Arial" w:hAnsi="Arial" w:cs="Arial" w:eastAsia="Arial"/>
                <w:color w:val="1F2430"/>
                <w:sz w:val="18"/>
                <w:szCs w:val="18"/>
                <w:rtl/>
              </w:rPr>
              <w:t xml:space="preserve"> לפי הדין היהודי, ולטקס אין משמעות.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העזרה לפסולי חיתון נשענת על </w:t>
            </w:r>
            <w:r>
              <w:rPr>
                <w:rFonts w:ascii="Arial" w:hAnsi="Arial" w:cs="Arial" w:eastAsia="Arial"/>
                <w:b/>
                <w:bCs/>
                <w:color w:val="1F2430"/>
                <w:sz w:val="18"/>
                <w:szCs w:val="18"/>
                <w:rtl/>
              </w:rPr>
              <w:t>סיכוי לתוקף דתי</w:t>
            </w:r>
            <w:r>
              <w:rPr>
                <w:rFonts w:ascii="Arial" w:hAnsi="Arial" w:cs="Arial" w:eastAsia="Arial"/>
                <w:color w:val="1F2430"/>
                <w:sz w:val="18"/>
                <w:szCs w:val="18"/>
                <w:rtl/>
              </w:rPr>
              <w:t xml:space="preserve">. זוג מעורב שנישא פרטית </w:t>
            </w:r>
            <w:r>
              <w:rPr>
                <w:rFonts w:ascii="Arial" w:hAnsi="Arial" w:cs="Arial" w:eastAsia="Arial"/>
                <w:b/>
                <w:bCs/>
                <w:color w:val="1F2430"/>
                <w:sz w:val="18"/>
                <w:szCs w:val="18"/>
                <w:rtl/>
              </w:rPr>
              <w:t>לא יירשם</w:t>
            </w:r>
            <w:r>
              <w:rPr>
                <w:rFonts w:ascii="Arial" w:hAnsi="Arial" w:cs="Arial" w:eastAsia="Arial"/>
                <w:color w:val="1F2430"/>
                <w:sz w:val="18"/>
                <w:szCs w:val="18"/>
                <w:rtl/>
              </w:rPr>
              <w:t>. הם יכולים להינשא אזרחית בחו"ל או לחיות כידועים בציבור.</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3100"/>
        <w:gridCol w:w="2583"/>
        <w:gridCol w:w="4521"/>
      </w:tblGrid>
      <w:tr>
        <w:trPr>
          <w:tblHeader/>
        </w:trPr>
        <w:tc>
          <w:tcPr>
            <w:tcW w:type="dxa" w:w="3100"/>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p>
        </w:tc>
        <w:tc>
          <w:tcPr>
            <w:tcW w:type="dxa" w:w="2583"/>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כשירי חיתון – פרטיים</w:t>
            </w:r>
          </w:p>
        </w:tc>
        <w:tc>
          <w:tcPr>
            <w:tcW w:type="dxa" w:w="4521"/>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פסולי חיתון – פרטיים</w:t>
            </w:r>
          </w:p>
        </w:tc>
      </w:tr>
      <w:tr>
        <w:trPr>
          <w:cantSplit/>
        </w:trPr>
        <w:tc>
          <w:tcPr>
            <w:tcW w:type="dxa" w:w="31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גט</w:t>
            </w:r>
          </w:p>
        </w:tc>
        <w:tc>
          <w:tcPr>
            <w:tcW w:type="dxa" w:w="258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ייתכן גט מספק</w:t>
            </w:r>
          </w:p>
        </w:tc>
        <w:tc>
          <w:tcPr>
            <w:tcW w:type="dxa" w:w="452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גט מספק</w:t>
            </w:r>
          </w:p>
        </w:tc>
      </w:tr>
      <w:tr>
        <w:trPr>
          <w:cantSplit/>
        </w:trPr>
        <w:tc>
          <w:tcPr>
            <w:tcW w:type="dxa" w:w="31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מזונות בבית הדין</w:t>
            </w:r>
          </w:p>
        </w:tc>
        <w:tc>
          <w:tcPr>
            <w:tcW w:type="dxa" w:w="258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בדרך כלל אין</w:t>
            </w:r>
          </w:p>
        </w:tc>
        <w:tc>
          <w:tcPr>
            <w:tcW w:type="dxa" w:w="452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בדרך כלל אין (לא מוציאים ממון מספק)</w:t>
            </w:r>
          </w:p>
        </w:tc>
      </w:tr>
      <w:tr>
        <w:trPr>
          <w:cantSplit/>
        </w:trPr>
        <w:tc>
          <w:tcPr>
            <w:tcW w:type="dxa" w:w="31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זכויות בבית המשפט האזרחי</w:t>
            </w:r>
          </w:p>
        </w:tc>
        <w:tc>
          <w:tcPr>
            <w:tcW w:type="dxa" w:w="258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נטייה שלא לתת (צונן)</w:t>
            </w:r>
          </w:p>
        </w:tc>
        <w:tc>
          <w:tcPr>
            <w:tcW w:type="dxa" w:w="452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נטייה לתת (כהן 640/82)</w:t>
            </w:r>
          </w:p>
        </w:tc>
      </w:tr>
      <w:tr>
        <w:trPr>
          <w:cantSplit/>
        </w:trPr>
        <w:tc>
          <w:tcPr>
            <w:tcW w:type="dxa" w:w="31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רישום</w:t>
            </w:r>
          </w:p>
        </w:tc>
        <w:tc>
          <w:tcPr>
            <w:tcW w:type="dxa" w:w="2583"/>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בדרך כלל לא</w:t>
            </w:r>
          </w:p>
        </w:tc>
        <w:tc>
          <w:tcPr>
            <w:tcW w:type="dxa" w:w="452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ניתן לרשום (רודניצקי)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מעמד הילד</w:t>
            </w:r>
          </w:p>
          <w:p>
            <w:pPr>
              <w:bidi/>
              <w:spacing w:before="0" w:after="60" w:line="300" w:lineRule="auto"/>
              <w:jc w:val="both"/>
            </w:pPr>
            <w:r>
              <w:rPr>
                <w:rFonts w:ascii="Arial" w:hAnsi="Arial" w:cs="Arial" w:eastAsia="Arial"/>
                <w:color w:val="1F2430"/>
                <w:sz w:val="18"/>
                <w:szCs w:val="18"/>
                <w:rtl/>
              </w:rPr>
              <w:t xml:space="preserve">מעמד הילד נקבע לפי </w:t>
            </w:r>
            <w:r>
              <w:rPr>
                <w:rFonts w:ascii="Arial" w:hAnsi="Arial" w:cs="Arial" w:eastAsia="Arial"/>
                <w:b/>
                <w:bCs/>
                <w:color w:val="1F2430"/>
                <w:sz w:val="18"/>
                <w:szCs w:val="18"/>
                <w:rtl/>
              </w:rPr>
              <w:t>המעמד ההלכתי של ההורים</w:t>
            </w:r>
            <w:r>
              <w:rPr>
                <w:rFonts w:ascii="Arial" w:hAnsi="Arial" w:cs="Arial" w:eastAsia="Arial"/>
                <w:color w:val="1F2430"/>
                <w:sz w:val="18"/>
                <w:szCs w:val="18"/>
                <w:rtl/>
              </w:rPr>
              <w:t>, לא לפי צורת הטקס. ילד של כהן וגרושה הוא חלל בגלל זהות הוריו, לא משום שנישאו פרטית.</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8.5 נישואין אזרחיים – המעמד בדין האזרחי</w:t>
      </w:r>
    </w:p>
    <w:p>
      <w:pPr>
        <w:bidi/>
        <w:spacing w:before="0" w:after="100" w:line="300" w:lineRule="auto"/>
        <w:jc w:val="both"/>
      </w:pPr>
      <w:r>
        <w:rPr>
          <w:rFonts w:ascii="Arial" w:hAnsi="Arial" w:cs="Arial" w:eastAsia="Arial"/>
          <w:color w:val="1F2430"/>
          <w:sz w:val="19"/>
          <w:szCs w:val="19"/>
          <w:rtl/>
        </w:rPr>
        <w:t xml:space="preserve">המשפט מעדיף את הנישואין האזרחיים על פני הפרטיים, משום שהם </w:t>
      </w:r>
      <w:r>
        <w:rPr>
          <w:rFonts w:ascii="Arial" w:hAnsi="Arial" w:cs="Arial" w:eastAsia="Arial"/>
          <w:b/>
          <w:bCs/>
          <w:color w:val="1F2430"/>
          <w:sz w:val="19"/>
          <w:szCs w:val="19"/>
          <w:rtl/>
        </w:rPr>
        <w:t>מתועדים</w:t>
      </w:r>
      <w:r>
        <w:rPr>
          <w:rFonts w:ascii="Arial" w:hAnsi="Arial" w:cs="Arial" w:eastAsia="Arial"/>
          <w:color w:val="1F2430"/>
          <w:sz w:val="19"/>
          <w:szCs w:val="19"/>
          <w:rtl/>
        </w:rPr>
        <w:t xml:space="preserve">: בני הזוג מקבלים תעודה רשמית ממדינה זרה ונרשמים במרשם (פונק שלזינגר, בן ארי, בריל – פרק 9). כשירצו להיפרד יצטרכו לפנות לערכאה, וכולם ידעו שהם מתגרשים. מול הרשויות (ביטוח לאומי, מס הכנסה) הם נשואים לכל דבר. כדאי לזכור גם שסעיף 2 לחוק השיפוט מתייחס לנישואין שנערכים </w:t>
      </w:r>
      <w:r>
        <w:rPr>
          <w:rFonts w:ascii="Arial" w:hAnsi="Arial" w:cs="Arial" w:eastAsia="Arial"/>
          <w:b/>
          <w:bCs/>
          <w:color w:val="1F2430"/>
          <w:sz w:val="19"/>
          <w:szCs w:val="19"/>
          <w:rtl/>
        </w:rPr>
        <w:t>בישראל</w:t>
      </w:r>
      <w:r>
        <w:rPr>
          <w:rFonts w:ascii="Arial" w:hAnsi="Arial" w:cs="Arial" w:eastAsia="Arial"/>
          <w:color w:val="1F2430"/>
          <w:sz w:val="19"/>
          <w:szCs w:val="19"/>
          <w:rtl/>
        </w:rPr>
        <w:t>, ולכן נישואין שנערכו בחו"ל יצרו לאורך השנים מסלול רישום והכרה שונה.</w:t>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נישואין אזרחיים בעיני הדין הדתי – תזכורת (פרק 7)</w:t>
      </w:r>
    </w:p>
    <w:p>
      <w:pPr>
        <w:bidi/>
        <w:spacing w:before="0" w:after="100" w:line="300" w:lineRule="auto"/>
        <w:jc w:val="both"/>
      </w:pPr>
      <w:r>
        <w:rPr>
          <w:rFonts w:ascii="Arial" w:hAnsi="Arial" w:cs="Arial" w:eastAsia="Arial"/>
          <w:color w:val="1F2430"/>
          <w:sz w:val="19"/>
          <w:szCs w:val="19"/>
          <w:rtl/>
        </w:rPr>
        <w:t xml:space="preserve">הטקס האזרחי עצמו אינו מקדש. </w:t>
      </w:r>
      <w:r>
        <w:rPr>
          <w:rFonts w:ascii="Arial" w:hAnsi="Arial" w:cs="Arial" w:eastAsia="Arial"/>
          <w:b/>
          <w:bCs/>
          <w:color w:val="1F2430"/>
          <w:sz w:val="19"/>
          <w:szCs w:val="19"/>
          <w:rtl/>
        </w:rPr>
        <w:t>הספק נוצר מחיי האישות שאחריו</w:t>
      </w:r>
      <w:r>
        <w:rPr>
          <w:rFonts w:ascii="Arial" w:hAnsi="Arial" w:cs="Arial" w:eastAsia="Arial"/>
          <w:color w:val="1F2430"/>
          <w:sz w:val="19"/>
          <w:szCs w:val="19"/>
          <w:rtl/>
        </w:rPr>
        <w:t xml:space="preserve"> (ביאה היא אחת משלוש דרכי הקידושין, וחלה החזקה "אין אדם עושה בעילתו בעילת זנות"):</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הדעה המקלה</w:t>
      </w:r>
      <w:r>
        <w:rPr>
          <w:rFonts w:ascii="Arial" w:hAnsi="Arial" w:cs="Arial" w:eastAsia="Arial"/>
          <w:color w:val="1F2430"/>
          <w:sz w:val="19"/>
          <w:szCs w:val="19"/>
          <w:rtl/>
        </w:rPr>
        <w:t xml:space="preserve"> (המרכזית): אין תוקף דתי. מקובלת במיוחד אצל </w:t>
      </w:r>
      <w:r>
        <w:rPr>
          <w:rFonts w:ascii="Arial" w:hAnsi="Arial" w:cs="Arial" w:eastAsia="Arial"/>
          <w:b/>
          <w:bCs/>
          <w:color w:val="1F2430"/>
          <w:sz w:val="19"/>
          <w:szCs w:val="19"/>
          <w:rtl/>
        </w:rPr>
        <w:t>כשירי חיתון</w:t>
      </w:r>
      <w:r>
        <w:rPr>
          <w:rFonts w:ascii="Arial" w:hAnsi="Arial" w:cs="Arial" w:eastAsia="Arial"/>
          <w:color w:val="1F2430"/>
          <w:sz w:val="19"/>
          <w:szCs w:val="19"/>
          <w:rtl/>
        </w:rPr>
        <w:t>, שהרי אילו רצו להינשא כדמו"י היו פונים לרבנות.</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הדעה המחמירה</w:t>
      </w:r>
      <w:r>
        <w:rPr>
          <w:rFonts w:ascii="Arial" w:hAnsi="Arial" w:cs="Arial" w:eastAsia="Arial"/>
          <w:color w:val="1F2430"/>
          <w:sz w:val="19"/>
          <w:szCs w:val="19"/>
          <w:rtl/>
        </w:rPr>
        <w:t xml:space="preserve">: נשואים מספק. נוטים אליה אצל </w:t>
      </w:r>
      <w:r>
        <w:rPr>
          <w:rFonts w:ascii="Arial" w:hAnsi="Arial" w:cs="Arial" w:eastAsia="Arial"/>
          <w:b/>
          <w:bCs/>
          <w:color w:val="1F2430"/>
          <w:sz w:val="19"/>
          <w:szCs w:val="19"/>
          <w:rtl/>
        </w:rPr>
        <w:t>פסולי חיתון</w:t>
      </w:r>
      <w:r>
        <w:rPr>
          <w:rFonts w:ascii="Arial" w:hAnsi="Arial" w:cs="Arial" w:eastAsia="Arial"/>
          <w:color w:val="1F2430"/>
          <w:sz w:val="19"/>
          <w:szCs w:val="19"/>
          <w:rtl/>
        </w:rPr>
        <w:t xml:space="preserve"> (הם רצו נישואין דתיים ולא אפשרו להם) ואצל </w:t>
      </w:r>
      <w:r>
        <w:rPr>
          <w:rFonts w:ascii="Arial" w:hAnsi="Arial" w:cs="Arial" w:eastAsia="Arial"/>
          <w:b/>
          <w:bCs/>
          <w:color w:val="1F2430"/>
          <w:sz w:val="19"/>
          <w:szCs w:val="19"/>
          <w:rtl/>
        </w:rPr>
        <w:t>עולים שנישאו אזרחית בארצות מוצאם</w:t>
      </w:r>
      <w:r>
        <w:rPr>
          <w:rFonts w:ascii="Arial" w:hAnsi="Arial" w:cs="Arial" w:eastAsia="Arial"/>
          <w:color w:val="1F2430"/>
          <w:sz w:val="19"/>
          <w:szCs w:val="19"/>
          <w:rtl/>
        </w:rPr>
        <w:t xml:space="preserve"> (שם זו הייתה הדרך המקובלת).</w:t>
      </w:r>
    </w:p>
    <w:p>
      <w:pPr>
        <w:bidi/>
        <w:spacing w:before="0" w:after="100" w:line="300" w:lineRule="auto"/>
        <w:jc w:val="both"/>
      </w:pPr>
      <w:r>
        <w:rPr>
          <w:rFonts w:ascii="Arial" w:hAnsi="Arial" w:cs="Arial" w:eastAsia="Arial"/>
          <w:color w:val="1F2430"/>
          <w:sz w:val="19"/>
          <w:szCs w:val="19"/>
          <w:rtl/>
        </w:rPr>
        <w:t xml:space="preserve">לקביעת "גט מספק" יש השלכות כבדות: חשש </w:t>
      </w:r>
      <w:r>
        <w:rPr>
          <w:rFonts w:ascii="Arial" w:hAnsi="Arial" w:cs="Arial" w:eastAsia="Arial"/>
          <w:b/>
          <w:bCs/>
          <w:color w:val="1F2430"/>
          <w:sz w:val="19"/>
          <w:szCs w:val="19"/>
          <w:rtl/>
        </w:rPr>
        <w:t>ביגמיה</w:t>
      </w:r>
      <w:r>
        <w:rPr>
          <w:rFonts w:ascii="Arial" w:hAnsi="Arial" w:cs="Arial" w:eastAsia="Arial"/>
          <w:color w:val="1F2430"/>
          <w:sz w:val="19"/>
          <w:szCs w:val="19"/>
          <w:rtl/>
        </w:rPr>
        <w:t xml:space="preserve">, </w:t>
      </w:r>
      <w:r>
        <w:rPr>
          <w:rFonts w:ascii="Arial" w:hAnsi="Arial" w:cs="Arial" w:eastAsia="Arial"/>
          <w:b/>
          <w:bCs/>
          <w:color w:val="1F2430"/>
          <w:sz w:val="19"/>
          <w:szCs w:val="19"/>
          <w:rtl/>
        </w:rPr>
        <w:t>ממזרות</w:t>
      </w:r>
      <w:r>
        <w:rPr>
          <w:rFonts w:ascii="Arial" w:hAnsi="Arial" w:cs="Arial" w:eastAsia="Arial"/>
          <w:color w:val="1F2430"/>
          <w:sz w:val="19"/>
          <w:szCs w:val="19"/>
          <w:rtl/>
        </w:rPr>
        <w:t xml:space="preserve"> ו</w:t>
      </w:r>
      <w:r>
        <w:rPr>
          <w:rFonts w:ascii="Arial" w:hAnsi="Arial" w:cs="Arial" w:eastAsia="Arial"/>
          <w:b/>
          <w:bCs/>
          <w:color w:val="1F2430"/>
          <w:sz w:val="19"/>
          <w:szCs w:val="19"/>
          <w:rtl/>
        </w:rPr>
        <w:t>עגינות</w:t>
      </w:r>
      <w:r>
        <w:rPr>
          <w:rFonts w:ascii="Arial" w:hAnsi="Arial" w:cs="Arial" w:eastAsia="Arial"/>
          <w:color w:val="1F2430"/>
          <w:sz w:val="19"/>
          <w:szCs w:val="19"/>
          <w:rtl/>
        </w:rPr>
        <w:t>.</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8.6 התרת נישואין אזרחיים של שני יהודים – בג"ץ 2232/03</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2232/03 (ביה"ד הרבני תיק 4276/ס"ג) – "דיני בני נח"</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w:t>
            </w:r>
            <w:r>
              <w:rPr>
                <w:rFonts w:ascii="Arial" w:hAnsi="Arial" w:cs="Arial" w:eastAsia="Arial"/>
                <w:b/>
                <w:bCs/>
                <w:color w:val="1F2430"/>
                <w:sz w:val="18"/>
                <w:szCs w:val="18"/>
                <w:rtl/>
              </w:rPr>
              <w:t>כשירי חיתון</w:t>
            </w:r>
            <w:r>
              <w:rPr>
                <w:rFonts w:ascii="Arial" w:hAnsi="Arial" w:cs="Arial" w:eastAsia="Arial"/>
                <w:color w:val="1F2430"/>
                <w:sz w:val="18"/>
                <w:szCs w:val="18"/>
                <w:rtl/>
              </w:rPr>
              <w:t xml:space="preserve"> נישאו ב־1987 בקפריסין וגם ערכו טקס אצל רב רפורמי בארץ (טקס שאינו עומד בתנאי הנישואין הדתיים). נולדה להם בת. האישה לא עבדה, והבעל היה עורך דין אמיד. האישה הגישה תביעות ממוניות בבית המשפט האזרחי. הבעל, שהייתה לו מאהבת, פנה לבית הדין הרבני וביקש הצהרה שאינם נשואים כדמו"י, וקיבל אותה. לאחר מכן ביקש תוספת: </w:t>
            </w:r>
            <w:r>
              <w:rPr>
                <w:rFonts w:ascii="Arial" w:hAnsi="Arial" w:cs="Arial" w:eastAsia="Arial"/>
                <w:b/>
                <w:bCs/>
                <w:color w:val="1F2430"/>
                <w:sz w:val="18"/>
                <w:szCs w:val="18"/>
                <w:rtl/>
              </w:rPr>
              <w:t>"הצדדים רשאים להינשא כפנויים"</w:t>
            </w:r>
            <w:r>
              <w:rPr>
                <w:rFonts w:ascii="Arial" w:hAnsi="Arial" w:cs="Arial" w:eastAsia="Arial"/>
                <w:color w:val="1F2430"/>
                <w:sz w:val="18"/>
                <w:szCs w:val="18"/>
                <w:rtl/>
              </w:rPr>
              <w:t xml:space="preserve">. התוספת פירקה גם את המעגל האזרחי ואפשרה לו להירשם כגרוש. האישה ערערה לבית הדין הגדול וטענה: או שתכירו בי כנשואה כדמו"י (ואז נדרש גט, וחופש הבעל תלוי בי), או שלא תיגעו בנישואין האזרחיים, כי אין לכם סמכות לפרקם. בית הדין הגדול הורה לתקן את הנוסח ל"בית הדין </w:t>
            </w:r>
            <w:r>
              <w:rPr>
                <w:rFonts w:ascii="Arial" w:hAnsi="Arial" w:cs="Arial" w:eastAsia="Arial"/>
                <w:b/>
                <w:bCs/>
                <w:color w:val="1F2430"/>
                <w:sz w:val="18"/>
                <w:szCs w:val="18"/>
                <w:rtl/>
              </w:rPr>
              <w:t>מתיר את הנישואין</w:t>
            </w:r>
            <w:r>
              <w:rPr>
                <w:rFonts w:ascii="Arial" w:hAnsi="Arial" w:cs="Arial" w:eastAsia="Arial"/>
                <w:color w:val="1F2430"/>
                <w:sz w:val="18"/>
                <w:szCs w:val="18"/>
                <w:rtl/>
              </w:rPr>
              <w:t xml:space="preserve">". האישה עתרה לבג"ץ וטענה שנישואיה הותרו בלי עילת גירושין.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ראו הפירוט שלהלן.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קובע את המסלול לגירושי </w:t>
            </w:r>
            <w:r>
              <w:rPr>
                <w:rFonts w:ascii="Arial" w:hAnsi="Arial" w:cs="Arial" w:eastAsia="Arial"/>
                <w:b/>
                <w:bCs/>
                <w:color w:val="1F2430"/>
                <w:sz w:val="18"/>
                <w:szCs w:val="18"/>
                <w:rtl/>
              </w:rPr>
              <w:t>כל זוג יהודי שנישא אזרחית</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ההבדל בין שני הנוסחים:</w:t>
      </w:r>
      <w:r>
        <w:rPr>
          <w:rFonts w:ascii="Arial" w:hAnsi="Arial" w:cs="Arial" w:eastAsia="Arial"/>
          <w:color w:val="1F2430"/>
          <w:sz w:val="19"/>
          <w:szCs w:val="19"/>
          <w:rtl/>
        </w:rPr>
        <w:t xml:space="preserve"> "אתם לא נשואים" פירושו שבית הדין </w:t>
      </w:r>
      <w:r>
        <w:rPr>
          <w:rFonts w:ascii="Arial" w:hAnsi="Arial" w:cs="Arial" w:eastAsia="Arial"/>
          <w:b/>
          <w:bCs/>
          <w:color w:val="1F2430"/>
          <w:sz w:val="19"/>
          <w:szCs w:val="19"/>
          <w:rtl/>
        </w:rPr>
        <w:t>אינו מכיר</w:t>
      </w:r>
      <w:r>
        <w:rPr>
          <w:rFonts w:ascii="Arial" w:hAnsi="Arial" w:cs="Arial" w:eastAsia="Arial"/>
          <w:color w:val="1F2430"/>
          <w:sz w:val="19"/>
          <w:szCs w:val="19"/>
          <w:rtl/>
        </w:rPr>
        <w:t xml:space="preserve"> כלל בנישואין האזרחיים. "אני מתיר את הנישואין" פירושו שבית הדין </w:t>
      </w:r>
      <w:r>
        <w:rPr>
          <w:rFonts w:ascii="Arial" w:hAnsi="Arial" w:cs="Arial" w:eastAsia="Arial"/>
          <w:b/>
          <w:bCs/>
          <w:color w:val="1F2430"/>
          <w:sz w:val="19"/>
          <w:szCs w:val="19"/>
          <w:rtl/>
        </w:rPr>
        <w:t>מכיר</w:t>
      </w:r>
      <w:r>
        <w:rPr>
          <w:rFonts w:ascii="Arial" w:hAnsi="Arial" w:cs="Arial" w:eastAsia="Arial"/>
          <w:color w:val="1F2430"/>
          <w:sz w:val="19"/>
          <w:szCs w:val="19"/>
          <w:rtl/>
        </w:rPr>
        <w:t xml:space="preserve"> בקשר אזרחי קיים ומפרק אותו.</w:t>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ארבע השאלות של ברק</w:t>
      </w:r>
    </w:p>
    <w:p>
      <w:pPr>
        <w:bidi/>
        <w:spacing w:before="0" w:after="100" w:line="300" w:lineRule="auto"/>
        <w:jc w:val="both"/>
      </w:pPr>
      <w:r>
        <w:rPr>
          <w:rFonts w:ascii="Arial" w:hAnsi="Arial" w:cs="Arial" w:eastAsia="Arial"/>
          <w:color w:val="1F2430"/>
          <w:sz w:val="19"/>
          <w:szCs w:val="19"/>
          <w:rtl/>
        </w:rPr>
        <w:t xml:space="preserve">בצעד חריג, שלפי המרצה "לא כתוב בשום מקום שמותר לעשותו", ביקש הנשיא ברק מבית הדין הרבני הגדול </w:t>
      </w:r>
      <w:r>
        <w:rPr>
          <w:rFonts w:ascii="Arial" w:hAnsi="Arial" w:cs="Arial" w:eastAsia="Arial"/>
          <w:b/>
          <w:bCs/>
          <w:color w:val="1F2430"/>
          <w:sz w:val="19"/>
          <w:szCs w:val="19"/>
          <w:rtl/>
        </w:rPr>
        <w:t>פסק דין משלים</w:t>
      </w:r>
      <w:r>
        <w:rPr>
          <w:rFonts w:ascii="Arial" w:hAnsi="Arial" w:cs="Arial" w:eastAsia="Arial"/>
          <w:color w:val="1F2430"/>
          <w:sz w:val="19"/>
          <w:szCs w:val="19"/>
          <w:rtl/>
        </w:rPr>
        <w:t xml:space="preserve"> שיענה על ארבע שאלות:</w:t>
      </w:r>
    </w:p>
    <w:tbl>
      <w:tblPr>
        <w:tblW w:type="dxa" w:w="10206"/>
        <w:jc w:val="center"/>
        <w:tblLook w:firstColumn="1" w:firstRow="1" w:lastColumn="0" w:lastRow="0" w:noHBand="0" w:noVBand="1" w:val="04A0"/>
        <w:bidiVisual/>
        <w:tblLayout w:type="fixed"/>
      </w:tblPr>
      <w:tblGrid>
        <w:gridCol w:w="3476"/>
        <w:gridCol w:w="6729"/>
      </w:tblGrid>
      <w:tr>
        <w:trPr>
          <w:tblHeader/>
        </w:trPr>
        <w:tc>
          <w:tcPr>
            <w:tcW w:type="dxa" w:w="3476"/>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שאלת ברק</w:t>
            </w:r>
          </w:p>
        </w:tc>
        <w:tc>
          <w:tcPr>
            <w:tcW w:type="dxa" w:w="6728"/>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תשובת בית הדין הרבני הגדול</w:t>
            </w:r>
          </w:p>
        </w:tc>
      </w:tr>
      <w:tr>
        <w:trPr>
          <w:cantSplit/>
        </w:trPr>
        <w:tc>
          <w:tcPr>
            <w:tcW w:type="dxa" w:w="34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 האם הנישואין האזרחיים תקפים?</w:t>
            </w:r>
          </w:p>
        </w:tc>
        <w:tc>
          <w:tcPr>
            <w:tcW w:type="dxa" w:w="672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יש להם ערך כ</w:t>
            </w:r>
            <w:r>
              <w:rPr>
                <w:rFonts w:ascii="Arial" w:hAnsi="Arial" w:cs="Arial" w:eastAsia="Arial"/>
                <w:b/>
                <w:bCs/>
                <w:color w:val="1F2430"/>
                <w:sz w:val="17"/>
                <w:szCs w:val="17"/>
                <w:rtl/>
              </w:rPr>
              <w:t>"דיני בני נח"</w:t>
            </w:r>
            <w:r>
              <w:rPr>
                <w:rFonts w:ascii="Arial" w:hAnsi="Arial" w:cs="Arial" w:eastAsia="Arial"/>
                <w:color w:val="1F2430"/>
                <w:sz w:val="17"/>
                <w:szCs w:val="17"/>
                <w:rtl/>
              </w:rPr>
              <w:t>. העם היהודי לא חדל להיות "בני נח" כשקיבל תורה. מי שלא נישא כדמו"י קיבל נישואין "דרג ב'", מעין "חצי נשואים" שאינם יכולים להינשא לאחר כפנויים</w:t>
            </w:r>
          </w:p>
        </w:tc>
      </w:tr>
      <w:tr>
        <w:trPr>
          <w:cantSplit/>
        </w:trPr>
        <w:tc>
          <w:tcPr>
            <w:tcW w:type="dxa" w:w="34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2. מי מוסמך לפרקם?</w:t>
            </w:r>
          </w:p>
        </w:tc>
        <w:tc>
          <w:tcPr>
            <w:tcW w:type="dxa" w:w="672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בית הדין הרבני</w:t>
            </w:r>
            <w:r>
              <w:rPr>
                <w:rFonts w:ascii="Arial" w:hAnsi="Arial" w:cs="Arial" w:eastAsia="Arial"/>
                <w:color w:val="1F2430"/>
                <w:sz w:val="17"/>
                <w:szCs w:val="17"/>
                <w:rtl/>
              </w:rPr>
              <w:t>: "שלח אליי"</w:t>
            </w:r>
          </w:p>
        </w:tc>
      </w:tr>
      <w:tr>
        <w:trPr>
          <w:cantSplit/>
        </w:trPr>
        <w:tc>
          <w:tcPr>
            <w:tcW w:type="dxa" w:w="34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 מהן העילות?</w:t>
            </w:r>
          </w:p>
        </w:tc>
        <w:tc>
          <w:tcPr>
            <w:tcW w:type="dxa" w:w="672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אם נשואים מספק: גט, בהסכמה או בעילת גירושין. אם לא: </w:t>
            </w:r>
            <w:r>
              <w:rPr>
                <w:rFonts w:ascii="Arial" w:hAnsi="Arial" w:cs="Arial" w:eastAsia="Arial"/>
                <w:b/>
                <w:bCs/>
                <w:color w:val="1F2430"/>
                <w:sz w:val="17"/>
                <w:szCs w:val="17"/>
                <w:rtl/>
              </w:rPr>
              <w:t>תום הקשר</w:t>
            </w:r>
          </w:p>
        </w:tc>
      </w:tr>
      <w:tr>
        <w:trPr>
          <w:cantSplit/>
        </w:trPr>
        <w:tc>
          <w:tcPr>
            <w:tcW w:type="dxa" w:w="34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4. מהן הזכויות הממוניות?</w:t>
            </w:r>
          </w:p>
        </w:tc>
        <w:tc>
          <w:tcPr>
            <w:tcW w:type="dxa" w:w="672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 xml:space="preserve">בית הדין </w:t>
            </w:r>
            <w:r>
              <w:rPr>
                <w:rFonts w:ascii="Arial" w:hAnsi="Arial" w:cs="Arial" w:eastAsia="Arial"/>
                <w:b/>
                <w:bCs/>
                <w:color w:val="1F2430"/>
                <w:sz w:val="17"/>
                <w:szCs w:val="17"/>
                <w:rtl/>
              </w:rPr>
              <w:t>לא ייתן</w:t>
            </w:r>
            <w:r>
              <w:rPr>
                <w:rFonts w:ascii="Arial" w:hAnsi="Arial" w:cs="Arial" w:eastAsia="Arial"/>
                <w:color w:val="1F2430"/>
                <w:sz w:val="17"/>
                <w:szCs w:val="17"/>
                <w:rtl/>
              </w:rPr>
              <w:t xml:space="preserve"> זכויות ממוניות, גם לא "בכובע אזרחי"</w:t>
            </w:r>
          </w:p>
        </w:tc>
      </w:tr>
    </w:tbl>
    <w:p>
      <w:pPr>
        <w:bidi/>
        <w:spacing w:after="0" w:before="0" w:line="120" w:lineRule="exact"/>
      </w:pPr>
      <w:r>
        <w:rPr>
          <w:sz w:val="2"/>
        </w:rPr>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שני הכובעים</w:t>
      </w:r>
    </w:p>
    <w:p>
      <w:pPr>
        <w:bidi/>
        <w:spacing w:before="0" w:after="100" w:line="300" w:lineRule="auto"/>
        <w:jc w:val="both"/>
      </w:pPr>
      <w:r>
        <w:rPr>
          <w:rFonts w:ascii="Arial" w:hAnsi="Arial" w:cs="Arial" w:eastAsia="Arial"/>
          <w:color w:val="1F2430"/>
          <w:sz w:val="19"/>
          <w:szCs w:val="19"/>
          <w:rtl/>
        </w:rPr>
        <w:t xml:space="preserve">בית הדין, בהרכב של שלושה דיינים, חובש תחילה </w:t>
      </w:r>
      <w:r>
        <w:rPr>
          <w:rFonts w:ascii="Arial" w:hAnsi="Arial" w:cs="Arial" w:eastAsia="Arial"/>
          <w:b/>
          <w:bCs/>
          <w:color w:val="1F2430"/>
          <w:sz w:val="19"/>
          <w:szCs w:val="19"/>
          <w:rtl/>
        </w:rPr>
        <w:t>כובע דתי</w:t>
      </w:r>
      <w:r>
        <w:rPr>
          <w:rFonts w:ascii="Arial" w:hAnsi="Arial" w:cs="Arial" w:eastAsia="Arial"/>
          <w:color w:val="1F2430"/>
          <w:sz w:val="19"/>
          <w:szCs w:val="19"/>
          <w:rtl/>
        </w:rPr>
        <w:t xml:space="preserve"> ובודק את כוונת הקידושין, נסיבות הקשר, חיי האישות, וגם אם בני הזוג ניסו קודם להינשא ברבנות (נתון שמחזק את הטענה שרצו נישואין דתיים):</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1. </w:t>
      </w:r>
      <w:r>
        <w:tab/>
      </w:r>
      <w:r>
        <w:rPr>
          <w:rFonts w:ascii="Arial" w:hAnsi="Arial" w:cs="Arial" w:eastAsia="Arial"/>
          <w:b/>
          <w:bCs/>
          <w:color w:val="1F2430"/>
          <w:sz w:val="19"/>
          <w:szCs w:val="19"/>
          <w:rtl/>
        </w:rPr>
        <w:t>נשואים כדמו"י או מספק</w:t>
      </w:r>
      <w:r>
        <w:rPr>
          <w:rFonts w:ascii="Arial" w:hAnsi="Arial" w:cs="Arial" w:eastAsia="Arial"/>
          <w:color w:val="1F2430"/>
          <w:sz w:val="19"/>
          <w:szCs w:val="19"/>
          <w:rtl/>
        </w:rPr>
        <w:t xml:space="preserve"> (הדעה המחמירה): בית הדין יסדר </w:t>
      </w:r>
      <w:r>
        <w:rPr>
          <w:rFonts w:ascii="Arial" w:hAnsi="Arial" w:cs="Arial" w:eastAsia="Arial"/>
          <w:b/>
          <w:bCs/>
          <w:color w:val="1F2430"/>
          <w:sz w:val="19"/>
          <w:szCs w:val="19"/>
          <w:rtl/>
        </w:rPr>
        <w:t>גט מספק</w:t>
      </w:r>
      <w:r>
        <w:rPr>
          <w:rFonts w:ascii="Arial" w:hAnsi="Arial" w:cs="Arial" w:eastAsia="Arial"/>
          <w:color w:val="1F2430"/>
          <w:sz w:val="19"/>
          <w:szCs w:val="19"/>
          <w:rtl/>
        </w:rPr>
        <w:t>, ואחר כך יעדכנו במרשם שהם גרושים.</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2. </w:t>
      </w:r>
      <w:r>
        <w:tab/>
      </w:r>
      <w:r>
        <w:rPr>
          <w:rFonts w:ascii="Arial" w:hAnsi="Arial" w:cs="Arial" w:eastAsia="Arial"/>
          <w:b/>
          <w:bCs/>
          <w:color w:val="1F2430"/>
          <w:sz w:val="19"/>
          <w:szCs w:val="19"/>
          <w:rtl/>
        </w:rPr>
        <w:t>אינם נשואים כדמו"י אפילו מספק</w:t>
      </w:r>
      <w:r>
        <w:rPr>
          <w:rFonts w:ascii="Arial" w:hAnsi="Arial" w:cs="Arial" w:eastAsia="Arial"/>
          <w:color w:val="1F2430"/>
          <w:sz w:val="19"/>
          <w:szCs w:val="19"/>
          <w:rtl/>
        </w:rPr>
        <w:t xml:space="preserve"> (הדעה המקלה): בית הדין "מוריד את הכובע הדתי" וחובש </w:t>
      </w:r>
      <w:r>
        <w:rPr>
          <w:rFonts w:ascii="Arial" w:hAnsi="Arial" w:cs="Arial" w:eastAsia="Arial"/>
          <w:b/>
          <w:bCs/>
          <w:color w:val="1F2430"/>
          <w:sz w:val="19"/>
          <w:szCs w:val="19"/>
          <w:rtl/>
        </w:rPr>
        <w:t>כובע אזרחי</w:t>
      </w:r>
      <w:r>
        <w:rPr>
          <w:rFonts w:ascii="Arial" w:hAnsi="Arial" w:cs="Arial" w:eastAsia="Arial"/>
          <w:color w:val="1F2430"/>
          <w:sz w:val="19"/>
          <w:szCs w:val="19"/>
          <w:rtl/>
        </w:rPr>
        <w:t xml:space="preserve">. הוא מפרק את הקשר </w:t>
      </w:r>
      <w:r>
        <w:rPr>
          <w:rFonts w:ascii="Arial" w:hAnsi="Arial" w:cs="Arial" w:eastAsia="Arial"/>
          <w:b/>
          <w:bCs/>
          <w:color w:val="1F2430"/>
          <w:sz w:val="19"/>
          <w:szCs w:val="19"/>
          <w:rtl/>
        </w:rPr>
        <w:t>בפסק דין של התרת נישואין</w:t>
      </w:r>
      <w:r>
        <w:rPr>
          <w:rFonts w:ascii="Arial" w:hAnsi="Arial" w:cs="Arial" w:eastAsia="Arial"/>
          <w:color w:val="1F2430"/>
          <w:sz w:val="19"/>
          <w:szCs w:val="19"/>
          <w:rtl/>
        </w:rPr>
        <w:t xml:space="preserve">, כפי שמפרקים נישואין אזרחיים בחו"ל, </w:t>
      </w:r>
      <w:r>
        <w:rPr>
          <w:rFonts w:ascii="Arial" w:hAnsi="Arial" w:cs="Arial" w:eastAsia="Arial"/>
          <w:b/>
          <w:bCs/>
          <w:color w:val="1F2430"/>
          <w:sz w:val="19"/>
          <w:szCs w:val="19"/>
          <w:rtl/>
        </w:rPr>
        <w:t>בלי גט ובלי צורך בהסכמת הצדדים</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85"/>
        <w:gridCol w:w="4985"/>
        <w:gridCol w:w="3935"/>
      </w:tblGrid>
      <w:tr>
        <w:trPr>
          <w:tblHeader/>
        </w:trPr>
        <w:tc>
          <w:tcPr>
            <w:tcW w:type="dxa" w:w="128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p>
        </w:tc>
        <w:tc>
          <w:tcPr>
            <w:tcW w:type="dxa" w:w="498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גט (נישואין דתיים / ספק)</w:t>
            </w:r>
          </w:p>
        </w:tc>
        <w:tc>
          <w:tcPr>
            <w:tcW w:type="dxa" w:w="393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פסק דין להתרת נישואין אזרחיים</w:t>
            </w:r>
          </w:p>
        </w:tc>
      </w:tr>
      <w:tr>
        <w:trPr>
          <w:cantSplit/>
        </w:trPr>
        <w:tc>
          <w:tcPr>
            <w:tcW w:type="dxa" w:w="12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הסכמה</w:t>
            </w:r>
          </w:p>
        </w:tc>
        <w:tc>
          <w:tcPr>
            <w:tcW w:type="dxa" w:w="49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נדרשת (חרם דרבנו גרשום); ניתן להפעיל סנקציות רק כשיש עילה</w:t>
            </w:r>
          </w:p>
        </w:tc>
        <w:tc>
          <w:tcPr>
            <w:tcW w:type="dxa" w:w="39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אין צורך בהסכמה</w:t>
            </w:r>
          </w:p>
        </w:tc>
      </w:tr>
      <w:tr>
        <w:trPr>
          <w:cantSplit/>
        </w:trPr>
        <w:tc>
          <w:tcPr>
            <w:tcW w:type="dxa" w:w="12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עילה</w:t>
            </w:r>
          </w:p>
        </w:tc>
        <w:tc>
          <w:tcPr>
            <w:tcW w:type="dxa" w:w="49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הסכמה או עילת גירושין (אלימות, בגידה וכד')</w:t>
            </w:r>
          </w:p>
        </w:tc>
        <w:tc>
          <w:tcPr>
            <w:tcW w:type="dxa" w:w="39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תום הקשר</w:t>
            </w:r>
            <w:r>
              <w:rPr>
                <w:rFonts w:ascii="Arial" w:hAnsi="Arial" w:cs="Arial" w:eastAsia="Arial"/>
                <w:color w:val="1F2430"/>
                <w:sz w:val="17"/>
                <w:szCs w:val="17"/>
                <w:rtl/>
              </w:rPr>
              <w:t>: די שאחד אומר "אני לא רוצה יותר"</w:t>
            </w:r>
          </w:p>
        </w:tc>
      </w:tr>
      <w:tr>
        <w:trPr>
          <w:cantSplit/>
        </w:trPr>
        <w:tc>
          <w:tcPr>
            <w:tcW w:type="dxa" w:w="12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הגנת הצד החלש</w:t>
            </w:r>
          </w:p>
        </w:tc>
        <w:tc>
          <w:tcPr>
            <w:tcW w:type="dxa" w:w="49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יכול "לתפוס בשיניים" ולא להסכים לגט</w:t>
            </w:r>
          </w:p>
        </w:tc>
        <w:tc>
          <w:tcPr>
            <w:tcW w:type="dxa" w:w="39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אין "כוח מיקוח"; ההגנה עוברת </w:t>
            </w:r>
            <w:r>
              <w:rPr>
                <w:rFonts w:ascii="Arial" w:hAnsi="Arial" w:cs="Arial" w:eastAsia="Arial"/>
                <w:b/>
                <w:bCs/>
                <w:color w:val="1F2430"/>
                <w:sz w:val="17"/>
                <w:szCs w:val="17"/>
                <w:rtl/>
              </w:rPr>
              <w:t>לכסף</w:t>
            </w:r>
          </w:p>
        </w:tc>
      </w:tr>
    </w:tbl>
    <w:p>
      <w:pPr>
        <w:bidi/>
        <w:spacing w:after="0" w:before="0" w:line="120" w:lineRule="exact"/>
      </w:pPr>
      <w:r>
        <w:rPr>
          <w:sz w:val="2"/>
        </w:rPr>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איך מגינים על הצד החלש? והפיצול הממוני</w:t>
      </w:r>
    </w:p>
    <w:p>
      <w:pPr>
        <w:bidi/>
        <w:spacing w:before="0" w:after="100" w:line="300" w:lineRule="auto"/>
        <w:jc w:val="both"/>
      </w:pPr>
      <w:r>
        <w:rPr>
          <w:rFonts w:ascii="Arial" w:hAnsi="Arial" w:cs="Arial" w:eastAsia="Arial"/>
          <w:color w:val="1F2430"/>
          <w:sz w:val="19"/>
          <w:szCs w:val="19"/>
          <w:rtl/>
        </w:rPr>
        <w:t xml:space="preserve">ברק העלה דוגמה: אישה שהתמסרה 20 שנה לבית, ובעלה הולך למאהבת ואומר "הקשר נגמר". ברק </w:t>
      </w:r>
      <w:r>
        <w:rPr>
          <w:rFonts w:ascii="Arial" w:hAnsi="Arial" w:cs="Arial" w:eastAsia="Arial"/>
          <w:b/>
          <w:bCs/>
          <w:color w:val="1F2430"/>
          <w:sz w:val="19"/>
          <w:szCs w:val="19"/>
          <w:rtl/>
        </w:rPr>
        <w:t>מעדיף את השיטה האזרחית</w:t>
      </w:r>
      <w:r>
        <w:rPr>
          <w:rFonts w:ascii="Arial" w:hAnsi="Arial" w:cs="Arial" w:eastAsia="Arial"/>
          <w:color w:val="1F2430"/>
          <w:sz w:val="19"/>
          <w:szCs w:val="19"/>
          <w:rtl/>
        </w:rPr>
        <w:t xml:space="preserve">: לא מחזיקים אנשים בקשר מת בכוח. אם נגרם עוול, </w:t>
      </w:r>
      <w:r>
        <w:rPr>
          <w:rFonts w:ascii="Arial" w:hAnsi="Arial" w:cs="Arial" w:eastAsia="Arial"/>
          <w:b/>
          <w:bCs/>
          <w:color w:val="1F2430"/>
          <w:sz w:val="19"/>
          <w:szCs w:val="19"/>
          <w:rtl/>
        </w:rPr>
        <w:t>השופט יפצה בכסף</w:t>
      </w:r>
      <w:r>
        <w:rPr>
          <w:rFonts w:ascii="Arial" w:hAnsi="Arial" w:cs="Arial" w:eastAsia="Arial"/>
          <w:color w:val="1F2430"/>
          <w:sz w:val="19"/>
          <w:szCs w:val="19"/>
          <w:rtl/>
        </w:rPr>
        <w:t>, באמצעות מזונות מכוח דיני החוזים שיכולים להינתן גם אחרי הפרידה (הלכת פלונית, 8.7).</w:t>
      </w:r>
    </w:p>
    <w:p>
      <w:pPr>
        <w:bidi/>
        <w:spacing w:before="0" w:after="100" w:line="300" w:lineRule="auto"/>
        <w:jc w:val="both"/>
      </w:pPr>
      <w:r>
        <w:rPr>
          <w:rFonts w:ascii="Arial" w:hAnsi="Arial" w:cs="Arial" w:eastAsia="Arial"/>
          <w:color w:val="1F2430"/>
          <w:sz w:val="19"/>
          <w:szCs w:val="19"/>
          <w:rtl/>
        </w:rPr>
        <w:t xml:space="preserve">בית הדין סירב לפסוק זכויות ממוניות מכוח נישואין אזרחיים (וגם בספק "אין מוציאין ממון מספק"). לכן ברק </w:t>
      </w:r>
      <w:r>
        <w:rPr>
          <w:rFonts w:ascii="Arial" w:hAnsi="Arial" w:cs="Arial" w:eastAsia="Arial"/>
          <w:b/>
          <w:bCs/>
          <w:color w:val="1F2430"/>
          <w:sz w:val="19"/>
          <w:szCs w:val="19"/>
          <w:rtl/>
        </w:rPr>
        <w:t>פיצל</w:t>
      </w:r>
      <w:r>
        <w:rPr>
          <w:rFonts w:ascii="Arial" w:hAnsi="Arial" w:cs="Arial" w:eastAsia="Arial"/>
          <w:color w:val="1F2430"/>
          <w:sz w:val="19"/>
          <w:szCs w:val="19"/>
          <w:rtl/>
        </w:rPr>
        <w:t xml:space="preserve"> את התיק:</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פירוק הנישואין</w:t>
      </w:r>
      <w:r>
        <w:rPr>
          <w:rFonts w:ascii="Arial" w:hAnsi="Arial" w:cs="Arial" w:eastAsia="Arial"/>
          <w:color w:val="1F2430"/>
          <w:sz w:val="19"/>
          <w:szCs w:val="19"/>
          <w:rtl/>
        </w:rPr>
        <w:t xml:space="preserve"> יתנהל בבית הדין הרבני.</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רכוש ומזונות אישה</w:t>
      </w:r>
      <w:r>
        <w:rPr>
          <w:rFonts w:ascii="Arial" w:hAnsi="Arial" w:cs="Arial" w:eastAsia="Arial"/>
          <w:color w:val="1F2430"/>
          <w:sz w:val="19"/>
          <w:szCs w:val="19"/>
          <w:rtl/>
        </w:rPr>
        <w:t xml:space="preserve"> יתנהלו </w:t>
      </w:r>
      <w:r>
        <w:rPr>
          <w:rFonts w:ascii="Arial" w:hAnsi="Arial" w:cs="Arial" w:eastAsia="Arial"/>
          <w:b/>
          <w:bCs/>
          <w:color w:val="1F2430"/>
          <w:sz w:val="19"/>
          <w:szCs w:val="19"/>
          <w:rtl/>
        </w:rPr>
        <w:t>רק בבית המשפט האזרחי</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השלכה על כריכה (פרק 3)</w:t>
            </w:r>
          </w:p>
          <w:p>
            <w:pPr>
              <w:bidi/>
              <w:spacing w:before="0" w:after="60" w:line="300" w:lineRule="auto"/>
              <w:jc w:val="both"/>
            </w:pPr>
            <w:r>
              <w:rPr>
                <w:rFonts w:ascii="Arial" w:hAnsi="Arial" w:cs="Arial" w:eastAsia="Arial"/>
                <w:color w:val="1F2430"/>
                <w:sz w:val="18"/>
                <w:szCs w:val="18"/>
                <w:rtl/>
              </w:rPr>
              <w:t xml:space="preserve">מאחר שבית הדין אינו פוסק מזונות בנישואין אזרחיים, </w:t>
            </w:r>
            <w:r>
              <w:rPr>
                <w:rFonts w:ascii="Arial" w:hAnsi="Arial" w:cs="Arial" w:eastAsia="Arial"/>
                <w:b/>
                <w:bCs/>
                <w:color w:val="1F2430"/>
                <w:sz w:val="18"/>
                <w:szCs w:val="18"/>
                <w:rtl/>
              </w:rPr>
              <w:t>כריכת מזונות האישה בידי הבעל</w:t>
            </w:r>
            <w:r>
              <w:rPr>
                <w:rFonts w:ascii="Arial" w:hAnsi="Arial" w:cs="Arial" w:eastAsia="Arial"/>
                <w:color w:val="1F2430"/>
                <w:sz w:val="18"/>
                <w:szCs w:val="18"/>
                <w:rtl/>
              </w:rPr>
              <w:t xml:space="preserve"> לתביעת גירושין בנישואין אזרחיים היא </w:t>
            </w:r>
            <w:r>
              <w:rPr>
                <w:rFonts w:ascii="Arial" w:hAnsi="Arial" w:cs="Arial" w:eastAsia="Arial"/>
                <w:b/>
                <w:bCs/>
                <w:color w:val="1F2430"/>
                <w:sz w:val="18"/>
                <w:szCs w:val="18"/>
                <w:rtl/>
              </w:rPr>
              <w:t>כריכה לא כנה</w:t>
            </w:r>
            <w:r>
              <w:rPr>
                <w:rFonts w:ascii="Arial" w:hAnsi="Arial" w:cs="Arial" w:eastAsia="Arial"/>
                <w:color w:val="1F2430"/>
                <w:sz w:val="18"/>
                <w:szCs w:val="18"/>
                <w:rtl/>
              </w:rPr>
              <w:t>: מטרתה לחסום את מזונות האישה. אם האישה עצמה כורכת, זה אולי לא מהלך חכם, אך לא ייקבע שהכריכה לא כנה.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מי "ניצח"?</w:t>
      </w:r>
      <w:r>
        <w:rPr>
          <w:rFonts w:ascii="Arial" w:hAnsi="Arial" w:cs="Arial" w:eastAsia="Arial"/>
          <w:color w:val="1F2430"/>
          <w:sz w:val="19"/>
          <w:szCs w:val="19"/>
          <w:rtl/>
        </w:rPr>
        <w:t xml:space="preserve"> הבעל: הוא קיבל פירוק מיידי. ומדוע הסכים בית הדין להכיר בנישואין האזרחיים? כדי ש</w:t>
      </w:r>
      <w:r>
        <w:rPr>
          <w:rFonts w:ascii="Arial" w:hAnsi="Arial" w:cs="Arial" w:eastAsia="Arial"/>
          <w:b/>
          <w:bCs/>
          <w:color w:val="1F2430"/>
          <w:sz w:val="19"/>
          <w:szCs w:val="19"/>
          <w:rtl/>
        </w:rPr>
        <w:t>כל</w:t>
      </w:r>
      <w:r>
        <w:rPr>
          <w:rFonts w:ascii="Arial" w:hAnsi="Arial" w:cs="Arial" w:eastAsia="Arial"/>
          <w:color w:val="1F2430"/>
          <w:sz w:val="19"/>
          <w:szCs w:val="19"/>
          <w:rtl/>
        </w:rPr>
        <w:t xml:space="preserve"> הזוגות יעברו דרכו לבירור הדתי ולמניעת ממזרות. בלבוש האזרחי הוא "הכי ליברלי שיש". החלופה, בירור דתי ואחריו העברה לבית המשפט, הייתה מגרשת כל זוג פעמיים.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התפתחות מאוחרת – בית הדין בטבריה (תיק 80581-21-1, 2009)</w:t>
            </w:r>
          </w:p>
          <w:p>
            <w:pPr>
              <w:bidi/>
              <w:spacing w:before="0" w:after="60" w:line="300" w:lineRule="auto"/>
              <w:jc w:val="both"/>
            </w:pPr>
            <w:r>
              <w:rPr>
                <w:rFonts w:ascii="Arial" w:hAnsi="Arial" w:cs="Arial" w:eastAsia="Arial"/>
                <w:color w:val="1F2430"/>
                <w:sz w:val="18"/>
                <w:szCs w:val="18"/>
                <w:rtl/>
              </w:rPr>
              <w:t xml:space="preserve">כשלוש שנים אחרי בג"ץ 2232/03 פסק בית הדין הרבני בטבריה שגם ההלכה יכולה לקלוט </w:t>
            </w:r>
            <w:r>
              <w:rPr>
                <w:rFonts w:ascii="Arial" w:hAnsi="Arial" w:cs="Arial" w:eastAsia="Arial"/>
                <w:b/>
                <w:bCs/>
                <w:color w:val="1F2430"/>
                <w:sz w:val="18"/>
                <w:szCs w:val="18"/>
                <w:rtl/>
              </w:rPr>
              <w:t>מזונות חוזיים</w:t>
            </w:r>
            <w:r>
              <w:rPr>
                <w:rFonts w:ascii="Arial" w:hAnsi="Arial" w:cs="Arial" w:eastAsia="Arial"/>
                <w:color w:val="1F2430"/>
                <w:sz w:val="18"/>
                <w:szCs w:val="18"/>
                <w:rtl/>
              </w:rPr>
              <w:t xml:space="preserve"> וחלוקת רכוש חוזית בין מי שנישאו אזרחית, מכוח </w:t>
            </w:r>
            <w:r>
              <w:rPr>
                <w:rFonts w:ascii="Arial" w:hAnsi="Arial" w:cs="Arial" w:eastAsia="Arial"/>
                <w:b/>
                <w:bCs/>
                <w:color w:val="1F2430"/>
                <w:sz w:val="18"/>
                <w:szCs w:val="18"/>
                <w:rtl/>
              </w:rPr>
              <w:t>"מנהג המדינה"</w:t>
            </w:r>
            <w:r>
              <w:rPr>
                <w:rFonts w:ascii="Arial" w:hAnsi="Arial" w:cs="Arial" w:eastAsia="Arial"/>
                <w:color w:val="1F2430"/>
                <w:sz w:val="18"/>
                <w:szCs w:val="18"/>
                <w:rtl/>
              </w:rPr>
              <w:t xml:space="preserve"> (דיני ממונות גמישים). גם בנתניה נראו "ניצנים" דומים. אם כך, האם הפיצול של ברק עדיין עומד? </w:t>
            </w:r>
            <w:r>
              <w:rPr>
                <w:rFonts w:ascii="Arial" w:hAnsi="Arial" w:cs="Arial" w:eastAsia="Arial"/>
                <w:b/>
                <w:bCs/>
                <w:color w:val="1F2430"/>
                <w:sz w:val="18"/>
                <w:szCs w:val="18"/>
                <w:rtl/>
              </w:rPr>
              <w:t>לא ידוע</w:t>
            </w:r>
            <w:r>
              <w:rPr>
                <w:rFonts w:ascii="Arial" w:hAnsi="Arial" w:cs="Arial" w:eastAsia="Arial"/>
                <w:color w:val="1F2430"/>
                <w:sz w:val="18"/>
                <w:szCs w:val="18"/>
                <w:rtl/>
              </w:rPr>
              <w:t xml:space="preserve"> עד שהשאלה תחזור לבג"ץ.</w:t>
            </w:r>
          </w:p>
        </w:tc>
      </w:tr>
    </w:tbl>
    <w:p>
      <w:pPr>
        <w:bidi/>
        <w:spacing w:after="0" w:before="0" w:line="120" w:lineRule="exact"/>
      </w:pPr>
      <w:r>
        <w:rPr>
          <w:sz w:val="2"/>
        </w:rPr>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מצבים מיוחדים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יהודי ולא־יהודי</w:t>
      </w:r>
      <w:r>
        <w:rPr>
          <w:rFonts w:ascii="Arial" w:hAnsi="Arial" w:cs="Arial" w:eastAsia="Arial"/>
          <w:color w:val="1F2430"/>
          <w:sz w:val="19"/>
          <w:szCs w:val="19"/>
          <w:rtl/>
        </w:rPr>
        <w:t xml:space="preserve">: אין סמכות לבית הדין הרבני. חל </w:t>
      </w:r>
      <w:r>
        <w:rPr>
          <w:rFonts w:ascii="Arial" w:hAnsi="Arial" w:cs="Arial" w:eastAsia="Arial"/>
          <w:b/>
          <w:bCs/>
          <w:color w:val="1F2430"/>
          <w:sz w:val="19"/>
          <w:szCs w:val="19"/>
          <w:rtl/>
        </w:rPr>
        <w:t>חוק שיפוט בענייני התרת נישואין (מקרים מיוחדים)</w:t>
      </w:r>
      <w:r>
        <w:rPr>
          <w:rFonts w:ascii="Arial" w:hAnsi="Arial" w:cs="Arial" w:eastAsia="Arial"/>
          <w:color w:val="1F2430"/>
          <w:sz w:val="19"/>
          <w:szCs w:val="19"/>
          <w:rtl/>
        </w:rPr>
        <w:t>: בית המשפט האזרחי מקבל חוות דעת מהערכאות הדתיות ואז מתיר את הנישואין (פרק 2).</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זוג מאותו מין שנרשם כנשוי</w:t>
      </w:r>
      <w:r>
        <w:rPr>
          <w:rFonts w:ascii="Arial" w:hAnsi="Arial" w:cs="Arial" w:eastAsia="Arial"/>
          <w:color w:val="1F2430"/>
          <w:sz w:val="19"/>
          <w:szCs w:val="19"/>
          <w:rtl/>
        </w:rPr>
        <w:t xml:space="preserve"> (לאחר בן ארי): בית הדין הרבני סירב לדון ("אין לו אגרה" לזוגות כאלה), ובעיניו אין נישואין דתיים לפרק. בתמ"ש 11264-09-12 קבע בית המשפט לענייני משפחה שבית הדין, בסירובו לפתוח תיק, </w:t>
      </w:r>
      <w:r>
        <w:rPr>
          <w:rFonts w:ascii="Arial" w:hAnsi="Arial" w:cs="Arial" w:eastAsia="Arial"/>
          <w:b/>
          <w:bCs/>
          <w:color w:val="1F2430"/>
          <w:sz w:val="19"/>
          <w:szCs w:val="19"/>
          <w:rtl/>
        </w:rPr>
        <w:t>הפקיע את סמכותו</w:t>
      </w:r>
      <w:r>
        <w:rPr>
          <w:rFonts w:ascii="Arial" w:hAnsi="Arial" w:cs="Arial" w:eastAsia="Arial"/>
          <w:color w:val="1F2430"/>
          <w:sz w:val="19"/>
          <w:szCs w:val="19"/>
          <w:rtl/>
        </w:rPr>
        <w:t xml:space="preserve">. לפי פרשנות תכליתית, השליחה לבית הדין נועדה לפתור ספק נישואין דתיים, וכאן אין ספק. לכן </w:t>
      </w:r>
      <w:r>
        <w:rPr>
          <w:rFonts w:ascii="Arial" w:hAnsi="Arial" w:cs="Arial" w:eastAsia="Arial"/>
          <w:b/>
          <w:bCs/>
          <w:color w:val="1F2430"/>
          <w:sz w:val="19"/>
          <w:szCs w:val="19"/>
          <w:rtl/>
        </w:rPr>
        <w:t>בית המשפט האזרחי</w:t>
      </w:r>
      <w:r>
        <w:rPr>
          <w:rFonts w:ascii="Arial" w:hAnsi="Arial" w:cs="Arial" w:eastAsia="Arial"/>
          <w:color w:val="1F2430"/>
          <w:sz w:val="19"/>
          <w:szCs w:val="19"/>
          <w:rtl/>
        </w:rPr>
        <w:t xml:space="preserve"> מתיר את הקשר. בפסיקה יש שימוש הן במונח "התרת נישואין" והן ב"ביטול נישואין".</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למה לא מתגרשים במדינה שבה נישאו?</w:t>
      </w:r>
      <w:r>
        <w:rPr>
          <w:rFonts w:ascii="Arial" w:hAnsi="Arial" w:cs="Arial" w:eastAsia="Arial"/>
          <w:color w:val="1F2430"/>
          <w:sz w:val="19"/>
          <w:szCs w:val="19"/>
          <w:rtl/>
        </w:rPr>
        <w:t xml:space="preserve"> מדינות "מחתנות בקלות" אך אינן ממהרות לגרש מי שאינו תושב שלהן.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עץ החלטה – גירושי זוג שנישא אזרחית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1. </w:t>
            </w:r>
            <w:r>
              <w:tab/>
            </w:r>
            <w:r>
              <w:rPr>
                <w:rFonts w:ascii="Arial" w:hAnsi="Arial" w:cs="Arial" w:eastAsia="Arial"/>
                <w:color w:val="1F2430"/>
                <w:sz w:val="18"/>
                <w:szCs w:val="18"/>
                <w:rtl/>
              </w:rPr>
              <w:t>שניהם יהודים? כן – בית הדין הרבני (הסמכות הייחודית חלה גם על נישואין אזרחיים). לא – בית המשפט, לפי חוק המקרים המיוחדים.</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2. </w:t>
            </w:r>
            <w:r>
              <w:tab/>
            </w:r>
            <w:r>
              <w:rPr>
                <w:rFonts w:ascii="Arial" w:hAnsi="Arial" w:cs="Arial" w:eastAsia="Arial"/>
                <w:color w:val="1F2430"/>
                <w:sz w:val="18"/>
                <w:szCs w:val="18"/>
                <w:rtl/>
              </w:rPr>
              <w:t>בבית הדין – כובע דתי: יש קידושין או ספק? כן – גט מספק. לא – כובע אזרחי והתרה בפסק דין, בעילת תום הקשר וללא הסכמה.</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3. </w:t>
            </w:r>
            <w:r>
              <w:tab/>
            </w:r>
            <w:r>
              <w:rPr>
                <w:rFonts w:ascii="Arial" w:hAnsi="Arial" w:cs="Arial" w:eastAsia="Arial"/>
                <w:color w:val="1F2430"/>
                <w:sz w:val="18"/>
                <w:szCs w:val="18"/>
                <w:rtl/>
              </w:rPr>
              <w:t>רכוש ומזונות – בבית המשפט האזרחי בלבד.</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8.7 ההשלכות הממוניות: מסקורניק לפלונית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191/51 סקורניק</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יהודים, תושבי פולין, נישאו שם אזרחית ועלו לארץ. כעבור שנים תבעה האישה מזונות. הבעל טען שלא רצה להינשא דתית (בפולין יכול היה) ולכן אינו חייב.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כשרות המעמד נקבעת לפי החוק שחל על האדם </w:t>
            </w:r>
            <w:r>
              <w:rPr>
                <w:rFonts w:ascii="Arial" w:hAnsi="Arial" w:cs="Arial" w:eastAsia="Arial"/>
                <w:b/>
                <w:bCs/>
                <w:color w:val="1F2430"/>
                <w:sz w:val="18"/>
                <w:szCs w:val="18"/>
                <w:rtl/>
              </w:rPr>
              <w:t>בשעה שרכש את המעמד</w:t>
            </w:r>
            <w:r>
              <w:rPr>
                <w:rFonts w:ascii="Arial" w:hAnsi="Arial" w:cs="Arial" w:eastAsia="Arial"/>
                <w:color w:val="1F2430"/>
                <w:sz w:val="18"/>
                <w:szCs w:val="18"/>
                <w:rtl/>
              </w:rPr>
              <w:t xml:space="preserve">, ואין הוא מאבד אותו עם שינוי מקום מושבו (משפט בינלאומי פרטי). מי שבא לישראל נשוי נשאר נשוי. על נתון זה "מלבישים" </w:t>
            </w:r>
            <w:r>
              <w:rPr>
                <w:rFonts w:ascii="Arial" w:hAnsi="Arial" w:cs="Arial" w:eastAsia="Arial"/>
                <w:b/>
                <w:bCs/>
                <w:color w:val="1F2430"/>
                <w:sz w:val="18"/>
                <w:szCs w:val="18"/>
                <w:rtl/>
              </w:rPr>
              <w:t>מזונות לפי הדין האישי</w:t>
            </w:r>
            <w:r>
              <w:rPr>
                <w:rFonts w:ascii="Arial" w:hAnsi="Arial" w:cs="Arial" w:eastAsia="Arial"/>
                <w:color w:val="1F2430"/>
                <w:sz w:val="18"/>
                <w:szCs w:val="18"/>
                <w:rtl/>
              </w:rPr>
              <w:t xml:space="preserve"> (דתיים, לא חוזיים), בלי לבדוק אם הנישואין תפסו הלכתית. השופט אולשן ציין שלפי הדעה המחמירה הם נשואים מספק, ולפי המקלה לא. המשפט האזרחי מכיר בסטטוס זר כחלק מ"משפחת העמים".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תושבי חו"ל שנישאו שם והגיעו כזוג נשוי מוכרים כנשואים לכל דבר, כולל מזונות.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רע"א 8256/99 פלונית נ' פלוני (ניתן 2003) – מזונות חוזיים</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יהודים </w:t>
            </w:r>
            <w:r>
              <w:rPr>
                <w:rFonts w:ascii="Arial" w:hAnsi="Arial" w:cs="Arial" w:eastAsia="Arial"/>
                <w:b/>
                <w:bCs/>
                <w:color w:val="1F2430"/>
                <w:sz w:val="18"/>
                <w:szCs w:val="18"/>
                <w:rtl/>
              </w:rPr>
              <w:t>תושבי ישראל וכשירי חיתון</w:t>
            </w:r>
            <w:r>
              <w:rPr>
                <w:rFonts w:ascii="Arial" w:hAnsi="Arial" w:cs="Arial" w:eastAsia="Arial"/>
                <w:color w:val="1F2430"/>
                <w:sz w:val="18"/>
                <w:szCs w:val="18"/>
                <w:rtl/>
              </w:rPr>
              <w:t xml:space="preserve"> נישאו בפרגוואי באמצעות שליח (ייפוי כוח), ונרשמו כנשואים. הם חיו יחד כשנה. האישה, משכילה ובעלת קריירה, תבעה מזונות מיום התביעה ועד הגירושין. בינתיים נכנסה להריון מבן זוג חדש וצמצמה את התביעה עד למועד ההריון. שאלת תוקף הנישואין הכריעה את מעמד הילד: אם היא נשואה מספק, הילד ממזר. בית המשפט לענייני משפחה (שופט דתי) והמחוזי דחו את התביעה: היא אינה נשואה לפי הדין הדתי, ולכן אין מזונות. הם הבחינו מסקורניק: אלו תושבי ישראל, ואין סטטוס זר להכיר בו. בזמן שבקשת רשות הערעור תלויה, פנתה לבית הדין הרבני (והבעל הסכים), שהצהיר שאין תוקף דתי ואין מזונות.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ראו להלן.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הלכת היסוד של </w:t>
            </w:r>
            <w:r>
              <w:rPr>
                <w:rFonts w:ascii="Arial" w:hAnsi="Arial" w:cs="Arial" w:eastAsia="Arial"/>
                <w:b/>
                <w:bCs/>
                <w:color w:val="1F2430"/>
                <w:sz w:val="18"/>
                <w:szCs w:val="18"/>
                <w:rtl/>
              </w:rPr>
              <w:t>המזונות החוזיים/המשקמים</w:t>
            </w:r>
            <w:r>
              <w:rPr>
                <w:rFonts w:ascii="Arial" w:hAnsi="Arial" w:cs="Arial" w:eastAsia="Arial"/>
                <w:color w:val="1F2430"/>
                <w:sz w:val="18"/>
                <w:szCs w:val="18"/>
                <w:rtl/>
              </w:rPr>
              <w:t xml:space="preserve"> בישראל.</w:t>
            </w:r>
          </w:p>
        </w:tc>
      </w:tr>
    </w:tbl>
    <w:p>
      <w:pPr>
        <w:bidi/>
        <w:spacing w:after="0" w:before="0" w:line="120" w:lineRule="exact"/>
      </w:pPr>
      <w:r>
        <w:rPr>
          <w:sz w:val="2"/>
        </w:rPr>
      </w:r>
    </w:p>
    <w:p>
      <w:pPr>
        <w:keepNext/>
        <w:bidi/>
        <w:spacing w:before="160" w:after="60" w:line="300" w:lineRule="auto"/>
      </w:pPr>
      <w:r>
        <w:rPr>
          <w:rFonts w:ascii="Arial" w:hAnsi="Arial" w:cs="Arial" w:eastAsia="Arial"/>
          <w:color w:val="9C2F7E"/>
          <w:sz w:val="22"/>
          <w:szCs w:val="22"/>
          <w:rtl/>
        </w:rPr>
        <w:t xml:space="preserve">▌ </w:t>
      </w:r>
      <w:r>
        <w:rPr>
          <w:rFonts w:ascii="Arial" w:hAnsi="Arial" w:cs="Arial" w:eastAsia="Arial"/>
          <w:b/>
          <w:bCs/>
          <w:color w:val="9C2F7E"/>
          <w:sz w:val="22"/>
          <w:szCs w:val="22"/>
          <w:rtl/>
        </w:rPr>
        <w:t>נימוקי ברק</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1. </w:t>
      </w:r>
      <w:r>
        <w:tab/>
      </w:r>
      <w:r>
        <w:rPr>
          <w:rFonts w:ascii="Arial" w:hAnsi="Arial" w:cs="Arial" w:eastAsia="Arial"/>
          <w:color w:val="1F2430"/>
          <w:sz w:val="19"/>
          <w:szCs w:val="19"/>
          <w:rtl/>
        </w:rPr>
        <w:t xml:space="preserve">המבחן הישן, "האם היא נשואה לפי הדין הדתי או בעלת סטטוס מוכר?", </w:t>
      </w:r>
      <w:r>
        <w:rPr>
          <w:rFonts w:ascii="Arial" w:hAnsi="Arial" w:cs="Arial" w:eastAsia="Arial"/>
          <w:b/>
          <w:bCs/>
          <w:color w:val="1F2430"/>
          <w:sz w:val="19"/>
          <w:szCs w:val="19"/>
          <w:rtl/>
        </w:rPr>
        <w:t>צר מדי</w:t>
      </w:r>
      <w:r>
        <w:rPr>
          <w:rFonts w:ascii="Arial" w:hAnsi="Arial" w:cs="Arial" w:eastAsia="Arial"/>
          <w:color w:val="1F2430"/>
          <w:sz w:val="19"/>
          <w:szCs w:val="19"/>
          <w:rtl/>
        </w:rPr>
        <w:t xml:space="preserve">. כדי לקבוע חובת מזונות </w:t>
      </w:r>
      <w:r>
        <w:rPr>
          <w:rFonts w:ascii="Arial" w:hAnsi="Arial" w:cs="Arial" w:eastAsia="Arial"/>
          <w:b/>
          <w:bCs/>
          <w:color w:val="1F2430"/>
          <w:sz w:val="19"/>
          <w:szCs w:val="19"/>
          <w:rtl/>
        </w:rPr>
        <w:t>אין צורך להכריע בשאלת הסטטוס</w:t>
      </w:r>
      <w:r>
        <w:rPr>
          <w:rFonts w:ascii="Arial" w:hAnsi="Arial" w:cs="Arial" w:eastAsia="Arial"/>
          <w:color w:val="1F2430"/>
          <w:sz w:val="19"/>
          <w:szCs w:val="19"/>
          <w:rtl/>
        </w:rPr>
        <w:t xml:space="preserve">. השאלה היא אם נכרת </w:t>
      </w:r>
      <w:r>
        <w:rPr>
          <w:rFonts w:ascii="Arial" w:hAnsi="Arial" w:cs="Arial" w:eastAsia="Arial"/>
          <w:b/>
          <w:bCs/>
          <w:color w:val="1F2430"/>
          <w:sz w:val="19"/>
          <w:szCs w:val="19"/>
          <w:rtl/>
        </w:rPr>
        <w:t>חוזה</w:t>
      </w:r>
      <w:r>
        <w:rPr>
          <w:rFonts w:ascii="Arial" w:hAnsi="Arial" w:cs="Arial" w:eastAsia="Arial"/>
          <w:color w:val="1F2430"/>
          <w:sz w:val="19"/>
          <w:szCs w:val="19"/>
          <w:rtl/>
        </w:rPr>
        <w:t>, ו</w:t>
      </w:r>
      <w:r>
        <w:rPr>
          <w:rFonts w:ascii="Arial" w:hAnsi="Arial" w:cs="Arial" w:eastAsia="Arial"/>
          <w:b/>
          <w:bCs/>
          <w:color w:val="1F2430"/>
          <w:sz w:val="19"/>
          <w:szCs w:val="19"/>
          <w:rtl/>
        </w:rPr>
        <w:t>הטקס הוא החוזה</w:t>
      </w:r>
      <w:r>
        <w:rPr>
          <w:rFonts w:ascii="Arial" w:hAnsi="Arial" w:cs="Arial" w:eastAsia="Arial"/>
          <w:color w:val="1F2430"/>
          <w:sz w:val="19"/>
          <w:szCs w:val="19"/>
          <w:rtl/>
        </w:rPr>
        <w:t xml:space="preserve">. מהחיים המשותפים נלמד </w:t>
      </w:r>
      <w:r>
        <w:rPr>
          <w:rFonts w:ascii="Arial" w:hAnsi="Arial" w:cs="Arial" w:eastAsia="Arial"/>
          <w:b/>
          <w:bCs/>
          <w:color w:val="1F2430"/>
          <w:sz w:val="19"/>
          <w:szCs w:val="19"/>
          <w:rtl/>
        </w:rPr>
        <w:t>חוזה משתמע</w:t>
      </w:r>
      <w:r>
        <w:rPr>
          <w:rFonts w:ascii="Arial" w:hAnsi="Arial" w:cs="Arial" w:eastAsia="Arial"/>
          <w:color w:val="1F2430"/>
          <w:sz w:val="19"/>
          <w:szCs w:val="19"/>
          <w:rtl/>
        </w:rPr>
        <w:t xml:space="preserve"> הכולל חובות הדדיות.</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2. </w:t>
      </w:r>
      <w:r>
        <w:tab/>
      </w:r>
      <w:r>
        <w:rPr>
          <w:rFonts w:ascii="Arial" w:hAnsi="Arial" w:cs="Arial" w:eastAsia="Arial"/>
          <w:b/>
          <w:bCs/>
          <w:color w:val="1F2430"/>
          <w:sz w:val="19"/>
          <w:szCs w:val="19"/>
          <w:rtl/>
        </w:rPr>
        <w:t>תקנת הציבור</w:t>
      </w:r>
      <w:r>
        <w:rPr>
          <w:rFonts w:ascii="Arial" w:hAnsi="Arial" w:cs="Arial" w:eastAsia="Arial"/>
          <w:color w:val="1F2430"/>
          <w:sz w:val="19"/>
          <w:szCs w:val="19"/>
          <w:rtl/>
        </w:rPr>
        <w:t xml:space="preserve">: האם חוזה כזה נוגד את סעיף 2 לחוק השיפוט? לא. "תקנת הציבור משקפת את ה'אני מאמין' החברתי של שיטת המשפט", והגשמת ההסכם </w:t>
      </w:r>
      <w:r>
        <w:rPr>
          <w:rFonts w:ascii="Arial" w:hAnsi="Arial" w:cs="Arial" w:eastAsia="Arial"/>
          <w:b/>
          <w:bCs/>
          <w:color w:val="1F2430"/>
          <w:sz w:val="19"/>
          <w:szCs w:val="19"/>
          <w:rtl/>
        </w:rPr>
        <w:t>מקדמת שוויון, צדק והגינות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3. </w:t>
      </w:r>
      <w:r>
        <w:tab/>
      </w:r>
      <w:r>
        <w:rPr>
          <w:rFonts w:ascii="Arial" w:hAnsi="Arial" w:cs="Arial" w:eastAsia="Arial"/>
          <w:color w:val="1F2430"/>
          <w:sz w:val="19"/>
          <w:szCs w:val="19"/>
          <w:rtl/>
        </w:rPr>
        <w:t>"</w:t>
      </w:r>
      <w:r>
        <w:rPr>
          <w:rFonts w:ascii="Arial" w:hAnsi="Arial" w:cs="Arial" w:eastAsia="Arial"/>
          <w:b/>
          <w:bCs/>
          <w:color w:val="1F2430"/>
          <w:sz w:val="19"/>
          <w:szCs w:val="19"/>
          <w:rtl/>
        </w:rPr>
        <w:t>אין קשר בין שאלת הסטטוס לבין שאלת החיובים. בני הזוג אינם עוברי אורח שתאונת דרכים אקראית הפגישה ביניהם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4. </w:t>
      </w:r>
      <w:r>
        <w:tab/>
      </w:r>
      <w:r>
        <w:rPr>
          <w:rFonts w:ascii="Arial" w:hAnsi="Arial" w:cs="Arial" w:eastAsia="Arial"/>
          <w:b/>
          <w:bCs/>
          <w:color w:val="1F2430"/>
          <w:sz w:val="19"/>
          <w:szCs w:val="19"/>
          <w:rtl/>
        </w:rPr>
        <w:t>תוכן החיוב</w:t>
      </w:r>
      <w:r>
        <w:rPr>
          <w:rFonts w:ascii="Arial" w:hAnsi="Arial" w:cs="Arial" w:eastAsia="Arial"/>
          <w:color w:val="1F2430"/>
          <w:sz w:val="19"/>
          <w:szCs w:val="19"/>
          <w:rtl/>
        </w:rPr>
        <w:t xml:space="preserve"> נקבע לפי </w:t>
      </w:r>
      <w:r>
        <w:rPr>
          <w:rFonts w:ascii="Arial" w:hAnsi="Arial" w:cs="Arial" w:eastAsia="Arial"/>
          <w:b/>
          <w:bCs/>
          <w:color w:val="1F2430"/>
          <w:sz w:val="19"/>
          <w:szCs w:val="19"/>
          <w:rtl/>
        </w:rPr>
        <w:t>עקרון תום הלב</w:t>
      </w:r>
      <w:r>
        <w:rPr>
          <w:rFonts w:ascii="Arial" w:hAnsi="Arial" w:cs="Arial" w:eastAsia="Arial"/>
          <w:color w:val="1F2430"/>
          <w:sz w:val="19"/>
          <w:szCs w:val="19"/>
          <w:rtl/>
        </w:rPr>
        <w:t>, בלי צורך בתניות מכללא. הביקורת: תום הלב הוא מושג "אלסטי", וכל שופט מחליט כרצונו.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מזונות משקמים / חוזיים / אזרחיים / פיצויים</w:t>
            </w:r>
          </w:p>
          <w:p>
            <w:pPr>
              <w:bidi/>
              <w:spacing w:before="0" w:after="60" w:line="300" w:lineRule="auto"/>
              <w:jc w:val="both"/>
            </w:pPr>
            <w:r>
              <w:rPr>
                <w:rFonts w:ascii="Arial" w:hAnsi="Arial" w:cs="Arial" w:eastAsia="Arial"/>
                <w:color w:val="1F2430"/>
                <w:sz w:val="18"/>
                <w:szCs w:val="18"/>
                <w:rtl/>
              </w:rPr>
              <w:t xml:space="preserve">"אותה גברת בשינוי אדרת". מזונות בין בני זוג </w:t>
            </w:r>
            <w:r>
              <w:rPr>
                <w:rFonts w:ascii="Arial" w:hAnsi="Arial" w:cs="Arial" w:eastAsia="Arial"/>
                <w:b/>
                <w:bCs/>
                <w:color w:val="1F2430"/>
                <w:sz w:val="18"/>
                <w:szCs w:val="18"/>
                <w:rtl/>
              </w:rPr>
              <w:t>מכוח דיני החוזים</w:t>
            </w:r>
            <w:r>
              <w:rPr>
                <w:rFonts w:ascii="Arial" w:hAnsi="Arial" w:cs="Arial" w:eastAsia="Arial"/>
                <w:color w:val="1F2430"/>
                <w:sz w:val="18"/>
                <w:szCs w:val="18"/>
                <w:rtl/>
              </w:rPr>
              <w:t xml:space="preserve"> (חוזה משתמע ותום לב), שאינם תלויים בתוקף הדתי של הנישואין. מטרתם לאפשר לבן הזוג החלש </w:t>
            </w:r>
            <w:r>
              <w:rPr>
                <w:rFonts w:ascii="Arial" w:hAnsi="Arial" w:cs="Arial" w:eastAsia="Arial"/>
                <w:b/>
                <w:bCs/>
                <w:color w:val="1F2430"/>
                <w:sz w:val="18"/>
                <w:szCs w:val="18"/>
                <w:rtl/>
              </w:rPr>
              <w:t>להסתגל ולהשתקם</w:t>
            </w:r>
            <w:r>
              <w:rPr>
                <w:rFonts w:ascii="Arial" w:hAnsi="Arial" w:cs="Arial" w:eastAsia="Arial"/>
                <w:color w:val="1F2430"/>
                <w:sz w:val="18"/>
                <w:szCs w:val="18"/>
                <w:rtl/>
              </w:rPr>
              <w:t xml:space="preserve"> אחרי הפרידה.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על מי חלה ההלכה?</w:t>
      </w:r>
      <w:r>
        <w:rPr>
          <w:rFonts w:ascii="Arial" w:hAnsi="Arial" w:cs="Arial" w:eastAsia="Arial"/>
          <w:color w:val="1F2430"/>
          <w:sz w:val="19"/>
          <w:szCs w:val="19"/>
          <w:rtl/>
        </w:rPr>
        <w:t xml:space="preserve"> נישואין אזרחיים, ידועים בציבור, יהודי ולא־יהודי, בני זוג מאותו מין, פסולי חיתון. החוזה "עיוור לדת, גזע ומין". </w:t>
      </w:r>
      <w:r>
        <w:rPr>
          <w:rFonts w:ascii="Arial" w:hAnsi="Arial" w:cs="Arial" w:eastAsia="Arial"/>
          <w:b/>
          <w:bCs/>
          <w:color w:val="1F2430"/>
          <w:sz w:val="19"/>
          <w:szCs w:val="19"/>
          <w:rtl/>
        </w:rPr>
        <w:t>על מי היא אינה חלה?</w:t>
      </w:r>
      <w:r>
        <w:rPr>
          <w:rFonts w:ascii="Arial" w:hAnsi="Arial" w:cs="Arial" w:eastAsia="Arial"/>
          <w:color w:val="1F2430"/>
          <w:sz w:val="19"/>
          <w:szCs w:val="19"/>
          <w:rtl/>
        </w:rPr>
        <w:t xml:space="preserve"> על מי שנשואים כדמו"י, שממשיכים במסלול הדתי. "מי שהתחיל את מסלולו בדרך אחת נשאר בה": אישה שנשללו ממנה מזונות בבית הדין בשל בגידה אינה יכולה "לזגזג" לבית המשפט ולתבוע מזונות חוזיים. היא אינה חלה גם על עולים בנוסח סקורניק (שמקבלים מזונות דתיים), ועל </w:t>
      </w:r>
      <w:r>
        <w:rPr>
          <w:rFonts w:ascii="Arial" w:hAnsi="Arial" w:cs="Arial" w:eastAsia="Arial"/>
          <w:b/>
          <w:bCs/>
          <w:color w:val="1F2430"/>
          <w:sz w:val="19"/>
          <w:szCs w:val="19"/>
          <w:rtl/>
        </w:rPr>
        <w:t>נישואין פרטיים של כשירי חיתון</w:t>
      </w:r>
      <w:r>
        <w:rPr>
          <w:rFonts w:ascii="Arial" w:hAnsi="Arial" w:cs="Arial" w:eastAsia="Arial"/>
          <w:color w:val="1F2430"/>
          <w:sz w:val="19"/>
          <w:szCs w:val="19"/>
          <w:rtl/>
        </w:rPr>
        <w:t xml:space="preserve"> (צונן).</w:t>
      </w:r>
    </w:p>
    <w:tbl>
      <w:tblPr>
        <w:tblW w:type="dxa" w:w="10206"/>
        <w:jc w:val="center"/>
        <w:tblLook w:firstColumn="1" w:firstRow="1" w:lastColumn="0" w:lastRow="0" w:noHBand="0" w:noVBand="1" w:val="04A0"/>
        <w:bidiVisual/>
        <w:tblLayout w:type="fixed"/>
      </w:tblPr>
      <w:tblGrid>
        <w:gridCol w:w="1302"/>
        <w:gridCol w:w="3866"/>
        <w:gridCol w:w="5037"/>
      </w:tblGrid>
      <w:tr>
        <w:trPr>
          <w:tblHeader/>
        </w:trPr>
        <w:tc>
          <w:tcPr>
            <w:tcW w:type="dxa" w:w="1302"/>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p>
        </w:tc>
        <w:tc>
          <w:tcPr>
            <w:tcW w:type="dxa" w:w="3866"/>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מזונות אישה לפי הדין הדתי</w:t>
            </w:r>
          </w:p>
        </w:tc>
        <w:tc>
          <w:tcPr>
            <w:tcW w:type="dxa" w:w="5037"/>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מזונות חוזיים/משקמים</w:t>
            </w:r>
          </w:p>
        </w:tc>
      </w:tr>
      <w:tr>
        <w:trPr>
          <w:cantSplit/>
        </w:trPr>
        <w:tc>
          <w:tcPr>
            <w:tcW w:type="dxa" w:w="13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מקור</w:t>
            </w:r>
          </w:p>
        </w:tc>
        <w:tc>
          <w:tcPr>
            <w:tcW w:type="dxa" w:w="386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אישי (סעיף 2(א) לחוק המזונות)</w:t>
            </w:r>
          </w:p>
        </w:tc>
        <w:tc>
          <w:tcPr>
            <w:tcW w:type="dxa" w:w="503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דיני חוזים: חוזה משתמע ותום לב</w:t>
            </w:r>
          </w:p>
        </w:tc>
      </w:tr>
      <w:tr>
        <w:trPr>
          <w:cantSplit/>
        </w:trPr>
        <w:tc>
          <w:tcPr>
            <w:tcW w:type="dxa" w:w="13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מי זכאי</w:t>
            </w:r>
          </w:p>
        </w:tc>
        <w:tc>
          <w:tcPr>
            <w:tcW w:type="dxa" w:w="386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רק האישה</w:t>
            </w:r>
          </w:p>
        </w:tc>
        <w:tc>
          <w:tcPr>
            <w:tcW w:type="dxa" w:w="503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גם הגבר (אם האישה היא החזקה)</w:t>
            </w:r>
          </w:p>
        </w:tc>
      </w:tr>
      <w:tr>
        <w:trPr>
          <w:cantSplit/>
        </w:trPr>
        <w:tc>
          <w:tcPr>
            <w:tcW w:type="dxa" w:w="13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מתי</w:t>
            </w:r>
          </w:p>
        </w:tc>
        <w:tc>
          <w:tcPr>
            <w:tcW w:type="dxa" w:w="386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בזמן הנישואין, </w:t>
            </w:r>
            <w:r>
              <w:rPr>
                <w:rFonts w:ascii="Arial" w:hAnsi="Arial" w:cs="Arial" w:eastAsia="Arial"/>
                <w:b/>
                <w:bCs/>
                <w:color w:val="1F2430"/>
                <w:sz w:val="17"/>
                <w:szCs w:val="17"/>
                <w:rtl/>
              </w:rPr>
              <w:t>עד הגט</w:t>
            </w:r>
          </w:p>
        </w:tc>
        <w:tc>
          <w:tcPr>
            <w:tcW w:type="dxa" w:w="503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גם אחרי הפרידה</w:t>
            </w:r>
          </w:p>
        </w:tc>
      </w:tr>
      <w:tr>
        <w:trPr>
          <w:cantSplit/>
        </w:trPr>
        <w:tc>
          <w:tcPr>
            <w:tcW w:type="dxa" w:w="13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בגידה</w:t>
            </w:r>
          </w:p>
        </w:tc>
        <w:tc>
          <w:tcPr>
            <w:tcW w:type="dxa" w:w="386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עלולה לשלול מזונות (מורדת וכד')</w:t>
            </w:r>
          </w:p>
        </w:tc>
        <w:tc>
          <w:tcPr>
            <w:tcW w:type="dxa" w:w="503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לא אוטומטית</w:t>
            </w:r>
            <w:r>
              <w:rPr>
                <w:rFonts w:ascii="Arial" w:hAnsi="Arial" w:cs="Arial" w:eastAsia="Arial"/>
                <w:color w:val="1F2430"/>
                <w:sz w:val="17"/>
                <w:szCs w:val="17"/>
                <w:rtl/>
              </w:rPr>
              <w:t>; נבחנת לפי הנסיבות ותום הלב</w:t>
            </w:r>
          </w:p>
        </w:tc>
      </w:tr>
      <w:tr>
        <w:trPr>
          <w:cantSplit/>
        </w:trPr>
        <w:tc>
          <w:tcPr>
            <w:tcW w:type="dxa" w:w="13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תלות בסטטוס</w:t>
            </w:r>
          </w:p>
        </w:tc>
        <w:tc>
          <w:tcPr>
            <w:tcW w:type="dxa" w:w="386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תלוי בתוקף הנישואין</w:t>
            </w:r>
          </w:p>
        </w:tc>
        <w:tc>
          <w:tcPr>
            <w:tcW w:type="dxa" w:w="503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אינו תלוי בסטטוס</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"לזכור מתוך שינה"</w:t>
            </w:r>
          </w:p>
          <w:p>
            <w:pPr>
              <w:bidi/>
              <w:spacing w:before="0" w:after="60" w:line="300" w:lineRule="auto"/>
              <w:jc w:val="both"/>
            </w:pPr>
            <w:r>
              <w:rPr>
                <w:rFonts w:ascii="Arial" w:hAnsi="Arial" w:cs="Arial" w:eastAsia="Arial"/>
                <w:color w:val="1F2430"/>
                <w:sz w:val="18"/>
                <w:szCs w:val="18"/>
                <w:rtl/>
              </w:rPr>
              <w:t xml:space="preserve">מזונות דתיים – </w:t>
            </w:r>
            <w:r>
              <w:rPr>
                <w:rFonts w:ascii="Arial" w:hAnsi="Arial" w:cs="Arial" w:eastAsia="Arial"/>
                <w:b/>
                <w:bCs/>
                <w:color w:val="1F2430"/>
                <w:sz w:val="18"/>
                <w:szCs w:val="18"/>
                <w:rtl/>
              </w:rPr>
              <w:t>בעיקר בזמן הנישואין</w:t>
            </w:r>
            <w:r>
              <w:rPr>
                <w:rFonts w:ascii="Arial" w:hAnsi="Arial" w:cs="Arial" w:eastAsia="Arial"/>
                <w:color w:val="1F2430"/>
                <w:sz w:val="18"/>
                <w:szCs w:val="18"/>
                <w:rtl/>
              </w:rPr>
              <w:t xml:space="preserve">. מזונות חוזיים/משקמים – </w:t>
            </w:r>
            <w:r>
              <w:rPr>
                <w:rFonts w:ascii="Arial" w:hAnsi="Arial" w:cs="Arial" w:eastAsia="Arial"/>
                <w:b/>
                <w:bCs/>
                <w:color w:val="1F2430"/>
                <w:sz w:val="18"/>
                <w:szCs w:val="18"/>
                <w:rtl/>
              </w:rPr>
              <w:t>גם לאחר הפרידה</w:t>
            </w:r>
            <w:r>
              <w:rPr>
                <w:rFonts w:ascii="Arial" w:hAnsi="Arial" w:cs="Arial" w:eastAsia="Arial"/>
                <w:color w:val="1F2430"/>
                <w:sz w:val="18"/>
                <w:szCs w:val="18"/>
                <w:rtl/>
              </w:rPr>
              <w:t>, כדי לאפשר הסתגלות למציאות החדשה.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שיקולים לפסיקתם (לפי התרגול):</w:t>
      </w:r>
      <w:r>
        <w:rPr>
          <w:rFonts w:ascii="Arial" w:hAnsi="Arial" w:cs="Arial" w:eastAsia="Arial"/>
          <w:color w:val="1F2430"/>
          <w:sz w:val="19"/>
          <w:szCs w:val="19"/>
          <w:rtl/>
        </w:rPr>
        <w:t xml:space="preserve"> אפשרות למקור פרנסה חלופי (הכשרה, השכלה, יכולת להשתלב בשוק העבודה, קרבה לגיל פרישה, רכוש), לצד מניעת הפיכת בן הזוג "הביתי" לנטל על החברה. </w:t>
      </w:r>
      <w:r>
        <w:rPr>
          <w:rFonts w:ascii="Arial" w:hAnsi="Arial" w:cs="Arial" w:eastAsia="Arial"/>
          <w:b/>
          <w:bCs/>
          <w:color w:val="1F2430"/>
          <w:sz w:val="19"/>
          <w:szCs w:val="19"/>
          <w:rtl/>
        </w:rPr>
        <w:t>משך התשלום</w:t>
      </w:r>
      <w:r>
        <w:rPr>
          <w:rFonts w:ascii="Arial" w:hAnsi="Arial" w:cs="Arial" w:eastAsia="Arial"/>
          <w:color w:val="1F2430"/>
          <w:sz w:val="19"/>
          <w:szCs w:val="19"/>
          <w:rtl/>
        </w:rPr>
        <w:t xml:space="preserve"> (תשובת הפרופ'): לפי אומדנת בית המשפט, לעיתים לפי חודשים, לעיתים בסכום גלובלי, ולעיתים בית המשפט לא יפסוק דבר.</w:t>
      </w:r>
    </w:p>
    <w:p>
      <w:pPr>
        <w:bidi/>
        <w:spacing w:before="0" w:after="100" w:line="300" w:lineRule="auto"/>
        <w:jc w:val="both"/>
      </w:pPr>
      <w:r>
        <w:rPr>
          <w:rFonts w:ascii="Arial" w:hAnsi="Arial" w:cs="Arial" w:eastAsia="Arial"/>
          <w:b/>
          <w:bCs/>
          <w:color w:val="1F2430"/>
          <w:sz w:val="19"/>
          <w:szCs w:val="19"/>
          <w:rtl/>
        </w:rPr>
        <w:t>איך יוצאים מהחוזה המשתמע?</w:t>
      </w:r>
      <w:r>
        <w:rPr>
          <w:rFonts w:ascii="Arial" w:hAnsi="Arial" w:cs="Arial" w:eastAsia="Arial"/>
          <w:color w:val="1F2430"/>
          <w:sz w:val="19"/>
          <w:szCs w:val="19"/>
          <w:rtl/>
        </w:rPr>
        <w:t xml:space="preserve"> רק ב</w:t>
      </w:r>
      <w:r>
        <w:rPr>
          <w:rFonts w:ascii="Arial" w:hAnsi="Arial" w:cs="Arial" w:eastAsia="Arial"/>
          <w:b/>
          <w:bCs/>
          <w:color w:val="1F2430"/>
          <w:sz w:val="19"/>
          <w:szCs w:val="19"/>
          <w:rtl/>
        </w:rPr>
        <w:t>הסכם ממון מפורש</w:t>
      </w:r>
      <w:r>
        <w:rPr>
          <w:rFonts w:ascii="Arial" w:hAnsi="Arial" w:cs="Arial" w:eastAsia="Arial"/>
          <w:color w:val="1F2430"/>
          <w:sz w:val="19"/>
          <w:szCs w:val="19"/>
          <w:rtl/>
        </w:rPr>
        <w:t xml:space="preserve"> שקובע שאין חיוב מזונות. הסכם של </w:t>
      </w:r>
      <w:r>
        <w:rPr>
          <w:rFonts w:ascii="Arial" w:hAnsi="Arial" w:cs="Arial" w:eastAsia="Arial"/>
          <w:b/>
          <w:bCs/>
          <w:color w:val="1F2430"/>
          <w:sz w:val="19"/>
          <w:szCs w:val="19"/>
          <w:rtl/>
        </w:rPr>
        <w:t>הפרדה רכושית בלבד אינו מספיק</w:t>
      </w:r>
      <w:r>
        <w:rPr>
          <w:rFonts w:ascii="Arial" w:hAnsi="Arial" w:cs="Arial" w:eastAsia="Arial"/>
          <w:color w:val="1F2430"/>
          <w:sz w:val="19"/>
          <w:szCs w:val="19"/>
          <w:rtl/>
        </w:rPr>
        <w:t xml:space="preserve">, כי לרוב אינו מתייחס למזונות. אצל נשואים ההסכם טעון </w:t>
      </w:r>
      <w:r>
        <w:rPr>
          <w:rFonts w:ascii="Arial" w:hAnsi="Arial" w:cs="Arial" w:eastAsia="Arial"/>
          <w:b/>
          <w:bCs/>
          <w:color w:val="1F2430"/>
          <w:sz w:val="19"/>
          <w:szCs w:val="19"/>
          <w:rtl/>
        </w:rPr>
        <w:t>אישור שופט</w:t>
      </w:r>
      <w:r>
        <w:rPr>
          <w:rFonts w:ascii="Arial" w:hAnsi="Arial" w:cs="Arial" w:eastAsia="Arial"/>
          <w:color w:val="1F2430"/>
          <w:sz w:val="19"/>
          <w:szCs w:val="19"/>
          <w:rtl/>
        </w:rPr>
        <w:t>, שמוודא שהצדדים מבינים אותו ואת משמעותו.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ההמשך בפועל – תמ"ש 67910/00</w:t>
            </w:r>
          </w:p>
          <w:p>
            <w:pPr>
              <w:bidi/>
              <w:spacing w:before="0" w:after="60" w:line="300" w:lineRule="auto"/>
              <w:jc w:val="both"/>
            </w:pPr>
            <w:r>
              <w:rPr>
                <w:rFonts w:ascii="Arial" w:hAnsi="Arial" w:cs="Arial" w:eastAsia="Arial"/>
                <w:color w:val="1F2430"/>
                <w:sz w:val="18"/>
                <w:szCs w:val="18"/>
                <w:rtl/>
              </w:rPr>
              <w:t xml:space="preserve">בעקבות פלונית הוחזר תיק שבו נפסקו לאישה 5,000 ש"ח לחודש וכן 2,500 ש"ח לחודש לילדה, </w:t>
            </w:r>
            <w:r>
              <w:rPr>
                <w:rFonts w:ascii="Arial" w:hAnsi="Arial" w:cs="Arial" w:eastAsia="Arial"/>
                <w:b/>
                <w:bCs/>
                <w:color w:val="1F2430"/>
                <w:sz w:val="18"/>
                <w:szCs w:val="18"/>
                <w:rtl/>
              </w:rPr>
              <w:t>עד הגט</w:t>
            </w:r>
            <w:r>
              <w:rPr>
                <w:rFonts w:ascii="Arial" w:hAnsi="Arial" w:cs="Arial" w:eastAsia="Arial"/>
                <w:color w:val="1F2430"/>
                <w:sz w:val="18"/>
                <w:szCs w:val="18"/>
                <w:rtl/>
              </w:rPr>
              <w:t xml:space="preserve"> (2001). לאחר שקראה את הלכת פלונית, פסקה השופטת לאישה מזונות </w:t>
            </w:r>
            <w:r>
              <w:rPr>
                <w:rFonts w:ascii="Arial" w:hAnsi="Arial" w:cs="Arial" w:eastAsia="Arial"/>
                <w:b/>
                <w:bCs/>
                <w:color w:val="1F2430"/>
                <w:sz w:val="18"/>
                <w:szCs w:val="18"/>
                <w:rtl/>
              </w:rPr>
              <w:t>לחמש שנים נוספות</w:t>
            </w:r>
            <w:r>
              <w:rPr>
                <w:rFonts w:ascii="Arial" w:hAnsi="Arial" w:cs="Arial" w:eastAsia="Arial"/>
                <w:color w:val="1F2430"/>
                <w:sz w:val="18"/>
                <w:szCs w:val="18"/>
                <w:rtl/>
              </w:rPr>
              <w:t xml:space="preserve"> אחרי הגירושין: מזונות משקמים מכוח תום הלב.</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נשואים כדמו"י ומזונות משקמים</w:t>
            </w:r>
          </w:p>
          <w:p>
            <w:pPr>
              <w:bidi/>
              <w:spacing w:before="0" w:after="60" w:line="300" w:lineRule="auto"/>
              <w:jc w:val="both"/>
            </w:pPr>
            <w:r>
              <w:rPr>
                <w:rFonts w:ascii="Arial" w:hAnsi="Arial" w:cs="Arial" w:eastAsia="Arial"/>
                <w:color w:val="1F2430"/>
                <w:sz w:val="18"/>
                <w:szCs w:val="18"/>
                <w:rtl/>
              </w:rPr>
              <w:t xml:space="preserve">בבע"מ 3151/14 (סרבנות גט מטעמים כלכליים) נאמר </w:t>
            </w:r>
            <w:r>
              <w:rPr>
                <w:rFonts w:ascii="Arial" w:hAnsi="Arial" w:cs="Arial" w:eastAsia="Arial"/>
                <w:b/>
                <w:bCs/>
                <w:color w:val="1F2430"/>
                <w:sz w:val="18"/>
                <w:szCs w:val="18"/>
                <w:rtl/>
              </w:rPr>
              <w:t>באמרת אגב</w:t>
            </w:r>
            <w:r>
              <w:rPr>
                <w:rFonts w:ascii="Arial" w:hAnsi="Arial" w:cs="Arial" w:eastAsia="Arial"/>
                <w:color w:val="1F2430"/>
                <w:sz w:val="18"/>
                <w:szCs w:val="18"/>
                <w:rtl/>
              </w:rPr>
              <w:t xml:space="preserve"> שאין לשלול פסיקת מזונות משקמים גם לנשואים כדמו"י במצבי קיצון. לפי תשובת הפרופ' זה "</w:t>
            </w:r>
            <w:r>
              <w:rPr>
                <w:rFonts w:ascii="Arial" w:hAnsi="Arial" w:cs="Arial" w:eastAsia="Arial"/>
                <w:b/>
                <w:bCs/>
                <w:color w:val="1F2430"/>
                <w:sz w:val="18"/>
                <w:szCs w:val="18"/>
                <w:rtl/>
              </w:rPr>
              <w:t>נשאר בגדר מיעוט ולמיטב ידיעתי טרם בוצע</w:t>
            </w:r>
            <w:r>
              <w:rPr>
                <w:rFonts w:ascii="Arial" w:hAnsi="Arial" w:cs="Arial" w:eastAsia="Arial"/>
                <w:color w:val="1F2430"/>
                <w:sz w:val="18"/>
                <w:szCs w:val="18"/>
                <w:rtl/>
              </w:rPr>
              <w:t>". במבחן: נשואים כדמו"י מקבלים מזונות לפי הדין האישי, לא מזונות חוזיים.</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שתי הבהרות מתשובות הפרופ':</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סעיף 2(ב) לחוק לתיקון דיני משפחה (מזונות) מחיל את הדין האזרחי על מי ש"לא חל עליו דין אישי". השאלה אם שני יהודים מאותו מין נכנסים לגדרו "אפשר להתפלפל בה". אולם "מרגע שבא לעולם 8256/99 עולה שמי שנישא אזרחית יש לו מזונות חוזיים".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צמצום התביעה של האישה בפלונית עד למועד ההריון היה "סתם מעשה אצילי" ולא דרישה של הדין.</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8.8 ידועים בציבור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ידועים בציבור</w:t>
            </w:r>
          </w:p>
          <w:p>
            <w:pPr>
              <w:bidi/>
              <w:spacing w:before="0" w:after="60" w:line="300" w:lineRule="auto"/>
              <w:jc w:val="both"/>
            </w:pPr>
            <w:r>
              <w:rPr>
                <w:rFonts w:ascii="Arial" w:hAnsi="Arial" w:cs="Arial" w:eastAsia="Arial"/>
                <w:color w:val="1F2430"/>
                <w:sz w:val="18"/>
                <w:szCs w:val="18"/>
                <w:rtl/>
              </w:rPr>
              <w:t xml:space="preserve">כינוי למערכת יחסים זוגית (גם בין בני אותו מין) המדמה נישואין, </w:t>
            </w:r>
            <w:r>
              <w:rPr>
                <w:rFonts w:ascii="Arial" w:hAnsi="Arial" w:cs="Arial" w:eastAsia="Arial"/>
                <w:b/>
                <w:bCs/>
                <w:color w:val="1F2430"/>
                <w:sz w:val="18"/>
                <w:szCs w:val="18"/>
                <w:rtl/>
              </w:rPr>
              <w:t>בלי טקס ובלי רישום</w:t>
            </w:r>
            <w:r>
              <w:rPr>
                <w:rFonts w:ascii="Arial" w:hAnsi="Arial" w:cs="Arial" w:eastAsia="Arial"/>
                <w:color w:val="1F2430"/>
                <w:sz w:val="18"/>
                <w:szCs w:val="18"/>
                <w:rtl/>
              </w:rPr>
              <w:t xml:space="preserve">. זהו </w:t>
            </w:r>
            <w:r>
              <w:rPr>
                <w:rFonts w:ascii="Arial" w:hAnsi="Arial" w:cs="Arial" w:eastAsia="Arial"/>
                <w:b/>
                <w:bCs/>
                <w:color w:val="1F2430"/>
                <w:sz w:val="18"/>
                <w:szCs w:val="18"/>
                <w:rtl/>
              </w:rPr>
              <w:t>מצב עובדתי ולא סטטוס</w:t>
            </w:r>
            <w:r>
              <w:rPr>
                <w:rFonts w:ascii="Arial" w:hAnsi="Arial" w:cs="Arial" w:eastAsia="Arial"/>
                <w:color w:val="1F2430"/>
                <w:sz w:val="18"/>
                <w:szCs w:val="18"/>
                <w:rtl/>
              </w:rPr>
              <w:t>: הוא אינו משנה את המעמד האישי, ואין "ידוע בציבור" במרשם. "הגדרתה המשפטית המדויקת של הידועה בציבור כאשתו היא קשה כקריעת ים סוף" (ע"א 42/65 דרדיאן נ' עמידר).</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התנאים הבסיסיים</w:t>
      </w:r>
      <w:r>
        <w:rPr>
          <w:rFonts w:ascii="Arial" w:hAnsi="Arial" w:cs="Arial" w:eastAsia="Arial"/>
          <w:color w:val="1F2430"/>
          <w:sz w:val="19"/>
          <w:szCs w:val="19"/>
          <w:rtl/>
        </w:rPr>
        <w:t xml:space="preserve"> (סעיף 55 לחוק הירושה, שהפסיקה אימצה): </w:t>
      </w:r>
      <w:r>
        <w:rPr>
          <w:rFonts w:ascii="Arial" w:hAnsi="Arial" w:cs="Arial" w:eastAsia="Arial"/>
          <w:b/>
          <w:bCs/>
          <w:color w:val="1F2430"/>
          <w:sz w:val="19"/>
          <w:szCs w:val="19"/>
          <w:rtl/>
        </w:rPr>
        <w:t>חיי משפחה</w:t>
      </w:r>
      <w:r>
        <w:rPr>
          <w:rFonts w:ascii="Arial" w:hAnsi="Arial" w:cs="Arial" w:eastAsia="Arial"/>
          <w:color w:val="1F2430"/>
          <w:sz w:val="19"/>
          <w:szCs w:val="19"/>
          <w:rtl/>
        </w:rPr>
        <w:t xml:space="preserve"> (קשר קבוע, אינטימיות, נאמנות ויחסי אישות, לא קשר מזדמן) ו</w:t>
      </w:r>
      <w:r>
        <w:rPr>
          <w:rFonts w:ascii="Arial" w:hAnsi="Arial" w:cs="Arial" w:eastAsia="Arial"/>
          <w:b/>
          <w:bCs/>
          <w:color w:val="1F2430"/>
          <w:sz w:val="19"/>
          <w:szCs w:val="19"/>
          <w:rtl/>
        </w:rPr>
        <w:t>משק בית משותף</w:t>
      </w:r>
      <w:r>
        <w:rPr>
          <w:rFonts w:ascii="Arial" w:hAnsi="Arial" w:cs="Arial" w:eastAsia="Arial"/>
          <w:color w:val="1F2430"/>
          <w:sz w:val="19"/>
          <w:szCs w:val="19"/>
          <w:rtl/>
        </w:rPr>
        <w:t xml:space="preserve"> (קשירת גורל, לא "דירת סטודנטים"). כיום </w:t>
      </w:r>
      <w:r>
        <w:rPr>
          <w:rFonts w:ascii="Arial" w:hAnsi="Arial" w:cs="Arial" w:eastAsia="Arial"/>
          <w:b/>
          <w:bCs/>
          <w:color w:val="1F2430"/>
          <w:sz w:val="19"/>
          <w:szCs w:val="19"/>
          <w:rtl/>
        </w:rPr>
        <w:t>אין חובה לגור תחת קורת גג אחת</w:t>
      </w:r>
      <w:r>
        <w:rPr>
          <w:rFonts w:ascii="Arial" w:hAnsi="Arial" w:cs="Arial" w:eastAsia="Arial"/>
          <w:color w:val="1F2430"/>
          <w:sz w:val="19"/>
          <w:szCs w:val="19"/>
          <w:rtl/>
        </w:rPr>
        <w:t xml:space="preserve">; הוכרו גם בני זוג שגרו לסירוגין בשתי דירות. בעבר נדרשו עדויות שהציבור סבר שהם נשואים. היום בודקים את </w:t>
      </w:r>
      <w:r>
        <w:rPr>
          <w:rFonts w:ascii="Arial" w:hAnsi="Arial" w:cs="Arial" w:eastAsia="Arial"/>
          <w:b/>
          <w:bCs/>
          <w:color w:val="1F2430"/>
          <w:sz w:val="19"/>
          <w:szCs w:val="19"/>
          <w:rtl/>
        </w:rPr>
        <w:t>"אומד דעתם" של הצדדים</w:t>
      </w:r>
      <w:r>
        <w:rPr>
          <w:rFonts w:ascii="Arial" w:hAnsi="Arial" w:cs="Arial" w:eastAsia="Arial"/>
          <w:color w:val="1F2430"/>
          <w:sz w:val="19"/>
          <w:szCs w:val="19"/>
          <w:rtl/>
        </w:rPr>
        <w:t xml:space="preserve">, ונטל ההוכחה מוטל על הטוען. </w:t>
      </w:r>
      <w:r>
        <w:rPr>
          <w:rFonts w:ascii="Arial" w:hAnsi="Arial" w:cs="Arial" w:eastAsia="Arial"/>
          <w:b/>
          <w:bCs/>
          <w:color w:val="1F2430"/>
          <w:sz w:val="19"/>
          <w:szCs w:val="19"/>
          <w:rtl/>
        </w:rPr>
        <w:t>אדם נשוי יכול להיות ידוע בציבור</w:t>
      </w:r>
      <w:r>
        <w:rPr>
          <w:rFonts w:ascii="Arial" w:hAnsi="Arial" w:cs="Arial" w:eastAsia="Arial"/>
          <w:color w:val="1F2430"/>
          <w:sz w:val="19"/>
          <w:szCs w:val="19"/>
          <w:rtl/>
        </w:rPr>
        <w:t>: חיים משותפים אינם עבירת ביגמיה (8.9).</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רע"א 3323/23 שלמה חברה לביטוח נ' פלוני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גבר חי כשנה וחצי עם בת זוג שאינה יהודייה. הם ניהלו משק בית משותף ואף נרשמו לנישואין בקפריסין. לפני החתונה נהרגה בת הזוג בתאונה, והגבר תבע זכויות כידוע בציבור. השלום והמחוזי הכירו בו כידוע בציבור.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w:t>
            </w:r>
            <w:r>
              <w:rPr>
                <w:rFonts w:ascii="Arial" w:hAnsi="Arial" w:cs="Arial" w:eastAsia="Arial"/>
                <w:b/>
                <w:bCs/>
                <w:color w:val="1F2430"/>
                <w:sz w:val="18"/>
                <w:szCs w:val="18"/>
                <w:rtl/>
              </w:rPr>
              <w:t>החמיר את המבחן</w:t>
            </w:r>
            <w:r>
              <w:rPr>
                <w:rFonts w:ascii="Arial" w:hAnsi="Arial" w:cs="Arial" w:eastAsia="Arial"/>
                <w:color w:val="1F2430"/>
                <w:sz w:val="18"/>
                <w:szCs w:val="18"/>
                <w:rtl/>
              </w:rPr>
              <w:t xml:space="preserve">. מגורים ומשק בית משותף לא תמיד מספיקים. יש לבחון אם היה </w:t>
            </w:r>
            <w:r>
              <w:rPr>
                <w:rFonts w:ascii="Arial" w:hAnsi="Arial" w:cs="Arial" w:eastAsia="Arial"/>
                <w:b/>
                <w:bCs/>
                <w:color w:val="1F2430"/>
                <w:sz w:val="18"/>
                <w:szCs w:val="18"/>
                <w:rtl/>
              </w:rPr>
              <w:t>אומד דעת של שני הצדדים ליצור קשר זוגי מחייב הדומה לנישואין</w:t>
            </w:r>
            <w:r>
              <w:rPr>
                <w:rFonts w:ascii="Arial" w:hAnsi="Arial" w:cs="Arial" w:eastAsia="Arial"/>
                <w:color w:val="1F2430"/>
                <w:sz w:val="18"/>
                <w:szCs w:val="18"/>
                <w:rtl/>
              </w:rPr>
              <w:t xml:space="preserve">. </w:t>
            </w:r>
            <w:r>
              <w:rPr>
                <w:rFonts w:ascii="Arial" w:hAnsi="Arial" w:cs="Arial" w:eastAsia="Arial"/>
                <w:b/>
                <w:bCs/>
                <w:color w:val="1F2430"/>
                <w:sz w:val="18"/>
                <w:szCs w:val="18"/>
                <w:rtl/>
              </w:rPr>
              <w:t>שש אינדיקציות</w:t>
            </w:r>
            <w:r>
              <w:rPr>
                <w:rFonts w:ascii="Arial" w:hAnsi="Arial" w:cs="Arial" w:eastAsia="Arial"/>
                <w:color w:val="1F2430"/>
                <w:sz w:val="18"/>
                <w:szCs w:val="18"/>
                <w:rtl/>
              </w:rPr>
              <w:t xml:space="preserve"> (רשימה פתוחה, </w:t>
            </w:r>
            <w:r>
              <w:rPr>
                <w:rFonts w:ascii="Arial" w:hAnsi="Arial" w:cs="Arial" w:eastAsia="Arial"/>
                <w:b/>
                <w:bCs/>
                <w:color w:val="1F2430"/>
                <w:sz w:val="18"/>
                <w:szCs w:val="18"/>
                <w:rtl/>
              </w:rPr>
              <w:t>לא תנאים מצטברים</w:t>
            </w:r>
            <w:r>
              <w:rPr>
                <w:rFonts w:ascii="Arial" w:hAnsi="Arial" w:cs="Arial" w:eastAsia="Arial"/>
                <w:color w:val="1F2430"/>
                <w:sz w:val="18"/>
                <w:szCs w:val="18"/>
                <w:rtl/>
              </w:rPr>
              <w:t xml:space="preserve">): שיתוף בנכסים; רישום רשמי בכתובת משותפת; חשבון בנק משותף; ילדים משותפים; רישום בן הזוג כמוטב בפוליסה; טקס פורמלי שמבטא מיסוד.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המבחן העדכני להכרה בידועים בציבור.</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האם מסדרים גט לידועים בציבור?</w:t>
      </w:r>
      <w:r>
        <w:rPr>
          <w:rFonts w:ascii="Arial" w:hAnsi="Arial" w:cs="Arial" w:eastAsia="Arial"/>
          <w:color w:val="1F2430"/>
          <w:sz w:val="19"/>
          <w:szCs w:val="19"/>
          <w:rtl/>
        </w:rPr>
        <w:t xml:space="preserve"> בתיק 1178079/1 פלונית נ' פלוני (אזורי ירושלים) חיו בני זוג שאינם שומרי מצוות כ־11 שנים ונולדו להם שני ילדים. היו הכנות לחתונה, אך שום טקס לא נערך. האישה ביקשה גט לחומרא. בית הדין קבע </w:t>
      </w:r>
      <w:r>
        <w:rPr>
          <w:rFonts w:ascii="Arial" w:hAnsi="Arial" w:cs="Arial" w:eastAsia="Arial"/>
          <w:b/>
          <w:bCs/>
          <w:color w:val="1F2430"/>
          <w:sz w:val="19"/>
          <w:szCs w:val="19"/>
          <w:rtl/>
        </w:rPr>
        <w:t>שאין צורך בגט, אפילו לא לחומרא</w:t>
      </w:r>
      <w:r>
        <w:rPr>
          <w:rFonts w:ascii="Arial" w:hAnsi="Arial" w:cs="Arial" w:eastAsia="Arial"/>
          <w:color w:val="1F2430"/>
          <w:sz w:val="19"/>
          <w:szCs w:val="19"/>
          <w:rtl/>
        </w:rPr>
        <w:t xml:space="preserve">. גט מסדרים רק כאשר: (1) בני זוג שהתגרשו </w:t>
      </w:r>
      <w:r>
        <w:rPr>
          <w:rFonts w:ascii="Arial" w:hAnsi="Arial" w:cs="Arial" w:eastAsia="Arial"/>
          <w:b/>
          <w:bCs/>
          <w:color w:val="1F2430"/>
          <w:sz w:val="19"/>
          <w:szCs w:val="19"/>
          <w:rtl/>
        </w:rPr>
        <w:t>חזרו לחיות יחד</w:t>
      </w:r>
      <w:r>
        <w:rPr>
          <w:rFonts w:ascii="Arial" w:hAnsi="Arial" w:cs="Arial" w:eastAsia="Arial"/>
          <w:color w:val="1F2430"/>
          <w:sz w:val="19"/>
          <w:szCs w:val="19"/>
          <w:rtl/>
        </w:rPr>
        <w:t xml:space="preserve"> (חשש לקידושי ביאה); (2) נישואין </w:t>
      </w:r>
      <w:r>
        <w:rPr>
          <w:rFonts w:ascii="Arial" w:hAnsi="Arial" w:cs="Arial" w:eastAsia="Arial"/>
          <w:b/>
          <w:bCs/>
          <w:color w:val="1F2430"/>
          <w:sz w:val="19"/>
          <w:szCs w:val="19"/>
          <w:rtl/>
        </w:rPr>
        <w:t>אזרחיים</w:t>
      </w:r>
      <w:r>
        <w:rPr>
          <w:rFonts w:ascii="Arial" w:hAnsi="Arial" w:cs="Arial" w:eastAsia="Arial"/>
          <w:color w:val="1F2430"/>
          <w:sz w:val="19"/>
          <w:szCs w:val="19"/>
          <w:rtl/>
        </w:rPr>
        <w:t xml:space="preserve"> מכל סוג; (3) נישואין </w:t>
      </w:r>
      <w:r>
        <w:rPr>
          <w:rFonts w:ascii="Arial" w:hAnsi="Arial" w:cs="Arial" w:eastAsia="Arial"/>
          <w:b/>
          <w:bCs/>
          <w:color w:val="1F2430"/>
          <w:sz w:val="19"/>
          <w:szCs w:val="19"/>
          <w:rtl/>
        </w:rPr>
        <w:t>פרטיים</w:t>
      </w:r>
      <w:r>
        <w:rPr>
          <w:rFonts w:ascii="Arial" w:hAnsi="Arial" w:cs="Arial" w:eastAsia="Arial"/>
          <w:color w:val="1F2430"/>
          <w:sz w:val="19"/>
          <w:szCs w:val="19"/>
          <w:rtl/>
        </w:rPr>
        <w:t xml:space="preserve">. ההיגיון: ידועים בציבור </w:t>
      </w:r>
      <w:r>
        <w:rPr>
          <w:rFonts w:ascii="Arial" w:hAnsi="Arial" w:cs="Arial" w:eastAsia="Arial"/>
          <w:b/>
          <w:bCs/>
          <w:color w:val="1F2430"/>
          <w:sz w:val="19"/>
          <w:szCs w:val="19"/>
          <w:rtl/>
        </w:rPr>
        <w:t>מלכתחילה לא רצו להינשא</w:t>
      </w:r>
      <w:r>
        <w:rPr>
          <w:rFonts w:ascii="Arial" w:hAnsi="Arial" w:cs="Arial" w:eastAsia="Arial"/>
          <w:color w:val="1F2430"/>
          <w:sz w:val="19"/>
          <w:szCs w:val="19"/>
          <w:rtl/>
        </w:rPr>
        <w:t>. לכן "החזקה" שביאה נעשתה לשם קידושין כמעט אינה מועלית אצלם, לעומת מי שנישא אזרחית ורצה נישואין. התביעה נדחתה ללא צו הוצאות, כי האישה פנתה בתום לב.</w:t>
      </w:r>
    </w:p>
    <w:p>
      <w:pPr>
        <w:bidi/>
        <w:spacing w:before="0" w:after="100" w:line="300" w:lineRule="auto"/>
        <w:jc w:val="both"/>
      </w:pPr>
      <w:r>
        <w:rPr>
          <w:rFonts w:ascii="Arial" w:hAnsi="Arial" w:cs="Arial" w:eastAsia="Arial"/>
          <w:b/>
          <w:bCs/>
          <w:color w:val="1F2430"/>
          <w:sz w:val="19"/>
          <w:szCs w:val="19"/>
          <w:rtl/>
        </w:rPr>
        <w:t>זכויות ידועים בציבור:</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מזונות</w:t>
      </w:r>
      <w:r>
        <w:rPr>
          <w:rFonts w:ascii="Arial" w:hAnsi="Arial" w:cs="Arial" w:eastAsia="Arial"/>
          <w:color w:val="1F2430"/>
          <w:sz w:val="19"/>
          <w:szCs w:val="19"/>
          <w:rtl/>
        </w:rPr>
        <w:t>: חוזיים בלבד (פלונית), לא לפי דין תורה, שכן אין ביניהם דין אישי לעניין מזונות בן זוג. (מזונות ילדים, לעומת זאת, נפסקים לפי הדין האישי ואינם תלויים בצורת הקשר.)</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ירושה</w:t>
      </w:r>
      <w:r>
        <w:rPr>
          <w:rFonts w:ascii="Arial" w:hAnsi="Arial" w:cs="Arial" w:eastAsia="Arial"/>
          <w:color w:val="1F2430"/>
          <w:sz w:val="19"/>
          <w:szCs w:val="19"/>
          <w:rtl/>
        </w:rPr>
        <w:t xml:space="preserve">: סעיף 55 לחוק הירושה. </w:t>
      </w:r>
      <w:r>
        <w:rPr>
          <w:rFonts w:ascii="Arial" w:hAnsi="Arial" w:cs="Arial" w:eastAsia="Arial"/>
          <w:b/>
          <w:bCs/>
          <w:color w:val="1F2430"/>
          <w:sz w:val="19"/>
          <w:szCs w:val="19"/>
          <w:rtl/>
        </w:rPr>
        <w:t>מזונות מן העיזבון</w:t>
      </w:r>
      <w:r>
        <w:rPr>
          <w:rFonts w:ascii="Arial" w:hAnsi="Arial" w:cs="Arial" w:eastAsia="Arial"/>
          <w:color w:val="1F2430"/>
          <w:sz w:val="19"/>
          <w:szCs w:val="19"/>
          <w:rtl/>
        </w:rPr>
        <w:t>: סעיף 57(ג), "כאילו היו נשואים זה לזה", בתנאי שבשעת המוות אף אחד מהם לא היה נשוי לאחר.</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רכוש</w:t>
      </w:r>
      <w:r>
        <w:rPr>
          <w:rFonts w:ascii="Arial" w:hAnsi="Arial" w:cs="Arial" w:eastAsia="Arial"/>
          <w:color w:val="1F2430"/>
          <w:sz w:val="19"/>
          <w:szCs w:val="19"/>
          <w:rtl/>
        </w:rPr>
        <w:t>: הלכת השיתוף, בדרישה לכוונת שיתוף ספציפית (פרק 11). חוק יחסי ממון אינו חל עליהם.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הסכם ממון</w:t>
      </w:r>
      <w:r>
        <w:rPr>
          <w:rFonts w:ascii="Arial" w:hAnsi="Arial" w:cs="Arial" w:eastAsia="Arial"/>
          <w:color w:val="1F2430"/>
          <w:sz w:val="19"/>
          <w:szCs w:val="19"/>
          <w:rtl/>
        </w:rPr>
        <w:t xml:space="preserve">: </w:t>
      </w:r>
      <w:r>
        <w:rPr>
          <w:rFonts w:ascii="Arial" w:hAnsi="Arial" w:cs="Arial" w:eastAsia="Arial"/>
          <w:b/>
          <w:bCs/>
          <w:color w:val="1F2430"/>
          <w:sz w:val="19"/>
          <w:szCs w:val="19"/>
          <w:rtl/>
        </w:rPr>
        <w:t>אינו טעון אישור</w:t>
      </w:r>
      <w:r>
        <w:rPr>
          <w:rFonts w:ascii="Arial" w:hAnsi="Arial" w:cs="Arial" w:eastAsia="Arial"/>
          <w:color w:val="1F2430"/>
          <w:sz w:val="19"/>
          <w:szCs w:val="19"/>
          <w:rtl/>
        </w:rPr>
        <w:t>. לפי תשובת הפרופ', "מספיק לחתום בבית". אם רוצים, אפשר לאשרו מכוח חוק בית המשפט לענייני משפחה, שבו "בן משפחה" כולל את "הידועה בציבור כאשתו".</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התניה מראש</w:t>
      </w:r>
      <w:r>
        <w:rPr>
          <w:rFonts w:ascii="Arial" w:hAnsi="Arial" w:cs="Arial" w:eastAsia="Arial"/>
          <w:color w:val="1F2430"/>
          <w:sz w:val="19"/>
          <w:szCs w:val="19"/>
          <w:rtl/>
        </w:rPr>
        <w:t xml:space="preserve"> ("איננו ידועים בציבור"): לא בהכרח תכובד. בעניין </w:t>
      </w:r>
      <w:r>
        <w:rPr>
          <w:rFonts w:ascii="Arial" w:hAnsi="Arial" w:cs="Arial" w:eastAsia="Arial"/>
          <w:b/>
          <w:bCs/>
          <w:color w:val="1F2430"/>
          <w:sz w:val="19"/>
          <w:szCs w:val="19"/>
          <w:rtl/>
        </w:rPr>
        <w:t>בר נאור</w:t>
      </w:r>
      <w:r>
        <w:rPr>
          <w:rFonts w:ascii="Arial" w:hAnsi="Arial" w:cs="Arial" w:eastAsia="Arial"/>
          <w:color w:val="1F2430"/>
          <w:sz w:val="19"/>
          <w:szCs w:val="19"/>
          <w:rtl/>
        </w:rPr>
        <w:t xml:space="preserve"> נקבע ש"לא ניתן לשלול מראש בהסכמה מסקנה משפטית העולה מעובדות מוכחות". בתמ"ש 51940/98 (השופט שוחט) הוצדקה סטייה מהסכם כזה: ההסכם שיקף ניצול, והחיים בפועל לאורך 20 שנה לא תאמו אותו.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נישואין דתיים מול ידועים בציבור</w:t>
            </w:r>
          </w:p>
          <w:p>
            <w:pPr>
              <w:bidi/>
              <w:spacing w:before="0" w:after="60" w:line="300" w:lineRule="auto"/>
              <w:jc w:val="both"/>
            </w:pPr>
            <w:r>
              <w:rPr>
                <w:rFonts w:ascii="Arial" w:hAnsi="Arial" w:cs="Arial" w:eastAsia="Arial"/>
                <w:color w:val="1F2430"/>
                <w:sz w:val="18"/>
                <w:szCs w:val="18"/>
                <w:rtl/>
              </w:rPr>
              <w:t>נישואין דתיים: "קשה להיכנס וקשה לצאת", טוב למי שרוצה להישאר. ידועים בציבור: "קל להיכנס וקל לצאת", טוב לחזק. החלש צריך להתאמץ כדי להוכיח את הקשר ואת השיתוף.</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8.9 ביגמיה, נישואין אזרחיים וידועים בציבור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העונשין, סעיף 176 – ריבוי נישואין</w:t>
            </w:r>
          </w:p>
          <w:p>
            <w:pPr>
              <w:bidi/>
              <w:spacing w:before="0" w:after="60" w:line="300" w:lineRule="auto"/>
              <w:jc w:val="both"/>
            </w:pPr>
            <w:r>
              <w:rPr>
                <w:rFonts w:ascii="Arial" w:hAnsi="Arial" w:cs="Arial" w:eastAsia="Arial"/>
                <w:color w:val="1F2430"/>
                <w:sz w:val="18"/>
                <w:szCs w:val="18"/>
                <w:rtl/>
              </w:rPr>
              <w:t>"נשוי הנושא אישה אחרת, ונשואה הנישאת לאיש אחר, דינם – מאסר חמש שנים."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178</w:t>
      </w:r>
      <w:r>
        <w:rPr>
          <w:rFonts w:ascii="Arial" w:hAnsi="Arial" w:cs="Arial" w:eastAsia="Arial"/>
          <w:color w:val="1F2430"/>
          <w:sz w:val="19"/>
          <w:szCs w:val="19"/>
          <w:rtl/>
        </w:rPr>
        <w:t xml:space="preserve">: אין נפקא מינה אם הנישואין הקודמים תקפים לפי דין המדינה שבה נערכו או לפי דין דתי; אם הנישואין החדשים </w:t>
      </w:r>
      <w:r>
        <w:rPr>
          <w:rFonts w:ascii="Arial" w:hAnsi="Arial" w:cs="Arial" w:eastAsia="Arial"/>
          <w:b/>
          <w:bCs/>
          <w:color w:val="1F2430"/>
          <w:sz w:val="19"/>
          <w:szCs w:val="19"/>
          <w:rtl/>
        </w:rPr>
        <w:t>תקפים או בטלים</w:t>
      </w:r>
      <w:r>
        <w:rPr>
          <w:rFonts w:ascii="Arial" w:hAnsi="Arial" w:cs="Arial" w:eastAsia="Arial"/>
          <w:color w:val="1F2430"/>
          <w:sz w:val="19"/>
          <w:szCs w:val="19"/>
          <w:rtl/>
        </w:rPr>
        <w:t xml:space="preserve">; ואם נערכו </w:t>
      </w:r>
      <w:r>
        <w:rPr>
          <w:rFonts w:ascii="Arial" w:hAnsi="Arial" w:cs="Arial" w:eastAsia="Arial"/>
          <w:b/>
          <w:bCs/>
          <w:color w:val="1F2430"/>
          <w:sz w:val="19"/>
          <w:szCs w:val="19"/>
          <w:rtl/>
        </w:rPr>
        <w:t>מחוץ לישראל</w:t>
      </w:r>
      <w:r>
        <w:rPr>
          <w:rFonts w:ascii="Arial" w:hAnsi="Arial" w:cs="Arial" w:eastAsia="Arial"/>
          <w:color w:val="1F2430"/>
          <w:sz w:val="19"/>
          <w:szCs w:val="19"/>
          <w:rtl/>
        </w:rPr>
        <w:t>, ובלבד שהנושא היה אזרח או תושב ישראל. לכן נשוי כדמו"י שנישא אזרחית בחו"ל עובר עבירה.</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179</w:t>
      </w:r>
      <w:r>
        <w:rPr>
          <w:rFonts w:ascii="Arial" w:hAnsi="Arial" w:cs="Arial" w:eastAsia="Arial"/>
          <w:color w:val="1F2430"/>
          <w:sz w:val="19"/>
          <w:szCs w:val="19"/>
          <w:rtl/>
        </w:rPr>
        <w:t xml:space="preserve">: אין הרשעה אם ניתן </w:t>
      </w:r>
      <w:r>
        <w:rPr>
          <w:rFonts w:ascii="Arial" w:hAnsi="Arial" w:cs="Arial" w:eastAsia="Arial"/>
          <w:b/>
          <w:bCs/>
          <w:color w:val="1F2430"/>
          <w:sz w:val="19"/>
          <w:szCs w:val="19"/>
          <w:rtl/>
        </w:rPr>
        <w:t>היתר נישואין</w:t>
      </w:r>
      <w:r>
        <w:rPr>
          <w:rFonts w:ascii="Arial" w:hAnsi="Arial" w:cs="Arial" w:eastAsia="Arial"/>
          <w:color w:val="1F2430"/>
          <w:sz w:val="19"/>
          <w:szCs w:val="19"/>
          <w:rtl/>
        </w:rPr>
        <w:t xml:space="preserve"> בפסק דין סופי של בית דין רבני שאושר בידי נשיא בית הדין הרבני הגדול (רקע: חרם דרבנו גרשום – פרק 7).</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העבירה עוסקת </w:t>
      </w:r>
      <w:r>
        <w:rPr>
          <w:rFonts w:ascii="Arial" w:hAnsi="Arial" w:cs="Arial" w:eastAsia="Arial"/>
          <w:b/>
          <w:bCs/>
          <w:color w:val="1F2430"/>
          <w:sz w:val="19"/>
          <w:szCs w:val="19"/>
          <w:rtl/>
        </w:rPr>
        <w:t>בטקס נישואין נוסף</w:t>
      </w:r>
      <w:r>
        <w:rPr>
          <w:rFonts w:ascii="Arial" w:hAnsi="Arial" w:cs="Arial" w:eastAsia="Arial"/>
          <w:color w:val="1F2430"/>
          <w:sz w:val="19"/>
          <w:szCs w:val="19"/>
          <w:rtl/>
        </w:rPr>
        <w:t xml:space="preserve">. נשוי שחי עם אחרת </w:t>
      </w:r>
      <w:r>
        <w:rPr>
          <w:rFonts w:ascii="Arial" w:hAnsi="Arial" w:cs="Arial" w:eastAsia="Arial"/>
          <w:b/>
          <w:bCs/>
          <w:color w:val="1F2430"/>
          <w:sz w:val="19"/>
          <w:szCs w:val="19"/>
          <w:rtl/>
        </w:rPr>
        <w:t>כידועה בציבור אינו עובר עליה</w:t>
      </w:r>
      <w:r>
        <w:rPr>
          <w:rFonts w:ascii="Arial" w:hAnsi="Arial" w:cs="Arial" w:eastAsia="Arial"/>
          <w:color w:val="1F2430"/>
          <w:sz w:val="19"/>
          <w:szCs w:val="19"/>
          <w:rtl/>
        </w:rPr>
        <w:t>.</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8.10 טבלת סיכום – כל המצבים</w:t>
      </w:r>
    </w:p>
    <w:tbl>
      <w:tblPr>
        <w:tblW w:type="dxa" w:w="10206"/>
        <w:jc w:val="center"/>
        <w:tblLook w:firstColumn="1" w:firstRow="1" w:lastColumn="0" w:lastRow="0" w:noHBand="0" w:noVBand="1" w:val="04A0"/>
        <w:bidiVisual/>
        <w:tblLayout w:type="fixed"/>
      </w:tblPr>
      <w:tblGrid>
        <w:gridCol w:w="1759"/>
        <w:gridCol w:w="2674"/>
        <w:gridCol w:w="1830"/>
        <w:gridCol w:w="1900"/>
        <w:gridCol w:w="2041"/>
      </w:tblGrid>
      <w:tr>
        <w:trPr>
          <w:tblHeader/>
        </w:trPr>
        <w:tc>
          <w:tcPr>
            <w:tcW w:type="dxa" w:w="1759"/>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2674"/>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גט / התרה</w:t>
            </w:r>
          </w:p>
        </w:tc>
        <w:tc>
          <w:tcPr>
            <w:tcW w:type="dxa" w:w="1830"/>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מזונות בבית הדין הרבני</w:t>
            </w:r>
          </w:p>
        </w:tc>
        <w:tc>
          <w:tcPr>
            <w:tcW w:type="dxa" w:w="1900"/>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זכויות בבית המשפט האזרחי</w:t>
            </w:r>
          </w:p>
        </w:tc>
        <w:tc>
          <w:tcPr>
            <w:tcW w:type="dxa" w:w="2041"/>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מרשם</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כשירי חיתון – אזרחיים</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ייתכן גט מספק; הנטייה להקל: התרה בפס"ד</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בדרך כלל אין</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 חוזיים (פלונית)</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נרשמים</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פסולי חיתון – אזרחיים</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גט מספק; נטייה להחמיר</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אין (לא מוציאים ממון מספק)</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זכויות ממוניות</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נרשמים</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תושבי חו"ל שנישאו שם ועלו</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גט מספק; נטייה להחמיר</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יכולים לקבל לפי הדין הדתי</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זכויות לפי הדין (סקורניק)</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נרשמים</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מעורבים / חד־מיניים</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אין תוקף דתי; התרה בבית המשפט</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אין סמכות</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זכויות אזרחיות</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נרשמים (פונק שלזינגר, בן ארי)</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כשירי חיתון – פרטיים</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ייתכן גט מספק</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בדרך כלל אין</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נטייה שלא לתת (צונן)</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בדרך כלל לא</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פסולי חיתון – פרטיים</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גט מספק</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בדרך כלל אין</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נטייה לתת (כהן)</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ניתן (רודניצקי)</w:t>
            </w:r>
          </w:p>
        </w:tc>
      </w:tr>
      <w:tr>
        <w:trPr>
          <w:cantSplit/>
        </w:trPr>
        <w:tc>
          <w:tcPr>
            <w:tcW w:type="dxa" w:w="1759"/>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ידועים בציבור</w:t>
            </w:r>
          </w:p>
        </w:tc>
        <w:tc>
          <w:tcPr>
            <w:tcW w:type="dxa" w:w="26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צורך בגט, גם לא לחומרא</w:t>
            </w:r>
          </w:p>
        </w:tc>
        <w:tc>
          <w:tcPr>
            <w:tcW w:type="dxa" w:w="183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w:t>
            </w:r>
          </w:p>
        </w:tc>
        <w:tc>
          <w:tcPr>
            <w:tcW w:type="dxa" w:w="190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 חוזיים, ירושה, שיתוף</w:t>
            </w:r>
          </w:p>
        </w:tc>
        <w:tc>
          <w:tcPr>
            <w:tcW w:type="dxa" w:w="204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נרשמים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 נפוצות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"פסק דין להתרת נישואין דורש הסכמת שני הצדדים" – </w:t>
            </w:r>
            <w:r>
              <w:rPr>
                <w:rFonts w:ascii="Arial" w:hAnsi="Arial" w:cs="Arial" w:eastAsia="Arial"/>
                <w:b/>
                <w:bCs/>
                <w:color w:val="1F2430"/>
                <w:sz w:val="18"/>
                <w:szCs w:val="18"/>
                <w:rtl/>
              </w:rPr>
              <w:t>שגוי</w:t>
            </w:r>
            <w:r>
              <w:rPr>
                <w:rFonts w:ascii="Arial" w:hAnsi="Arial" w:cs="Arial" w:eastAsia="Arial"/>
                <w:color w:val="1F2430"/>
                <w:sz w:val="18"/>
                <w:szCs w:val="18"/>
                <w:rtl/>
              </w:rPr>
              <w:t>. די בתום הקשר.</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"בית הדין הרבני ידון גם במזונות ורכוש של מי שנישאו אזרחית" – </w:t>
            </w:r>
            <w:r>
              <w:rPr>
                <w:rFonts w:ascii="Arial" w:hAnsi="Arial" w:cs="Arial" w:eastAsia="Arial"/>
                <w:b/>
                <w:bCs/>
                <w:color w:val="1F2430"/>
                <w:sz w:val="18"/>
                <w:szCs w:val="18"/>
                <w:rtl/>
              </w:rPr>
              <w:t>שגוי</w:t>
            </w:r>
            <w:r>
              <w:rPr>
                <w:rFonts w:ascii="Arial" w:hAnsi="Arial" w:cs="Arial" w:eastAsia="Arial"/>
                <w:color w:val="1F2430"/>
                <w:sz w:val="18"/>
                <w:szCs w:val="18"/>
                <w:rtl/>
              </w:rPr>
              <w:t xml:space="preserve"> לפי בג"ץ 2232/03; הם נדונים באזרחי.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"הלכת פלונית חלה על כל זוג" – </w:t>
            </w:r>
            <w:r>
              <w:rPr>
                <w:rFonts w:ascii="Arial" w:hAnsi="Arial" w:cs="Arial" w:eastAsia="Arial"/>
                <w:b/>
                <w:bCs/>
                <w:color w:val="1F2430"/>
                <w:sz w:val="18"/>
                <w:szCs w:val="18"/>
                <w:rtl/>
              </w:rPr>
              <w:t>לא</w:t>
            </w:r>
            <w:r>
              <w:rPr>
                <w:rFonts w:ascii="Arial" w:hAnsi="Arial" w:cs="Arial" w:eastAsia="Arial"/>
                <w:color w:val="1F2430"/>
                <w:sz w:val="18"/>
                <w:szCs w:val="18"/>
                <w:rtl/>
              </w:rPr>
              <w:t xml:space="preserve"> על נשואים כדמו"י ולא על פרטיים של כשירי חיתון.</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"רישום כנשוי מוכיח תוקף" – </w:t>
            </w:r>
            <w:r>
              <w:rPr>
                <w:rFonts w:ascii="Arial" w:hAnsi="Arial" w:cs="Arial" w:eastAsia="Arial"/>
                <w:b/>
                <w:bCs/>
                <w:color w:val="1F2430"/>
                <w:sz w:val="18"/>
                <w:szCs w:val="18"/>
                <w:rtl/>
              </w:rPr>
              <w:t>לא</w:t>
            </w:r>
            <w:r>
              <w:rPr>
                <w:rFonts w:ascii="Arial" w:hAnsi="Arial" w:cs="Arial" w:eastAsia="Arial"/>
                <w:color w:val="1F2430"/>
                <w:sz w:val="18"/>
                <w:szCs w:val="18"/>
                <w:rtl/>
              </w:rPr>
              <w:t>; הרישום סטטיסטי (פרק 9).</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"זוג מעורב שנישא פרטית יירשם כמו רודניצקי" – </w:t>
            </w:r>
            <w:r>
              <w:rPr>
                <w:rFonts w:ascii="Arial" w:hAnsi="Arial" w:cs="Arial" w:eastAsia="Arial"/>
                <w:b/>
                <w:bCs/>
                <w:color w:val="1F2430"/>
                <w:sz w:val="18"/>
                <w:szCs w:val="18"/>
                <w:rtl/>
              </w:rPr>
              <w:t>לא</w:t>
            </w:r>
            <w:r>
              <w:rPr>
                <w:rFonts w:ascii="Arial" w:hAnsi="Arial" w:cs="Arial" w:eastAsia="Arial"/>
                <w:color w:val="1F2430"/>
                <w:sz w:val="18"/>
                <w:szCs w:val="18"/>
                <w:rtl/>
              </w:rPr>
              <w:t xml:space="preserve"> (טפר).</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"ידועים בציבור חייבים לגור באותה דירה" – </w:t>
            </w:r>
            <w:r>
              <w:rPr>
                <w:rFonts w:ascii="Arial" w:hAnsi="Arial" w:cs="Arial" w:eastAsia="Arial"/>
                <w:b/>
                <w:bCs/>
                <w:color w:val="1F2430"/>
                <w:sz w:val="18"/>
                <w:szCs w:val="18"/>
                <w:rtl/>
              </w:rPr>
              <w:t>לא</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נישואין פרטיים</w:t>
            </w:r>
            <w:r>
              <w:rPr>
                <w:rFonts w:ascii="Arial" w:hAnsi="Arial" w:cs="Arial" w:eastAsia="Arial"/>
                <w:color w:val="1F2430"/>
                <w:sz w:val="18"/>
                <w:szCs w:val="18"/>
                <w:rtl/>
              </w:rPr>
              <w:t>: אסורים ועבירה (סעיף 7 לפקודה), אך עשויים לתפוס הלכתית. כשירי חיתון – אין עזרה (צונן). פסולי חיתון – יש עזרה (רודניצקי, כהן), למעט זוג מעורב (טפר).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נישואין אזרחיים של יהודים</w:t>
            </w:r>
            <w:r>
              <w:rPr>
                <w:rFonts w:ascii="Arial" w:hAnsi="Arial" w:cs="Arial" w:eastAsia="Arial"/>
                <w:color w:val="1F2430"/>
                <w:sz w:val="18"/>
                <w:szCs w:val="18"/>
                <w:rtl/>
              </w:rPr>
              <w:t>: גירושין בבית הדין הרבני. כובע דתי (גט מספק) או כובע אזרחי (התרה בפסק דין, תום הקשר, ללא הסכמה). ממון – באזרחי (בג"ץ 2232/03).</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ממון</w:t>
            </w:r>
            <w:r>
              <w:rPr>
                <w:rFonts w:ascii="Arial" w:hAnsi="Arial" w:cs="Arial" w:eastAsia="Arial"/>
                <w:color w:val="1F2430"/>
                <w:sz w:val="18"/>
                <w:szCs w:val="18"/>
                <w:rtl/>
              </w:rPr>
              <w:t>: סקורניק – סטטוס זר מוכר ומזונות דתיים. פלונית – חוזה משתמע ומזונות משקמים גם לאחר הפרידה, לפי תום הלב. יציאה – רק בהסכם מפורש.</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ידועים בציבור</w:t>
            </w:r>
            <w:r>
              <w:rPr>
                <w:rFonts w:ascii="Arial" w:hAnsi="Arial" w:cs="Arial" w:eastAsia="Arial"/>
                <w:color w:val="1F2430"/>
                <w:sz w:val="18"/>
                <w:szCs w:val="18"/>
                <w:rtl/>
              </w:rPr>
              <w:t>: חיי משפחה ומשק בית משותף, ואומד דעת לקשר מחייב (שלמה לביטוח). אין גט. מזונות חוזיים, ירושה וסעיף 57(ג).</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9A6B00"/>
            <w:tcBorders>
              <w:top w:val="single" w:sz="4" w:space="0" w:color="9A6B00"/>
              <w:left w:val="single" w:sz="4" w:space="0" w:color="9A6B00"/>
              <w:bottom w:val="single" w:sz="4" w:space="0" w:color="9A6B00"/>
              <w:right w:val="single" w:sz="4" w:space="0" w:color="9A6B0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9</w:t>
            </w:r>
          </w:p>
          <w:p>
            <w:pPr>
              <w:bidi/>
              <w:spacing w:before="0" w:after="0" w:line="264" w:lineRule="auto"/>
              <w:outlineLvl w:val="0"/>
            </w:pPr>
            <w:r>
              <w:rPr>
                <w:rFonts w:ascii="Arial" w:hAnsi="Arial" w:cs="Arial" w:eastAsia="Arial"/>
                <w:b/>
                <w:bCs/>
                <w:color w:val="FFFFFF"/>
                <w:sz w:val="42"/>
                <w:szCs w:val="42"/>
                <w:rtl/>
              </w:rPr>
              <w:t>רישום נישואין ועריכת נישואין וגירושין</w:t>
            </w:r>
          </w:p>
        </w:tc>
      </w:tr>
    </w:tbl>
    <w:p>
      <w:pPr>
        <w:bidi/>
        <w:spacing w:after="0" w:before="0" w:line="20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מבוא: למה הרישום הוא נושא בפני עצמו</w:t>
      </w:r>
    </w:p>
    <w:p>
      <w:pPr>
        <w:bidi/>
        <w:spacing w:before="0" w:after="100" w:line="300" w:lineRule="auto"/>
        <w:jc w:val="both"/>
      </w:pPr>
      <w:r>
        <w:rPr>
          <w:rFonts w:ascii="Arial" w:hAnsi="Arial" w:cs="Arial" w:eastAsia="Arial"/>
          <w:color w:val="1F2430"/>
          <w:sz w:val="19"/>
          <w:szCs w:val="19"/>
          <w:rtl/>
        </w:rPr>
        <w:t>כשזוג נישא בדרך שאינה "המסלול הרגיל" (חתונה דרך הרבנות), עולות תמיד שלוש שאלות נפרדות, ואסור לערבב ביניהן:</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1. </w:t>
      </w:r>
      <w:r>
        <w:tab/>
      </w:r>
      <w:r>
        <w:rPr>
          <w:rFonts w:ascii="Arial" w:hAnsi="Arial" w:cs="Arial" w:eastAsia="Arial"/>
          <w:b/>
          <w:bCs/>
          <w:color w:val="1F2430"/>
          <w:sz w:val="19"/>
          <w:szCs w:val="19"/>
          <w:rtl/>
        </w:rPr>
        <w:t>תוקף הנישואין והגירושין</w:t>
      </w:r>
      <w:r>
        <w:rPr>
          <w:rFonts w:ascii="Arial" w:hAnsi="Arial" w:cs="Arial" w:eastAsia="Arial"/>
          <w:color w:val="1F2430"/>
          <w:sz w:val="19"/>
          <w:szCs w:val="19"/>
          <w:rtl/>
        </w:rPr>
        <w:t xml:space="preserve"> — האם הזוג נשוי מבחינה מהותית (דתית ואזרחית), והיכן יתגרש. (ראו פרקים 7–8.)</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2. </w:t>
      </w:r>
      <w:r>
        <w:tab/>
      </w:r>
      <w:r>
        <w:rPr>
          <w:rFonts w:ascii="Arial" w:hAnsi="Arial" w:cs="Arial" w:eastAsia="Arial"/>
          <w:b/>
          <w:bCs/>
          <w:color w:val="1F2430"/>
          <w:sz w:val="19"/>
          <w:szCs w:val="19"/>
          <w:rtl/>
        </w:rPr>
        <w:t>זכויות ממוניות ומזונות</w:t>
      </w:r>
      <w:r>
        <w:rPr>
          <w:rFonts w:ascii="Arial" w:hAnsi="Arial" w:cs="Arial" w:eastAsia="Arial"/>
          <w:color w:val="1F2430"/>
          <w:sz w:val="19"/>
          <w:szCs w:val="19"/>
          <w:rtl/>
        </w:rPr>
        <w:t xml:space="preserve"> — האם יש חובות כספיות בין בני הזוג (למשל מזונות חוזיים/משקמים לפי הלכת פלונית של ברק). (ראו פרק 8.)</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3. </w:t>
      </w:r>
      <w:r>
        <w:tab/>
      </w:r>
      <w:r>
        <w:rPr>
          <w:rFonts w:ascii="Arial" w:hAnsi="Arial" w:cs="Arial" w:eastAsia="Arial"/>
          <w:b/>
          <w:bCs/>
          <w:color w:val="1F2430"/>
          <w:sz w:val="19"/>
          <w:szCs w:val="19"/>
          <w:rtl/>
        </w:rPr>
        <w:t>רישום במרשם האוכלוסין</w:t>
      </w:r>
      <w:r>
        <w:rPr>
          <w:rFonts w:ascii="Arial" w:hAnsi="Arial" w:cs="Arial" w:eastAsia="Arial"/>
          <w:color w:val="1F2430"/>
          <w:sz w:val="19"/>
          <w:szCs w:val="19"/>
          <w:rtl/>
        </w:rPr>
        <w:t xml:space="preserve"> — מה ייכתב בתעודת הזהות: רווק, נשוי, גרוש או אלמן.</w:t>
      </w:r>
    </w:p>
    <w:p>
      <w:pPr>
        <w:bidi/>
        <w:spacing w:before="0" w:after="100" w:line="300" w:lineRule="auto"/>
        <w:jc w:val="both"/>
      </w:pPr>
      <w:r>
        <w:rPr>
          <w:rFonts w:ascii="Arial" w:hAnsi="Arial" w:cs="Arial" w:eastAsia="Arial"/>
          <w:color w:val="1F2430"/>
          <w:sz w:val="19"/>
          <w:szCs w:val="19"/>
          <w:rtl/>
        </w:rPr>
        <w:t>הפרק הזה עוסק בשאלה השלישית, וכן בכללים הפליליים והמנהליים שנועדו להבטיח שנישואין וגירושין ייערכו וירשמו כדין: פקודת הנישואין והגירושין (רישום) ועבירות ריבוי הנישואין בחוק העונשין.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העיקרון המרכזי של הפרק</w:t>
            </w:r>
          </w:p>
          <w:p>
            <w:pPr>
              <w:bidi/>
              <w:spacing w:before="0" w:after="60" w:line="300" w:lineRule="auto"/>
              <w:jc w:val="both"/>
            </w:pPr>
            <w:r>
              <w:rPr>
                <w:rFonts w:ascii="Arial" w:hAnsi="Arial" w:cs="Arial" w:eastAsia="Arial"/>
                <w:color w:val="1F2430"/>
                <w:sz w:val="18"/>
                <w:szCs w:val="18"/>
                <w:highlight w:val="yellow"/>
                <w:rtl/>
              </w:rPr>
              <w:t>רישום במרשם אינו שווה להכרה מהותית בתוקף הנישואין.</w:t>
            </w:r>
            <w:r>
              <w:rPr>
                <w:rFonts w:ascii="Arial" w:hAnsi="Arial" w:cs="Arial" w:eastAsia="Arial"/>
                <w:color w:val="1F2430"/>
                <w:sz w:val="18"/>
                <w:szCs w:val="18"/>
                <w:rtl/>
              </w:rPr>
              <w:t xml:space="preserve"> המרשם הוא בעיקרו "מאסף סטטיסטי". פקיד הרישום אינו בית משפט, ואינו מכריע אם נישואין תקפים — הוא רושם את מה שעולה מתעודה ציבורית תקינה.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טיפ למבחן</w:t>
            </w:r>
          </w:p>
          <w:p>
            <w:pPr>
              <w:bidi/>
              <w:spacing w:before="0" w:after="60" w:line="300" w:lineRule="auto"/>
              <w:jc w:val="both"/>
            </w:pPr>
            <w:r>
              <w:rPr>
                <w:rFonts w:ascii="Arial" w:hAnsi="Arial" w:cs="Arial" w:eastAsia="Arial"/>
                <w:color w:val="1F2430"/>
                <w:sz w:val="18"/>
                <w:szCs w:val="18"/>
                <w:rtl/>
              </w:rPr>
              <w:t>בכל אירוע שבו זוג "מיוחד" (זוג מעורב, זוג מאותו מין, נישואי זום, נישואין פרטיים) מבקש להירשם — פתחו בשאלה: האם הוצגה תעודה ציבורית תקינה של רשות מוסמכת? אם כן — לפי פונק שלזינגר רושמים, אלא אם יש "אי נכונות גלויה לעין" או חשד לזיוף. אם אין תעודה ציבורית אלא הצהרות פרטיות — לא רושמים.</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חלק א: חוק מרשם האוכלוסין — המסגרת החוקית</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מה נרשם במרשם — סעיף 2(א)</w:t>
      </w:r>
    </w:p>
    <w:p>
      <w:pPr>
        <w:bidi/>
        <w:spacing w:before="0" w:after="100" w:line="300" w:lineRule="auto"/>
        <w:jc w:val="both"/>
      </w:pPr>
      <w:r>
        <w:rPr>
          <w:rFonts w:ascii="Arial" w:hAnsi="Arial" w:cs="Arial" w:eastAsia="Arial"/>
          <w:color w:val="1F2430"/>
          <w:sz w:val="19"/>
          <w:szCs w:val="19"/>
          <w:rtl/>
        </w:rPr>
        <w:t>סעיף 2(א) לחוק מרשם האוכלוסין מונה את הפרטים שיירשמו לגבי כל תושב "וכל שינוי בהם". תעודת הזהות היא רק תמצית של המרשם, ולכן יש פרטים שרשומים במרשם ואינם מופיעים בתעודה.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2(א)</w:t>
            </w:r>
          </w:p>
          <w:p>
            <w:pPr>
              <w:bidi/>
              <w:spacing w:before="0" w:after="60" w:line="300" w:lineRule="auto"/>
              <w:jc w:val="both"/>
            </w:pPr>
            <w:r>
              <w:rPr>
                <w:rFonts w:ascii="Arial" w:hAnsi="Arial" w:cs="Arial" w:eastAsia="Arial"/>
                <w:color w:val="1F2430"/>
                <w:sz w:val="18"/>
                <w:szCs w:val="18"/>
                <w:rtl/>
              </w:rPr>
              <w:t>"במרשם האוכלוסין יירשמו הפרטים הבאים הנוגעים לתושב וכל שינוי בהם: (1) שם המשפחה, השם הפרטי והשמות הקודמים; (2) שמות ההורים; (3) תאריך הלידה ומקומה; (4) המין; (5) הלאום; (6) הדת; (7) המצב האישי (רווק, נשוי, גרוש או אלמן); (8) שם בן-הזוג; (9) שמות הילדים, תאריכי לידתם ומינם; (10) אזרחות או אזרחויות, של עכשיו ושקדמו; (11) המען; (11א)–(11ג) כתובת למשלוח דואר, כתובת נוספת לקטין, המען הדיגיטלי; (12) תאריך הכניסה לישראל; (13) התאריך שבו נהיה לתושב."</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לפי מה שנלמד בקורס, הפרטים שחשוב במיוחד לזכור הם </w:t>
      </w:r>
      <w:r>
        <w:rPr>
          <w:rFonts w:ascii="Arial" w:hAnsi="Arial" w:cs="Arial" w:eastAsia="Arial"/>
          <w:color w:val="1F2430"/>
          <w:sz w:val="19"/>
          <w:szCs w:val="19"/>
          <w:highlight w:val="yellow"/>
          <w:rtl/>
        </w:rPr>
        <w:t>מין, לאום, דת ומצב אישי</w:t>
      </w:r>
      <w:r>
        <w:rPr>
          <w:rFonts w:ascii="Arial" w:hAnsi="Arial" w:cs="Arial" w:eastAsia="Arial"/>
          <w:color w:val="1F2430"/>
          <w:sz w:val="19"/>
          <w:szCs w:val="19"/>
          <w:rtl/>
        </w:rPr>
        <w:t>. אצל יהודים הלאום והדת חופפים. לגבי המין — נרשם המין העדכני (גם לאחר שינוי מין).</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סעיף 3 — "ראיה לכאורה", ומה לא נכלל בה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3</w:t>
            </w:r>
          </w:p>
          <w:p>
            <w:pPr>
              <w:bidi/>
              <w:spacing w:before="0" w:after="60" w:line="300" w:lineRule="auto"/>
              <w:jc w:val="both"/>
            </w:pPr>
            <w:r>
              <w:rPr>
                <w:rFonts w:ascii="Arial" w:hAnsi="Arial" w:cs="Arial" w:eastAsia="Arial"/>
                <w:color w:val="1F2430"/>
                <w:sz w:val="18"/>
                <w:szCs w:val="18"/>
                <w:rtl/>
              </w:rPr>
              <w:t>"הרישום במרשם, כל העתק או תמצית ממנו וכן כל תעודה שניתנה לפי חוק זה יהיו ראיה לכאורה לנכונות פרטי הרישום המפורטים בפסקאות (1) עד (4) ו-(9) עד (13) לסעיף 2."</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הסעיף נראה בתחילה כמו כלל רגיל ("הרישום הוא ראיה לכאורה"), אבל ההמשך שלו הוא העיקר: הוא חל רק על פסקאות (1)–(4) ו-(9)–(13). כלומר </w:t>
      </w:r>
      <w:r>
        <w:rPr>
          <w:rFonts w:ascii="Arial" w:hAnsi="Arial" w:cs="Arial" w:eastAsia="Arial"/>
          <w:color w:val="1F2430"/>
          <w:sz w:val="19"/>
          <w:szCs w:val="19"/>
          <w:highlight w:val="yellow"/>
          <w:rtl/>
        </w:rPr>
        <w:t>פסקאות (5)–(8): לאום, דת, מצב אישי ושם בן הזוג — אינן ראיה לכאורה לנכונותן.</w:t>
      </w:r>
    </w:p>
    <w:tbl>
      <w:tblPr>
        <w:tblW w:type="dxa" w:w="10206"/>
        <w:jc w:val="center"/>
        <w:tblLook w:firstColumn="1" w:firstRow="1" w:lastColumn="0" w:lastRow="0" w:noHBand="0" w:noVBand="1" w:val="04A0"/>
        <w:bidiVisual/>
        <w:tblLayout w:type="fixed"/>
      </w:tblPr>
      <w:tblGrid>
        <w:gridCol w:w="4207"/>
        <w:gridCol w:w="1432"/>
        <w:gridCol w:w="4565"/>
      </w:tblGrid>
      <w:tr>
        <w:trPr>
          <w:tblHeader/>
        </w:trPr>
        <w:tc>
          <w:tcPr>
            <w:tcW w:type="dxa" w:w="4207"/>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פרטים</w:t>
            </w:r>
          </w:p>
        </w:tc>
        <w:tc>
          <w:tcPr>
            <w:tcW w:type="dxa" w:w="1432"/>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 ראייתי</w:t>
            </w:r>
          </w:p>
        </w:tc>
        <w:tc>
          <w:tcPr>
            <w:tcW w:type="dxa" w:w="456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משמעות מעשית</w:t>
            </w:r>
          </w:p>
        </w:tc>
      </w:tr>
      <w:tr>
        <w:trPr>
          <w:cantSplit/>
        </w:trPr>
        <w:tc>
          <w:tcPr>
            <w:tcW w:type="dxa" w:w="420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שם, הורים, לידה, מין (1–4)</w:t>
            </w:r>
          </w:p>
        </w:tc>
        <w:tc>
          <w:tcPr>
            <w:tcW w:type="dxa" w:w="143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ראיה לכאורה</w:t>
            </w:r>
          </w:p>
        </w:tc>
        <w:tc>
          <w:tcPr>
            <w:tcW w:type="dxa" w:w="456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מי שטוען אחרת צריך להביא ראיה סותרת</w:t>
            </w:r>
          </w:p>
        </w:tc>
      </w:tr>
      <w:tr>
        <w:trPr>
          <w:cantSplit/>
        </w:trPr>
        <w:tc>
          <w:tcPr>
            <w:tcW w:type="dxa" w:w="420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לאום, דת, מצב אישי, שם בן הזוג (5–8)</w:t>
            </w:r>
          </w:p>
        </w:tc>
        <w:tc>
          <w:tcPr>
            <w:tcW w:type="dxa" w:w="143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אינם ראיה לכאורה</w:t>
            </w:r>
          </w:p>
        </w:tc>
        <w:tc>
          <w:tcPr>
            <w:tcW w:type="dxa" w:w="456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רישום סטטיסטי בלבד; מי שטוען למעמד צריך להוכיח אותו</w:t>
            </w:r>
          </w:p>
        </w:tc>
      </w:tr>
      <w:tr>
        <w:trPr>
          <w:cantSplit/>
        </w:trPr>
        <w:tc>
          <w:tcPr>
            <w:tcW w:type="dxa" w:w="420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ילדים, אזרחות, מען, תאריכי כניסה ותושבות (9–13)</w:t>
            </w:r>
          </w:p>
        </w:tc>
        <w:tc>
          <w:tcPr>
            <w:tcW w:type="dxa" w:w="143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ראיה לכאורה</w:t>
            </w:r>
          </w:p>
        </w:tc>
        <w:tc>
          <w:tcPr>
            <w:tcW w:type="dxa" w:w="456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כמו בקבוצה הראשונה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דוגמאות מהשיעור</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אדם רוצה לקנות אלכוהול, ובתעודת הזהות רשום שהוא בן 18. זו ראיה לכאורה לגילו; מי שטוען שהוא קטין צריך להביא ראיה סותרת.</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אדם מגיע למסיבה שמותרת רק לגברים עם תעודה שבה רשום "זכר" — אי אפשר לדרוש ממנו להוכיח את מינו.</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לעומת זאת: אדם רשום כ"יהודי" ובא להתחתן ברבנות. הרבנות רשאית לומר לו "הוכח שאתה יהודי", כי הדת אינה ראיה לכאורה. כך גם אישה הרשומה "גרושה" — עליה להוכיח את גירושיה.</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אם בתעודה רשום שאדם "נשוי", הרישום כשלעצמו אינו מכריע את שאלת תוקף הנישואין.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למה המחוקק קבע הסדר כזה, שלדברי המרצה אינו קיים בשום מדינה אחרת? הסעיף מאפשר למדינה </w:t>
      </w:r>
      <w:r>
        <w:rPr>
          <w:rFonts w:ascii="Arial" w:hAnsi="Arial" w:cs="Arial" w:eastAsia="Arial"/>
          <w:color w:val="1F2430"/>
          <w:sz w:val="19"/>
          <w:szCs w:val="19"/>
          <w:highlight w:val="yellow"/>
          <w:rtl/>
        </w:rPr>
        <w:t>לנהל מרשם בלי שהרישום יפגע בדין הדתי</w:t>
      </w:r>
      <w:r>
        <w:rPr>
          <w:rFonts w:ascii="Arial" w:hAnsi="Arial" w:cs="Arial" w:eastAsia="Arial"/>
          <w:color w:val="1F2430"/>
          <w:sz w:val="19"/>
          <w:szCs w:val="19"/>
          <w:rtl/>
        </w:rPr>
        <w:t>, וכך המדינה "בורחת" ממחלוקות אידיאולוגיות של דת ומדינה. הדוגמה שניתנה: בעלייה מברית המועצות לשעבר הגיעו כ-300 אלף עולים שאינם יהודים לפי ההלכה, אך נרשמו כיהודים מכוח חוק השבות. המדינה אינה בודקת כל אחד, כי לצה"ל ולמס הכנסה זה לא משנה; ואם אחד מהם ירצה להינשא ברבנות — לרבנות יש "הגנה": הרישום אינו מחייב אותה.</w:t>
      </w:r>
    </w:p>
    <w:p>
      <w:pPr>
        <w:bidi/>
        <w:spacing w:before="0" w:after="100" w:line="300" w:lineRule="auto"/>
        <w:jc w:val="both"/>
      </w:pPr>
      <w:r>
        <w:rPr>
          <w:rFonts w:ascii="Arial" w:hAnsi="Arial" w:cs="Arial" w:eastAsia="Arial"/>
          <w:color w:val="1F2430"/>
          <w:sz w:val="19"/>
          <w:szCs w:val="19"/>
          <w:rtl/>
        </w:rPr>
        <w:t>הובאה גם פרשת שושנה מילר: אישה שהביאה תעודת גיור רפורמי מחו"ל וביקשה להירשם כיהודייה; הפקיד סירב, ושר הפנים דאז (הרב פרץ) ביקש לרשום לצד הפרט "התגיירה", לא הותר לו לעשות זאת, ובעקבות כך התפטר. המשמעות: מי שיפגוש אותה לא ידע על הגיור — הרבנות תגלה זאת רק כשתבוא להינשא (למשל כשתתבקש להציג את תעודת הנישואין של הוריה).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ביקורת שעלתה בשיעור</w:t>
            </w:r>
          </w:p>
          <w:p>
            <w:pPr>
              <w:bidi/>
              <w:spacing w:before="0" w:after="60" w:line="300" w:lineRule="auto"/>
              <w:jc w:val="both"/>
            </w:pPr>
            <w:r>
              <w:rPr>
                <w:rFonts w:ascii="Arial" w:hAnsi="Arial" w:cs="Arial" w:eastAsia="Arial"/>
                <w:color w:val="1F2430"/>
                <w:sz w:val="18"/>
                <w:szCs w:val="18"/>
                <w:rtl/>
              </w:rPr>
              <w:t>ה"כוכבית" של סעיף 3 ידועה למשפטנים, אבל בפועל רשויות המדינה (ביטוח לאומי, מס הכנסה) והציבור הרחב מסתמכים על מה שכתוב בתעודה. טענה זו עלתה בבן ארי ונדחתה בידי ברק (ראו להלן).</w:t>
            </w:r>
          </w:p>
        </w:tc>
      </w:tr>
    </w:tbl>
    <w:p>
      <w:pPr>
        <w:bidi/>
        <w:spacing w:after="0" w:before="0" w:line="120" w:lineRule="exact"/>
      </w:pPr>
      <w:r>
        <w:rPr>
          <w:sz w:val="2"/>
        </w:rPr>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ארבעת הסטטוסים — ומי רשאי לשנות אותם</w:t>
      </w:r>
    </w:p>
    <w:p>
      <w:pPr>
        <w:bidi/>
        <w:spacing w:before="0" w:after="100" w:line="300" w:lineRule="auto"/>
        <w:jc w:val="both"/>
      </w:pPr>
      <w:r>
        <w:rPr>
          <w:rFonts w:ascii="Arial" w:hAnsi="Arial" w:cs="Arial" w:eastAsia="Arial"/>
          <w:color w:val="1F2430"/>
          <w:sz w:val="19"/>
          <w:szCs w:val="19"/>
          <w:rtl/>
        </w:rPr>
        <w:t xml:space="preserve">במדינת ישראל ארבעה סטטוסים אישיים: רווק, נשוי, גרוש, אלמן. "רווק" מקבלים אוטומטית בלידה — בית החולים מודיע למרשם. כלל יסוד: </w:t>
      </w:r>
      <w:r>
        <w:rPr>
          <w:rFonts w:ascii="Arial" w:hAnsi="Arial" w:cs="Arial" w:eastAsia="Arial"/>
          <w:color w:val="1F2430"/>
          <w:sz w:val="19"/>
          <w:szCs w:val="19"/>
          <w:highlight w:val="yellow"/>
          <w:rtl/>
        </w:rPr>
        <w:t>אדם פרטי אינו יכול לשנות את הסטטוס שלו בהצהרה בלבד.</w:t>
      </w:r>
      <w:r>
        <w:rPr>
          <w:rFonts w:ascii="Arial" w:hAnsi="Arial" w:cs="Arial" w:eastAsia="Arial"/>
          <w:color w:val="1F2430"/>
          <w:sz w:val="19"/>
          <w:szCs w:val="19"/>
          <w:rtl/>
        </w:rPr>
        <w:t xml:space="preserve"> שינוי סטטוס דורש "גושפנקה שלטונית": רשות מוסמכת, בית משפט או בית דין. לכן, למשל, זוגות מעורבים בשנות ה-90 העדיפו לפנות לבית הדין הרבני בהסכמה (פרשת סרגובי, ראו פרק 4) — לא היו יכולים פשוט להודיע למרשם שהם "מפרקים את החבילה".</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פרק ב' לחוק — מסירת הודעות</w:t>
      </w:r>
    </w:p>
    <w:p>
      <w:pPr>
        <w:bidi/>
        <w:spacing w:before="0" w:after="100" w:line="300" w:lineRule="auto"/>
        <w:jc w:val="both"/>
      </w:pPr>
      <w:r>
        <w:rPr>
          <w:rFonts w:ascii="Arial" w:hAnsi="Arial" w:cs="Arial" w:eastAsia="Arial"/>
          <w:color w:val="1F2430"/>
          <w:sz w:val="19"/>
          <w:szCs w:val="19"/>
          <w:rtl/>
        </w:rPr>
        <w:t>פרק ב' נועד להבטיח שהמרשם יהיה מעודכן, ולכן הוא מטיל חובת דיווח על רשויות ועל אנשים פרטיים.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15</w:t>
            </w:r>
          </w:p>
          <w:p>
            <w:pPr>
              <w:bidi/>
              <w:spacing w:before="0" w:after="60" w:line="300" w:lineRule="auto"/>
              <w:jc w:val="both"/>
            </w:pPr>
            <w:r>
              <w:rPr>
                <w:rFonts w:ascii="Arial" w:hAnsi="Arial" w:cs="Arial" w:eastAsia="Arial"/>
                <w:color w:val="1F2430"/>
                <w:sz w:val="18"/>
                <w:szCs w:val="18"/>
                <w:rtl/>
              </w:rPr>
              <w:t>"בפעולות המנויות להלן תמסור הרשות הנוגעת בדבר לפקיד רישום תוך 14 יום מיום הפעולה, העתק המסמך המעיד עליה... ואלה הפעולות: ... (2) נישואין שנרשמו לפי פקודת הנישואין והגירושין (רישום)."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כלומר, על נישואין דרך הרבנות </w:t>
      </w:r>
      <w:r>
        <w:rPr>
          <w:rFonts w:ascii="Arial" w:hAnsi="Arial" w:cs="Arial" w:eastAsia="Arial"/>
          <w:color w:val="1F2430"/>
          <w:sz w:val="19"/>
          <w:szCs w:val="19"/>
          <w:highlight w:val="yellow"/>
          <w:rtl/>
        </w:rPr>
        <w:t>הרשות</w:t>
      </w:r>
      <w:r>
        <w:rPr>
          <w:rFonts w:ascii="Arial" w:hAnsi="Arial" w:cs="Arial" w:eastAsia="Arial"/>
          <w:color w:val="1F2430"/>
          <w:sz w:val="19"/>
          <w:szCs w:val="19"/>
          <w:rtl/>
        </w:rPr>
        <w:t xml:space="preserve"> (הרבנות) מדווחת, לא בני הזוג. זה הגיוני: פרטים יכולים לזייף או לא לדווח.</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16</w:t>
            </w:r>
          </w:p>
          <w:p>
            <w:pPr>
              <w:bidi/>
              <w:spacing w:before="0" w:after="60" w:line="300" w:lineRule="auto"/>
              <w:jc w:val="both"/>
            </w:pPr>
            <w:r>
              <w:rPr>
                <w:rFonts w:ascii="Arial" w:hAnsi="Arial" w:cs="Arial" w:eastAsia="Arial"/>
                <w:color w:val="1F2430"/>
                <w:sz w:val="18"/>
                <w:szCs w:val="18"/>
                <w:rtl/>
              </w:rPr>
              <w:t>"נתן בית משפט או בית דין דתי החלטה המצהירה על שינוי בפרטי הרישום של אדם או החלטה שיש בה שינוי כאמור, ימסור בית המשפט או בית הדין הדתי העתק מהחלטתו לפקיד הרישום הראשי; וכן ייעשה בהעתק של צו אימוץ, תעודת גירושין והצהרת מוות."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ערכאה שעוסקת בסטטוס אינה מסתפקת במסירת ההחלטה לצדדים — היא שולחת העתק למרשם, כי "אנחנו לא סומכים על הצדדים".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17</w:t>
            </w:r>
          </w:p>
          <w:p>
            <w:pPr>
              <w:bidi/>
              <w:spacing w:before="0" w:after="60" w:line="300" w:lineRule="auto"/>
              <w:jc w:val="both"/>
            </w:pPr>
            <w:r>
              <w:rPr>
                <w:rFonts w:ascii="Arial" w:hAnsi="Arial" w:cs="Arial" w:eastAsia="Arial"/>
                <w:color w:val="1F2430"/>
                <w:sz w:val="18"/>
                <w:szCs w:val="18"/>
                <w:rtl/>
              </w:rPr>
              <w:t>"חל שינוי שלא כאמור בסעיפים 5א, 15 ו-16 בפרטי הרישום של תושב, חייב הוא למסור לפקיד רישום הודעה על השינוי תוך שלושים יום; ואם היה בחסותו קטין או בגיר שאינו מסוגל למלא חובתו לפי סעיף זה – ימסור גם הודעה על שינוי פרטי הרישום שלהם."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מתי חל שינוי שלא דרך רשות בישראל ולא דרך בית משפט בישראל? הדוגמה הנפוצה: </w:t>
      </w:r>
      <w:r>
        <w:rPr>
          <w:rFonts w:ascii="Arial" w:hAnsi="Arial" w:cs="Arial" w:eastAsia="Arial"/>
          <w:color w:val="1F2430"/>
          <w:sz w:val="19"/>
          <w:szCs w:val="19"/>
          <w:highlight w:val="yellow"/>
          <w:rtl/>
        </w:rPr>
        <w:t>ישראלים שנישאו בנישואין אזרחיים בחו"ל</w:t>
      </w:r>
      <w:r>
        <w:rPr>
          <w:rFonts w:ascii="Arial" w:hAnsi="Arial" w:cs="Arial" w:eastAsia="Arial"/>
          <w:color w:val="1F2430"/>
          <w:sz w:val="19"/>
          <w:szCs w:val="19"/>
          <w:rtl/>
        </w:rPr>
        <w:t>. כאן האדם עצמו חייב להודיע תוך 30 יום.</w:t>
      </w:r>
    </w:p>
    <w:tbl>
      <w:tblPr>
        <w:tblW w:type="dxa" w:w="10206"/>
        <w:jc w:val="center"/>
        <w:tblLook w:firstColumn="1" w:firstRow="1" w:lastColumn="0" w:lastRow="0" w:noHBand="0" w:noVBand="1" w:val="04A0"/>
        <w:bidiVisual/>
        <w:tblLayout w:type="fixed"/>
      </w:tblPr>
      <w:tblGrid>
        <w:gridCol w:w="1222"/>
        <w:gridCol w:w="2825"/>
        <w:gridCol w:w="4347"/>
        <w:gridCol w:w="1811"/>
      </w:tblGrid>
      <w:tr>
        <w:trPr>
          <w:tblHeader/>
        </w:trPr>
        <w:tc>
          <w:tcPr>
            <w:tcW w:type="dxa" w:w="1222"/>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282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 מדווח</w:t>
            </w:r>
          </w:p>
        </w:tc>
        <w:tc>
          <w:tcPr>
            <w:tcW w:type="dxa" w:w="4347"/>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על מה</w:t>
            </w:r>
          </w:p>
        </w:tc>
        <w:tc>
          <w:tcPr>
            <w:tcW w:type="dxa" w:w="1811"/>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מועד</w:t>
            </w:r>
          </w:p>
        </w:tc>
      </w:tr>
      <w:tr>
        <w:trPr>
          <w:cantSplit/>
        </w:trPr>
        <w:tc>
          <w:tcPr>
            <w:tcW w:type="dxa" w:w="122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15</w:t>
            </w:r>
          </w:p>
        </w:tc>
        <w:tc>
          <w:tcPr>
            <w:tcW w:type="dxa" w:w="282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הרשות שערכה את הפעולה</w:t>
            </w:r>
          </w:p>
        </w:tc>
        <w:tc>
          <w:tcPr>
            <w:tcW w:type="dxa" w:w="434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למשל נישואין שנרשמו לפי פקודת הנישואין והגירושין (רישום)</w:t>
            </w:r>
          </w:p>
        </w:tc>
        <w:tc>
          <w:tcPr>
            <w:tcW w:type="dxa" w:w="181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14 יום</w:t>
            </w:r>
          </w:p>
        </w:tc>
      </w:tr>
      <w:tr>
        <w:trPr>
          <w:cantSplit/>
        </w:trPr>
        <w:tc>
          <w:tcPr>
            <w:tcW w:type="dxa" w:w="122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16</w:t>
            </w:r>
          </w:p>
        </w:tc>
        <w:tc>
          <w:tcPr>
            <w:tcW w:type="dxa" w:w="282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בית המשפט או בית הדין הדתי</w:t>
            </w:r>
          </w:p>
        </w:tc>
        <w:tc>
          <w:tcPr>
            <w:tcW w:type="dxa" w:w="434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החלטה המשנה פרט רישום; צו אימוץ, תעודת גירושין, הצהרת מוות</w:t>
            </w:r>
          </w:p>
        </w:tc>
        <w:tc>
          <w:tcPr>
            <w:tcW w:type="dxa" w:w="181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(העתק לפקיד הרישום הראשי)</w:t>
            </w:r>
          </w:p>
        </w:tc>
      </w:tr>
      <w:tr>
        <w:trPr>
          <w:cantSplit/>
        </w:trPr>
        <w:tc>
          <w:tcPr>
            <w:tcW w:type="dxa" w:w="122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17</w:t>
            </w:r>
          </w:p>
        </w:tc>
        <w:tc>
          <w:tcPr>
            <w:tcW w:type="dxa" w:w="282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התושב עצמו (וגם עבור קטין/בגיר שבחסותו)</w:t>
            </w:r>
          </w:p>
        </w:tc>
        <w:tc>
          <w:tcPr>
            <w:tcW w:type="dxa" w:w="434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שינוי שלא נעשה דרך רשות או ערכאה בישראל, כגון נישואין אזרחיים בחו"ל</w:t>
            </w:r>
          </w:p>
        </w:tc>
        <w:tc>
          <w:tcPr>
            <w:tcW w:type="dxa" w:w="181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30 יום</w:t>
            </w:r>
          </w:p>
        </w:tc>
      </w:tr>
    </w:tbl>
    <w:p>
      <w:pPr>
        <w:bidi/>
        <w:spacing w:after="0" w:before="0" w:line="120" w:lineRule="exact"/>
      </w:pPr>
      <w:r>
        <w:rPr>
          <w:sz w:val="2"/>
        </w:rPr>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פרק ג' לחוק — סמכויות פקיד הרישום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19ב(א) — רישום ראשון</w:t>
            </w:r>
          </w:p>
          <w:p>
            <w:pPr>
              <w:bidi/>
              <w:spacing w:before="0" w:after="60" w:line="300" w:lineRule="auto"/>
              <w:jc w:val="both"/>
            </w:pPr>
            <w:r>
              <w:rPr>
                <w:rFonts w:ascii="Arial" w:hAnsi="Arial" w:cs="Arial" w:eastAsia="Arial"/>
                <w:color w:val="1F2430"/>
                <w:sz w:val="18"/>
                <w:szCs w:val="18"/>
                <w:rtl/>
              </w:rPr>
              <w:t>"פרט רישום של תושב הנרשם לראשונה יירשם על פי תעודה ציבורית שהוצגה לפקיד הרישום, ובאין תעודה כזאת – על פי הודעה שנמסרה לפי הסעיפים 5 עד 14."</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רישום ראשון הוא למשל של עולה חדש — אין עליו שום רישום בישראל. הוא מציג תעודות; ואם אין לו (למשל המסמכים "נשרפו"), הפקידים מוכנים לקבל ממנו </w:t>
      </w:r>
      <w:r>
        <w:rPr>
          <w:rFonts w:ascii="Arial" w:hAnsi="Arial" w:cs="Arial" w:eastAsia="Arial"/>
          <w:color w:val="1F2430"/>
          <w:sz w:val="19"/>
          <w:szCs w:val="19"/>
          <w:highlight w:val="yellow"/>
          <w:rtl/>
        </w:rPr>
        <w:t>הצהרה</w:t>
      </w:r>
      <w:r>
        <w:rPr>
          <w:rFonts w:ascii="Arial" w:hAnsi="Arial" w:cs="Arial" w:eastAsia="Arial"/>
          <w:color w:val="1F2430"/>
          <w:sz w:val="19"/>
          <w:szCs w:val="19"/>
          <w:rtl/>
        </w:rPr>
        <w:t>. האם זה לא מטעה את הציבור? לא — כי הרישום סטטיסטי בלבד: אם רשום שמישהי יהודייה, אין זה אומר שהרבנות תכיר בה כך.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מרשם האוכלוסין, סעיף 19ג(א) — רישום שינויים</w:t>
            </w:r>
          </w:p>
          <w:p>
            <w:pPr>
              <w:bidi/>
              <w:spacing w:before="0" w:after="60" w:line="300" w:lineRule="auto"/>
              <w:jc w:val="both"/>
            </w:pPr>
            <w:r>
              <w:rPr>
                <w:rFonts w:ascii="Arial" w:hAnsi="Arial" w:cs="Arial" w:eastAsia="Arial"/>
                <w:color w:val="1F2430"/>
                <w:sz w:val="18"/>
                <w:szCs w:val="18"/>
                <w:rtl/>
              </w:rPr>
              <w:t>"שינוי בפרט רישום של תושב יירשם על פי מסמך שנמסר לפי הסעיפים 15 או 16 או על פי הודעה לפי סעיף 17 שהציגו יחד אתה תעודה ציבורית המעידה על השינוי; ואולם שינוי של מען או מען דיגיטלי יירשם גם על פי הודעה בלבד..."</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כאן מדובר בתושב שכבר רשום, למשל רשום "רווק" ורוצה להירשם "נשוי". </w:t>
      </w:r>
      <w:r>
        <w:rPr>
          <w:rFonts w:ascii="Arial" w:hAnsi="Arial" w:cs="Arial" w:eastAsia="Arial"/>
          <w:color w:val="1F2430"/>
          <w:sz w:val="19"/>
          <w:szCs w:val="19"/>
          <w:highlight w:val="yellow"/>
          <w:rtl/>
        </w:rPr>
        <w:t>הצהרה בלבד אינה מספיקה</w:t>
      </w:r>
      <w:r>
        <w:rPr>
          <w:rFonts w:ascii="Arial" w:hAnsi="Arial" w:cs="Arial" w:eastAsia="Arial"/>
          <w:color w:val="1F2430"/>
          <w:sz w:val="19"/>
          <w:szCs w:val="19"/>
          <w:rtl/>
        </w:rPr>
        <w:t>. השינוי נעשה באחת משלוש דרכים:</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1. </w:t>
      </w:r>
      <w:r>
        <w:tab/>
      </w:r>
      <w:r>
        <w:rPr>
          <w:rFonts w:ascii="Arial" w:hAnsi="Arial" w:cs="Arial" w:eastAsia="Arial"/>
          <w:color w:val="1F2430"/>
          <w:sz w:val="19"/>
          <w:szCs w:val="19"/>
          <w:rtl/>
        </w:rPr>
        <w:t>מסמך מרשות מוסמכת (סעיף 15) — למשל הרבנות שערכה את הנישואין.</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2. </w:t>
      </w:r>
      <w:r>
        <w:tab/>
      </w:r>
      <w:r>
        <w:rPr>
          <w:rFonts w:ascii="Arial" w:hAnsi="Arial" w:cs="Arial" w:eastAsia="Arial"/>
          <w:color w:val="1F2430"/>
          <w:sz w:val="19"/>
          <w:szCs w:val="19"/>
          <w:rtl/>
        </w:rPr>
        <w:t>פסק דין או החלטה של בית משפט/בית דין (סעיף 16).</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3. </w:t>
      </w:r>
      <w:r>
        <w:tab/>
      </w:r>
      <w:r>
        <w:rPr>
          <w:rFonts w:ascii="Arial" w:hAnsi="Arial" w:cs="Arial" w:eastAsia="Arial"/>
          <w:color w:val="1F2430"/>
          <w:sz w:val="19"/>
          <w:szCs w:val="19"/>
          <w:rtl/>
        </w:rPr>
        <w:t xml:space="preserve">הודעה של האדם עצמו (סעיף 17) </w:t>
      </w:r>
      <w:r>
        <w:rPr>
          <w:rFonts w:ascii="Arial" w:hAnsi="Arial" w:cs="Arial" w:eastAsia="Arial"/>
          <w:color w:val="1F2430"/>
          <w:sz w:val="19"/>
          <w:szCs w:val="19"/>
          <w:highlight w:val="yellow"/>
          <w:rtl/>
        </w:rPr>
        <w:t>יחד עם תעודה ציבורית</w:t>
      </w:r>
      <w:r>
        <w:rPr>
          <w:rFonts w:ascii="Arial" w:hAnsi="Arial" w:cs="Arial" w:eastAsia="Arial"/>
          <w:color w:val="1F2430"/>
          <w:sz w:val="19"/>
          <w:szCs w:val="19"/>
          <w:rtl/>
        </w:rPr>
        <w:t xml:space="preserve"> המעידה על השינוי — למשל תעודת נישואין אזרחית מחו"ל.</w:t>
      </w:r>
    </w:p>
    <w:p>
      <w:pPr>
        <w:bidi/>
        <w:spacing w:before="0" w:after="100" w:line="300" w:lineRule="auto"/>
        <w:jc w:val="both"/>
      </w:pPr>
      <w:r>
        <w:rPr>
          <w:rFonts w:ascii="Arial" w:hAnsi="Arial" w:cs="Arial" w:eastAsia="Arial"/>
          <w:color w:val="1F2430"/>
          <w:sz w:val="19"/>
          <w:szCs w:val="19"/>
          <w:rtl/>
        </w:rPr>
        <w:t>החריג היחיד: שינוי מען או מען דיגיטלי — אפשר גם בהודעה בלבד.</w:t>
      </w:r>
    </w:p>
    <w:tbl>
      <w:tblPr>
        <w:tblW w:type="dxa" w:w="10206"/>
        <w:jc w:val="center"/>
        <w:tblLook w:firstColumn="1" w:firstRow="1" w:lastColumn="0" w:lastRow="0" w:noHBand="0" w:noVBand="1" w:val="04A0"/>
        <w:bidiVisual/>
        <w:tblLayout w:type="fixed"/>
      </w:tblPr>
      <w:tblGrid>
        <w:gridCol w:w="1300"/>
        <w:gridCol w:w="1966"/>
        <w:gridCol w:w="6939"/>
      </w:tblGrid>
      <w:tr>
        <w:trPr>
          <w:tblHeader/>
        </w:trPr>
        <w:tc>
          <w:tcPr>
            <w:tcW w:type="dxa" w:w="1300"/>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p>
        </w:tc>
        <w:tc>
          <w:tcPr>
            <w:tcW w:type="dxa" w:w="1966"/>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רישום ראשון (19ב)</w:t>
            </w:r>
          </w:p>
        </w:tc>
        <w:tc>
          <w:tcPr>
            <w:tcW w:type="dxa" w:w="6938"/>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שינוי רישום (19ג)</w:t>
            </w:r>
          </w:p>
        </w:tc>
      </w:tr>
      <w:tr>
        <w:trPr>
          <w:cantSplit/>
        </w:trPr>
        <w:tc>
          <w:tcPr>
            <w:tcW w:type="dxa" w:w="130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דוגמה</w:t>
            </w:r>
          </w:p>
        </w:tc>
        <w:tc>
          <w:tcPr>
            <w:tcW w:type="dxa" w:w="1966"/>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עולה חדש</w:t>
            </w:r>
          </w:p>
        </w:tc>
        <w:tc>
          <w:tcPr>
            <w:tcW w:type="dxa" w:w="69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רווק שנישא</w:t>
            </w:r>
          </w:p>
        </w:tc>
      </w:tr>
      <w:tr>
        <w:trPr>
          <w:cantSplit/>
        </w:trPr>
        <w:tc>
          <w:tcPr>
            <w:tcW w:type="dxa" w:w="130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בסיס עיקרי</w:t>
            </w:r>
          </w:p>
        </w:tc>
        <w:tc>
          <w:tcPr>
            <w:tcW w:type="dxa" w:w="1966"/>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תעודה ציבורית</w:t>
            </w:r>
          </w:p>
        </w:tc>
        <w:tc>
          <w:tcPr>
            <w:tcW w:type="dxa" w:w="69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מסמך רשות (15), החלטה שיפוטית (16), או הודעה (17) + תעודה ציבורית</w:t>
            </w:r>
          </w:p>
        </w:tc>
      </w:tr>
      <w:tr>
        <w:trPr>
          <w:cantSplit/>
        </w:trPr>
        <w:tc>
          <w:tcPr>
            <w:tcW w:type="dxa" w:w="130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הצהרה לבדה?</w:t>
            </w:r>
          </w:p>
        </w:tc>
        <w:tc>
          <w:tcPr>
            <w:tcW w:type="dxa" w:w="1966"/>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באין תעודה</w:t>
            </w:r>
          </w:p>
        </w:tc>
        <w:tc>
          <w:tcPr>
            <w:tcW w:type="dxa" w:w="69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(למעט מען)</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חלק ב: הלכת פונק שלזינגר — גבולות שיקול הדעת של פקיד הרישום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143/64 פונק שלזינגר נ' שר הפנים</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יהודי ישראלי, תושב קבע, ונוצרייה נתינת בלגיה — זוג מעורב שאינו יכול להינשא בישראל — נישאו בנישואין אזרחיים בקפריסין. בשובם לארץ ביקשה האישה להירשם כנשואה (וגם לשאת את שם משפחתו של בעלה) על סמך תעודת הנישואין הקפריסאית. הזוג לא היה מסוכסך — הם רצו רק הכרה. פקיד המרשם סירב. העתירה נדונה בהרכב של חמישה שופטים.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דעת הרוב (השופט זוסמן): השאלה אינה ערכית או דתית אלא </w:t>
            </w:r>
            <w:r>
              <w:rPr>
                <w:rFonts w:ascii="Arial" w:hAnsi="Arial" w:cs="Arial" w:eastAsia="Arial"/>
                <w:color w:val="1F2430"/>
                <w:sz w:val="18"/>
                <w:szCs w:val="18"/>
                <w:highlight w:val="yellow"/>
                <w:rtl/>
              </w:rPr>
              <w:t>טכנית-פרוצדורלית</w:t>
            </w:r>
            <w:r>
              <w:rPr>
                <w:rFonts w:ascii="Arial" w:hAnsi="Arial" w:cs="Arial" w:eastAsia="Arial"/>
                <w:color w:val="1F2430"/>
                <w:sz w:val="18"/>
                <w:szCs w:val="18"/>
                <w:rtl/>
              </w:rPr>
              <w:t xml:space="preserve"> — "לא בתוקף הנישואין אלא בצידוק סירוב הפקיד". פקיד הרישום הוא מאסף חומר סטטיסטי, אינו שופט ואינו מוסמך להכריע אם נישואין תקפים. כאשר מוצגת בפניו תעודה ציבורית תקינה של מדינה זרה — עליו לרשום. הוא רשאי לסרב רק במקרה של </w:t>
            </w:r>
            <w:r>
              <w:rPr>
                <w:rFonts w:ascii="Arial" w:hAnsi="Arial" w:cs="Arial" w:eastAsia="Arial"/>
                <w:color w:val="1F2430"/>
                <w:sz w:val="18"/>
                <w:szCs w:val="18"/>
                <w:highlight w:val="yellow"/>
                <w:rtl/>
              </w:rPr>
              <w:t>אי נכונות גלויה לעין</w:t>
            </w:r>
            <w:r>
              <w:rPr>
                <w:rFonts w:ascii="Arial" w:hAnsi="Arial" w:cs="Arial" w:eastAsia="Arial"/>
                <w:color w:val="1F2430"/>
                <w:sz w:val="18"/>
                <w:szCs w:val="18"/>
                <w:rtl/>
              </w:rPr>
              <w:t xml:space="preserve"> או מסמך מזויף. </w:t>
            </w:r>
            <w:r>
              <w:rPr>
                <w:rFonts w:ascii="Arial" w:hAnsi="Arial" w:cs="Arial" w:eastAsia="Arial"/>
                <w:b/>
                <w:bCs/>
                <w:color w:val="1F2430"/>
                <w:sz w:val="18"/>
                <w:szCs w:val="18"/>
                <w:rtl/>
              </w:rPr>
              <w:t>דעת מיעוט (השופט זילברג):</w:t>
            </w:r>
            <w:r>
              <w:rPr>
                <w:rFonts w:ascii="Arial" w:hAnsi="Arial" w:cs="Arial" w:eastAsia="Arial"/>
                <w:color w:val="1F2430"/>
                <w:sz w:val="18"/>
                <w:szCs w:val="18"/>
                <w:rtl/>
              </w:rPr>
              <w:t xml:space="preserve"> הפקיד צודק. בתעודת הזהות לא כתוב "עבר טקס נישואין" אלא "נשוי", ולפי דיני ישראל הזוג אינו נשוי — ולכן אין לרשום. הוא היה דוחה את העתירה.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הדין המכונן של כל הפרק. כל ההלכות שאחריו (נעמת, בן ארי, בריל) הן יישום והרחבה שלו.</w:t>
            </w:r>
          </w:p>
        </w:tc>
      </w:tr>
    </w:tbl>
    <w:p>
      <w:pPr>
        <w:bidi/>
        <w:spacing w:after="0" w:before="0" w:line="120" w:lineRule="exact"/>
      </w:pPr>
      <w:r>
        <w:rPr>
          <w:sz w:val="2"/>
        </w:rPr>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נימוקי השופט זוסמן — פירוק לגורמים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הפקיד אינו בית משפט:</w:t>
      </w:r>
      <w:r>
        <w:rPr>
          <w:rFonts w:ascii="Arial" w:hAnsi="Arial" w:cs="Arial" w:eastAsia="Arial"/>
          <w:color w:val="1F2430"/>
          <w:sz w:val="19"/>
          <w:szCs w:val="19"/>
          <w:rtl/>
        </w:rPr>
        <w:t xml:space="preserve"> אילו הפקיד היה צריך להכריע בתוקף נישואין, היה צריך לשבת במקומו שופט בקיא בכללי המשפט הבין-לאומי הפרטי.</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המרשם אינו הוכחה משפטית:</w:t>
      </w:r>
      <w:r>
        <w:rPr>
          <w:rFonts w:ascii="Arial" w:hAnsi="Arial" w:cs="Arial" w:eastAsia="Arial"/>
          <w:color w:val="1F2430"/>
          <w:sz w:val="19"/>
          <w:szCs w:val="19"/>
          <w:rtl/>
        </w:rPr>
        <w:t xml:space="preserve"> הוא איסוף סטטיסטי בלבד.</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הרבנות עצמה אינה מסתמכת על תעודת הזהות:</w:t>
      </w:r>
      <w:r>
        <w:rPr>
          <w:rFonts w:ascii="Arial" w:hAnsi="Arial" w:cs="Arial" w:eastAsia="Arial"/>
          <w:color w:val="1F2430"/>
          <w:sz w:val="19"/>
          <w:szCs w:val="19"/>
          <w:rtl/>
        </w:rPr>
        <w:t xml:space="preserve"> הוראות הקבע של הרבנות הראשית משנת תש"י חייבו שלא להסתמך רק על תעודת הזהות — כלומר גם לשיטת הרבנות תעודת הזהות היא "פרט אחד בין הפרטים".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צורת הנישואין נבחנת לפי הדין במקום הטקס</w:t>
      </w:r>
      <w:r>
        <w:rPr>
          <w:rFonts w:ascii="Arial" w:hAnsi="Arial" w:cs="Arial" w:eastAsia="Arial"/>
          <w:color w:val="1F2430"/>
          <w:sz w:val="19"/>
          <w:szCs w:val="19"/>
          <w:rtl/>
        </w:rPr>
        <w:t xml:space="preserve"> (כמו בסקורניק, ראו פרק 8): אם הנישואין תקפים במקום עריכתם — יש לרשום, "ולכן אין לפוסלם כל עוד יש תעודה אלא אם כן תבוא ראיה לפוסלה".</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סעיף 2 לחוק שיפוט בתי דין רבניים</w:t>
      </w:r>
      <w:r>
        <w:rPr>
          <w:rFonts w:ascii="Arial" w:hAnsi="Arial" w:cs="Arial" w:eastAsia="Arial"/>
          <w:color w:val="1F2430"/>
          <w:sz w:val="19"/>
          <w:szCs w:val="19"/>
          <w:rtl/>
        </w:rPr>
        <w:t xml:space="preserve"> ("נישואין וגירושין של יהודים ייערכו בישראל על פי דין תורה") </w:t>
      </w:r>
      <w:r>
        <w:rPr>
          <w:rFonts w:ascii="Arial" w:hAnsi="Arial" w:cs="Arial" w:eastAsia="Arial"/>
          <w:color w:val="1F2430"/>
          <w:sz w:val="19"/>
          <w:szCs w:val="19"/>
          <w:highlight w:val="yellow"/>
          <w:rtl/>
        </w:rPr>
        <w:t>מתייחס רק לנישואין הנערכים בישראל</w:t>
      </w:r>
      <w:r>
        <w:rPr>
          <w:rFonts w:ascii="Arial" w:hAnsi="Arial" w:cs="Arial" w:eastAsia="Arial"/>
          <w:color w:val="1F2430"/>
          <w:sz w:val="19"/>
          <w:szCs w:val="19"/>
          <w:rtl/>
        </w:rPr>
        <w:t>. נישואין שנערכו בחו"ל אינם חייבים להיערך לפי דין תורה — ולכן הסעיף אינו מונע את הרישום. זו אחת הסיבות שנישואין אזרחיים בחו"ל יצרו לאורך השנים "מסלול" רישום מוכר.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אי נכונות גלויה לעין</w:t>
            </w:r>
          </w:p>
          <w:p>
            <w:pPr>
              <w:bidi/>
              <w:spacing w:before="0" w:after="60" w:line="300" w:lineRule="auto"/>
              <w:jc w:val="both"/>
            </w:pPr>
            <w:r>
              <w:rPr>
                <w:rFonts w:ascii="Arial" w:hAnsi="Arial" w:cs="Arial" w:eastAsia="Arial"/>
                <w:color w:val="1F2430"/>
                <w:sz w:val="18"/>
                <w:szCs w:val="18"/>
                <w:rtl/>
              </w:rPr>
              <w:t xml:space="preserve">החריג היחיד לחובת הרישום (מלבד זיוף). הדוגמה של זוסמן: אדם שנראה בגיר (כבן 20) מציג תעודה ממדינה זרה שלפיה הוא בן 5 — הפקיד אינו חייב לרשום. מדובר בטעות </w:t>
            </w:r>
            <w:r>
              <w:rPr>
                <w:rFonts w:ascii="Arial" w:hAnsi="Arial" w:cs="Arial" w:eastAsia="Arial"/>
                <w:color w:val="1F2430"/>
                <w:sz w:val="18"/>
                <w:szCs w:val="18"/>
                <w:highlight w:val="yellow"/>
                <w:rtl/>
              </w:rPr>
              <w:t>עובדתית</w:t>
            </w:r>
            <w:r>
              <w:rPr>
                <w:rFonts w:ascii="Arial" w:hAnsi="Arial" w:cs="Arial" w:eastAsia="Arial"/>
                <w:color w:val="1F2430"/>
                <w:sz w:val="18"/>
                <w:szCs w:val="18"/>
                <w:rtl/>
              </w:rPr>
              <w:t xml:space="preserve"> שבולטת לעין, ולא בשאלה משפטית על תוקף מעמד.</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לאחר הלכת פונק שלזינגר תוקן חוק מרשם האוכלוסין (סעיף 3 בנוסחו שלעיל), וכך עוגן בחקיקה ההבדל בין פרטים שהם ראיה לכאורה לבין פרטי הדת, הלאום והמצב האישי.</w:t>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חלק ג: הרחבת ההלכה — נעמת, בן ארי ובריל</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פרשת נעמת — גיור רפורמי</w:t>
      </w:r>
    </w:p>
    <w:p>
      <w:pPr>
        <w:bidi/>
        <w:spacing w:before="0" w:after="100" w:line="300" w:lineRule="auto"/>
        <w:jc w:val="both"/>
      </w:pPr>
      <w:r>
        <w:rPr>
          <w:rFonts w:ascii="Arial" w:hAnsi="Arial" w:cs="Arial" w:eastAsia="Arial"/>
          <w:color w:val="1F2430"/>
          <w:sz w:val="19"/>
          <w:szCs w:val="19"/>
          <w:rtl/>
        </w:rPr>
        <w:t xml:space="preserve">אדם שעבר גיור רפורמי (בארץ או בקהילה יהודית בחו"ל) ביקש להירשם במרשם כיהודי. המדינה התנגדה, משום שלטענתה הרישום ייראה כהכרה של המדינה בו כיהודי לכל דבר. בג"ץ קבע שהרישום הוא עניין רישומי ולא הכרעה בשאלת המעמד הדתי, ולכן </w:t>
      </w:r>
      <w:r>
        <w:rPr>
          <w:rFonts w:ascii="Arial" w:hAnsi="Arial" w:cs="Arial" w:eastAsia="Arial"/>
          <w:color w:val="1F2430"/>
          <w:sz w:val="19"/>
          <w:szCs w:val="19"/>
          <w:highlight w:val="yellow"/>
          <w:rtl/>
        </w:rPr>
        <w:t>יש לרשום אותו כיהודי</w:t>
      </w:r>
      <w:r>
        <w:rPr>
          <w:rFonts w:ascii="Arial" w:hAnsi="Arial" w:cs="Arial" w:eastAsia="Arial"/>
          <w:color w:val="1F2430"/>
          <w:sz w:val="19"/>
          <w:szCs w:val="19"/>
          <w:rtl/>
        </w:rPr>
        <w:t>. ברק חזר לפרשה זו בבן ארי כדי להראות שגם שם רישום אינו שווה הכרה מהותית.</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בג"ץ 3045/05 בן ארי — זוגות מאותו מין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3045/05 בן ארי נ' מנהל מינהל האוכלוסין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חמש עתירות של אזרחים ותושבים ישראלים, בני זוג מאותו מין (לפי המקראה — כולם גברים), שערכו נישואין אזרחיים בחו"ל (בקנדה), המוכרים באותה מדינה. בשובם הציגו את תעודת הנישואין וביקשו לשנות את רישומם מ"רווק" ל"נשוי". פקיד הרישום סירב בנימוק של </w:t>
            </w:r>
            <w:r>
              <w:rPr>
                <w:rFonts w:ascii="Arial" w:hAnsi="Arial" w:cs="Arial" w:eastAsia="Arial"/>
                <w:color w:val="1F2430"/>
                <w:sz w:val="18"/>
                <w:szCs w:val="18"/>
                <w:highlight w:val="yellow"/>
                <w:rtl/>
              </w:rPr>
              <w:t>אי נכונות גלויה לעין</w:t>
            </w:r>
            <w:r>
              <w:rPr>
                <w:rFonts w:ascii="Arial" w:hAnsi="Arial" w:cs="Arial" w:eastAsia="Arial"/>
                <w:color w:val="1F2430"/>
                <w:sz w:val="18"/>
                <w:szCs w:val="18"/>
                <w:rtl/>
              </w:rPr>
              <w:t xml:space="preserve"> — "לא ייתכן ששני גברים נשואים".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בהרכב של שבעה שופטים, ברוב של 6 נגד 1 (דעת הרוב — הנשיא ברק), נקבע ש</w:t>
            </w:r>
            <w:r>
              <w:rPr>
                <w:rFonts w:ascii="Arial" w:hAnsi="Arial" w:cs="Arial" w:eastAsia="Arial"/>
                <w:color w:val="1F2430"/>
                <w:sz w:val="18"/>
                <w:szCs w:val="18"/>
                <w:highlight w:val="yellow"/>
                <w:rtl/>
              </w:rPr>
              <w:t>הלכת פונק שלזינגר חלה גם על זוגות מאותו מין</w:t>
            </w:r>
            <w:r>
              <w:rPr>
                <w:rFonts w:ascii="Arial" w:hAnsi="Arial" w:cs="Arial" w:eastAsia="Arial"/>
                <w:color w:val="1F2430"/>
                <w:sz w:val="18"/>
                <w:szCs w:val="18"/>
                <w:rtl/>
              </w:rPr>
              <w:t xml:space="preserve">. הרישום סטטיסטי בלבד; הפקיד אינו מכריע בשאלה המהותית אם ישראל מכירה בנישואין; יש לרשום את העולה מהתעודה הציבורית. אי נכונות גלויה לעין היא עניין עובדתי, ואילו כאן מדובר בשאלה משפטית. בית המשפט הדגיש שאין בכך קביעה שבישראל מוכרים נישואין בין בני אותו מין ואין בכך יצירת סטטוס חדש. </w:t>
            </w:r>
            <w:r>
              <w:rPr>
                <w:rFonts w:ascii="Arial" w:hAnsi="Arial" w:cs="Arial" w:eastAsia="Arial"/>
                <w:b/>
                <w:bCs/>
                <w:color w:val="1F2430"/>
                <w:sz w:val="18"/>
                <w:szCs w:val="18"/>
                <w:rtl/>
              </w:rPr>
              <w:t>דעת מיעוט:</w:t>
            </w:r>
            <w:r>
              <w:rPr>
                <w:rFonts w:ascii="Arial" w:hAnsi="Arial" w:cs="Arial" w:eastAsia="Arial"/>
                <w:color w:val="1F2430"/>
                <w:sz w:val="18"/>
                <w:szCs w:val="18"/>
                <w:rtl/>
              </w:rPr>
              <w:t xml:space="preserve"> השופט רובינשטיין.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ההרחבה המשמעותית ביותר של פונק שלזינגר; כולל את טענות המדינה וההתמודדות של ברק איתן — חומר קלאסי לשאלות "איזו טענה נכונה".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טענות המדינה ותשובות ברק:</w:t>
      </w:r>
    </w:p>
    <w:tbl>
      <w:tblPr>
        <w:tblW w:type="dxa" w:w="10206"/>
        <w:jc w:val="center"/>
        <w:tblLook w:firstColumn="1" w:firstRow="1" w:lastColumn="0" w:lastRow="0" w:noHBand="0" w:noVBand="1" w:val="04A0"/>
        <w:bidiVisual/>
        <w:tblLayout w:type="fixed"/>
      </w:tblPr>
      <w:tblGrid>
        <w:gridCol w:w="5103"/>
        <w:gridCol w:w="5103"/>
      </w:tblGrid>
      <w:tr>
        <w:trPr>
          <w:tblHeader/>
        </w:trPr>
        <w:tc>
          <w:tcPr>
            <w:tcW w:type="dxa" w:w="5102"/>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טענת המדינה</w:t>
            </w:r>
          </w:p>
        </w:tc>
        <w:tc>
          <w:tcPr>
            <w:tcW w:type="dxa" w:w="5102"/>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תשובת ברק</w:t>
            </w:r>
          </w:p>
        </w:tc>
      </w:tr>
      <w:tr>
        <w:trPr>
          <w:cantSplit/>
        </w:trPr>
        <w:tc>
          <w:tcPr>
            <w:tcW w:type="dxa" w:w="510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רשויות המדינה (מס הכנסה, ביטוח לאומי) והציבור אינם מכירים את "הכוכבית" — מי שמביא תעודת נישואין נתפס כנשוי</w:t>
            </w:r>
          </w:p>
        </w:tc>
        <w:tc>
          <w:tcPr>
            <w:tcW w:type="dxa" w:w="510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יש צורך בטעמים כבדי משקל כדי לסטות מפונק שלזינגר. "חזקה על רשויות המדינה שהן חייבות להיות מודעות לאופי המוגבל של הרישום"; אם אינן מבינות — יש להסביר וללמד אותן, ולא להעניק לפקיד סמכות להכריע בשאלות מהותיות</w:t>
            </w:r>
          </w:p>
        </w:tc>
      </w:tr>
      <w:tr>
        <w:trPr>
          <w:cantSplit/>
        </w:trPr>
        <w:tc>
          <w:tcPr>
            <w:tcW w:type="dxa" w:w="510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הרישום יטעה את הציבור לחשוב שיש הכרה</w:t>
            </w:r>
          </w:p>
        </w:tc>
        <w:tc>
          <w:tcPr>
            <w:tcW w:type="dxa" w:w="510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הרישום של דת, לאום ומצב אישי נועד למטרות סטטיסטיות בלבד</w:t>
            </w:r>
          </w:p>
        </w:tc>
      </w:tr>
      <w:tr>
        <w:trPr>
          <w:cantSplit/>
        </w:trPr>
        <w:tc>
          <w:tcPr>
            <w:tcW w:type="dxa" w:w="510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יש לאפשר לשר הפנים לסרב</w:t>
            </w:r>
          </w:p>
        </w:tc>
        <w:tc>
          <w:tcPr>
            <w:tcW w:type="dxa" w:w="5102"/>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הסדר ראשוני</w:t>
            </w:r>
            <w:r>
              <w:rPr>
                <w:rFonts w:ascii="Arial" w:hAnsi="Arial" w:cs="Arial" w:eastAsia="Arial"/>
                <w:color w:val="1F2430"/>
                <w:sz w:val="17"/>
                <w:szCs w:val="17"/>
                <w:rtl/>
              </w:rPr>
              <w:t>: שאלות יסוד של החברה הישראלית צריכות להיות מוכרעות בידי הכנסת, לא בידי שר הפנים או פקיד. כל עוד הכנסת לא אמרה את דברה — ההכרעות לא ייעשו במסגרת המרשם</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דעת המיעוט — השופט רובינשטיין:</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 xml:space="preserve">זוג מאותו מין </w:t>
      </w:r>
      <w:r>
        <w:rPr>
          <w:rFonts w:ascii="Arial" w:hAnsi="Arial" w:cs="Arial" w:eastAsia="Arial"/>
          <w:color w:val="1F2430"/>
          <w:sz w:val="19"/>
          <w:szCs w:val="19"/>
          <w:highlight w:val="yellow"/>
          <w:rtl/>
        </w:rPr>
        <w:t>נכנס לחריג של אי נכונות גלויה לעין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 xml:space="preserve">אין כאן צורך ברישום כדי להגן על זכויות כלכליות — את הזכויות הממוניות (עבודה, צבא, ירושה) כבר הכירו; מבוקש כאן </w:t>
      </w:r>
      <w:r>
        <w:rPr>
          <w:rFonts w:ascii="Arial" w:hAnsi="Arial" w:cs="Arial" w:eastAsia="Arial"/>
          <w:color w:val="1F2430"/>
          <w:sz w:val="19"/>
          <w:szCs w:val="19"/>
          <w:highlight w:val="yellow"/>
          <w:rtl/>
        </w:rPr>
        <w:t>סמל חברתי-ציבורי</w:t>
      </w:r>
      <w:r>
        <w:rPr>
          <w:rFonts w:ascii="Arial" w:hAnsi="Arial" w:cs="Arial" w:eastAsia="Arial"/>
          <w:color w:val="1F2430"/>
          <w:sz w:val="19"/>
          <w:szCs w:val="19"/>
          <w:rtl/>
        </w:rPr>
        <w:t xml:space="preserve"> ("דגל"), ואם זה דגל — שיוכרע בכנסת.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אדם מן היישוב אינו מבחין בין רישום לבין הכרה בסטטוס: כשכתוב "נשוי", הציבור מבין שמדובר בהכרה מלאה. (באותה עת רק 6 מתוך כ-190 מדינות הכירו בנישואין חד-מיניים.)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בית המשפט אינו צריך להיות "חלוץ" לפני המחוקק; רובינשטיין ציטט מכתבי ברק עצמו ששופט אינו אמור "לתקוע דגל" ולומר "בואו אחריי", וטען שהדבר עלול לפגוע באמון הציבור.</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אחרי בן ארי — איפה מתגרשים זוגות מאותו מין?</w:t>
      </w:r>
    </w:p>
    <w:p>
      <w:pPr>
        <w:bidi/>
        <w:spacing w:before="0" w:after="100" w:line="300" w:lineRule="auto"/>
        <w:jc w:val="both"/>
      </w:pPr>
      <w:r>
        <w:rPr>
          <w:rFonts w:ascii="Arial" w:hAnsi="Arial" w:cs="Arial" w:eastAsia="Arial"/>
          <w:color w:val="1F2430"/>
          <w:sz w:val="19"/>
          <w:szCs w:val="19"/>
          <w:rtl/>
        </w:rPr>
        <w:t>לכאורה, כששני בני הזוג יהודים, הגירושין בסמכות הייחודית של בית הדין הרבני. אך כשהגיע מקרה כזה לבית הדין, הוא סירב לדון בו (ואמר שאין לו "אגרה להומוסקסואלים"), שכן מבחינתו אין בין בני הזוג קשר דתי שצריך לפרק. בתמ"ש 11264-09-12 פנו בני הזוג לבית המשפט לענייני משפחה, שקבע: "בהשתהותו של בית הדין לפתוח התיק ולקבל אגרה, הפקיע בית הדין את סמכותו לדון בתביעה". עוד נימק בפרשנות תכליתית: היהודים שנישאו אזרחית נשלחים לבית הדין הרבני כדי לברר ספק נישואין דתיים; אצל זוג מאותו מין אין ספק כזה — ולכן בית המשפט האזרחי יתיר את הקשר. בפסיקה האזרחית אין אחידות: יש שופטים שכותבים "ביטול נישואין" ויש שכותבים "התרת נישואין".</w:t>
      </w:r>
    </w:p>
    <w:p>
      <w:pPr>
        <w:bidi/>
        <w:spacing w:before="0" w:after="100" w:line="300" w:lineRule="auto"/>
        <w:jc w:val="both"/>
      </w:pPr>
      <w:r>
        <w:rPr>
          <w:rFonts w:ascii="Arial" w:hAnsi="Arial" w:cs="Arial" w:eastAsia="Arial"/>
          <w:color w:val="1F2430"/>
          <w:sz w:val="19"/>
          <w:szCs w:val="19"/>
          <w:rtl/>
        </w:rPr>
        <w:t xml:space="preserve">למה בכלל צריכים להתגרש, אם הנישואין "לא תופסים"? </w:t>
      </w:r>
      <w:r>
        <w:rPr>
          <w:rFonts w:ascii="Arial" w:hAnsi="Arial" w:cs="Arial" w:eastAsia="Arial"/>
          <w:color w:val="1F2430"/>
          <w:sz w:val="19"/>
          <w:szCs w:val="19"/>
          <w:highlight w:val="yellow"/>
          <w:rtl/>
        </w:rPr>
        <w:t>בגלל הרישום</w:t>
      </w:r>
      <w:r>
        <w:rPr>
          <w:rFonts w:ascii="Arial" w:hAnsi="Arial" w:cs="Arial" w:eastAsia="Arial"/>
          <w:color w:val="1F2430"/>
          <w:sz w:val="19"/>
          <w:szCs w:val="19"/>
          <w:rtl/>
        </w:rPr>
        <w:t>: כל עוד הם רשומים כנשואים, אינם יכולים להינשא לאחרים. (קנדה, מדינת הטקס, אינה מגרשת את מי שאינם תושביה.) לפי המקראה, בין 2010 ל-2016 נרשמו כ-581 זוגות חד-מיניים כנשואים. לעניין זכויות ממוניות — מזונות חוזיים לפי הלכת פלונית (ראו פרק 8), בבית המשפט ולא בבית הדין.</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עע"מ 7368/22 משרד הפנים נ' בריל — נישואי יוטה בזום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עע"מ 7368/22 משרד הפנים נ' בריל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מדינת יוטה בארה"ב אפשרה לערוך טקסי נישואין מקוונים: עורך הנישואין נמצא ביוטה, ובני הזוג ושני עדים מעל גיל 18 משתתפים בהיוועדות חזותית (זום) מישראל. נמסרת תעודת נישואין זהה לזו שהייתה ניתנת בטקס בנוכחות פיזית. שישה זוגות ישראלים נישאו כך ונרשמו כנשואים; בתחילה משרד הפנים לא שם לב לצורת הנישואין, ואז שר הפנים עצר את הרישום. הפקיד נימק: "מירב הזיקות של הטקס" הן לישראל, ולכן "הנישואין נערכו בישראל", חל עליהם הדין הישראלי ולא ההלכות על נישואין מחוץ לישראל. שתי ערכאות קבעו שהפקיד טעה, והמדינה ערערה. </w:t>
            </w:r>
            <w:r>
              <w:rPr>
                <w:rFonts w:ascii="Arial" w:hAnsi="Arial" w:cs="Arial" w:eastAsia="Arial"/>
                <w:b/>
                <w:bCs/>
                <w:color w:val="1F2430"/>
                <w:sz w:val="18"/>
                <w:szCs w:val="18"/>
                <w:rtl/>
              </w:rPr>
              <w:t>טענת המדינה:</w:t>
            </w:r>
            <w:r>
              <w:rPr>
                <w:rFonts w:ascii="Arial" w:hAnsi="Arial" w:cs="Arial" w:eastAsia="Arial"/>
                <w:color w:val="1F2430"/>
                <w:sz w:val="18"/>
                <w:szCs w:val="18"/>
                <w:rtl/>
              </w:rPr>
              <w:t xml:space="preserve"> הנישואין נערכים בפועל בישראל, ובני הזוג עוקפים את הדין הישראלי; אישורם "מרוקן מתוכן" את הכרעת המחוקק שלא לאפשר נישואין אזרחיים בישראל.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המשפט העליון דחה את הערעור. זהו בדיוק עקרון פונק שלזינגר: הרישום סטטיסטי; הפקיד בודק רק אם קיימת תעודה ציבורית תקינה שניתנה בידי הגורם המוסמך. עורך הטקס נמצא במדינה אחרת ומוסמך לפי דינה. לצורך המרשם </w:t>
            </w:r>
            <w:r>
              <w:rPr>
                <w:rFonts w:ascii="Arial" w:hAnsi="Arial" w:cs="Arial" w:eastAsia="Arial"/>
                <w:color w:val="1F2430"/>
                <w:sz w:val="18"/>
                <w:szCs w:val="18"/>
                <w:highlight w:val="yellow"/>
                <w:rtl/>
              </w:rPr>
              <w:t>אין הבדל משמעותי</w:t>
            </w:r>
            <w:r>
              <w:rPr>
                <w:rFonts w:ascii="Arial" w:hAnsi="Arial" w:cs="Arial" w:eastAsia="Arial"/>
                <w:color w:val="1F2430"/>
                <w:sz w:val="18"/>
                <w:szCs w:val="18"/>
                <w:rtl/>
              </w:rPr>
              <w:t xml:space="preserve"> בין זוג שטס לחו"ל, נישא וחזר, לבין זוג שעורך את אותו טקס מרחוק. ציטוט: "לרישום הנישואין יש חשיבות מעשית, אך אין הוא מצביע על תוקפם של נישואין בישראל על פי הדין המהותי והוא אף לא משמש כראיה לכאורה לנכונותו".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הדין החדש של הנושא. רישום ≠ הכרעה בתוקף; ועם זאת בפועל הרישום מקנה לזוג זכויות רבות הניתנות לזוגות הרשומים כנשואים.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בפסק הדין נסקרו שלוש פרשות קודמות שבהן הוחלה הלכת פונק שלזינגר על רישום נישואין:</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1. </w:t>
      </w:r>
      <w:r>
        <w:tab/>
      </w:r>
      <w:r>
        <w:rPr>
          <w:rFonts w:ascii="Arial" w:hAnsi="Arial" w:cs="Arial" w:eastAsia="Arial"/>
          <w:color w:val="1F2430"/>
          <w:sz w:val="19"/>
          <w:szCs w:val="19"/>
          <w:rtl/>
        </w:rPr>
        <w:t>עניין פסרו גולדשטיין — נישואין שנערכו בישראל בידי קונסול של מדינה זרה.</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2. </w:t>
      </w:r>
      <w:r>
        <w:tab/>
      </w:r>
      <w:r>
        <w:rPr>
          <w:rFonts w:ascii="Arial" w:hAnsi="Arial" w:cs="Arial" w:eastAsia="Arial"/>
          <w:color w:val="1F2430"/>
          <w:sz w:val="19"/>
          <w:szCs w:val="19"/>
          <w:rtl/>
        </w:rPr>
        <w:t>עניין בן ארי — זוגות מאותו מין.</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3. </w:t>
      </w:r>
      <w:r>
        <w:tab/>
      </w:r>
      <w:r>
        <w:rPr>
          <w:rFonts w:ascii="Arial" w:hAnsi="Arial" w:cs="Arial" w:eastAsia="Arial"/>
          <w:color w:val="1F2430"/>
          <w:sz w:val="19"/>
          <w:szCs w:val="19"/>
          <w:rtl/>
        </w:rPr>
        <w:t>עניין נישואי אל סלבדור — נישואין באמצעות מיופה כוח (שליח).</w:t>
      </w:r>
    </w:p>
    <w:p>
      <w:pPr>
        <w:bidi/>
        <w:spacing w:before="0" w:after="100" w:line="300" w:lineRule="auto"/>
        <w:jc w:val="both"/>
      </w:pPr>
      <w:r>
        <w:rPr>
          <w:rFonts w:ascii="Arial" w:hAnsi="Arial" w:cs="Arial" w:eastAsia="Arial"/>
          <w:color w:val="1F2430"/>
          <w:sz w:val="19"/>
          <w:szCs w:val="19"/>
          <w:rtl/>
        </w:rPr>
        <w:t>בכולן נקבע שמאחר שהתעודות משקפות פרטים עובדתיים נכונים וניתנו בידי הגורם המוסמך — על הפקיד לרשום.</w:t>
      </w:r>
    </w:p>
    <w:p>
      <w:pPr>
        <w:bidi/>
        <w:spacing w:before="0" w:after="100" w:line="300" w:lineRule="auto"/>
        <w:jc w:val="both"/>
      </w:pPr>
      <w:r>
        <w:rPr>
          <w:rFonts w:ascii="Arial" w:hAnsi="Arial" w:cs="Arial" w:eastAsia="Arial"/>
          <w:color w:val="1F2430"/>
          <w:sz w:val="19"/>
          <w:szCs w:val="19"/>
          <w:rtl/>
        </w:rPr>
        <w:t>היכן מתגרשים נישואי יוטה? אם שני בני הזוג יהודים — בבית הדין הרבני, שיבחן אם יש ספק נישואין (דעה מחמירה מול דעה מקלה, ראו פרק 8).</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שלוש דרכים לנישואין אזרחיים "מחוץ לישראל"</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1. </w:t>
            </w:r>
            <w:r>
              <w:tab/>
            </w:r>
            <w:r>
              <w:rPr>
                <w:rFonts w:ascii="Arial" w:hAnsi="Arial" w:cs="Arial" w:eastAsia="Arial"/>
                <w:color w:val="1F2430"/>
                <w:sz w:val="18"/>
                <w:szCs w:val="18"/>
                <w:rtl/>
              </w:rPr>
              <w:t>בשליח/מיופה כוח — מקסיקו, פרגוואי, אל סלבדור (בלי לצאת מהארץ). (המקור הראשון לרעיון השליחות הוא דווקא ההלכה: "האיש מקדש בו ובשלוחו".)</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2. </w:t>
            </w:r>
            <w:r>
              <w:tab/>
            </w:r>
            <w:r>
              <w:rPr>
                <w:rFonts w:ascii="Arial" w:hAnsi="Arial" w:cs="Arial" w:eastAsia="Arial"/>
                <w:color w:val="1F2430"/>
                <w:sz w:val="18"/>
                <w:szCs w:val="18"/>
                <w:rtl/>
              </w:rPr>
              <w:t>בנוכחות אישית — קפריסין, פראג.</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3. </w:t>
            </w:r>
            <w:r>
              <w:tab/>
            </w:r>
            <w:r>
              <w:rPr>
                <w:rFonts w:ascii="Arial" w:hAnsi="Arial" w:cs="Arial" w:eastAsia="Arial"/>
                <w:color w:val="1F2430"/>
                <w:sz w:val="18"/>
                <w:szCs w:val="18"/>
                <w:rtl/>
              </w:rPr>
              <w:t>מקוון בזום — יוטה (בריל).</w:t>
            </w:r>
          </w:p>
          <w:p>
            <w:pPr>
              <w:bidi/>
              <w:spacing w:before="0" w:after="60" w:line="300" w:lineRule="auto"/>
              <w:jc w:val="both"/>
            </w:pPr>
            <w:r>
              <w:rPr>
                <w:rFonts w:ascii="Arial" w:hAnsi="Arial" w:cs="Arial" w:eastAsia="Arial"/>
                <w:color w:val="1F2430"/>
                <w:sz w:val="18"/>
                <w:szCs w:val="18"/>
                <w:rtl/>
              </w:rPr>
              <w:t>לצורך הרישום — כולן נרשמות, בתנאי שהוצגה תעודה ציבורית תקינה.</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חלק ד: נישואין פרטיים והרישום</w:t>
      </w:r>
    </w:p>
    <w:p>
      <w:pPr>
        <w:bidi/>
        <w:spacing w:before="0" w:after="100" w:line="300" w:lineRule="auto"/>
        <w:jc w:val="both"/>
      </w:pPr>
      <w:r>
        <w:rPr>
          <w:rFonts w:ascii="Arial" w:hAnsi="Arial" w:cs="Arial" w:eastAsia="Arial"/>
          <w:color w:val="1F2430"/>
          <w:sz w:val="19"/>
          <w:szCs w:val="19"/>
          <w:rtl/>
        </w:rPr>
        <w:t xml:space="preserve">נישואין פרטיים הם טקס נישואין (בדרך כלל יהודי-הלכתי) שנערך בלי לעבור דרך הרשות הרושמת — הרבנות. מבחינה הלכתית הטקס עשוי לתפוס, אך </w:t>
      </w:r>
      <w:r>
        <w:rPr>
          <w:rFonts w:ascii="Arial" w:hAnsi="Arial" w:cs="Arial" w:eastAsia="Arial"/>
          <w:color w:val="1F2430"/>
          <w:sz w:val="19"/>
          <w:szCs w:val="19"/>
          <w:highlight w:val="yellow"/>
          <w:rtl/>
        </w:rPr>
        <w:t>אין תעודה ציבורית</w:t>
      </w:r>
      <w:r>
        <w:rPr>
          <w:rFonts w:ascii="Arial" w:hAnsi="Arial" w:cs="Arial" w:eastAsia="Arial"/>
          <w:color w:val="1F2430"/>
          <w:sz w:val="19"/>
          <w:szCs w:val="19"/>
          <w:rtl/>
        </w:rPr>
        <w:t>, ולכן הזוג אינו נרשם: המרשם "לא מקבל הצהרות פרטיות, רק מהרשות". זהו ההבדל המרכזי לעומת נישואין אזרחיים בחו"ל: מי שנישא אזרחית — מתועד; מי שנישא פרטית — אינו מתועד. (הדין המהותי של נישואין פרטיים — צונן נ' שטל, כהן, מזונות — נלמד בפרק 8.)</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תוקף מול רישום — היפוך תמונת המראה</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color w:val="1F2430"/>
                <w:sz w:val="18"/>
                <w:szCs w:val="18"/>
                <w:rtl/>
              </w:rPr>
              <w:t xml:space="preserve">נישואין פרטיים כדמו"י: ייתכן שיש להם </w:t>
            </w:r>
            <w:r>
              <w:rPr>
                <w:rFonts w:ascii="Arial" w:hAnsi="Arial" w:cs="Arial" w:eastAsia="Arial"/>
                <w:color w:val="1F2430"/>
                <w:sz w:val="18"/>
                <w:szCs w:val="18"/>
                <w:highlight w:val="yellow"/>
                <w:rtl/>
              </w:rPr>
              <w:t>תוקף</w:t>
            </w:r>
            <w:r>
              <w:rPr>
                <w:rFonts w:ascii="Arial" w:hAnsi="Arial" w:cs="Arial" w:eastAsia="Arial"/>
                <w:color w:val="1F2430"/>
                <w:sz w:val="18"/>
                <w:szCs w:val="18"/>
                <w:rtl/>
              </w:rPr>
              <w:t xml:space="preserve"> הלכתי, אבל אינם </w:t>
            </w:r>
            <w:r>
              <w:rPr>
                <w:rFonts w:ascii="Arial" w:hAnsi="Arial" w:cs="Arial" w:eastAsia="Arial"/>
                <w:color w:val="1F2430"/>
                <w:sz w:val="18"/>
                <w:szCs w:val="18"/>
                <w:highlight w:val="yellow"/>
                <w:rtl/>
              </w:rPr>
              <w:t>נרשמים</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color w:val="1F2430"/>
                <w:sz w:val="18"/>
                <w:szCs w:val="18"/>
                <w:rtl/>
              </w:rPr>
              <w:t xml:space="preserve">נישואין אזרחיים בחו"ל: </w:t>
            </w:r>
            <w:r>
              <w:rPr>
                <w:rFonts w:ascii="Arial" w:hAnsi="Arial" w:cs="Arial" w:eastAsia="Arial"/>
                <w:color w:val="1F2430"/>
                <w:sz w:val="18"/>
                <w:szCs w:val="18"/>
                <w:highlight w:val="yellow"/>
                <w:rtl/>
              </w:rPr>
              <w:t>נרשמים</w:t>
            </w:r>
            <w:r>
              <w:rPr>
                <w:rFonts w:ascii="Arial" w:hAnsi="Arial" w:cs="Arial" w:eastAsia="Arial"/>
                <w:color w:val="1F2430"/>
                <w:sz w:val="18"/>
                <w:szCs w:val="18"/>
                <w:rtl/>
              </w:rPr>
              <w:t xml:space="preserve">, אבל </w:t>
            </w:r>
            <w:r>
              <w:rPr>
                <w:rFonts w:ascii="Arial" w:hAnsi="Arial" w:cs="Arial" w:eastAsia="Arial"/>
                <w:color w:val="1F2430"/>
                <w:sz w:val="18"/>
                <w:szCs w:val="18"/>
                <w:highlight w:val="yellow"/>
                <w:rtl/>
              </w:rPr>
              <w:t>תוקפם</w:t>
            </w:r>
            <w:r>
              <w:rPr>
                <w:rFonts w:ascii="Arial" w:hAnsi="Arial" w:cs="Arial" w:eastAsia="Arial"/>
                <w:color w:val="1F2430"/>
                <w:sz w:val="18"/>
                <w:szCs w:val="18"/>
                <w:rtl/>
              </w:rPr>
              <w:t xml:space="preserve"> הדתי מוטל בספק.</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מי נוהג להינשא באופן פרטי? בעיקר דתיים או מסורתיים שאינם רוצים לחיות יחד ללא נישואין הלכתיים, אך אינם יכולים או רוצים לעבור ברבנות: קטינים; רפורמים וקונסרבטיבים (אין להם הסמכה מהרשות); פסולי חיתון כגון כהן וגרושה; מי שרוצים להישאר "יחידניים" מול הרשויות (שיקולי מס שבח ורכישה, קצבאות); ומי שרוצים להקל על פרידה עתידית.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51/69 רודניצקי — נישואין פרטיים של פסולי חיתון והרישום</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כהן וגרושה, יהודים תושבי ישראל, נישאו בטקס פרטי (טבעת, עדים), ונולד להם ילד (חלל). הם ביקשו מבית הדין הרבני להצהיר על מעמדם; בית הדין כתב שיש "חששות" ולא קבע "נישואין מספק" (בין היתר לאחר שעדה מסרה שהטבעת ניתנה לפני אמירת הקידושין, ובני הזוג אינם שומרי שבת). בית הדין הגדול לא שינה. פקיד המרשם אמר: אילו נכתב "נישואין מספק" — הייתי רושם; "חששות" אינם מספיקים.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קבע ש</w:t>
            </w:r>
            <w:r>
              <w:rPr>
                <w:rFonts w:ascii="Arial" w:hAnsi="Arial" w:cs="Arial" w:eastAsia="Arial"/>
                <w:color w:val="1F2430"/>
                <w:sz w:val="18"/>
                <w:szCs w:val="18"/>
                <w:highlight w:val="yellow"/>
                <w:rtl/>
              </w:rPr>
              <w:t>מחמת הספק בני הזוג אסורים להינשא לאחרים בלי גט פיטורין</w:t>
            </w:r>
            <w:r>
              <w:rPr>
                <w:rFonts w:ascii="Arial" w:hAnsi="Arial" w:cs="Arial" w:eastAsia="Arial"/>
                <w:color w:val="1F2430"/>
                <w:sz w:val="18"/>
                <w:szCs w:val="18"/>
                <w:rtl/>
              </w:rPr>
              <w:t xml:space="preserve">, ולכן הורה לרשום אותם כנשואים. בית המשפט לא רצה לשלוח פסולי חיתון לחו"ל: "איזה פתרון הוא זה... לשלוח את תושבי המדינה אל מחוץ לגבולותיה כדי שיבואו שם על תיקונם". הקביעה נעשתה כהכרעה אגבית (סעיף 76 לחוק בתי המשפט), לצורך המרשם בלבד, ואינה מחייבת את בית הדין הרבני.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הדין המרכזי — אצל פסולי חיתון בית המשפט נוטה לעזור ולהורות על רישום.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גורפינקל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כהן שנישא באופן פרטי לגרושה הגיע ישירות למשרד הפנים עם תצהירי העדים ותמונות מהחתונה. הפקיד סירב: אינו מקבל מסמכים פרטיים, ודרש החלטה של בית משפט או בית דין. הוא עתר לבג"ץ.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הורה לו לפנות </w:t>
            </w:r>
            <w:r>
              <w:rPr>
                <w:rFonts w:ascii="Arial" w:hAnsi="Arial" w:cs="Arial" w:eastAsia="Arial"/>
                <w:color w:val="1F2430"/>
                <w:sz w:val="18"/>
                <w:szCs w:val="18"/>
                <w:highlight w:val="yellow"/>
                <w:rtl/>
              </w:rPr>
              <w:t>קודם לבית הדין הרבני</w:t>
            </w:r>
            <w:r>
              <w:rPr>
                <w:rFonts w:ascii="Arial" w:hAnsi="Arial" w:cs="Arial" w:eastAsia="Arial"/>
                <w:color w:val="1F2430"/>
                <w:sz w:val="18"/>
                <w:szCs w:val="18"/>
                <w:rtl/>
              </w:rPr>
              <w:t xml:space="preserve">; רק אם יסרב — יוכל לחזור לבג"ץ.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חובת מיצוי הליכים; והפקיד צדק — תצהירים פרטיים אינם תעודה ציבורית.</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ע"א 373/72 טפר:</w:t>
      </w:r>
      <w:r>
        <w:rPr>
          <w:rFonts w:ascii="Arial" w:hAnsi="Arial" w:cs="Arial" w:eastAsia="Arial"/>
          <w:color w:val="1F2430"/>
          <w:sz w:val="19"/>
          <w:szCs w:val="19"/>
          <w:rtl/>
        </w:rPr>
        <w:t xml:space="preserve"> יהודי ונוצרייה ערכו טקס יהודי פרטי וביקשו הצהרה שהם נשואים, בטענה שגם הם פסולי חיתון כמו רודניצקי. התביעה נדחתה: אצל כהן וגרושה הקידושין יכולים לתפוס לפחות מספק; אצל יהודי ונוכרית </w:t>
      </w:r>
      <w:r>
        <w:rPr>
          <w:rFonts w:ascii="Arial" w:hAnsi="Arial" w:cs="Arial" w:eastAsia="Arial"/>
          <w:color w:val="1F2430"/>
          <w:sz w:val="19"/>
          <w:szCs w:val="19"/>
          <w:highlight w:val="yellow"/>
          <w:rtl/>
        </w:rPr>
        <w:t>הקידושין אינם תופסים כלל</w:t>
      </w:r>
      <w:r>
        <w:rPr>
          <w:rFonts w:ascii="Arial" w:hAnsi="Arial" w:cs="Arial" w:eastAsia="Arial"/>
          <w:color w:val="1F2430"/>
          <w:sz w:val="19"/>
          <w:szCs w:val="19"/>
          <w:rtl/>
        </w:rPr>
        <w:t xml:space="preserve"> — ולכן אין ממה לגזור הכרה או רישום. הם יכולים להינשא אזרחית בחו"ל או לחיות כידועים בציבור.</w:t>
      </w:r>
    </w:p>
    <w:p>
      <w:pPr>
        <w:bidi/>
        <w:spacing w:before="0" w:after="100" w:line="300" w:lineRule="auto"/>
        <w:jc w:val="both"/>
      </w:pPr>
      <w:r>
        <w:rPr>
          <w:rFonts w:ascii="Arial" w:hAnsi="Arial" w:cs="Arial" w:eastAsia="Arial"/>
          <w:b/>
          <w:bCs/>
          <w:color w:val="1F2430"/>
          <w:sz w:val="19"/>
          <w:szCs w:val="19"/>
          <w:rtl/>
        </w:rPr>
        <w:t>מסלול "הלבנה" בבית הדין הרבני:</w:t>
      </w:r>
      <w:r>
        <w:rPr>
          <w:rFonts w:ascii="Arial" w:hAnsi="Arial" w:cs="Arial" w:eastAsia="Arial"/>
          <w:color w:val="1F2430"/>
          <w:sz w:val="19"/>
          <w:szCs w:val="19"/>
          <w:rtl/>
        </w:rPr>
        <w:t xml:space="preserve"> בית הדין הרבני האזורי בירושלים (תיק 1093889/1) קבע נוהל לאישור נישואין פרטיים: המבקשים חייבים למסור את שם עורך הנישואין, שיצהיר שהיה ברור לו שבני הזוג פנויים ורשאים להינשא, ו</w:t>
      </w:r>
      <w:r>
        <w:rPr>
          <w:rFonts w:ascii="Arial" w:hAnsi="Arial" w:cs="Arial" w:eastAsia="Arial"/>
          <w:color w:val="1F2430"/>
          <w:sz w:val="19"/>
          <w:szCs w:val="19"/>
          <w:highlight w:val="yellow"/>
          <w:rtl/>
        </w:rPr>
        <w:t>יתחייב שלא לערוך עוד נישואין לזוגות שלא נרשמו</w:t>
      </w:r>
      <w:r>
        <w:rPr>
          <w:rFonts w:ascii="Arial" w:hAnsi="Arial" w:cs="Arial" w:eastAsia="Arial"/>
          <w:color w:val="1F2430"/>
          <w:sz w:val="19"/>
          <w:szCs w:val="19"/>
          <w:rtl/>
        </w:rPr>
        <w:t xml:space="preserve">. באותו מקרה עורך הנישואין סירב להתחייב. בית הדין קבע שהטקס נערך בידי מי שאינו מוסמך, שההתנהלות חסרת תום לב, הורה לצדדים להסדיר נישואין כדמו"י דרך הרבנות, והורה לרשום אותם ברשימת </w:t>
      </w:r>
      <w:r>
        <w:rPr>
          <w:rFonts w:ascii="Arial" w:hAnsi="Arial" w:cs="Arial" w:eastAsia="Arial"/>
          <w:color w:val="1F2430"/>
          <w:sz w:val="19"/>
          <w:szCs w:val="19"/>
          <w:highlight w:val="yellow"/>
          <w:rtl/>
        </w:rPr>
        <w:t>מעוכבי הנישואין</w:t>
      </w:r>
      <w:r>
        <w:rPr>
          <w:rFonts w:ascii="Arial" w:hAnsi="Arial" w:cs="Arial" w:eastAsia="Arial"/>
          <w:color w:val="1F2430"/>
          <w:sz w:val="19"/>
          <w:szCs w:val="19"/>
          <w:rtl/>
        </w:rPr>
        <w:t xml:space="preserve"> לאחרים. בג"ץ 2102/18 דחה את העתירה נגד ההחלטה: בית הדין לא חרג מסמכותו, בייחוד נוכח "ספקות רציניים" בתוקף הטקס.</w:t>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חלק ה: פקודת הנישואין והגירושין (רישום)</w:t>
      </w:r>
    </w:p>
    <w:p>
      <w:pPr>
        <w:bidi/>
        <w:spacing w:before="0" w:after="100" w:line="300" w:lineRule="auto"/>
        <w:jc w:val="both"/>
      </w:pPr>
      <w:r>
        <w:rPr>
          <w:rFonts w:ascii="Arial" w:hAnsi="Arial" w:cs="Arial" w:eastAsia="Arial"/>
          <w:color w:val="1F2430"/>
          <w:sz w:val="19"/>
          <w:szCs w:val="19"/>
          <w:rtl/>
        </w:rPr>
        <w:t xml:space="preserve">הפקודה היא הבסיס החוקי לחובה להינשא ולהתגרש דרך "רשות רושמת". מבחינת הדין הדתי המקורי, הקידושין תופסים גם בלי רב, חופה, מניין ורשות רושמת — אלה תקנות מאוחרות שנועדו להפוך את הנישואין לאירוע ברור ורב רושם. </w:t>
      </w:r>
      <w:r>
        <w:rPr>
          <w:rFonts w:ascii="Arial" w:hAnsi="Arial" w:cs="Arial" w:eastAsia="Arial"/>
          <w:color w:val="1F2430"/>
          <w:sz w:val="19"/>
          <w:szCs w:val="19"/>
          <w:highlight w:val="yellow"/>
          <w:rtl/>
        </w:rPr>
        <w:t>הרשות הרושמת היא חידוש ישראלי</w:t>
      </w:r>
      <w:r>
        <w:rPr>
          <w:rFonts w:ascii="Arial" w:hAnsi="Arial" w:cs="Arial" w:eastAsia="Arial"/>
          <w:color w:val="1F2430"/>
          <w:sz w:val="19"/>
          <w:szCs w:val="19"/>
          <w:rtl/>
        </w:rPr>
        <w:t>: בעולם אין רבנות, ויהודים נישאים שם אזרחית; בישראל "באנו למדינה" שיש לה אמצעים לעקוב ולעשות סדר.</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סעיף 2 — רשות רושמת:</w:t>
      </w:r>
      <w:r>
        <w:rPr>
          <w:rFonts w:ascii="Arial" w:hAnsi="Arial" w:cs="Arial" w:eastAsia="Arial"/>
          <w:color w:val="1F2430"/>
          <w:sz w:val="19"/>
          <w:szCs w:val="19"/>
          <w:rtl/>
        </w:rPr>
        <w:t xml:space="preserve"> נישואין נרשמים רק דרך הרבנות.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סעיף 2א — מקום הרישום:</w:t>
      </w:r>
      <w:r>
        <w:rPr>
          <w:rFonts w:ascii="Arial" w:hAnsi="Arial" w:cs="Arial" w:eastAsia="Arial"/>
          <w:color w:val="1F2430"/>
          <w:sz w:val="19"/>
          <w:szCs w:val="19"/>
          <w:rtl/>
        </w:rPr>
        <w:t xml:space="preserve"> בעקבות פעילות ארגון "צוהר" תוקן החוק: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פקודת הנישואין והגירושין (רישום), סעיף 2א</w:t>
            </w:r>
          </w:p>
          <w:p>
            <w:pPr>
              <w:bidi/>
              <w:spacing w:before="0" w:after="60" w:line="300" w:lineRule="auto"/>
              <w:jc w:val="both"/>
            </w:pPr>
            <w:r>
              <w:rPr>
                <w:rFonts w:ascii="Arial" w:hAnsi="Arial" w:cs="Arial" w:eastAsia="Arial"/>
                <w:color w:val="1F2430"/>
                <w:sz w:val="18"/>
                <w:szCs w:val="18"/>
                <w:rtl/>
              </w:rPr>
              <w:t>"בני זוג יהודים המבקשים להינשא, רשאים להירשם לנישואין אצל כל רב שמונה כרושם נישואין לפי סעיף 2(6) לחוק הרבנות הראשית לישראל, התש"ם-1980, בלא קשר למקום מגוריהם או למקום עריכת הנישואין."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סעיף 7 — העבירה (תיקון תשע"ד):</w:t>
      </w:r>
      <w:r>
        <w:rPr>
          <w:rFonts w:ascii="Arial" w:hAnsi="Arial" w:cs="Arial" w:eastAsia="Arial"/>
          <w:color w:val="1F2430"/>
          <w:sz w:val="19"/>
          <w:szCs w:val="19"/>
          <w:rtl/>
        </w:rPr>
        <w:t xml:space="preserve"> כך ביקשה המדינה להילחם בנישואין פרטיים: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פקודת הנישואין והגירושין (רישום), סעיף 7</w:t>
            </w:r>
          </w:p>
          <w:p>
            <w:pPr>
              <w:bidi/>
              <w:spacing w:before="0" w:after="60" w:line="300" w:lineRule="auto"/>
              <w:jc w:val="both"/>
            </w:pPr>
            <w:r>
              <w:rPr>
                <w:rFonts w:ascii="Arial" w:hAnsi="Arial" w:cs="Arial" w:eastAsia="Arial"/>
                <w:color w:val="1F2430"/>
                <w:sz w:val="18"/>
                <w:szCs w:val="18"/>
                <w:rtl/>
              </w:rPr>
              <w:t>"כל שאינו דואג לרישום הנישואין או הגירושין שלו או לרישום הנישואין או הגירושין שהוא סידר לאחר, דינו – מאסר שנתיים."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שני מעגלי אחריות: </w:t>
      </w:r>
      <w:r>
        <w:rPr>
          <w:rFonts w:ascii="Arial" w:hAnsi="Arial" w:cs="Arial" w:eastAsia="Arial"/>
          <w:color w:val="1F2430"/>
          <w:sz w:val="19"/>
          <w:szCs w:val="19"/>
          <w:highlight w:val="yellow"/>
          <w:rtl/>
        </w:rPr>
        <w:t>בני הזוג עצמם</w:t>
      </w:r>
      <w:r>
        <w:rPr>
          <w:rFonts w:ascii="Arial" w:hAnsi="Arial" w:cs="Arial" w:eastAsia="Arial"/>
          <w:color w:val="1F2430"/>
          <w:sz w:val="19"/>
          <w:szCs w:val="19"/>
          <w:rtl/>
        </w:rPr>
        <w:t xml:space="preserve"> (שלא דאגו לרישום נישואיהם או גירושיהם) ו</w:t>
      </w:r>
      <w:r>
        <w:rPr>
          <w:rFonts w:ascii="Arial" w:hAnsi="Arial" w:cs="Arial" w:eastAsia="Arial"/>
          <w:color w:val="1F2430"/>
          <w:sz w:val="19"/>
          <w:szCs w:val="19"/>
          <w:highlight w:val="yellow"/>
          <w:rtl/>
        </w:rPr>
        <w:t>מי שסידר את הנישואין או הגירושין</w:t>
      </w:r>
      <w:r>
        <w:rPr>
          <w:rFonts w:ascii="Arial" w:hAnsi="Arial" w:cs="Arial" w:eastAsia="Arial"/>
          <w:color w:val="1F2430"/>
          <w:sz w:val="19"/>
          <w:szCs w:val="19"/>
          <w:rtl/>
        </w:rPr>
        <w:t xml:space="preserve"> לאחר (עורך הטקס ומי שמסייע). העונש — עד שנתיים מאסר. הלכתית אין בכך בעיה, והטקס עשוי לתפוס. בפועל, לפי מה שנלמד, </w:t>
      </w:r>
      <w:r>
        <w:rPr>
          <w:rFonts w:ascii="Arial" w:hAnsi="Arial" w:cs="Arial" w:eastAsia="Arial"/>
          <w:color w:val="1F2430"/>
          <w:sz w:val="19"/>
          <w:szCs w:val="19"/>
          <w:highlight w:val="yellow"/>
          <w:rtl/>
        </w:rPr>
        <w:t>העבירה כמעט אינה נאכפת</w:t>
      </w:r>
      <w:r>
        <w:rPr>
          <w:rFonts w:ascii="Arial" w:hAnsi="Arial" w:cs="Arial" w:eastAsia="Arial"/>
          <w:color w:val="1F2430"/>
          <w:sz w:val="19"/>
          <w:szCs w:val="19"/>
          <w:rtl/>
        </w:rPr>
        <w:t>; אבל המרשם לא ירשום את הצדדים כנשואים.</w:t>
      </w:r>
    </w:p>
    <w:p>
      <w:pPr>
        <w:bidi/>
        <w:spacing w:before="0" w:after="100" w:line="300" w:lineRule="auto"/>
        <w:jc w:val="both"/>
      </w:pPr>
      <w:r>
        <w:rPr>
          <w:rFonts w:ascii="Arial" w:hAnsi="Arial" w:cs="Arial" w:eastAsia="Arial"/>
          <w:color w:val="1F2430"/>
          <w:sz w:val="19"/>
          <w:szCs w:val="19"/>
          <w:rtl/>
        </w:rPr>
        <w:t>הרציונל (לפי התרגול): המדינה צריכה לדעת מי היא "אשת איש" — בשל החשש לממזרות. זוג פרטי שנפרד בלי גט אינו מתועד בשום מקום; מחר מישהו יפגוש את האישה ויחשוב שהיא רווקה. זה גם ההבדל לעומת נישואין אזרחיים: מי שנישא אזרחית רשום, ולכן כשירצה להיפרד יצטרך לפנות לערכאה — "כולם ידעו שהם מתגרשים".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עבירה קרובה — חוק גיל הנישואין</w:t>
            </w:r>
          </w:p>
          <w:p>
            <w:pPr>
              <w:bidi/>
              <w:spacing w:before="0" w:after="60" w:line="300" w:lineRule="auto"/>
              <w:jc w:val="both"/>
            </w:pPr>
            <w:r>
              <w:rPr>
                <w:rFonts w:ascii="Arial" w:hAnsi="Arial" w:cs="Arial" w:eastAsia="Arial"/>
                <w:color w:val="1F2430"/>
                <w:sz w:val="18"/>
                <w:szCs w:val="18"/>
                <w:rtl/>
              </w:rPr>
              <w:t>סעיף 2 לחוק גיל הנישואין קובע עבירה (מאסר שנתיים או קנס) למי שנשא קטינה או נשאה קטין, למי ש</w:t>
            </w:r>
            <w:r>
              <w:rPr>
                <w:rFonts w:ascii="Arial" w:hAnsi="Arial" w:cs="Arial" w:eastAsia="Arial"/>
                <w:color w:val="1F2430"/>
                <w:sz w:val="18"/>
                <w:szCs w:val="18"/>
                <w:highlight w:val="yellow"/>
                <w:rtl/>
              </w:rPr>
              <w:t>ערך נישואין או סייע בכל תפקיד</w:t>
            </w:r>
            <w:r>
              <w:rPr>
                <w:rFonts w:ascii="Arial" w:hAnsi="Arial" w:cs="Arial" w:eastAsia="Arial"/>
                <w:color w:val="1F2430"/>
                <w:sz w:val="18"/>
                <w:szCs w:val="18"/>
                <w:rtl/>
              </w:rPr>
              <w:t xml:space="preserve"> בעריכת נישואין של קטין, ולהורה או אפוטרופוס שהשיא קטין. גם כאן — הנישואין עשויים לתפוס הלכתית. פירוט בפרק 7.</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חלק ו: עבירות ריבוי נישואין — חוק העונשין, סעיפים 176–179</w:t>
      </w:r>
    </w:p>
    <w:p>
      <w:pPr>
        <w:bidi/>
        <w:spacing w:before="0" w:after="100" w:line="300" w:lineRule="auto"/>
        <w:jc w:val="both"/>
      </w:pPr>
      <w:r>
        <w:rPr>
          <w:rFonts w:ascii="Arial" w:hAnsi="Arial" w:cs="Arial" w:eastAsia="Arial"/>
          <w:b/>
          <w:bCs/>
          <w:color w:val="1F2430"/>
          <w:sz w:val="19"/>
          <w:szCs w:val="19"/>
          <w:rtl/>
        </w:rPr>
        <w:t>רקע — חרם דרבנו גרשום:</w:t>
      </w:r>
      <w:r>
        <w:rPr>
          <w:rFonts w:ascii="Arial" w:hAnsi="Arial" w:cs="Arial" w:eastAsia="Arial"/>
          <w:color w:val="1F2430"/>
          <w:sz w:val="19"/>
          <w:szCs w:val="19"/>
          <w:rtl/>
        </w:rPr>
        <w:t xml:space="preserve"> לפני החרם, מבחינה הלכתית גבר יכול היה לשאת יותר מאישה אחת ולגרש את אשתו בעל כורחה. רבנו גרשום התקין שתי תקנות עיקריות: (1) איסור לשאת אישה נוספת; (2) איסור לגרש אישה בגט בעל כורחה. החרם חל בעיקר כשמדובר ב"אישה כשרה"; ולכן במקרים חריגים (למשל אישה מורדת, או אישה שאינה מסוגלת לקבל גט) ניתן לקבל מבית הדין </w:t>
      </w:r>
      <w:r>
        <w:rPr>
          <w:rFonts w:ascii="Arial" w:hAnsi="Arial" w:cs="Arial" w:eastAsia="Arial"/>
          <w:color w:val="1F2430"/>
          <w:sz w:val="19"/>
          <w:szCs w:val="19"/>
          <w:highlight w:val="yellow"/>
          <w:rtl/>
        </w:rPr>
        <w:t>היתר נישואין</w:t>
      </w:r>
      <w:r>
        <w:rPr>
          <w:rFonts w:ascii="Arial" w:hAnsi="Arial" w:cs="Arial" w:eastAsia="Arial"/>
          <w:color w:val="1F2430"/>
          <w:sz w:val="19"/>
          <w:szCs w:val="19"/>
          <w:rtl/>
        </w:rPr>
        <w:t xml:space="preserve"> לשאת אישה נוספת. לאישה אין אפשרות מקבילה — אם הבעל אינו מסוגל לתת גט, היא עלולה להישאר עגונה.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העונשין, סעיף 176 — ריבוי נישואין</w:t>
            </w:r>
          </w:p>
          <w:p>
            <w:pPr>
              <w:bidi/>
              <w:spacing w:before="0" w:after="60" w:line="300" w:lineRule="auto"/>
              <w:jc w:val="both"/>
            </w:pPr>
            <w:r>
              <w:rPr>
                <w:rFonts w:ascii="Arial" w:hAnsi="Arial" w:cs="Arial" w:eastAsia="Arial"/>
                <w:color w:val="1F2430"/>
                <w:sz w:val="18"/>
                <w:szCs w:val="18"/>
                <w:rtl/>
              </w:rPr>
              <w:t>"נשוי הנושא אישה אחרת, ונשואה הנישאת לאיש אחר, דינם – מאסר חמש שנים."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העבירה היא </w:t>
      </w:r>
      <w:r>
        <w:rPr>
          <w:rFonts w:ascii="Arial" w:hAnsi="Arial" w:cs="Arial" w:eastAsia="Arial"/>
          <w:color w:val="1F2430"/>
          <w:sz w:val="19"/>
          <w:szCs w:val="19"/>
          <w:highlight w:val="yellow"/>
          <w:rtl/>
        </w:rPr>
        <w:t>ביצוע נישואין נוספים</w:t>
      </w:r>
      <w:r>
        <w:rPr>
          <w:rFonts w:ascii="Arial" w:hAnsi="Arial" w:cs="Arial" w:eastAsia="Arial"/>
          <w:color w:val="1F2430"/>
          <w:sz w:val="19"/>
          <w:szCs w:val="19"/>
          <w:rtl/>
        </w:rPr>
        <w:t xml:space="preserve"> בעודו נשוי. הסעיף אינו אוסר על נשוי לחיות עם אחרת כידועה בציבור: אדם נשוי "על הנייר" שעבר לגור עם ידועה בציבור אינו עובר עבירה. כך גם בשאלות החידוד: גם נשוי שטרם התגרש יכול להיות ידוע בציבור מבלי לעבור עבירת ביגמיה.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העונשין, סעיף 178 — "אין נפקא מינה"</w:t>
            </w:r>
          </w:p>
          <w:p>
            <w:pPr>
              <w:bidi/>
              <w:spacing w:before="0" w:after="60" w:line="300" w:lineRule="auto"/>
              <w:jc w:val="both"/>
            </w:pPr>
            <w:r>
              <w:rPr>
                <w:rFonts w:ascii="Arial" w:hAnsi="Arial" w:cs="Arial" w:eastAsia="Arial"/>
                <w:color w:val="1F2430"/>
                <w:sz w:val="18"/>
                <w:szCs w:val="18"/>
                <w:rtl/>
              </w:rPr>
              <w:t>"לענין סעיף 176, אין נפקא מינה– (1) אם תקפם של הנישואין הקודמים הוא לפי דין המדינה שבה נערכו או לפי דין דתי שעל פיו נערכו; (2) אם הנישואין החדשים תקפים או בטלים; (3) אם הנישואין החדשים נערכו מחוץ לישראל, ובלבד שבשעת הנישואין היה הנושא אזרח ישראלי או תושב ישראל."</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המשמעות: </w:t>
      </w:r>
      <w:r>
        <w:rPr>
          <w:rFonts w:ascii="Arial" w:hAnsi="Arial" w:cs="Arial" w:eastAsia="Arial"/>
          <w:color w:val="1F2430"/>
          <w:sz w:val="19"/>
          <w:szCs w:val="19"/>
          <w:highlight w:val="yellow"/>
          <w:rtl/>
        </w:rPr>
        <w:t>כל אקט של נישואין נוספים</w:t>
      </w:r>
      <w:r>
        <w:rPr>
          <w:rFonts w:ascii="Arial" w:hAnsi="Arial" w:cs="Arial" w:eastAsia="Arial"/>
          <w:color w:val="1F2430"/>
          <w:sz w:val="19"/>
          <w:szCs w:val="19"/>
          <w:rtl/>
        </w:rPr>
        <w:t xml:space="preserve"> הוא עבירה. אי אפשר להתחמק בטענה ש"הנישואין השניים ממילא בטלים", ואי אפשר לברוח לחו"ל — אם בשעת הנישואין הנושא היה אזרח או תושב ישראל.</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העונשין, סעיף 179 — היתר נישואין לפי דין תורה</w:t>
            </w:r>
          </w:p>
          <w:p>
            <w:pPr>
              <w:bidi/>
              <w:spacing w:before="0" w:after="60" w:line="300" w:lineRule="auto"/>
              <w:jc w:val="both"/>
            </w:pPr>
            <w:r>
              <w:rPr>
                <w:rFonts w:ascii="Arial" w:hAnsi="Arial" w:cs="Arial" w:eastAsia="Arial"/>
                <w:color w:val="1F2430"/>
                <w:sz w:val="18"/>
                <w:szCs w:val="18"/>
                <w:rtl/>
              </w:rPr>
              <w:t>"היה הדין החל על הנישואין החדשים דין התורה, לא יורשע אדם על עבירה לפי סעיף 176 אם הנישואין החדשים נערכו לאחר שניתן לו היתר נישואין לפי פסק דין סופי של בית דין רבני ופסק הדין אושר בידי נשיא בית הדין הרבני הגדול."</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תנאי ההגנה (מצטברים): הדין החל על הנישואין החדשים הוא דין תורה; ניתן </w:t>
      </w:r>
      <w:r>
        <w:rPr>
          <w:rFonts w:ascii="Arial" w:hAnsi="Arial" w:cs="Arial" w:eastAsia="Arial"/>
          <w:color w:val="1F2430"/>
          <w:sz w:val="19"/>
          <w:szCs w:val="19"/>
          <w:highlight w:val="yellow"/>
          <w:rtl/>
        </w:rPr>
        <w:t>היתר נישואין בפסק דין סופי של בית דין רבני</w:t>
      </w:r>
      <w:r>
        <w:rPr>
          <w:rFonts w:ascii="Arial" w:hAnsi="Arial" w:cs="Arial" w:eastAsia="Arial"/>
          <w:color w:val="1F2430"/>
          <w:sz w:val="19"/>
          <w:szCs w:val="19"/>
          <w:rtl/>
        </w:rPr>
        <w:t xml:space="preserve">; ופסק הדין </w:t>
      </w:r>
      <w:r>
        <w:rPr>
          <w:rFonts w:ascii="Arial" w:hAnsi="Arial" w:cs="Arial" w:eastAsia="Arial"/>
          <w:color w:val="1F2430"/>
          <w:sz w:val="19"/>
          <w:szCs w:val="19"/>
          <w:highlight w:val="yellow"/>
          <w:rtl/>
        </w:rPr>
        <w:t>אושר בידי נשיא בית הדין הרבני הגדול</w:t>
      </w:r>
      <w:r>
        <w:rPr>
          <w:rFonts w:ascii="Arial" w:hAnsi="Arial" w:cs="Arial" w:eastAsia="Arial"/>
          <w:color w:val="1F2430"/>
          <w:sz w:val="19"/>
          <w:szCs w:val="19"/>
          <w:rtl/>
        </w:rPr>
        <w:t>. אם ההיתר ניתן בשל התנהגות האישה (למשל מורדת או סרבנית) — עשויות להיות לכך השלכות על זכאותה למזונות; אם ניתן משום שהאישה חולה ואינה מסוגלת לקבל גט — בית הדין יכול להתנות את ההיתר בתנאים כלכליים שיבטיחו את זכויותיה (למשל הפקדת כתובה או צוואה ומזונות). ההיתר "מכריע" למעשה את כוחה של האישה בסרבנות: אם היא נוהגת כהלכה — יש לה כוח.</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דוגמאות שהובאו בתרגול (הרחבה)</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מוזיקאי מוכר הורשע בעבירת ריבוי נישואין לאחר שנישא אזרחית בעודו נשוי כדמו"י.</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אדם שקיים קשרים עם נשים רבות כידועות בציבור לא הועמד לדין בעבירה זו, משום שלא ערך נישואין נוספים; הוגשה הצעת חוק לאסור "ריבוי ידועים בציבור" שטרם אושרה.</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בפס"ד פסלר, השופט אלון (במיעוט) חשש שהכרה בנשואה כידועה בציבור של אחר יוצרת "ערוץ עוקף" לעבירת הביגמיה; הרוב הכיר בה כידועה בציבור.</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טבלה מסכמת: איזה קשר נרשם במרשם?</w:t>
      </w:r>
    </w:p>
    <w:tbl>
      <w:tblPr>
        <w:tblW w:type="dxa" w:w="10206"/>
        <w:jc w:val="center"/>
        <w:tblLook w:firstColumn="1" w:firstRow="1" w:lastColumn="0" w:lastRow="0" w:noHBand="0" w:noVBand="1" w:val="04A0"/>
        <w:bidiVisual/>
        <w:tblLayout w:type="fixed"/>
      </w:tblPr>
      <w:tblGrid>
        <w:gridCol w:w="4395"/>
        <w:gridCol w:w="2160"/>
        <w:gridCol w:w="3650"/>
      </w:tblGrid>
      <w:tr>
        <w:trPr>
          <w:tblHeader/>
        </w:trPr>
        <w:tc>
          <w:tcPr>
            <w:tcW w:type="dxa" w:w="439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 הקשר</w:t>
            </w:r>
          </w:p>
        </w:tc>
        <w:tc>
          <w:tcPr>
            <w:tcW w:type="dxa" w:w="2160"/>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נרשם כנשואים?</w:t>
            </w:r>
          </w:p>
        </w:tc>
        <w:tc>
          <w:tcPr>
            <w:tcW w:type="dxa" w:w="3650"/>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הבסיס</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כדמו"י דרך הרבנות</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וחובה</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פקודת הנישואין והגירושין; סעיף 15 (הרבנות מדווחת)</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נישואין אזרחיים בחו"ל (כשירי חיתון, פסולי חיתון, זוג מעורב)</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כן, אם יש תעודה ציבורית תקינה</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פונק שלזינגר; סעיף 17 + 19ג</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זוג מאותו מין שנישא בחו"ל</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בן ארי</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נישואין מקוונים (יוטה/זום)</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כן</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בריל</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פרטיים של כשירי חיתון</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בדרך כלל לא</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תעודה ציבורית; המדיניות לא לעודד</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נישואין פרטיים של פסולי חיתון (כהן וגרושה)</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ניתן, אם נקבע ספק נישואין</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רודניצקי (ובכפוף לגורפינקל — קודם לבית הדין)</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פרטיים של זוג מעורב</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טפר</w:t>
            </w:r>
          </w:p>
        </w:tc>
      </w:tr>
      <w:tr>
        <w:trPr>
          <w:cantSplit/>
        </w:trPr>
        <w:tc>
          <w:tcPr>
            <w:tcW w:type="dxa" w:w="43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ידועים בציבור</w:t>
            </w:r>
          </w:p>
        </w:tc>
        <w:tc>
          <w:tcPr>
            <w:tcW w:type="dxa" w:w="216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לא</w:t>
            </w:r>
          </w:p>
        </w:tc>
        <w:tc>
          <w:tcPr>
            <w:tcW w:type="dxa" w:w="365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אין במרשם סטטוס "ידועים בציבור"</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מלכודות נפוצות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"הזוג נרשם כנשוי — לכן הנישואין תקפים" — שגוי. רישום ≠ תוקף (פונק שלזינגר, בן ארי, בריל).</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"סעיף 3 קובע שכל פרטי המרשם הם ראיה לכאורה" — שגוי. לאום, דת, מצב אישי ושם בן הזוג אינם ראיה לכאורה.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"אי נכונות גלויה לעין" אינה כלי להכרעה בשאלות משפטיות. בבן ארי ניסה הפקיד להשתמש בה לגבי זוג מאותו מין — ונדחה; רק השופט רובינשטיין (מיעוט) קיבל זאת.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בריל: הטענה "הנישואין נערכו בישראל" נדחתה — עורך הטקס ביוטה ומוסמך שם, והתעודה זהה.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שינוי רישום (19ג) אינו נעשה בהצהרה בלבד — רק ברישום ראשון (19ב) אפשר להסתפק בהצהרה באין תעודה.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סעיף 17: 30 יום (האדם עצמו); סעיף 15: 14 יום (הרשות). אל תחליפו.</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ריבוי נישואין (176): 5 שנות מאסר; אי-רישום נישואין (סעיף 7 לפקודה): שנתיים; נישואי קטינים (חוק גיל הנישואין): שנתיים או קנס.</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ידועה בציבור של אדם נשוי אינה עבירת ביגמיה — העבירה דורשת אקט נישואין.</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היתר נישואין פוטר מאחריות רק אם הדין החל הוא דין תורה, ניתן פסק דין סופי של בית דין רבני, ואושר בידי נשיא בית הדין הרבני הגדול.</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סיכום הפרק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חוק מרשם האוכלוסין:</w:t>
            </w:r>
            <w:r>
              <w:rPr>
                <w:rFonts w:ascii="Arial" w:hAnsi="Arial" w:cs="Arial" w:eastAsia="Arial"/>
                <w:color w:val="1F2430"/>
                <w:sz w:val="18"/>
                <w:szCs w:val="18"/>
                <w:rtl/>
              </w:rPr>
              <w:t xml:space="preserve"> סעיף 2(א) — רשימת הפרטים (החשובים: מין, לאום, דת, מצב אישי). סעיף 3 — ראיה לכאורה רק לפסקאות 1–4 ו-9–13; לאום, דת, מצב אישי ושם בן הזוג — רישום סטטיסטי.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פרק ב':</w:t>
            </w:r>
            <w:r>
              <w:rPr>
                <w:rFonts w:ascii="Arial" w:hAnsi="Arial" w:cs="Arial" w:eastAsia="Arial"/>
                <w:color w:val="1F2430"/>
                <w:sz w:val="18"/>
                <w:szCs w:val="18"/>
                <w:rtl/>
              </w:rPr>
              <w:t xml:space="preserve"> סעיף 15 — הרשות מדווחת תוך 14 יום; סעיף 16 — בית משפט/בית דין מעביר העתק החלטה (גם צו אימוץ, תעודת גירושין, הצהרת מוות); סעיף 17 — האדם עצמו תוך 30 יום (נישואין אזרחיים בחו"ל).</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פרק ג':</w:t>
            </w:r>
            <w:r>
              <w:rPr>
                <w:rFonts w:ascii="Arial" w:hAnsi="Arial" w:cs="Arial" w:eastAsia="Arial"/>
                <w:color w:val="1F2430"/>
                <w:sz w:val="18"/>
                <w:szCs w:val="18"/>
                <w:rtl/>
              </w:rPr>
              <w:t xml:space="preserve"> 19ב — רישום ראשון לפי תעודה ציבורית, ובאין תעודה — לפי הודעה; 19ג — שינוי רק לפי מסמך רשות, החלטה שיפוטית או הודעה בצירוף תעודה ציבורית (מען — גם בהודעה בלבד).</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פונק שלזינגר:</w:t>
            </w:r>
            <w:r>
              <w:rPr>
                <w:rFonts w:ascii="Arial" w:hAnsi="Arial" w:cs="Arial" w:eastAsia="Arial"/>
                <w:color w:val="1F2430"/>
                <w:sz w:val="18"/>
                <w:szCs w:val="18"/>
                <w:rtl/>
              </w:rPr>
              <w:t xml:space="preserve"> פקיד הרישום רושם לפי תעודה ציבורית; מסרב רק באי נכונות גלויה לעין או זיוף; סעיף 2 לחוק השיפוט חל רק על נישואין בישראל. מיעוט — זילברג.</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נעמת:</w:t>
            </w:r>
            <w:r>
              <w:rPr>
                <w:rFonts w:ascii="Arial" w:hAnsi="Arial" w:cs="Arial" w:eastAsia="Arial"/>
                <w:color w:val="1F2430"/>
                <w:sz w:val="18"/>
                <w:szCs w:val="18"/>
                <w:rtl/>
              </w:rPr>
              <w:t xml:space="preserve"> רישום מתגייר רפורמי כיהודי. </w:t>
            </w:r>
            <w:r>
              <w:rPr>
                <w:rFonts w:ascii="Arial" w:hAnsi="Arial" w:cs="Arial" w:eastAsia="Arial"/>
                <w:b/>
                <w:bCs/>
                <w:color w:val="1F2430"/>
                <w:sz w:val="18"/>
                <w:szCs w:val="18"/>
                <w:rtl/>
              </w:rPr>
              <w:t>בן ארי:</w:t>
            </w:r>
            <w:r>
              <w:rPr>
                <w:rFonts w:ascii="Arial" w:hAnsi="Arial" w:cs="Arial" w:eastAsia="Arial"/>
                <w:color w:val="1F2430"/>
                <w:sz w:val="18"/>
                <w:szCs w:val="18"/>
                <w:rtl/>
              </w:rPr>
              <w:t xml:space="preserve"> ההלכה חלה גם על זוגות מאותו מין (6:1; ברק — הסדר ראשוני; מיעוט — רובינשטיין). </w:t>
            </w:r>
            <w:r>
              <w:rPr>
                <w:rFonts w:ascii="Arial" w:hAnsi="Arial" w:cs="Arial" w:eastAsia="Arial"/>
                <w:b/>
                <w:bCs/>
                <w:color w:val="1F2430"/>
                <w:sz w:val="18"/>
                <w:szCs w:val="18"/>
                <w:rtl/>
              </w:rPr>
              <w:t>בריל:</w:t>
            </w:r>
            <w:r>
              <w:rPr>
                <w:rFonts w:ascii="Arial" w:hAnsi="Arial" w:cs="Arial" w:eastAsia="Arial"/>
                <w:color w:val="1F2430"/>
                <w:sz w:val="18"/>
                <w:szCs w:val="18"/>
                <w:rtl/>
              </w:rPr>
              <w:t xml:space="preserve"> נישואי זום ביוטה נרשמים.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נישואין פרטיים:</w:t>
            </w:r>
            <w:r>
              <w:rPr>
                <w:rFonts w:ascii="Arial" w:hAnsi="Arial" w:cs="Arial" w:eastAsia="Arial"/>
                <w:color w:val="1F2430"/>
                <w:sz w:val="18"/>
                <w:szCs w:val="18"/>
                <w:rtl/>
              </w:rPr>
              <w:t xml:space="preserve"> אין תעודה ציבורית — אין רישום; פסולי חיתון — רודניצקי (רישום מחמת ספק), גורפינקל (קודם לבית הדין), טפר (זוג מעורב — לא).</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פקודת הנישואין והגירושין (רישום):</w:t>
            </w:r>
            <w:r>
              <w:rPr>
                <w:rFonts w:ascii="Arial" w:hAnsi="Arial" w:cs="Arial" w:eastAsia="Arial"/>
                <w:color w:val="1F2430"/>
                <w:sz w:val="18"/>
                <w:szCs w:val="18"/>
                <w:rtl/>
              </w:rPr>
              <w:t xml:space="preserve"> סעיף 2 רשות רושמת; סעיף 2א רישום אצל כל רושם נישואין; סעיף 7 — שנתיים מאסר לבני הזוג ולמסדר.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חוק העונשין:</w:t>
            </w:r>
            <w:r>
              <w:rPr>
                <w:rFonts w:ascii="Arial" w:hAnsi="Arial" w:cs="Arial" w:eastAsia="Arial"/>
                <w:color w:val="1F2430"/>
                <w:sz w:val="18"/>
                <w:szCs w:val="18"/>
                <w:rtl/>
              </w:rPr>
              <w:t xml:space="preserve"> 176 — ריבוי נישואין, 5 שנים; 178 — אין נפקא מינה בתוקף הנישואין ובמקום עריכתם (אם אזרח/תושב); 179 — היתר נישואין של בית דין רבני שאושר בידי נשיא בית הדין הגדול.</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0B7FA0"/>
            <w:tcBorders>
              <w:top w:val="single" w:sz="4" w:space="0" w:color="0B7FA0"/>
              <w:left w:val="single" w:sz="4" w:space="0" w:color="0B7FA0"/>
              <w:bottom w:val="single" w:sz="4" w:space="0" w:color="0B7FA0"/>
              <w:right w:val="single" w:sz="4" w:space="0" w:color="0B7FA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10</w:t>
            </w:r>
          </w:p>
          <w:p>
            <w:pPr>
              <w:bidi/>
              <w:spacing w:before="0" w:after="0" w:line="264" w:lineRule="auto"/>
              <w:outlineLvl w:val="0"/>
            </w:pPr>
            <w:r>
              <w:rPr>
                <w:rFonts w:ascii="Arial" w:hAnsi="Arial" w:cs="Arial" w:eastAsia="Arial"/>
                <w:b/>
                <w:bCs/>
                <w:color w:val="FFFFFF"/>
                <w:sz w:val="42"/>
                <w:szCs w:val="42"/>
                <w:rtl/>
              </w:rPr>
              <w:t>מזונות ילדים ומשמורת</w:t>
            </w:r>
          </w:p>
        </w:tc>
      </w:tr>
    </w:tbl>
    <w:p>
      <w:pPr>
        <w:bidi/>
        <w:spacing w:after="0" w:before="0" w:line="20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 מבוא: שני נושאים, שני דינים שונים</w:t>
      </w:r>
    </w:p>
    <w:p>
      <w:pPr>
        <w:bidi/>
        <w:spacing w:before="0" w:after="100" w:line="300" w:lineRule="auto"/>
        <w:jc w:val="both"/>
      </w:pPr>
      <w:r>
        <w:rPr>
          <w:rFonts w:ascii="Arial" w:hAnsi="Arial" w:cs="Arial" w:eastAsia="Arial"/>
          <w:color w:val="1F2430"/>
          <w:sz w:val="19"/>
          <w:szCs w:val="19"/>
          <w:rtl/>
        </w:rPr>
        <w:t>הפרק עוסק ב</w:t>
      </w:r>
      <w:r>
        <w:rPr>
          <w:rFonts w:ascii="Arial" w:hAnsi="Arial" w:cs="Arial" w:eastAsia="Arial"/>
          <w:b/>
          <w:bCs/>
          <w:color w:val="1F2430"/>
          <w:sz w:val="19"/>
          <w:szCs w:val="19"/>
          <w:rtl/>
        </w:rPr>
        <w:t>מזונות ילדים</w:t>
      </w:r>
      <w:r>
        <w:rPr>
          <w:rFonts w:ascii="Arial" w:hAnsi="Arial" w:cs="Arial" w:eastAsia="Arial"/>
          <w:color w:val="1F2430"/>
          <w:sz w:val="19"/>
          <w:szCs w:val="19"/>
          <w:rtl/>
        </w:rPr>
        <w:t xml:space="preserve"> (מי מממן את הילד ובאיזה שיעור) וב</w:t>
      </w:r>
      <w:r>
        <w:rPr>
          <w:rFonts w:ascii="Arial" w:hAnsi="Arial" w:cs="Arial" w:eastAsia="Arial"/>
          <w:b/>
          <w:bCs/>
          <w:color w:val="1F2430"/>
          <w:sz w:val="19"/>
          <w:szCs w:val="19"/>
          <w:rtl/>
        </w:rPr>
        <w:t>משמורת</w:t>
      </w:r>
      <w:r>
        <w:rPr>
          <w:rFonts w:ascii="Arial" w:hAnsi="Arial" w:cs="Arial" w:eastAsia="Arial"/>
          <w:color w:val="1F2430"/>
          <w:sz w:val="19"/>
          <w:szCs w:val="19"/>
          <w:rtl/>
        </w:rPr>
        <w:t xml:space="preserve"> (איפה הילד ישן בלילה). מאז 2017 זמני השהות משפיעים ישירות על חישוב המזונות, אבל כל נושא כפוף לדין אחר:</w:t>
      </w:r>
    </w:p>
    <w:tbl>
      <w:tblPr>
        <w:tblW w:type="dxa" w:w="10206"/>
        <w:jc w:val="center"/>
        <w:tblLook w:firstColumn="1" w:firstRow="1" w:lastColumn="0" w:lastRow="0" w:noHBand="0" w:noVBand="1" w:val="04A0"/>
        <w:bidiVisual/>
        <w:tblLayout w:type="fixed"/>
      </w:tblPr>
      <w:tblGrid>
        <w:gridCol w:w="1491"/>
        <w:gridCol w:w="4710"/>
        <w:gridCol w:w="4003"/>
      </w:tblGrid>
      <w:tr>
        <w:trPr>
          <w:tblHeader/>
        </w:trPr>
        <w:tc>
          <w:tcPr>
            <w:tcW w:type="dxa" w:w="1491"/>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710"/>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 המהותי שחל</w:t>
            </w:r>
          </w:p>
        </w:tc>
        <w:tc>
          <w:tcPr>
            <w:tcW w:type="dxa" w:w="4003"/>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r>
      <w:tr>
        <w:trPr>
          <w:cantSplit/>
        </w:trPr>
        <w:tc>
          <w:tcPr>
            <w:tcW w:type="dxa" w:w="14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p>
        </w:tc>
        <w:tc>
          <w:tcPr>
            <w:tcW w:type="dxa" w:w="471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דין אישי</w:t>
            </w:r>
            <w:r>
              <w:rPr>
                <w:rFonts w:ascii="Arial" w:hAnsi="Arial" w:cs="Arial" w:eastAsia="Arial"/>
                <w:color w:val="1F2430"/>
                <w:sz w:val="17"/>
                <w:szCs w:val="17"/>
                <w:rtl/>
              </w:rPr>
              <w:t xml:space="preserve"> (ליהודים: הדין העברי). אם אין דין אישי או שהוא לא מחייב: דין אזרחי</w:t>
            </w:r>
          </w:p>
        </w:tc>
        <w:tc>
          <w:tcPr>
            <w:tcW w:type="dxa" w:w="400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3 לחוק לתיקון דיני המשפחה (מזונות)</w:t>
            </w:r>
          </w:p>
        </w:tc>
      </w:tr>
      <w:tr>
        <w:trPr>
          <w:cantSplit/>
        </w:trPr>
        <w:tc>
          <w:tcPr>
            <w:tcW w:type="dxa" w:w="14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משמורת והחזקת ילדים</w:t>
            </w:r>
          </w:p>
        </w:tc>
        <w:tc>
          <w:tcPr>
            <w:tcW w:type="dxa" w:w="471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דין טריטוריאלי-אזרחי</w:t>
            </w:r>
            <w:r>
              <w:rPr>
                <w:rFonts w:ascii="Arial" w:hAnsi="Arial" w:cs="Arial" w:eastAsia="Arial"/>
                <w:color w:val="1F2430"/>
                <w:sz w:val="17"/>
                <w:szCs w:val="17"/>
                <w:rtl/>
              </w:rPr>
              <w:t>, גם כשבית הדין הדתי דן בעניין</w:t>
            </w:r>
          </w:p>
        </w:tc>
        <w:tc>
          <w:tcPr>
            <w:tcW w:type="dxa" w:w="400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חוק הכשרות המשפטית והאפוטרופסות (סעיפים 24, 25, 79)</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שאלת הסמכות שייכת לפרק אחר</w:t>
            </w:r>
          </w:p>
          <w:p>
            <w:pPr>
              <w:bidi/>
              <w:spacing w:before="0" w:after="60" w:line="300" w:lineRule="auto"/>
              <w:jc w:val="both"/>
            </w:pPr>
            <w:r>
              <w:rPr>
                <w:rFonts w:ascii="Arial" w:hAnsi="Arial" w:cs="Arial" w:eastAsia="Arial"/>
                <w:color w:val="1F2430"/>
                <w:sz w:val="18"/>
                <w:szCs w:val="18"/>
                <w:rtl/>
              </w:rPr>
              <w:t>מי מוסמך לדון במזונות ילדים ובמשמורת (כריכה לפי סעיף 3 לחוק השיפוט, הלכת שרגאי, וינטר נ' בארי, תיקון החקיקה שמאפשר כיום לכרוך את כל סוגי מזונות הילדים) נלמד בפרק 3. מעמדו העצמאי של הקטין וסמכות נמשכת נלמדים בפרק 4. כאן עוסקים בדין המהותי: לפי מה פוסקים, כמה ומי משלם.</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10.2 המסגרת החוקית: חוק לתיקון דיני המשפחה (מזונות)</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סעיף 3: הדין האישי קודם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סעיף 3(א)</w:t>
            </w:r>
          </w:p>
          <w:p>
            <w:pPr>
              <w:bidi/>
              <w:spacing w:before="0" w:after="60" w:line="300" w:lineRule="auto"/>
              <w:jc w:val="both"/>
            </w:pPr>
            <w:r>
              <w:rPr>
                <w:rFonts w:ascii="Arial" w:hAnsi="Arial" w:cs="Arial" w:eastAsia="Arial"/>
                <w:color w:val="1F2430"/>
                <w:sz w:val="18"/>
                <w:szCs w:val="18"/>
                <w:rtl/>
              </w:rPr>
              <w:t>״אדם חייב במזונות הילדים הקטינים שלו והילדים הקטינים של בן-זוגו לפי הוראות הדין האישי החל עליו, והוראות חוק זה לא יחולו על מזונות אלה״.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כלומר, אם לאדם יש דין אישי שמסדיר מזונות ילדים, פוסקים לפיו בלבד, ולא לפי החוק. ליהודי הדין האישי הוא הדין העברי. הדין הדתי בוחן את החיוב </w:t>
      </w:r>
      <w:r>
        <w:rPr>
          <w:rFonts w:ascii="Arial" w:hAnsi="Arial" w:cs="Arial" w:eastAsia="Arial"/>
          <w:b/>
          <w:bCs/>
          <w:color w:val="1F2430"/>
          <w:sz w:val="19"/>
          <w:szCs w:val="19"/>
          <w:rtl/>
        </w:rPr>
        <w:t>במבחן ביולוגי</w:t>
      </w:r>
      <w:r>
        <w:rPr>
          <w:rFonts w:ascii="Arial" w:hAnsi="Arial" w:cs="Arial" w:eastAsia="Arial"/>
          <w:color w:val="1F2430"/>
          <w:sz w:val="19"/>
          <w:szCs w:val="19"/>
          <w:rtl/>
        </w:rPr>
        <w:t>: האב אחראי לילדים שהביא מזרעו. לכן:</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ילד מחוץ לנישואין</w:t>
      </w:r>
      <w:r>
        <w:rPr>
          <w:rFonts w:ascii="Arial" w:hAnsi="Arial" w:cs="Arial" w:eastAsia="Arial"/>
          <w:color w:val="1F2430"/>
          <w:sz w:val="19"/>
          <w:szCs w:val="19"/>
          <w:rtl/>
        </w:rPr>
        <w:t>: האב חייב במזונותיו.</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גניבת זרע</w:t>
      </w:r>
      <w:r>
        <w:rPr>
          <w:rFonts w:ascii="Arial" w:hAnsi="Arial" w:cs="Arial" w:eastAsia="Arial"/>
          <w:color w:val="1F2430"/>
          <w:sz w:val="19"/>
          <w:szCs w:val="19"/>
          <w:rtl/>
        </w:rPr>
        <w:t>: גם אז האב חייב.</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תרומת זרע</w:t>
      </w:r>
      <w:r>
        <w:rPr>
          <w:rFonts w:ascii="Arial" w:hAnsi="Arial" w:cs="Arial" w:eastAsia="Arial"/>
          <w:color w:val="1F2430"/>
          <w:sz w:val="19"/>
          <w:szCs w:val="19"/>
          <w:rtl/>
        </w:rPr>
        <w:t>: אם זהות התורם תתגלה, הוא יחויב במזונות. ההגנה היחידה שלו היא החיסיון, ואין בחוק הוראה שפוטרת אותו.</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חובת האב למזונות הילדים לא תלויה במסגרת שבה נולדו הילדים (נישואין דתיים, אזרחיים, פרטיים או ידועות בציבור). ידועים בציבור יהודים חייבים לפי הדין האישי.</w:t>
      </w:r>
    </w:p>
    <w:p>
      <w:pPr>
        <w:bidi/>
        <w:spacing w:before="0" w:after="100" w:line="300" w:lineRule="auto"/>
        <w:jc w:val="both"/>
      </w:pPr>
      <w:r>
        <w:rPr>
          <w:rFonts w:ascii="Arial" w:hAnsi="Arial" w:cs="Arial" w:eastAsia="Arial"/>
          <w:b/>
          <w:bCs/>
          <w:color w:val="1F2430"/>
          <w:sz w:val="19"/>
          <w:szCs w:val="19"/>
          <w:rtl/>
        </w:rPr>
        <w:t>״והילדים הקטינים של בן-זוגו״</w:t>
      </w:r>
      <w:r>
        <w:rPr>
          <w:rFonts w:ascii="Arial" w:hAnsi="Arial" w:cs="Arial" w:eastAsia="Arial"/>
          <w:color w:val="1F2430"/>
          <w:sz w:val="19"/>
          <w:szCs w:val="19"/>
          <w:rtl/>
        </w:rPr>
        <w:t>: זו הוראה כללית שאין לה מקבילה בדין הדתי. הדין האישי לא מחייב אדם במזונות ילדיו של בן הזוג, אלא אם קיבל זאת על עצמו (למשל בכתובה). חיוב גורף כזה אין.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סעיף 3(ב)</w:t>
            </w:r>
          </w:p>
          <w:p>
            <w:pPr>
              <w:bidi/>
              <w:spacing w:before="0" w:after="60" w:line="300" w:lineRule="auto"/>
              <w:jc w:val="both"/>
            </w:pPr>
            <w:r>
              <w:rPr>
                <w:rFonts w:ascii="Arial" w:hAnsi="Arial" w:cs="Arial" w:eastAsia="Arial"/>
                <w:color w:val="1F2430"/>
                <w:sz w:val="18"/>
                <w:szCs w:val="18"/>
                <w:rtl/>
              </w:rPr>
              <w:t>״אדם שאינו חייב במזונות הילדים הקטינים שלו והילדים הקטינים של בן-זוגו לפי הוראות הדין האישי החל עליו, או שלא חל עליו דין אישי, חייב במזונותיהם, והוראות חוק זה יחולו על מזונות אלה״.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סעיף 3(ב) הוא </w:t>
      </w:r>
      <w:r>
        <w:rPr>
          <w:rFonts w:ascii="Arial" w:hAnsi="Arial" w:cs="Arial" w:eastAsia="Arial"/>
          <w:b/>
          <w:bCs/>
          <w:color w:val="1F2430"/>
          <w:sz w:val="19"/>
          <w:szCs w:val="19"/>
          <w:rtl/>
        </w:rPr>
        <w:t>רשת ביטחון</w:t>
      </w:r>
      <w:r>
        <w:rPr>
          <w:rFonts w:ascii="Arial" w:hAnsi="Arial" w:cs="Arial" w:eastAsia="Arial"/>
          <w:color w:val="1F2430"/>
          <w:sz w:val="19"/>
          <w:szCs w:val="19"/>
          <w:rtl/>
        </w:rPr>
        <w:t xml:space="preserve">. אם אין דין אישי (למשל חסר דת) או שהדין האישי לא מחייב, </w:t>
      </w:r>
      <w:r>
        <w:rPr>
          <w:rFonts w:ascii="Arial" w:hAnsi="Arial" w:cs="Arial" w:eastAsia="Arial"/>
          <w:color w:val="1F2430"/>
          <w:sz w:val="19"/>
          <w:szCs w:val="19"/>
          <w:highlight w:val="yellow"/>
          <w:rtl/>
        </w:rPr>
        <w:t>אדם לא נפטר ממזונות</w:t>
      </w:r>
      <w:r>
        <w:rPr>
          <w:rFonts w:ascii="Arial" w:hAnsi="Arial" w:cs="Arial" w:eastAsia="Arial"/>
          <w:color w:val="1F2430"/>
          <w:sz w:val="19"/>
          <w:szCs w:val="19"/>
          <w:rtl/>
        </w:rPr>
        <w:t xml:space="preserve">. במקרה כזה חלות הוראות החוק. הדוגמה הקלאסית: גבר יהודי שנולדו לו ילדים מאישה לא יהודייה. לפי ההלכה הילדים אינם יהודים, והדין הדתי לא מחייב אותו במזונותיהם. לכן הוא חייב מכוח הדין האזרחי, ולכך קוראים </w:t>
      </w:r>
      <w:r>
        <w:rPr>
          <w:rFonts w:ascii="Arial" w:hAnsi="Arial" w:cs="Arial" w:eastAsia="Arial"/>
          <w:b/>
          <w:bCs/>
          <w:color w:val="1F2430"/>
          <w:sz w:val="19"/>
          <w:szCs w:val="19"/>
          <w:rtl/>
        </w:rPr>
        <w:t>״אבהות אזרחית״</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צורת הנישואין אינה קובעת את הדין</w:t>
            </w:r>
          </w:p>
          <w:p>
            <w:pPr>
              <w:bidi/>
              <w:spacing w:before="0" w:after="60" w:line="300" w:lineRule="auto"/>
              <w:jc w:val="both"/>
            </w:pPr>
            <w:r>
              <w:rPr>
                <w:rFonts w:ascii="Arial" w:hAnsi="Arial" w:cs="Arial" w:eastAsia="Arial"/>
                <w:color w:val="1F2430"/>
                <w:sz w:val="18"/>
                <w:szCs w:val="18"/>
                <w:rtl/>
              </w:rPr>
              <w:t>צורת הנישואין (דתיים, אזרחיים, פרטיים) לא קובעת אם יש לאדם דין אישי, וגם לא קובעת לבדה באיזו ערכאה יתנהל התיק. מי שיש לו דין אישי כפוף לו גם אם נישא בנישואין אזרחיים. מזונות ילדים לא תלויים בצורת הנישואין או בתוקפם.</w:t>
            </w:r>
          </w:p>
        </w:tc>
      </w:tr>
    </w:tbl>
    <w:p>
      <w:pPr>
        <w:bidi/>
        <w:spacing w:after="0" w:before="0" w:line="120" w:lineRule="exact"/>
      </w:pPr>
      <w:r>
        <w:rPr>
          <w:sz w:val="2"/>
        </w:rPr>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סעיף 3א: ההסדר האזרחי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לתיקון דיני המשפחה (מזונות), סעיף 3א</w:t>
            </w:r>
          </w:p>
          <w:p>
            <w:pPr>
              <w:bidi/>
              <w:spacing w:before="0" w:after="60" w:line="300" w:lineRule="auto"/>
              <w:jc w:val="both"/>
            </w:pPr>
            <w:r>
              <w:rPr>
                <w:rFonts w:ascii="Arial" w:hAnsi="Arial" w:cs="Arial" w:eastAsia="Arial"/>
                <w:color w:val="1F2430"/>
                <w:sz w:val="18"/>
                <w:szCs w:val="18"/>
                <w:rtl/>
              </w:rPr>
              <w:t>״(א) אביו ואמו של קטין חייבים במזונותיו. (ב) בלי להתחשב בעובדה בידי מי מוחזק קטין יחולו המזונות על הוריו בשיעור יחסי להכנסותיהם מכל מקור שהוא״.</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כשהחיוב נובע מהחוק (ולא מהדין האישי), </w:t>
      </w:r>
      <w:r>
        <w:rPr>
          <w:rFonts w:ascii="Arial" w:hAnsi="Arial" w:cs="Arial" w:eastAsia="Arial"/>
          <w:color w:val="1F2430"/>
          <w:sz w:val="19"/>
          <w:szCs w:val="19"/>
          <w:highlight w:val="yellow"/>
          <w:rtl/>
        </w:rPr>
        <w:t>שני ההורים חייבים</w:t>
      </w:r>
      <w:r>
        <w:rPr>
          <w:rFonts w:ascii="Arial" w:hAnsi="Arial" w:cs="Arial" w:eastAsia="Arial"/>
          <w:color w:val="1F2430"/>
          <w:sz w:val="19"/>
          <w:szCs w:val="19"/>
          <w:rtl/>
        </w:rPr>
        <w:t xml:space="preserve">, והחלוקה ביניהם </w:t>
      </w:r>
      <w:r>
        <w:rPr>
          <w:rFonts w:ascii="Arial" w:hAnsi="Arial" w:cs="Arial" w:eastAsia="Arial"/>
          <w:b/>
          <w:bCs/>
          <w:color w:val="1F2430"/>
          <w:sz w:val="19"/>
          <w:szCs w:val="19"/>
          <w:rtl/>
        </w:rPr>
        <w:t>יחסית להכנסות מכל מקור</w:t>
      </w:r>
      <w:r>
        <w:rPr>
          <w:rFonts w:ascii="Arial" w:hAnsi="Arial" w:cs="Arial" w:eastAsia="Arial"/>
          <w:color w:val="1F2430"/>
          <w:sz w:val="19"/>
          <w:szCs w:val="19"/>
          <w:rtl/>
        </w:rPr>
        <w:t>. ההסדר שוויוני, אבל לא בהכרח חצי-חצי: מי שמרוויח יותר משלם יותר. למשל, אם האב מרוויח 70% מהכנסת המשפחה והאם 30%, החיוב יתחלק לפי היחס הזה. אם האם מרוויחה יותר, היא תישא בחלק הגדול יותר.</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עץ החלטה: לפי איזה דין פוסקים מזונות ילדים?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color w:val="1F2430"/>
          <w:sz w:val="19"/>
          <w:szCs w:val="19"/>
          <w:rtl/>
        </w:rPr>
        <w:t>האם חל על ההורה דין אישי? אם לא, עוברים לסעיף 3(ב) ולסעיף 3א: שני ההורים חייבים באופן יחסי להכנסותיהם.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color w:val="1F2430"/>
          <w:sz w:val="19"/>
          <w:szCs w:val="19"/>
          <w:rtl/>
        </w:rPr>
        <w:t>אם כן, האם הדין האישי מחייב אותו במזונות הילד הזה? אם כן, סעיף 3(א): פוסקים לפי הדין האישי, ולגבי יהודים לפי הדין העברי ושלוש קבוצות הגיל (סעיף 10.3).</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3. </w:t>
      </w:r>
      <w:r>
        <w:tab/>
      </w:r>
      <w:r>
        <w:rPr>
          <w:rFonts w:ascii="Arial" w:hAnsi="Arial" w:cs="Arial" w:eastAsia="Arial"/>
          <w:color w:val="1F2430"/>
          <w:sz w:val="19"/>
          <w:szCs w:val="19"/>
          <w:rtl/>
        </w:rPr>
        <w:t>אם הדין האישי לא מחייב (למשל ילד שאינו יהודי לאב יהודי), סעיף 3(ב): חל ההסדר האזרחי של סעיף 3א.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עמ״ש 42513-09-14 (4.1.2015): נוסחה למזונות ילדים</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נישאו בנישואין אזרחיים. האב יהודי והאם חסרת דת, ונולדו להם שני ילדים (בני 9 ו-7 בעת פסק הדין). הילדים אינם יהודים.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הדין האישי לא מחייב את האב, ולכן חל סעיף 3א(ב): שני ההורים חייבים בשיעור יחסי להכנסותיהם, גם מתחת לגיל 6. נקבע שצרכיו של קטין שגר בשני בתים גבוהים מצרכיו של קטין שגר בבית אחד בגלל הכפילויות, והוצע להעריכם בלפחות 2,250 ₪ לחודש.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פסק הדין ניתן לפני בע״מ 919/15, אבל כיוון שעסק בדין אזרחי שוויוני הוא </w:t>
            </w:r>
            <w:r>
              <w:rPr>
                <w:rFonts w:ascii="Arial" w:hAnsi="Arial" w:cs="Arial" w:eastAsia="Arial"/>
                <w:color w:val="1F2430"/>
                <w:sz w:val="18"/>
                <w:szCs w:val="18"/>
                <w:highlight w:val="yellow"/>
                <w:rtl/>
              </w:rPr>
              <w:t>הקדים את ההלכה</w:t>
            </w:r>
            <w:r>
              <w:rPr>
                <w:rFonts w:ascii="Arial" w:hAnsi="Arial" w:cs="Arial" w:eastAsia="Arial"/>
                <w:color w:val="1F2430"/>
                <w:sz w:val="18"/>
                <w:szCs w:val="18"/>
                <w:rtl/>
              </w:rPr>
              <w:t xml:space="preserve"> והתווה לה קווים. הוא גם מעיר שמאז 919/15 אין מקום להבחין בין צרכים הכרחיים לשאינם הכרחיים, ויש להעריך את הצרכים בכללותם.</w:t>
            </w:r>
          </w:p>
        </w:tc>
      </w:tr>
    </w:tbl>
    <w:p>
      <w:pPr>
        <w:bidi/>
        <w:spacing w:after="0" w:before="0" w:line="120" w:lineRule="exact"/>
      </w:pPr>
      <w:r>
        <w:rPr>
          <w:sz w:val="2"/>
        </w:rPr>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הוראות נלוות בחוק</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מזונות ילדים הם עניין קוגנטי.</w:t>
      </w:r>
      <w:r>
        <w:rPr>
          <w:rFonts w:ascii="Arial" w:hAnsi="Arial" w:cs="Arial" w:eastAsia="Arial"/>
          <w:color w:val="1F2430"/>
          <w:sz w:val="19"/>
          <w:szCs w:val="19"/>
          <w:rtl/>
        </w:rPr>
        <w:t xml:space="preserve"> ההורים לא יכולים לוותר בהסכם על זכות הילד למזונות. לכן נוהגים לכלול בהסכמים </w:t>
      </w:r>
      <w:r>
        <w:rPr>
          <w:rFonts w:ascii="Arial" w:hAnsi="Arial" w:cs="Arial" w:eastAsia="Arial"/>
          <w:b/>
          <w:bCs/>
          <w:color w:val="1F2430"/>
          <w:sz w:val="19"/>
          <w:szCs w:val="19"/>
          <w:rtl/>
        </w:rPr>
        <w:t>״תניית שיפוי״</w:t>
      </w:r>
      <w:r>
        <w:rPr>
          <w:rFonts w:ascii="Arial" w:hAnsi="Arial" w:cs="Arial" w:eastAsia="Arial"/>
          <w:color w:val="1F2430"/>
          <w:sz w:val="19"/>
          <w:szCs w:val="19"/>
          <w:rtl/>
        </w:rPr>
        <w:t>: אם האם תתבע הגדלה, היא תשפה את האב (ראו פס״ד סימה אמיר בפרק 4).</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סעיף 10 (מזונות זמניים):</w:t>
      </w:r>
      <w:r>
        <w:rPr>
          <w:rFonts w:ascii="Arial" w:hAnsi="Arial" w:cs="Arial" w:eastAsia="Arial"/>
          <w:color w:val="1F2430"/>
          <w:sz w:val="19"/>
          <w:szCs w:val="19"/>
          <w:rtl/>
        </w:rPr>
        <w:t xml:space="preserve"> ״הוגשה תביעה למזונות, רשאי בית המשפט לפסוק מזונות זמניים עד לגמר בירור התביעה״.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סעיף 11 (מזונות עבר):</w:t>
      </w:r>
      <w:r>
        <w:rPr>
          <w:rFonts w:ascii="Arial" w:hAnsi="Arial" w:cs="Arial" w:eastAsia="Arial"/>
          <w:color w:val="1F2430"/>
          <w:sz w:val="19"/>
          <w:szCs w:val="19"/>
          <w:rtl/>
        </w:rPr>
        <w:t xml:space="preserve"> תביעה שהוגשה יותר משנה אחרי התקופה שבעדה נתבעים המזונות, אפשר לדחות בשל כך בלבד אם אין טעם סביר לאיחור. מזונות שלא החלו לפעול לגבייתם תוך שנתיים, אין לגבותם אלא ברשות בית המשפט.</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 xml:space="preserve">לפי תשובת הפרופסור, סעיפים 10 ו-11 הם </w:t>
      </w:r>
      <w:r>
        <w:rPr>
          <w:rFonts w:ascii="Arial" w:hAnsi="Arial" w:cs="Arial" w:eastAsia="Arial"/>
          <w:color w:val="1F2430"/>
          <w:sz w:val="19"/>
          <w:szCs w:val="19"/>
          <w:highlight w:val="yellow"/>
          <w:rtl/>
        </w:rPr>
        <w:t>פרוצדורליים-טכניים</w:t>
      </w:r>
      <w:r>
        <w:rPr>
          <w:rFonts w:ascii="Arial" w:hAnsi="Arial" w:cs="Arial" w:eastAsia="Arial"/>
          <w:color w:val="1F2430"/>
          <w:sz w:val="19"/>
          <w:szCs w:val="19"/>
          <w:rtl/>
        </w:rPr>
        <w:t>, ולכן הם חלים על כל סוגי המזונות, גם לפי הדין האישי וגם בבית הדין הרבני.</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מעל גיל 18</w:t>
      </w:r>
      <w:r>
        <w:rPr>
          <w:rFonts w:ascii="Arial" w:hAnsi="Arial" w:cs="Arial" w:eastAsia="Arial"/>
          <w:color w:val="1F2430"/>
          <w:sz w:val="19"/>
          <w:szCs w:val="19"/>
          <w:rtl/>
        </w:rPr>
        <w:t xml:space="preserve"> אין חיוב לפי הדין העברי, ופונים ל</w:t>
      </w:r>
      <w:r>
        <w:rPr>
          <w:rFonts w:ascii="Arial" w:hAnsi="Arial" w:cs="Arial" w:eastAsia="Arial"/>
          <w:b/>
          <w:bCs/>
          <w:color w:val="1F2430"/>
          <w:sz w:val="19"/>
          <w:szCs w:val="19"/>
          <w:rtl/>
        </w:rPr>
        <w:t>סעיף 4 לחוק המזונות</w:t>
      </w:r>
      <w:r>
        <w:rPr>
          <w:rFonts w:ascii="Arial" w:hAnsi="Arial" w:cs="Arial" w:eastAsia="Arial"/>
          <w:color w:val="1F2430"/>
          <w:sz w:val="19"/>
          <w:szCs w:val="19"/>
          <w:rtl/>
        </w:rPr>
        <w:t xml:space="preserve">. בתקופת שירות צבאי או לאומי נהוג להפחית את המזונות </w:t>
      </w:r>
      <w:r>
        <w:rPr>
          <w:rFonts w:ascii="Arial" w:hAnsi="Arial" w:cs="Arial" w:eastAsia="Arial"/>
          <w:b/>
          <w:bCs/>
          <w:color w:val="1F2430"/>
          <w:sz w:val="19"/>
          <w:szCs w:val="19"/>
          <w:rtl/>
        </w:rPr>
        <w:t>לשליש</w:t>
      </w:r>
      <w:r>
        <w:rPr>
          <w:rFonts w:ascii="Arial" w:hAnsi="Arial" w:cs="Arial" w:eastAsia="Arial"/>
          <w:color w:val="1F2430"/>
          <w:sz w:val="19"/>
          <w:szCs w:val="19"/>
          <w:rtl/>
        </w:rPr>
        <w:t>.</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10.3 הדין העברי: שלוש קבוצות גיל</w:t>
      </w:r>
    </w:p>
    <w:p>
      <w:pPr>
        <w:bidi/>
        <w:spacing w:before="0" w:after="100" w:line="300" w:lineRule="auto"/>
        <w:jc w:val="both"/>
      </w:pPr>
      <w:r>
        <w:rPr>
          <w:rFonts w:ascii="Arial" w:hAnsi="Arial" w:cs="Arial" w:eastAsia="Arial"/>
          <w:color w:val="1F2430"/>
          <w:sz w:val="19"/>
          <w:szCs w:val="19"/>
          <w:rtl/>
        </w:rPr>
        <w:t xml:space="preserve">הדין העברי מחלק את הקטינים לשלוש קבוצות: </w:t>
      </w:r>
      <w:r>
        <w:rPr>
          <w:rFonts w:ascii="Arial" w:hAnsi="Arial" w:cs="Arial" w:eastAsia="Arial"/>
          <w:b/>
          <w:bCs/>
          <w:color w:val="1F2430"/>
          <w:sz w:val="19"/>
          <w:szCs w:val="19"/>
          <w:rtl/>
        </w:rPr>
        <w:t>0–6</w:t>
      </w:r>
      <w:r>
        <w:rPr>
          <w:rFonts w:ascii="Arial" w:hAnsi="Arial" w:cs="Arial" w:eastAsia="Arial"/>
          <w:color w:val="1F2430"/>
          <w:sz w:val="19"/>
          <w:szCs w:val="19"/>
          <w:rtl/>
        </w:rPr>
        <w:t xml:space="preserve"> (קטני קטנים), </w:t>
      </w:r>
      <w:r>
        <w:rPr>
          <w:rFonts w:ascii="Arial" w:hAnsi="Arial" w:cs="Arial" w:eastAsia="Arial"/>
          <w:b/>
          <w:bCs/>
          <w:color w:val="1F2430"/>
          <w:sz w:val="19"/>
          <w:szCs w:val="19"/>
          <w:rtl/>
        </w:rPr>
        <w:t>6–15</w:t>
      </w:r>
      <w:r>
        <w:rPr>
          <w:rFonts w:ascii="Arial" w:hAnsi="Arial" w:cs="Arial" w:eastAsia="Arial"/>
          <w:color w:val="1F2430"/>
          <w:sz w:val="19"/>
          <w:szCs w:val="19"/>
          <w:rtl/>
        </w:rPr>
        <w:t xml:space="preserve"> (קטנים) ו-</w:t>
      </w:r>
      <w:r>
        <w:rPr>
          <w:rFonts w:ascii="Arial" w:hAnsi="Arial" w:cs="Arial" w:eastAsia="Arial"/>
          <w:b/>
          <w:bCs/>
          <w:color w:val="1F2430"/>
          <w:sz w:val="19"/>
          <w:szCs w:val="19"/>
          <w:rtl/>
        </w:rPr>
        <w:t>15–18</w:t>
      </w:r>
      <w:r>
        <w:rPr>
          <w:rFonts w:ascii="Arial" w:hAnsi="Arial" w:cs="Arial" w:eastAsia="Arial"/>
          <w:color w:val="1F2430"/>
          <w:sz w:val="19"/>
          <w:szCs w:val="19"/>
          <w:rtl/>
        </w:rPr>
        <w:t xml:space="preserve"> (גדולים). החלוקה חשובה כי מקור החיוב ואופן החישוב משתנים לפי הגיל.</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גילאי 0–6: חובה מוחלטת של האב מעיקר הדין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הרמב״ם, משנה תורה, הלכות אישות, פרק י״ב, הלכה י״ד</w:t>
            </w:r>
          </w:p>
          <w:p>
            <w:pPr>
              <w:bidi/>
              <w:spacing w:before="0" w:after="60" w:line="300" w:lineRule="auto"/>
              <w:jc w:val="both"/>
            </w:pPr>
            <w:r>
              <w:rPr>
                <w:rFonts w:ascii="Arial" w:hAnsi="Arial" w:cs="Arial" w:eastAsia="Arial"/>
                <w:color w:val="1F2430"/>
                <w:sz w:val="18"/>
                <w:szCs w:val="18"/>
                <w:rtl/>
              </w:rPr>
              <w:t>״כשם שאדם חייב במזונות אשתו, כך הוא חייב במזונות בניו ובנותיו הקטנים עד שיהיו בני שש שנים״.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עד גיל 6 </w:t>
      </w:r>
      <w:r>
        <w:rPr>
          <w:rFonts w:ascii="Arial" w:hAnsi="Arial" w:cs="Arial" w:eastAsia="Arial"/>
          <w:color w:val="1F2430"/>
          <w:sz w:val="19"/>
          <w:szCs w:val="19"/>
          <w:highlight w:val="yellow"/>
          <w:rtl/>
        </w:rPr>
        <w:t>האב לבדו</w:t>
      </w:r>
      <w:r>
        <w:rPr>
          <w:rFonts w:ascii="Arial" w:hAnsi="Arial" w:cs="Arial" w:eastAsia="Arial"/>
          <w:color w:val="1F2430"/>
          <w:sz w:val="19"/>
          <w:szCs w:val="19"/>
          <w:rtl/>
        </w:rPr>
        <w:t xml:space="preserve"> חייב במזונות ההכרחיים, וזו </w:t>
      </w:r>
      <w:r>
        <w:rPr>
          <w:rFonts w:ascii="Arial" w:hAnsi="Arial" w:cs="Arial" w:eastAsia="Arial"/>
          <w:b/>
          <w:bCs/>
          <w:color w:val="1F2430"/>
          <w:sz w:val="19"/>
          <w:szCs w:val="19"/>
          <w:rtl/>
        </w:rPr>
        <w:t>חובה מוחלטת</w:t>
      </w:r>
      <w:r>
        <w:rPr>
          <w:rFonts w:ascii="Arial" w:hAnsi="Arial" w:cs="Arial" w:eastAsia="Arial"/>
          <w:color w:val="1F2430"/>
          <w:sz w:val="19"/>
          <w:szCs w:val="19"/>
          <w:rtl/>
        </w:rPr>
        <w:t xml:space="preserve"> מעיקר הדין (״מדין תורה״). היא חלה גם אם האב אינו אמיד, גם אם האם עשירה ממנו בהרבה, וגם אם לילד יש רכוש או מקורות משלו. האם פטורה ממזונות אלה, בלי קשר למצבה הכלכלי. השיעור נקבע </w:t>
      </w:r>
      <w:r>
        <w:rPr>
          <w:rFonts w:ascii="Arial" w:hAnsi="Arial" w:cs="Arial" w:eastAsia="Arial"/>
          <w:b/>
          <w:bCs/>
          <w:color w:val="1F2430"/>
          <w:sz w:val="19"/>
          <w:szCs w:val="19"/>
          <w:rtl/>
        </w:rPr>
        <w:t>״לא כפי עושרו אלא כפי צורכן בלבד״</w:t>
      </w:r>
      <w:r>
        <w:rPr>
          <w:rFonts w:ascii="Arial" w:hAnsi="Arial" w:cs="Arial" w:eastAsia="Arial"/>
          <w:color w:val="1F2430"/>
          <w:sz w:val="19"/>
          <w:szCs w:val="19"/>
          <w:rtl/>
        </w:rPr>
        <w:t xml:space="preserve">: החובה המוחלטת חלה רק על הצרכים ההכרחיים. מה שמעבר להם נפסק </w:t>
      </w:r>
      <w:r>
        <w:rPr>
          <w:rFonts w:ascii="Arial" w:hAnsi="Arial" w:cs="Arial" w:eastAsia="Arial"/>
          <w:b/>
          <w:bCs/>
          <w:color w:val="1F2430"/>
          <w:sz w:val="19"/>
          <w:szCs w:val="19"/>
          <w:rtl/>
        </w:rPr>
        <w:t>מדין צדקה</w:t>
      </w:r>
      <w:r>
        <w:rPr>
          <w:rFonts w:ascii="Arial" w:hAnsi="Arial" w:cs="Arial" w:eastAsia="Arial"/>
          <w:color w:val="1F2430"/>
          <w:sz w:val="19"/>
          <w:szCs w:val="19"/>
          <w:rtl/>
        </w:rPr>
        <w:t>, ושם ניתן לשתף גם את האם לפי יכולתה.</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גילאי 6–15: חיוב מכוח תקנות</w:t>
      </w:r>
    </w:p>
    <w:p>
      <w:pPr>
        <w:bidi/>
        <w:spacing w:before="0" w:after="100" w:line="300" w:lineRule="auto"/>
        <w:jc w:val="both"/>
      </w:pPr>
      <w:r>
        <w:rPr>
          <w:rFonts w:ascii="Arial" w:hAnsi="Arial" w:cs="Arial" w:eastAsia="Arial"/>
          <w:color w:val="1F2430"/>
          <w:sz w:val="19"/>
          <w:szCs w:val="19"/>
          <w:rtl/>
        </w:rPr>
        <w:t xml:space="preserve">כאן נמצא </w:t>
      </w:r>
      <w:r>
        <w:rPr>
          <w:rFonts w:ascii="Arial" w:hAnsi="Arial" w:cs="Arial" w:eastAsia="Arial"/>
          <w:color w:val="1F2430"/>
          <w:sz w:val="19"/>
          <w:szCs w:val="19"/>
          <w:highlight w:val="yellow"/>
          <w:rtl/>
        </w:rPr>
        <w:t>הסדק</w:t>
      </w:r>
      <w:r>
        <w:rPr>
          <w:rFonts w:ascii="Arial" w:hAnsi="Arial" w:cs="Arial" w:eastAsia="Arial"/>
          <w:color w:val="1F2430"/>
          <w:sz w:val="19"/>
          <w:szCs w:val="19"/>
          <w:rtl/>
        </w:rPr>
        <w:t xml:space="preserve"> שדרכו נכנס העליון ב-2017: החיוב לא נובע מעיקר הדין אלא מתקנות: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b/>
          <w:bCs/>
          <w:color w:val="1F2430"/>
          <w:sz w:val="19"/>
          <w:szCs w:val="19"/>
          <w:rtl/>
        </w:rPr>
        <w:t>תקנת אושא</w:t>
      </w:r>
      <w:r>
        <w:rPr>
          <w:rFonts w:ascii="Arial" w:hAnsi="Arial" w:cs="Arial" w:eastAsia="Arial"/>
          <w:color w:val="1F2430"/>
          <w:sz w:val="19"/>
          <w:szCs w:val="19"/>
          <w:rtl/>
        </w:rPr>
        <w:t xml:space="preserve">, המיוחסת לסנהדרין שישבה באושא שבגליל. חכמים ראו שגיל 6 מוקדם מדי להפסקת החיוב, והאריכו אותו עד גיל מצוות (12 לבת ו-13 לבן). התקנה לא קבעה במפורש אם זו חובה מוחלטת. הגמרא הבחינה בין אב אמיד לאב שאינו אמיד, ונקבע שאין לכפות את החובה על אב שאינו אמיד. לפי דיני כפיית צדקה החיוב נאכף רק בהתקיים שני תנאים מצטברים: </w:t>
      </w:r>
      <w:r>
        <w:rPr>
          <w:rFonts w:ascii="Arial" w:hAnsi="Arial" w:cs="Arial" w:eastAsia="Arial"/>
          <w:b/>
          <w:bCs/>
          <w:color w:val="1F2430"/>
          <w:sz w:val="19"/>
          <w:szCs w:val="19"/>
          <w:rtl/>
        </w:rPr>
        <w:t>האב אמיד</w:t>
      </w:r>
      <w:r>
        <w:rPr>
          <w:rFonts w:ascii="Arial" w:hAnsi="Arial" w:cs="Arial" w:eastAsia="Arial"/>
          <w:color w:val="1F2430"/>
          <w:sz w:val="19"/>
          <w:szCs w:val="19"/>
          <w:rtl/>
        </w:rPr>
        <w:t>, ו</w:t>
      </w:r>
      <w:r>
        <w:rPr>
          <w:rFonts w:ascii="Arial" w:hAnsi="Arial" w:cs="Arial" w:eastAsia="Arial"/>
          <w:b/>
          <w:bCs/>
          <w:color w:val="1F2430"/>
          <w:sz w:val="19"/>
          <w:szCs w:val="19"/>
          <w:rtl/>
        </w:rPr>
        <w:t>הילדים נצרכים</w:t>
      </w:r>
      <w:r>
        <w:rPr>
          <w:rFonts w:ascii="Arial" w:hAnsi="Arial" w:cs="Arial" w:eastAsia="Arial"/>
          <w:color w:val="1F2430"/>
          <w:sz w:val="19"/>
          <w:szCs w:val="19"/>
          <w:rtl/>
        </w:rPr>
        <w:t xml:space="preserve"> ואין להם מקורות חלופיים.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b/>
          <w:bCs/>
          <w:color w:val="1F2430"/>
          <w:sz w:val="19"/>
          <w:szCs w:val="19"/>
          <w:rtl/>
        </w:rPr>
        <w:t>תקנת הרבנות הראשית משנת תש״ד (1944)</w:t>
      </w:r>
      <w:r>
        <w:rPr>
          <w:rFonts w:ascii="Arial" w:hAnsi="Arial" w:cs="Arial" w:eastAsia="Arial"/>
          <w:color w:val="1F2430"/>
          <w:sz w:val="19"/>
          <w:szCs w:val="19"/>
          <w:rtl/>
        </w:rPr>
        <w:t xml:space="preserve"> האריכה את החיוב עד גיל 15: ״כשם שמאז ומעולם... היה כוח בית דין יפה לחייב את האב בחיוב משפטי גמור ולכופו... לפרנס את בניו ואת בנותיו עד הגיל של שש שנים, כך יהא מעתה ואילך כוחם יפה לחייבו... עד הגיל של חמש עשרה״. גם כאן נשארה פתוחה השאלה אם החיוב מוחלט או מדין צדקה.</w:t>
      </w:r>
    </w:p>
    <w:p>
      <w:pPr>
        <w:bidi/>
        <w:spacing w:before="0" w:after="100" w:line="300" w:lineRule="auto"/>
        <w:jc w:val="both"/>
      </w:pPr>
      <w:r>
        <w:rPr>
          <w:rFonts w:ascii="Arial" w:hAnsi="Arial" w:cs="Arial" w:eastAsia="Arial"/>
          <w:b/>
          <w:bCs/>
          <w:color w:val="1F2430"/>
          <w:sz w:val="19"/>
          <w:szCs w:val="19"/>
          <w:rtl/>
        </w:rPr>
        <w:t>פרשנות בית הדין הרבני הגדול משנת 1947:</w:t>
      </w:r>
      <w:r>
        <w:rPr>
          <w:rFonts w:ascii="Arial" w:hAnsi="Arial" w:cs="Arial" w:eastAsia="Arial"/>
          <w:color w:val="1F2430"/>
          <w:sz w:val="19"/>
          <w:szCs w:val="19"/>
          <w:rtl/>
        </w:rPr>
        <w:t xml:space="preserve"> התקנה הפכה את החובה בגילאי 6–15 ל</w:t>
      </w:r>
      <w:r>
        <w:rPr>
          <w:rFonts w:ascii="Arial" w:hAnsi="Arial" w:cs="Arial" w:eastAsia="Arial"/>
          <w:b/>
          <w:bCs/>
          <w:color w:val="1F2430"/>
          <w:sz w:val="19"/>
          <w:szCs w:val="19"/>
          <w:rtl/>
        </w:rPr>
        <w:t>זהה</w:t>
      </w:r>
      <w:r>
        <w:rPr>
          <w:rFonts w:ascii="Arial" w:hAnsi="Arial" w:cs="Arial" w:eastAsia="Arial"/>
          <w:color w:val="1F2430"/>
          <w:sz w:val="19"/>
          <w:szCs w:val="19"/>
          <w:rtl/>
        </w:rPr>
        <w:t xml:space="preserve"> לחובה המוחלטת שלפני גיל 6, בלי קשר למצבו הכלכלי של האב או למקורות חלופיים של הילדים. המשפט הישראלי אימץ פרשנות זו.</w:t>
      </w:r>
    </w:p>
    <w:p>
      <w:pPr>
        <w:bidi/>
        <w:spacing w:before="0" w:after="100" w:line="300" w:lineRule="auto"/>
        <w:jc w:val="both"/>
      </w:pPr>
      <w:r>
        <w:rPr>
          <w:rFonts w:ascii="Arial" w:hAnsi="Arial" w:cs="Arial" w:eastAsia="Arial"/>
          <w:b/>
          <w:bCs/>
          <w:color w:val="1F2430"/>
          <w:sz w:val="19"/>
          <w:szCs w:val="19"/>
          <w:rtl/>
        </w:rPr>
        <w:t>מועצת הרבנות הראשית</w:t>
      </w:r>
      <w:r>
        <w:rPr>
          <w:rFonts w:ascii="Arial" w:hAnsi="Arial" w:cs="Arial" w:eastAsia="Arial"/>
          <w:color w:val="1F2430"/>
          <w:sz w:val="19"/>
          <w:szCs w:val="19"/>
          <w:rtl/>
        </w:rPr>
        <w:t xml:space="preserve"> ציינה ש</w:t>
      </w:r>
      <w:r>
        <w:rPr>
          <w:rFonts w:ascii="Arial" w:hAnsi="Arial" w:cs="Arial" w:eastAsia="Arial"/>
          <w:b/>
          <w:bCs/>
          <w:color w:val="1F2430"/>
          <w:sz w:val="19"/>
          <w:szCs w:val="19"/>
          <w:rtl/>
        </w:rPr>
        <w:t>רוב הפוסקים</w:t>
      </w:r>
      <w:r>
        <w:rPr>
          <w:rFonts w:ascii="Arial" w:hAnsi="Arial" w:cs="Arial" w:eastAsia="Arial"/>
          <w:color w:val="1F2430"/>
          <w:sz w:val="19"/>
          <w:szCs w:val="19"/>
          <w:rtl/>
        </w:rPr>
        <w:t xml:space="preserve"> סברו, בניגוד לפסק 1947, שהחיוב בגילאי 6–15 הוא </w:t>
      </w:r>
      <w:r>
        <w:rPr>
          <w:rFonts w:ascii="Arial" w:hAnsi="Arial" w:cs="Arial" w:eastAsia="Arial"/>
          <w:color w:val="1F2430"/>
          <w:sz w:val="19"/>
          <w:szCs w:val="19"/>
          <w:highlight w:val="yellow"/>
          <w:rtl/>
        </w:rPr>
        <w:t>מדין צדקה</w:t>
      </w:r>
      <w:r>
        <w:rPr>
          <w:rFonts w:ascii="Arial" w:hAnsi="Arial" w:cs="Arial" w:eastAsia="Arial"/>
          <w:color w:val="1F2430"/>
          <w:sz w:val="19"/>
          <w:szCs w:val="19"/>
          <w:rtl/>
        </w:rPr>
        <w:t>. אבל המועצה קבעה שאין ביכולתה להכריע בין גדולי הפוסקים, והותירה את ההכרעה לשיקול דעתו של כל דיין. בפועל דיינים רבים המשיכו בגישה המחמירה. בית המשפט העליון ״תפס״ את הנקודה הזו: אם רוב הפוסקים סבורים שזה דין צדקה, אין סיבה לא לצרף את האם.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למה ״דין צדקה״ חשוב כל כך?</w:t>
            </w:r>
          </w:p>
          <w:p>
            <w:pPr>
              <w:bidi/>
              <w:spacing w:before="0" w:after="60" w:line="300" w:lineRule="auto"/>
              <w:jc w:val="both"/>
            </w:pPr>
            <w:r>
              <w:rPr>
                <w:rFonts w:ascii="Arial" w:hAnsi="Arial" w:cs="Arial" w:eastAsia="Arial"/>
                <w:color w:val="1F2430"/>
                <w:sz w:val="18"/>
                <w:szCs w:val="18"/>
                <w:rtl/>
              </w:rPr>
              <w:t xml:space="preserve">חיוב מוחלט מוטל </w:t>
            </w:r>
            <w:r>
              <w:rPr>
                <w:rFonts w:ascii="Arial" w:hAnsi="Arial" w:cs="Arial" w:eastAsia="Arial"/>
                <w:b/>
                <w:bCs/>
                <w:color w:val="1F2430"/>
                <w:sz w:val="18"/>
                <w:szCs w:val="18"/>
                <w:rtl/>
              </w:rPr>
              <w:t>על האב בלבד</w:t>
            </w:r>
            <w:r>
              <w:rPr>
                <w:rFonts w:ascii="Arial" w:hAnsi="Arial" w:cs="Arial" w:eastAsia="Arial"/>
                <w:color w:val="1F2430"/>
                <w:sz w:val="18"/>
                <w:szCs w:val="18"/>
                <w:rtl/>
              </w:rPr>
              <w:t xml:space="preserve">. חיוב מדין צדקה בודק כמה כל הורה מסוגל לשלם, ולכן </w:t>
            </w:r>
            <w:r>
              <w:rPr>
                <w:rFonts w:ascii="Arial" w:hAnsi="Arial" w:cs="Arial" w:eastAsia="Arial"/>
                <w:b/>
                <w:bCs/>
                <w:color w:val="1F2430"/>
                <w:sz w:val="18"/>
                <w:szCs w:val="18"/>
                <w:rtl/>
              </w:rPr>
              <w:t>מאפשר לשתף את האם</w:t>
            </w:r>
            <w:r>
              <w:rPr>
                <w:rFonts w:ascii="Arial" w:hAnsi="Arial" w:cs="Arial" w:eastAsia="Arial"/>
                <w:color w:val="1F2430"/>
                <w:sz w:val="18"/>
                <w:szCs w:val="18"/>
                <w:rtl/>
              </w:rPr>
              <w:t>, ואף ״מהשקל הראשון״. הסיווג של גילאי 6–15 כחיוב מדין צדקה הוא הבסיס ההלכתי של בע״מ 919/15.</w:t>
            </w:r>
          </w:p>
        </w:tc>
      </w:tr>
    </w:tbl>
    <w:p>
      <w:pPr>
        <w:bidi/>
        <w:spacing w:after="0" w:before="0" w:line="120" w:lineRule="exact"/>
      </w:pPr>
      <w:r>
        <w:rPr>
          <w:sz w:val="2"/>
        </w:rPr>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גילאי 15–18 ומעל 18</w:t>
      </w:r>
    </w:p>
    <w:p>
      <w:pPr>
        <w:bidi/>
        <w:spacing w:before="0" w:after="100" w:line="300" w:lineRule="auto"/>
        <w:jc w:val="both"/>
      </w:pPr>
      <w:r>
        <w:rPr>
          <w:rFonts w:ascii="Arial" w:hAnsi="Arial" w:cs="Arial" w:eastAsia="Arial"/>
          <w:color w:val="1F2430"/>
          <w:sz w:val="19"/>
          <w:szCs w:val="19"/>
          <w:rtl/>
        </w:rPr>
        <w:t xml:space="preserve">במקור אין מחלוקת שהחיוב בגילאי 15–18 הוא </w:t>
      </w:r>
      <w:r>
        <w:rPr>
          <w:rFonts w:ascii="Arial" w:hAnsi="Arial" w:cs="Arial" w:eastAsia="Arial"/>
          <w:b/>
          <w:bCs/>
          <w:color w:val="1F2430"/>
          <w:sz w:val="19"/>
          <w:szCs w:val="19"/>
          <w:rtl/>
        </w:rPr>
        <w:t>מדין צדקה</w:t>
      </w:r>
      <w:r>
        <w:rPr>
          <w:rFonts w:ascii="Arial" w:hAnsi="Arial" w:cs="Arial" w:eastAsia="Arial"/>
          <w:color w:val="1F2430"/>
          <w:sz w:val="19"/>
          <w:szCs w:val="19"/>
          <w:rtl/>
        </w:rPr>
        <w:t xml:space="preserve">, באופן שווה על שני ההורים לפי יכולותיהם היחסיות. בהמשך </w:t>
      </w:r>
      <w:r>
        <w:rPr>
          <w:rFonts w:ascii="Arial" w:hAnsi="Arial" w:cs="Arial" w:eastAsia="Arial"/>
          <w:b/>
          <w:bCs/>
          <w:color w:val="1F2430"/>
          <w:sz w:val="19"/>
          <w:szCs w:val="19"/>
          <w:rtl/>
        </w:rPr>
        <w:t>תקנת תשמ״א</w:t>
      </w:r>
      <w:r>
        <w:rPr>
          <w:rFonts w:ascii="Arial" w:hAnsi="Arial" w:cs="Arial" w:eastAsia="Arial"/>
          <w:color w:val="1F2430"/>
          <w:sz w:val="19"/>
          <w:szCs w:val="19"/>
          <w:rtl/>
        </w:rPr>
        <w:t xml:space="preserve"> של הרבנות הראשית הפכה אותו לחובה מוחלטת של האב. כך התרחב חיוב קטן שחל עד גיל 6 לחיוב גורף מגיל 0 עד 18, שנפל על האב גם אם לאם יש, גם אם לילדים יש וגם אם לאב אין. מעל גיל 18 אין חיוב בדין העברי, וחל סעיף 4 לחוק המזונות.</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טבלת סיכום: הדין העברי לפני 919/15</w:t>
      </w:r>
    </w:p>
    <w:tbl>
      <w:tblPr>
        <w:tblW w:type="dxa" w:w="10206"/>
        <w:jc w:val="center"/>
        <w:tblLook w:firstColumn="1" w:firstRow="1" w:lastColumn="0" w:lastRow="0" w:noHBand="0" w:noVBand="1" w:val="04A0"/>
        <w:bidiVisual/>
        <w:tblLayout w:type="fixed"/>
      </w:tblPr>
      <w:tblGrid>
        <w:gridCol w:w="1214"/>
        <w:gridCol w:w="1284"/>
        <w:gridCol w:w="3853"/>
        <w:gridCol w:w="3853"/>
      </w:tblGrid>
      <w:tr>
        <w:trPr>
          <w:tblHeader/>
        </w:trPr>
        <w:tc>
          <w:tcPr>
            <w:tcW w:type="dxa" w:w="121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גיל</w:t>
            </w:r>
          </w:p>
        </w:tc>
        <w:tc>
          <w:tcPr>
            <w:tcW w:type="dxa" w:w="128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 החיוב</w:t>
            </w:r>
          </w:p>
        </w:tc>
        <w:tc>
          <w:tcPr>
            <w:tcW w:type="dxa" w:w="3853"/>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מזונות הכרחיים</w:t>
            </w:r>
          </w:p>
        </w:tc>
        <w:tc>
          <w:tcPr>
            <w:tcW w:type="dxa" w:w="3853"/>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מעבר להכרחי</w:t>
            </w:r>
          </w:p>
        </w:tc>
      </w:tr>
      <w:tr>
        <w:trPr>
          <w:cantSplit/>
        </w:trPr>
        <w:tc>
          <w:tcPr>
            <w:tcW w:type="dxa" w:w="12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0–6</w:t>
            </w:r>
          </w:p>
        </w:tc>
        <w:tc>
          <w:tcPr>
            <w:tcW w:type="dxa" w:w="128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מעיקר הדין</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חובה מוחלטת לאב, גם אם אינו אמיד, גם אם הילדים אינם נצרכים, גם אם יש לאם</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מדין צדקה: אב ואם לפי יכולותיהם כשהילדים נצרכים (בעבר: מחציות)</w:t>
            </w:r>
          </w:p>
        </w:tc>
      </w:tr>
      <w:tr>
        <w:trPr>
          <w:cantSplit/>
        </w:trPr>
        <w:tc>
          <w:tcPr>
            <w:tcW w:type="dxa" w:w="12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6–15</w:t>
            </w:r>
          </w:p>
        </w:tc>
        <w:tc>
          <w:tcPr>
            <w:tcW w:type="dxa" w:w="128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תקנת אושא ותקנת תש״ד</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בתחילה רק אב אמיד וילדים נצרכים. אחרי תש״ד ופרשנות 1947: חובה מוחלטת לאב</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מדין צדקה: אב ואם לפי יכולותיהם (בעבר: מחציות)</w:t>
            </w:r>
          </w:p>
        </w:tc>
      </w:tr>
      <w:tr>
        <w:trPr>
          <w:cantSplit/>
        </w:trPr>
        <w:tc>
          <w:tcPr>
            <w:tcW w:type="dxa" w:w="12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15–18</w:t>
            </w:r>
          </w:p>
        </w:tc>
        <w:tc>
          <w:tcPr>
            <w:tcW w:type="dxa" w:w="128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מדין צדקה</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אב ואם לפי יכולותיהם. תקנת תשמ״א: חובה מוחלטת לאב</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אב ואם לפי יכולותיהם</w:t>
            </w:r>
          </w:p>
        </w:tc>
      </w:tr>
      <w:tr>
        <w:trPr>
          <w:cantSplit/>
        </w:trPr>
        <w:tc>
          <w:tcPr>
            <w:tcW w:type="dxa" w:w="12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מעל 18</w:t>
            </w:r>
          </w:p>
        </w:tc>
        <w:tc>
          <w:tcPr>
            <w:tcW w:type="dxa" w:w="128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אין חיוב בדין העברי</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סעיף 4 לחוק המזונות (שליש בשירות)</w:t>
            </w:r>
          </w:p>
        </w:tc>
        <w:tc>
          <w:tcPr>
            <w:tcW w:type="dxa" w:w="385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סעיף 4 לחוק המזונות</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10.4 רכיבי המזונות: הכרחי, מדור, מעבר להכרחי והכנסה פנויה</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צרכים הכרחיים</w:t>
      </w:r>
    </w:p>
    <w:p>
      <w:pPr>
        <w:bidi/>
        <w:spacing w:before="0" w:after="100" w:line="300" w:lineRule="auto"/>
        <w:jc w:val="both"/>
      </w:pPr>
      <w:r>
        <w:rPr>
          <w:rFonts w:ascii="Arial" w:hAnsi="Arial" w:cs="Arial" w:eastAsia="Arial"/>
          <w:color w:val="1F2430"/>
          <w:sz w:val="19"/>
          <w:szCs w:val="19"/>
          <w:rtl/>
        </w:rPr>
        <w:t xml:space="preserve">הערכאות גיבשו את הצרכים ההכרחיים: </w:t>
      </w:r>
      <w:r>
        <w:rPr>
          <w:rFonts w:ascii="Arial" w:hAnsi="Arial" w:cs="Arial" w:eastAsia="Arial"/>
          <w:b/>
          <w:bCs/>
          <w:color w:val="1F2430"/>
          <w:sz w:val="19"/>
          <w:szCs w:val="19"/>
          <w:rtl/>
        </w:rPr>
        <w:t>מזון, ביגוד והנעלה בסיסיים, חינוך פורמלי, ביטוח בריאות ותרופות שגרתיות</w:t>
      </w:r>
      <w:r>
        <w:rPr>
          <w:rFonts w:ascii="Arial" w:hAnsi="Arial" w:cs="Arial" w:eastAsia="Arial"/>
          <w:color w:val="1F2430"/>
          <w:sz w:val="19"/>
          <w:szCs w:val="19"/>
          <w:rtl/>
        </w:rPr>
        <w:t>. ב</w:t>
      </w:r>
      <w:r>
        <w:rPr>
          <w:rFonts w:ascii="Arial" w:hAnsi="Arial" w:cs="Arial" w:eastAsia="Arial"/>
          <w:b/>
          <w:bCs/>
          <w:color w:val="1F2430"/>
          <w:sz w:val="19"/>
          <w:szCs w:val="19"/>
          <w:rtl/>
        </w:rPr>
        <w:t>ע״א 552/87 ורד</w:t>
      </w:r>
      <w:r>
        <w:rPr>
          <w:rFonts w:ascii="Arial" w:hAnsi="Arial" w:cs="Arial" w:eastAsia="Arial"/>
          <w:color w:val="1F2430"/>
          <w:sz w:val="19"/>
          <w:szCs w:val="19"/>
          <w:rtl/>
        </w:rPr>
        <w:t xml:space="preserve"> דובר על כ-1,300–1,400 ₪ לילד יחיד. שיעור זה לא קשור לרמת הכנסתו של האב, כי החיוב ״לפי צורכם ולא לפי עושרו״. משכורת האב באה לידי ביטוי רק במה שמעבר להכרחי.</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כמה ילדים</w:t>
      </w:r>
      <w:r>
        <w:rPr>
          <w:rFonts w:ascii="Arial" w:hAnsi="Arial" w:cs="Arial" w:eastAsia="Arial"/>
          <w:color w:val="1F2430"/>
          <w:sz w:val="19"/>
          <w:szCs w:val="19"/>
          <w:rtl/>
        </w:rPr>
        <w:t>: לא מכפילים את סכום הבסיס במספר הילדים, כי חלק מההוצאות חופפות. הסכום הכולל נמוך ממכפלת הבסיס.</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עדכון הסכום</w:t>
      </w:r>
      <w:r>
        <w:rPr>
          <w:rFonts w:ascii="Arial" w:hAnsi="Arial" w:cs="Arial" w:eastAsia="Arial"/>
          <w:color w:val="1F2430"/>
          <w:sz w:val="19"/>
          <w:szCs w:val="19"/>
          <w:rtl/>
        </w:rPr>
        <w:t>: ב</w:t>
      </w:r>
      <w:r>
        <w:rPr>
          <w:rFonts w:ascii="Arial" w:hAnsi="Arial" w:cs="Arial" w:eastAsia="Arial"/>
          <w:b/>
          <w:bCs/>
          <w:color w:val="1F2430"/>
          <w:sz w:val="19"/>
          <w:szCs w:val="19"/>
          <w:rtl/>
        </w:rPr>
        <w:t>עמ״ש (חי׳) 32385-11-18 (22.5.2019)</w:t>
      </w:r>
      <w:r>
        <w:rPr>
          <w:rFonts w:ascii="Arial" w:hAnsi="Arial" w:cs="Arial" w:eastAsia="Arial"/>
          <w:color w:val="1F2430"/>
          <w:sz w:val="19"/>
          <w:szCs w:val="19"/>
          <w:rtl/>
        </w:rPr>
        <w:t xml:space="preserve"> נקבע שהמזונות הבסיסיים </w:t>
      </w:r>
      <w:r>
        <w:rPr>
          <w:rFonts w:ascii="Arial" w:hAnsi="Arial" w:cs="Arial" w:eastAsia="Arial"/>
          <w:color w:val="1F2430"/>
          <w:sz w:val="19"/>
          <w:szCs w:val="19"/>
          <w:highlight w:val="yellow"/>
          <w:rtl/>
        </w:rPr>
        <w:t>אינם דורשים הוכחה</w:t>
      </w:r>
      <w:r>
        <w:rPr>
          <w:rFonts w:ascii="Arial" w:hAnsi="Arial" w:cs="Arial" w:eastAsia="Arial"/>
          <w:color w:val="1F2430"/>
          <w:sz w:val="19"/>
          <w:szCs w:val="19"/>
          <w:rtl/>
        </w:rPr>
        <w:t xml:space="preserve"> ומצויים בידיעתו השיפוטית של בית המשפט, ושסך של 1,600 ₪ אינו חורג מהמקובל. בהמשך לעמ״ש 41465-10-17 (1,300–1,400 ₪ לפחות) ולעמ״ש 46291-01-16, שקבע שהסך של 1,400 ₪ ״קפא על שמריו״ למרות עליית יוקר המחיה, הוצע להעלות את הרף שאינו דורש הוכחה ל-</w:t>
      </w:r>
      <w:r>
        <w:rPr>
          <w:rFonts w:ascii="Arial" w:hAnsi="Arial" w:cs="Arial" w:eastAsia="Arial"/>
          <w:b/>
          <w:bCs/>
          <w:color w:val="1F2430"/>
          <w:sz w:val="19"/>
          <w:szCs w:val="19"/>
          <w:rtl/>
        </w:rPr>
        <w:t>1,600–1,700 ₪</w:t>
      </w:r>
      <w:r>
        <w:rPr>
          <w:rFonts w:ascii="Arial" w:hAnsi="Arial" w:cs="Arial" w:eastAsia="Arial"/>
          <w:color w:val="1F2430"/>
          <w:sz w:val="19"/>
          <w:szCs w:val="19"/>
          <w:rtl/>
        </w:rPr>
        <w:t>. לפי מה שנלמד בקורס, כיום משתמשים בכ-1,600 ₪. סכום זה לא כולל בהכרח מדור.</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מדור</w:t>
      </w:r>
    </w:p>
    <w:p>
      <w:pPr>
        <w:bidi/>
        <w:spacing w:before="0" w:after="100" w:line="300" w:lineRule="auto"/>
        <w:jc w:val="both"/>
      </w:pPr>
      <w:r>
        <w:rPr>
          <w:rFonts w:ascii="Arial" w:hAnsi="Arial" w:cs="Arial" w:eastAsia="Arial"/>
          <w:color w:val="1F2430"/>
          <w:sz w:val="19"/>
          <w:szCs w:val="19"/>
          <w:rtl/>
        </w:rPr>
        <w:t>מדור הוא חלקו של הילד בהוצאות המגורים בבית שבו הוא גר: שכר דירה או עלות המגורים, וכן החזקת הבית (חשמל, מים, ארנונה, גז). כיוון שגם ההורה גר בדירה, הפסיקה קבעה מוסכמות:</w:t>
      </w:r>
    </w:p>
    <w:tbl>
      <w:tblPr>
        <w:tblW w:type="dxa" w:w="10206"/>
        <w:jc w:val="center"/>
        <w:tblLook w:firstColumn="1" w:firstRow="1" w:lastColumn="0" w:lastRow="0" w:noHBand="0" w:noVBand="1" w:val="04A0"/>
        <w:bidiVisual/>
        <w:tblLayout w:type="fixed"/>
      </w:tblPr>
      <w:tblGrid>
        <w:gridCol w:w="2291"/>
        <w:gridCol w:w="3332"/>
        <w:gridCol w:w="4582"/>
      </w:tblGrid>
      <w:tr>
        <w:trPr>
          <w:tblHeader/>
        </w:trPr>
        <w:tc>
          <w:tcPr>
            <w:tcW w:type="dxa" w:w="2291"/>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מספר ילדים</w:t>
            </w:r>
          </w:p>
        </w:tc>
        <w:tc>
          <w:tcPr>
            <w:tcW w:type="dxa" w:w="3332"/>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חלק הילדים במדור</w:t>
            </w:r>
          </w:p>
        </w:tc>
        <w:tc>
          <w:tcPr>
            <w:tcW w:type="dxa" w:w="4582"/>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דוגמה (שכירות 3,000 ₪)</w:t>
            </w:r>
          </w:p>
        </w:tc>
      </w:tr>
      <w:tr>
        <w:trPr>
          <w:cantSplit/>
        </w:trPr>
        <w:tc>
          <w:tcPr>
            <w:tcW w:type="dxa" w:w="2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ילד אחד</w:t>
            </w:r>
          </w:p>
        </w:tc>
        <w:tc>
          <w:tcPr>
            <w:tcW w:type="dxa" w:w="333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כשליש</w:t>
            </w:r>
          </w:p>
        </w:tc>
        <w:tc>
          <w:tcPr>
            <w:tcW w:type="dxa" w:w="458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1,000 ₪</w:t>
            </w:r>
          </w:p>
        </w:tc>
      </w:tr>
      <w:tr>
        <w:trPr>
          <w:cantSplit/>
        </w:trPr>
        <w:tc>
          <w:tcPr>
            <w:tcW w:type="dxa" w:w="2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שני ילדים</w:t>
            </w:r>
          </w:p>
        </w:tc>
        <w:tc>
          <w:tcPr>
            <w:tcW w:type="dxa" w:w="333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כ-40% לשניהם יחד</w:t>
            </w:r>
          </w:p>
        </w:tc>
        <w:tc>
          <w:tcPr>
            <w:tcW w:type="dxa" w:w="458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1,200 ₪ לשניהם</w:t>
            </w:r>
          </w:p>
        </w:tc>
      </w:tr>
      <w:tr>
        <w:trPr>
          <w:cantSplit/>
        </w:trPr>
        <w:tc>
          <w:tcPr>
            <w:tcW w:type="dxa" w:w="2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שלושה ומעלה</w:t>
            </w:r>
          </w:p>
        </w:tc>
        <w:tc>
          <w:tcPr>
            <w:tcW w:type="dxa" w:w="333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כ-50% לכולם יחד</w:t>
            </w:r>
          </w:p>
        </w:tc>
        <w:tc>
          <w:tcPr>
            <w:tcW w:type="dxa" w:w="458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1,500 ₪ לכולם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האחוז לא עולה בשליש לכל ילד, כי הוצאות הבית משותפות.</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מעבר להכרחי: מזונות מדין צדקה</w:t>
      </w:r>
    </w:p>
    <w:p>
      <w:pPr>
        <w:bidi/>
        <w:spacing w:before="0" w:after="100" w:line="300" w:lineRule="auto"/>
        <w:jc w:val="both"/>
      </w:pPr>
      <w:r>
        <w:rPr>
          <w:rFonts w:ascii="Arial" w:hAnsi="Arial" w:cs="Arial" w:eastAsia="Arial"/>
          <w:color w:val="1F2430"/>
          <w:sz w:val="19"/>
          <w:szCs w:val="19"/>
          <w:rtl/>
        </w:rPr>
        <w:t xml:space="preserve">הדין העברי מכיר בחובת האב, אם ידו משגת, לתת מזונות נוספים עד רמת החיים שהילד הורגל אליה ערב הפירוד: חוגים, קייטנות, בילויים ותרבות. חובה זו נקראת </w:t>
      </w:r>
      <w:r>
        <w:rPr>
          <w:rFonts w:ascii="Arial" w:hAnsi="Arial" w:cs="Arial" w:eastAsia="Arial"/>
          <w:b/>
          <w:bCs/>
          <w:color w:val="1F2430"/>
          <w:sz w:val="19"/>
          <w:szCs w:val="19"/>
          <w:rtl/>
        </w:rPr>
        <w:t>״מזונות מדין צדקה״</w:t>
      </w:r>
      <w:r>
        <w:rPr>
          <w:rFonts w:ascii="Arial" w:hAnsi="Arial" w:cs="Arial" w:eastAsia="Arial"/>
          <w:color w:val="1F2430"/>
          <w:sz w:val="19"/>
          <w:szCs w:val="19"/>
          <w:rtl/>
        </w:rPr>
        <w:t xml:space="preserve">, היא חלה </w:t>
      </w:r>
      <w:r>
        <w:rPr>
          <w:rFonts w:ascii="Arial" w:hAnsi="Arial" w:cs="Arial" w:eastAsia="Arial"/>
          <w:b/>
          <w:bCs/>
          <w:color w:val="1F2430"/>
          <w:sz w:val="19"/>
          <w:szCs w:val="19"/>
          <w:rtl/>
        </w:rPr>
        <w:t>מלידה ולאורך כל הקטינות</w:t>
      </w:r>
      <w:r>
        <w:rPr>
          <w:rFonts w:ascii="Arial" w:hAnsi="Arial" w:cs="Arial" w:eastAsia="Arial"/>
          <w:color w:val="1F2430"/>
          <w:sz w:val="19"/>
          <w:szCs w:val="19"/>
          <w:rtl/>
        </w:rPr>
        <w:t xml:space="preserve">, ובה </w:t>
      </w:r>
      <w:r>
        <w:rPr>
          <w:rFonts w:ascii="Arial" w:hAnsi="Arial" w:cs="Arial" w:eastAsia="Arial"/>
          <w:color w:val="1F2430"/>
          <w:sz w:val="19"/>
          <w:szCs w:val="19"/>
          <w:highlight w:val="yellow"/>
          <w:rtl/>
        </w:rPr>
        <w:t>שני ההורים שווים</w:t>
      </w:r>
      <w:r>
        <w:rPr>
          <w:rFonts w:ascii="Arial" w:hAnsi="Arial" w:cs="Arial" w:eastAsia="Arial"/>
          <w:color w:val="1F2430"/>
          <w:sz w:val="19"/>
          <w:szCs w:val="19"/>
          <w:rtl/>
        </w:rPr>
        <w:t xml:space="preserve"> לפי יכולותיהם. בעבר נהגו לחלק אותה </w:t>
      </w:r>
      <w:r>
        <w:rPr>
          <w:rFonts w:ascii="Arial" w:hAnsi="Arial" w:cs="Arial" w:eastAsia="Arial"/>
          <w:b/>
          <w:bCs/>
          <w:color w:val="1F2430"/>
          <w:sz w:val="19"/>
          <w:szCs w:val="19"/>
          <w:rtl/>
        </w:rPr>
        <w:t>במחציות</w:t>
      </w:r>
      <w:r>
        <w:rPr>
          <w:rFonts w:ascii="Arial" w:hAnsi="Arial" w:cs="Arial" w:eastAsia="Arial"/>
          <w:color w:val="1F2430"/>
          <w:sz w:val="19"/>
          <w:szCs w:val="19"/>
          <w:rtl/>
        </w:rPr>
        <w:t xml:space="preserve"> (50% לכל הורה). מאז 2017 הדגש עבר ל</w:t>
      </w:r>
      <w:r>
        <w:rPr>
          <w:rFonts w:ascii="Arial" w:hAnsi="Arial" w:cs="Arial" w:eastAsia="Arial"/>
          <w:b/>
          <w:bCs/>
          <w:color w:val="1F2430"/>
          <w:sz w:val="19"/>
          <w:szCs w:val="19"/>
          <w:rtl/>
        </w:rPr>
        <w:t>יחסיות כלכלית</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ההכנסה הפנויה: בע״מ 3432/09</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3432/09: ״ההכנסה הפנויה״ בראייה רחבה</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יכולתו הכלכלית של הורה נבחנת ב״ראייה רחבה״. לא רק משכורת הנטו שבתלוש, אלא סך המקורות שעומדים לרשותו: נכסים, חסכונות, הכנסות משכירות, הכנסות שאינן משתקפות בתלוש ואף </w:t>
            </w:r>
            <w:r>
              <w:rPr>
                <w:rFonts w:ascii="Arial" w:hAnsi="Arial" w:cs="Arial" w:eastAsia="Arial"/>
                <w:b/>
                <w:bCs/>
                <w:color w:val="1F2430"/>
                <w:sz w:val="18"/>
                <w:szCs w:val="18"/>
                <w:rtl/>
              </w:rPr>
              <w:t>פוטנציאל ההשתכרות</w:t>
            </w:r>
            <w:r>
              <w:rPr>
                <w:rFonts w:ascii="Arial" w:hAnsi="Arial" w:cs="Arial" w:eastAsia="Arial"/>
                <w:color w:val="1F2430"/>
                <w:sz w:val="18"/>
                <w:szCs w:val="18"/>
                <w:rtl/>
              </w:rPr>
              <w:t xml:space="preserve">. </w:t>
            </w:r>
            <w:r>
              <w:rPr>
                <w:rFonts w:ascii="Arial" w:hAnsi="Arial" w:cs="Arial" w:eastAsia="Arial"/>
                <w:b/>
                <w:bCs/>
                <w:color w:val="1F2430"/>
                <w:sz w:val="18"/>
                <w:szCs w:val="18"/>
                <w:rtl/>
              </w:rPr>
              <w:t>דוגמאות:</w:t>
            </w:r>
            <w:r>
              <w:rPr>
                <w:rFonts w:ascii="Arial" w:hAnsi="Arial" w:cs="Arial" w:eastAsia="Arial"/>
                <w:color w:val="1F2430"/>
                <w:sz w:val="18"/>
                <w:szCs w:val="18"/>
                <w:rtl/>
              </w:rPr>
              <w:t xml:space="preserve"> מי שהרוויח 20,000 ₪ והפסיק לעבוד עם פתיחת ההליך ייבחן לפי פוטנציאל ההשתכרות. מי שמרוויח 7,000 ₪ ומשכיר דירה ב-5,000 ₪ נבחן לפי שניהם.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ההכנסה הפנויה היא התמונה הכלכלית האמיתית. </w:t>
            </w:r>
            <w:r>
              <w:rPr>
                <w:rFonts w:ascii="Arial" w:hAnsi="Arial" w:cs="Arial" w:eastAsia="Arial"/>
                <w:color w:val="1F2430"/>
                <w:sz w:val="18"/>
                <w:szCs w:val="18"/>
                <w:highlight w:val="yellow"/>
                <w:rtl/>
              </w:rPr>
              <w:t>בית הדין הרבני אינו מתחשב בפוטנציאל השתכרות</w:t>
            </w:r>
            <w:r>
              <w:rPr>
                <w:rFonts w:ascii="Arial" w:hAnsi="Arial" w:cs="Arial" w:eastAsia="Arial"/>
                <w:color w:val="1F2430"/>
                <w:sz w:val="18"/>
                <w:szCs w:val="18"/>
                <w:rtl/>
              </w:rPr>
              <w:t>, אלא רק במה שקיים בפועל.</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10.5 משמורת: חוק הכשרות המשפטית והאפוטרופסות</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הדין החל: סעיף 79</w:t>
      </w:r>
    </w:p>
    <w:p>
      <w:pPr>
        <w:bidi/>
        <w:spacing w:before="0" w:after="100" w:line="300" w:lineRule="auto"/>
        <w:jc w:val="both"/>
      </w:pPr>
      <w:r>
        <w:rPr>
          <w:rFonts w:ascii="Arial" w:hAnsi="Arial" w:cs="Arial" w:eastAsia="Arial"/>
          <w:color w:val="1F2430"/>
          <w:sz w:val="19"/>
          <w:szCs w:val="19"/>
          <w:rtl/>
        </w:rPr>
        <w:t xml:space="preserve">אפוטרופסות היא מענייני המעמד האישי, ולכן בעבר חל עליה הדין האישי. </w:t>
      </w:r>
      <w:r>
        <w:rPr>
          <w:rFonts w:ascii="Arial" w:hAnsi="Arial" w:cs="Arial" w:eastAsia="Arial"/>
          <w:b/>
          <w:bCs/>
          <w:color w:val="1F2430"/>
          <w:sz w:val="19"/>
          <w:szCs w:val="19"/>
          <w:rtl/>
        </w:rPr>
        <w:t>סעיף 79</w:t>
      </w:r>
      <w:r>
        <w:rPr>
          <w:rFonts w:ascii="Arial" w:hAnsi="Arial" w:cs="Arial" w:eastAsia="Arial"/>
          <w:color w:val="1F2430"/>
          <w:sz w:val="19"/>
          <w:szCs w:val="19"/>
          <w:rtl/>
        </w:rPr>
        <w:t xml:space="preserve"> לחוק הכשרות המשפטית והאפוטרופסות קובע: ״...ומקום שבית דין דתי מוסמך על-פי דין לשפוט, יראו כל הוראה בחוק זה, פרט לסעיף 75, שמדובר בה בבית משפט כאילו מדובר בה בבית דין דתי״. המשמעות: </w:t>
      </w:r>
      <w:r>
        <w:rPr>
          <w:rFonts w:ascii="Arial" w:hAnsi="Arial" w:cs="Arial" w:eastAsia="Arial"/>
          <w:color w:val="1F2430"/>
          <w:sz w:val="19"/>
          <w:szCs w:val="19"/>
          <w:highlight w:val="yellow"/>
          <w:rtl/>
        </w:rPr>
        <w:t>גם בית הדין הרבני כפוף לחוק הכשרות</w:t>
      </w:r>
      <w:r>
        <w:rPr>
          <w:rFonts w:ascii="Arial" w:hAnsi="Arial" w:cs="Arial" w:eastAsia="Arial"/>
          <w:color w:val="1F2430"/>
          <w:sz w:val="19"/>
          <w:szCs w:val="19"/>
          <w:rtl/>
        </w:rPr>
        <w:t xml:space="preserve"> כשהוא דן במשמורת ובאפוטרופסות, ולכן הדין בעניינים אלה </w:t>
      </w:r>
      <w:r>
        <w:rPr>
          <w:rFonts w:ascii="Arial" w:hAnsi="Arial" w:cs="Arial" w:eastAsia="Arial"/>
          <w:b/>
          <w:bCs/>
          <w:color w:val="1F2430"/>
          <w:sz w:val="19"/>
          <w:szCs w:val="19"/>
          <w:rtl/>
        </w:rPr>
        <w:t>טריטוריאלי-אזרחי</w:t>
      </w:r>
      <w:r>
        <w:rPr>
          <w:rFonts w:ascii="Arial" w:hAnsi="Arial" w:cs="Arial" w:eastAsia="Arial"/>
          <w:color w:val="1F2430"/>
          <w:sz w:val="19"/>
          <w:szCs w:val="19"/>
          <w:rtl/>
        </w:rPr>
        <w:t>. בתרגול הוסבר שהחוק מאוחר וגובר. אם יש בו לקונה, משלימים אותה מהדין האישי.</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עקרונות היסוד</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שני ההורים הם האפוטרופסים הטבעיים</w:t>
      </w:r>
      <w:r>
        <w:rPr>
          <w:rFonts w:ascii="Arial" w:hAnsi="Arial" w:cs="Arial" w:eastAsia="Arial"/>
          <w:color w:val="1F2430"/>
          <w:sz w:val="19"/>
          <w:szCs w:val="19"/>
          <w:rtl/>
        </w:rPr>
        <w:t xml:space="preserve"> של ילדיהם הקטינים (סעיף 14 לחוק הכשרות; סעיף 3 לחוק שיווי זכויות האישה, שקובע ״דין אחד יהיה לאיש ולאישה״). אף הורה אינו עדיף על השני מבחינת האפוטרופסות.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 xml:space="preserve">סעיף 15 מגדיר את תוכן האפוטרופסות: החובה והזכות לדאוג לצורכי הקטין. סעיף 17 מחייב את ההורים לנהוג </w:t>
      </w:r>
      <w:r>
        <w:rPr>
          <w:rFonts w:ascii="Arial" w:hAnsi="Arial" w:cs="Arial" w:eastAsia="Arial"/>
          <w:color w:val="1F2430"/>
          <w:sz w:val="19"/>
          <w:szCs w:val="19"/>
          <w:highlight w:val="yellow"/>
          <w:rtl/>
        </w:rPr>
        <w:t>״כדרך שהורים מסורים היו נוהגים״</w:t>
      </w:r>
      <w:r>
        <w:rPr>
          <w:rFonts w:ascii="Arial" w:hAnsi="Arial" w:cs="Arial" w:eastAsia="Arial"/>
          <w:color w:val="1F2430"/>
          <w:sz w:val="19"/>
          <w:szCs w:val="19"/>
          <w:rtl/>
        </w:rPr>
        <w:t>. סעיף 16 מטיל על הקטין חובה לציית להוריו, תוך כיבוד אב ואם.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סעיף 18</w:t>
      </w:r>
      <w:r>
        <w:rPr>
          <w:rFonts w:ascii="Arial" w:hAnsi="Arial" w:cs="Arial" w:eastAsia="Arial"/>
          <w:color w:val="1F2430"/>
          <w:sz w:val="19"/>
          <w:szCs w:val="19"/>
          <w:rtl/>
        </w:rPr>
        <w:t>: ההורים חייבים לפעול בשיתוף פעולה בעניינים שבאפוטרופסותם.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התערבות המדינה</w:t>
      </w:r>
      <w:r>
        <w:rPr>
          <w:rFonts w:ascii="Arial" w:hAnsi="Arial" w:cs="Arial" w:eastAsia="Arial"/>
          <w:color w:val="1F2430"/>
          <w:sz w:val="19"/>
          <w:szCs w:val="19"/>
          <w:rtl/>
        </w:rPr>
        <w:t xml:space="preserve">: תיקון 2020 לחוק הכשרות (בעקבות פרשת שירה איסקוב) מאפשר לשלול אפוטרופסות מהורה שהואשם ברצח בן זוגו או בניסיון לרצחו, או באונס או מעשה סדום בקטין: זמנית עם הגשת כתב האישום, ולצמיתות עם הרשעה חלוטה. </w:t>
      </w:r>
      <w:r>
        <w:rPr>
          <w:rFonts w:ascii="Arial" w:hAnsi="Arial" w:cs="Arial" w:eastAsia="Arial"/>
          <w:color w:val="1F2430"/>
          <w:sz w:val="19"/>
          <w:szCs w:val="19"/>
          <w:highlight w:val="yellow"/>
          <w:rtl/>
        </w:rPr>
        <w:t>שלילת האפוטרופסות אינה גורעת מהחיוב במזונות הילדים</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סעיף 24: הסכם בין ההורים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הכשרות המשפטית והאפוטרופסות, סעיף 24</w:t>
            </w:r>
          </w:p>
          <w:p>
            <w:pPr>
              <w:bidi/>
              <w:spacing w:before="0" w:after="60" w:line="300" w:lineRule="auto"/>
              <w:jc w:val="both"/>
            </w:pPr>
            <w:r>
              <w:rPr>
                <w:rFonts w:ascii="Arial" w:hAnsi="Arial" w:cs="Arial" w:eastAsia="Arial"/>
                <w:color w:val="1F2430"/>
                <w:sz w:val="18"/>
                <w:szCs w:val="18"/>
                <w:rtl/>
              </w:rPr>
              <w:t>״היו הורי הקטין חיים בנפרד, בין שנישואיהם אוינו, הותרו או הופקעו, בין שעדיין קיימים ובין שלא נישאו, רשאים הם להסכים ביניהם על מי מהם תהיה האפוטרופסות לקטין, כולה או מקצתה, מי מהם יחזיק בקטין, ומה יהיו זכויות ההורה שלא יחזיק בקטין לבוא עמו במגע; הסכם כזה טעון אישור בית המשפט והוא יאשרו לאחר שנוכח כי ההסכם הוא לטובת הקטין...״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ההורים רשאים להסכים ביניהם על מקום מגורי הילד ועל זמני השהות, אבל </w:t>
      </w:r>
      <w:r>
        <w:rPr>
          <w:rFonts w:ascii="Arial" w:hAnsi="Arial" w:cs="Arial" w:eastAsia="Arial"/>
          <w:color w:val="1F2430"/>
          <w:sz w:val="19"/>
          <w:szCs w:val="19"/>
          <w:highlight w:val="yellow"/>
          <w:rtl/>
        </w:rPr>
        <w:t>ההסכם טעון אישור</w:t>
      </w:r>
      <w:r>
        <w:rPr>
          <w:rFonts w:ascii="Arial" w:hAnsi="Arial" w:cs="Arial" w:eastAsia="Arial"/>
          <w:color w:val="1F2430"/>
          <w:sz w:val="19"/>
          <w:szCs w:val="19"/>
          <w:rtl/>
        </w:rPr>
        <w:t xml:space="preserve">, ובית המשפט יאשר אותו רק אם הוא </w:t>
      </w:r>
      <w:r>
        <w:rPr>
          <w:rFonts w:ascii="Arial" w:hAnsi="Arial" w:cs="Arial" w:eastAsia="Arial"/>
          <w:b/>
          <w:bCs/>
          <w:color w:val="1F2430"/>
          <w:sz w:val="19"/>
          <w:szCs w:val="19"/>
          <w:rtl/>
        </w:rPr>
        <w:t>לטובת הילד</w:t>
      </w:r>
      <w:r>
        <w:rPr>
          <w:rFonts w:ascii="Arial" w:hAnsi="Arial" w:cs="Arial" w:eastAsia="Arial"/>
          <w:color w:val="1F2430"/>
          <w:sz w:val="19"/>
          <w:szCs w:val="19"/>
          <w:rtl/>
        </w:rPr>
        <w:t>. ״סיכמנו וזהו״ לא מספיק.</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סעיף 25: אין הסכמה, וחזקת הגיל הרך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הכשרות המשפטית והאפוטרופסות, סעיף 25</w:t>
            </w:r>
          </w:p>
          <w:p>
            <w:pPr>
              <w:bidi/>
              <w:spacing w:before="0" w:after="60" w:line="300" w:lineRule="auto"/>
              <w:jc w:val="both"/>
            </w:pPr>
            <w:r>
              <w:rPr>
                <w:rFonts w:ascii="Arial" w:hAnsi="Arial" w:cs="Arial" w:eastAsia="Arial"/>
                <w:color w:val="1F2430"/>
                <w:sz w:val="18"/>
                <w:szCs w:val="18"/>
                <w:rtl/>
              </w:rPr>
              <w:t>״לא באו ההורים לידי הסכם כאמור בסעיף 24, או שבאו לידי הסכם אך ההסכם לא בוצע, רשאי בית המשפט לקבוע את הענינים האמורים בסעיף 24 כפי שייראה לו לטובת הקטין, ובלבד שילדים עד גיל 6 יהיו אצל אמם אם אין סיבות מיוחדות להורות אחרת״.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המבחן המרכזי הוא </w:t>
      </w:r>
      <w:r>
        <w:rPr>
          <w:rFonts w:ascii="Arial" w:hAnsi="Arial" w:cs="Arial" w:eastAsia="Arial"/>
          <w:b/>
          <w:bCs/>
          <w:color w:val="1F2430"/>
          <w:sz w:val="19"/>
          <w:szCs w:val="19"/>
          <w:rtl/>
        </w:rPr>
        <w:t>טובת הילד</w:t>
      </w:r>
      <w:r>
        <w:rPr>
          <w:rFonts w:ascii="Arial" w:hAnsi="Arial" w:cs="Arial" w:eastAsia="Arial"/>
          <w:color w:val="1F2430"/>
          <w:sz w:val="19"/>
          <w:szCs w:val="19"/>
          <w:rtl/>
        </w:rPr>
        <w:t xml:space="preserve">. בתוכו מעוגנת </w:t>
      </w:r>
      <w:r>
        <w:rPr>
          <w:rFonts w:ascii="Arial" w:hAnsi="Arial" w:cs="Arial" w:eastAsia="Arial"/>
          <w:b/>
          <w:bCs/>
          <w:color w:val="1F2430"/>
          <w:sz w:val="19"/>
          <w:szCs w:val="19"/>
          <w:rtl/>
        </w:rPr>
        <w:t>חזקת הגיל הרך</w:t>
      </w:r>
      <w:r>
        <w:rPr>
          <w:rFonts w:ascii="Arial" w:hAnsi="Arial" w:cs="Arial" w:eastAsia="Arial"/>
          <w:color w:val="1F2430"/>
          <w:sz w:val="19"/>
          <w:szCs w:val="19"/>
          <w:rtl/>
        </w:rPr>
        <w:t>: בהיעדר סיבות מיוחדות, ילדים עד גיל 6 יימסרו למשמורת האם.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 xml:space="preserve">זו </w:t>
      </w:r>
      <w:r>
        <w:rPr>
          <w:rFonts w:ascii="Arial" w:hAnsi="Arial" w:cs="Arial" w:eastAsia="Arial"/>
          <w:color w:val="1F2430"/>
          <w:sz w:val="19"/>
          <w:szCs w:val="19"/>
          <w:highlight w:val="yellow"/>
          <w:rtl/>
        </w:rPr>
        <w:t>חזקה ולא כלל חלוט</w:t>
      </w:r>
      <w:r>
        <w:rPr>
          <w:rFonts w:ascii="Arial" w:hAnsi="Arial" w:cs="Arial" w:eastAsia="Arial"/>
          <w:color w:val="1F2430"/>
          <w:sz w:val="19"/>
          <w:szCs w:val="19"/>
          <w:rtl/>
        </w:rPr>
        <w:t>, והיא ניתנת לסתירה ב״סיבות מיוחדות״.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 xml:space="preserve">היא רלוונטית רק </w:t>
      </w:r>
      <w:r>
        <w:rPr>
          <w:rFonts w:ascii="Arial" w:hAnsi="Arial" w:cs="Arial" w:eastAsia="Arial"/>
          <w:b/>
          <w:bCs/>
          <w:color w:val="1F2430"/>
          <w:sz w:val="19"/>
          <w:szCs w:val="19"/>
          <w:rtl/>
        </w:rPr>
        <w:t>כשאין הסכמה</w:t>
      </w:r>
      <w:r>
        <w:rPr>
          <w:rFonts w:ascii="Arial" w:hAnsi="Arial" w:cs="Arial" w:eastAsia="Arial"/>
          <w:color w:val="1F2430"/>
          <w:sz w:val="19"/>
          <w:szCs w:val="19"/>
          <w:rtl/>
        </w:rPr>
        <w:t xml:space="preserve"> בין ההורים.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היא נוגעת ל</w:t>
      </w:r>
      <w:r>
        <w:rPr>
          <w:rFonts w:ascii="Arial" w:hAnsi="Arial" w:cs="Arial" w:eastAsia="Arial"/>
          <w:b/>
          <w:bCs/>
          <w:color w:val="1F2430"/>
          <w:sz w:val="19"/>
          <w:szCs w:val="19"/>
          <w:rtl/>
        </w:rPr>
        <w:t>משמורת הפיזית</w:t>
      </w:r>
      <w:r>
        <w:rPr>
          <w:rFonts w:ascii="Arial" w:hAnsi="Arial" w:cs="Arial" w:eastAsia="Arial"/>
          <w:color w:val="1F2430"/>
          <w:sz w:val="19"/>
          <w:szCs w:val="19"/>
          <w:rtl/>
        </w:rPr>
        <w:t xml:space="preserve"> בלבד, ולא נותנת לאם עדיפות באפוטרופסות (למשל בבחירת זרם החינוך).</w:t>
      </w:r>
    </w:p>
    <w:p>
      <w:pPr>
        <w:bidi/>
        <w:spacing w:before="0" w:after="100" w:line="300" w:lineRule="auto"/>
        <w:jc w:val="both"/>
      </w:pPr>
      <w:r>
        <w:rPr>
          <w:rFonts w:ascii="Arial" w:hAnsi="Arial" w:cs="Arial" w:eastAsia="Arial"/>
          <w:b/>
          <w:bCs/>
          <w:color w:val="1F2430"/>
          <w:sz w:val="19"/>
          <w:szCs w:val="19"/>
          <w:rtl/>
        </w:rPr>
        <w:t>השפעתה מעבר לגיל 6.</w:t>
      </w:r>
      <w:r>
        <w:rPr>
          <w:rFonts w:ascii="Arial" w:hAnsi="Arial" w:cs="Arial" w:eastAsia="Arial"/>
          <w:color w:val="1F2430"/>
          <w:sz w:val="19"/>
          <w:szCs w:val="19"/>
          <w:rtl/>
        </w:rPr>
        <w:t xml:space="preserve"> בפועל החזקה משפיעה כמעט עד גיל 18. בתי המשפט נמנעים מלהפריד בין אחים, כי הילדים עוברים ממילא טלטלה, ומעדיפים שלא לשנות את רציפות המשמורת. אם יש ילד בן 3 ואחים בני 14 ו-15, הקטן נשאר אצל האם וגם הגדולים נשארים איתו. כשהקטן מגיע לגיל 6 כבר נוצר מצב קיים שבית המשפט לא ירצה לשנות. לכן גם היום ההורה המשמורן הדומיננטי הוא לרוב האם.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1858/14: האם החזקה נסוגה מפני התנהגות פסולה?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אם העבירה באופן חד-צדדי ילד בן 4 למקום מגורים רחוק, בלי לעדכן את האב. חוות דעת שלישית קבעה שלאב מסוגלות הורית טובה יותר, ובית המשפט לענייני משפחה העביר את החזקה לאב. האם ערערה בטענת חזקת הגיל הרך.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כפי שהדבר נלמד בתרגול, התנהגות האם אינה תקינה ופעולה חד-צדדית אינה נכונה, אבל אין בכך ״סיבות מיוחדות״ שמצדיקות לסתור את החזקה. הילד נשאר בחזקת האם, תוך קשר והסדרי שהות עם האב.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כל עוד הכנסת לא צמצמה את חזקת הגיל הרך, </w:t>
            </w:r>
            <w:r>
              <w:rPr>
                <w:rFonts w:ascii="Arial" w:hAnsi="Arial" w:cs="Arial" w:eastAsia="Arial"/>
                <w:color w:val="1F2430"/>
                <w:sz w:val="18"/>
                <w:szCs w:val="18"/>
                <w:highlight w:val="yellow"/>
                <w:rtl/>
              </w:rPr>
              <w:t>בית המשפט לא יכול ליצור דרך עוקפת</w:t>
            </w:r>
            <w:r>
              <w:rPr>
                <w:rFonts w:ascii="Arial" w:hAnsi="Arial" w:cs="Arial" w:eastAsia="Arial"/>
                <w:color w:val="1F2430"/>
                <w:sz w:val="18"/>
                <w:szCs w:val="18"/>
                <w:rtl/>
              </w:rPr>
              <w:t>. סתירת החזקה דורשת סיבות מיוחדות של ממש.</w:t>
            </w:r>
          </w:p>
        </w:tc>
      </w:tr>
    </w:tbl>
    <w:p>
      <w:pPr>
        <w:bidi/>
        <w:spacing w:after="0" w:before="0" w:line="120" w:lineRule="exact"/>
      </w:pPr>
      <w:r>
        <w:rPr>
          <w:sz w:val="2"/>
        </w:rPr>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משמורת פיזית משותפת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משמורת פיזית משותפת</w:t>
            </w:r>
          </w:p>
          <w:p>
            <w:pPr>
              <w:bidi/>
              <w:spacing w:before="0" w:after="60" w:line="300" w:lineRule="auto"/>
              <w:jc w:val="both"/>
            </w:pPr>
            <w:r>
              <w:rPr>
                <w:rFonts w:ascii="Arial" w:hAnsi="Arial" w:cs="Arial" w:eastAsia="Arial"/>
                <w:color w:val="1F2430"/>
                <w:sz w:val="18"/>
                <w:szCs w:val="18"/>
                <w:rtl/>
              </w:rPr>
              <w:t xml:space="preserve">חלוקה משמעותית ושווה של זמני השהות, למשל 7 לילות מתוך 14 או 15 מתוך 30. בתרגול הודגש שהמהות היא </w:t>
            </w:r>
            <w:r>
              <w:rPr>
                <w:rFonts w:ascii="Arial" w:hAnsi="Arial" w:cs="Arial" w:eastAsia="Arial"/>
                <w:b/>
                <w:bCs/>
                <w:color w:val="1F2430"/>
                <w:sz w:val="18"/>
                <w:szCs w:val="18"/>
                <w:rtl/>
              </w:rPr>
              <w:t>אחריות משותפת</w:t>
            </w:r>
            <w:r>
              <w:rPr>
                <w:rFonts w:ascii="Arial" w:hAnsi="Arial" w:cs="Arial" w:eastAsia="Arial"/>
                <w:color w:val="1F2430"/>
                <w:sz w:val="18"/>
                <w:szCs w:val="18"/>
                <w:rtl/>
              </w:rPr>
              <w:t>, וגם חלוקת זמן שאינה סימטרית לגמרי יכולה להיחשב משמורת משותפת.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משמורת משותפת לא מתאימה לכל מקרה. בית המשפט נעזר בחוות דעת מומחים ובוחן שיקולים שאינם תנאים מצטברים: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b/>
          <w:bCs/>
          <w:color w:val="1F2430"/>
          <w:sz w:val="19"/>
          <w:szCs w:val="19"/>
          <w:rtl/>
        </w:rPr>
        <w:t>מסוגלות הורית</w:t>
      </w:r>
      <w:r>
        <w:rPr>
          <w:rFonts w:ascii="Arial" w:hAnsi="Arial" w:cs="Arial" w:eastAsia="Arial"/>
          <w:color w:val="1F2430"/>
          <w:sz w:val="19"/>
          <w:szCs w:val="19"/>
          <w:rtl/>
        </w:rPr>
        <w:t>: סביבה יציבה רגשית, כלכלית וחברתית.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b/>
          <w:bCs/>
          <w:color w:val="1F2430"/>
          <w:sz w:val="19"/>
          <w:szCs w:val="19"/>
          <w:rtl/>
        </w:rPr>
        <w:t>שיתוף פעולה ותקשורת</w:t>
      </w:r>
      <w:r>
        <w:rPr>
          <w:rFonts w:ascii="Arial" w:hAnsi="Arial" w:cs="Arial" w:eastAsia="Arial"/>
          <w:color w:val="1F2430"/>
          <w:sz w:val="19"/>
          <w:szCs w:val="19"/>
          <w:rtl/>
        </w:rPr>
        <w:t xml:space="preserve"> בין ההורים (בוחנים את הפוטנציאל).</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3. </w:t>
      </w:r>
      <w:r>
        <w:tab/>
      </w:r>
      <w:r>
        <w:rPr>
          <w:rFonts w:ascii="Arial" w:hAnsi="Arial" w:cs="Arial" w:eastAsia="Arial"/>
          <w:b/>
          <w:bCs/>
          <w:color w:val="1F2430"/>
          <w:sz w:val="19"/>
          <w:szCs w:val="19"/>
          <w:rtl/>
        </w:rPr>
        <w:t>רצון הילד</w:t>
      </w:r>
      <w:r>
        <w:rPr>
          <w:rFonts w:ascii="Arial" w:hAnsi="Arial" w:cs="Arial" w:eastAsia="Arial"/>
          <w:color w:val="1F2430"/>
          <w:sz w:val="19"/>
          <w:szCs w:val="19"/>
          <w:rtl/>
        </w:rPr>
        <w:t>: פרמטר ולא שיקול מכריע, כי רצונו לא זהה בהכרח לטובתו.</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4. </w:t>
      </w:r>
      <w:r>
        <w:tab/>
      </w:r>
      <w:r>
        <w:rPr>
          <w:rFonts w:ascii="Arial" w:hAnsi="Arial" w:cs="Arial" w:eastAsia="Arial"/>
          <w:b/>
          <w:bCs/>
          <w:color w:val="1F2430"/>
          <w:sz w:val="19"/>
          <w:szCs w:val="19"/>
          <w:rtl/>
        </w:rPr>
        <w:t>מעורבות</w:t>
      </w:r>
      <w:r>
        <w:rPr>
          <w:rFonts w:ascii="Arial" w:hAnsi="Arial" w:cs="Arial" w:eastAsia="Arial"/>
          <w:color w:val="1F2430"/>
          <w:sz w:val="19"/>
          <w:szCs w:val="19"/>
          <w:rtl/>
        </w:rPr>
        <w:t xml:space="preserve"> שני ההורים בחיי הילד.</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5. </w:t>
      </w:r>
      <w:r>
        <w:tab/>
      </w:r>
      <w:r>
        <w:rPr>
          <w:rFonts w:ascii="Arial" w:hAnsi="Arial" w:cs="Arial" w:eastAsia="Arial"/>
          <w:b/>
          <w:bCs/>
          <w:color w:val="1F2430"/>
          <w:sz w:val="19"/>
          <w:szCs w:val="19"/>
          <w:rtl/>
        </w:rPr>
        <w:t>קשר טוב ותקין</w:t>
      </w:r>
      <w:r>
        <w:rPr>
          <w:rFonts w:ascii="Arial" w:hAnsi="Arial" w:cs="Arial" w:eastAsia="Arial"/>
          <w:color w:val="1F2430"/>
          <w:sz w:val="19"/>
          <w:szCs w:val="19"/>
          <w:rtl/>
        </w:rPr>
        <w:t xml:space="preserve"> בין כל הורה לילד.</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6. </w:t>
      </w:r>
      <w:r>
        <w:tab/>
      </w:r>
      <w:r>
        <w:rPr>
          <w:rFonts w:ascii="Arial" w:hAnsi="Arial" w:cs="Arial" w:eastAsia="Arial"/>
          <w:b/>
          <w:bCs/>
          <w:color w:val="1F2430"/>
          <w:sz w:val="19"/>
          <w:szCs w:val="19"/>
          <w:rtl/>
        </w:rPr>
        <w:t>מגורים בסמיכות</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סרבנות קשר מול ניכור הורי</w:t>
            </w:r>
          </w:p>
          <w:p>
            <w:pPr>
              <w:bidi/>
              <w:spacing w:before="0" w:after="60" w:line="300" w:lineRule="auto"/>
              <w:jc w:val="both"/>
            </w:pPr>
            <w:r>
              <w:rPr>
                <w:rFonts w:ascii="Arial" w:hAnsi="Arial" w:cs="Arial" w:eastAsia="Arial"/>
                <w:b/>
                <w:bCs/>
                <w:color w:val="1F2430"/>
                <w:sz w:val="18"/>
                <w:szCs w:val="18"/>
                <w:rtl/>
              </w:rPr>
              <w:t>סרבנות קשר</w:t>
            </w:r>
            <w:r>
              <w:rPr>
                <w:rFonts w:ascii="Arial" w:hAnsi="Arial" w:cs="Arial" w:eastAsia="Arial"/>
                <w:color w:val="1F2430"/>
                <w:sz w:val="18"/>
                <w:szCs w:val="18"/>
                <w:rtl/>
              </w:rPr>
              <w:t xml:space="preserve">: הילד מסרב לקשר בגלל סיבה ממשית (התעללות, אלימות, הזנחה). </w:t>
            </w:r>
            <w:r>
              <w:rPr>
                <w:rFonts w:ascii="Arial" w:hAnsi="Arial" w:cs="Arial" w:eastAsia="Arial"/>
                <w:b/>
                <w:bCs/>
                <w:color w:val="1F2430"/>
                <w:sz w:val="18"/>
                <w:szCs w:val="18"/>
                <w:rtl/>
              </w:rPr>
              <w:t>ניכור הורי</w:t>
            </w:r>
            <w:r>
              <w:rPr>
                <w:rFonts w:ascii="Arial" w:hAnsi="Arial" w:cs="Arial" w:eastAsia="Arial"/>
                <w:color w:val="1F2430"/>
                <w:sz w:val="18"/>
                <w:szCs w:val="18"/>
                <w:rtl/>
              </w:rPr>
              <w:t>: הסירוב נובע מהסתה של ההורה המחזיק. דרכי הטיפול: (1) השארת המצב, שנותנת לגיטימציה למסית; (2) סנקציות על ההורה המנכר, כמו בסרבנות גט, שיעילות בניכור קל עד בינוני; (3) ״נשק יום הדין״: העברת הילד להורה המנוכר או לצד ג׳, גם בהכרזה עליו כנזקק לפי חוק הנוער (טיפול והשגחה).</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10.6 ועדת שניט וועדת שיפמן</w:t>
      </w:r>
    </w:p>
    <w:p>
      <w:pPr>
        <w:bidi/>
        <w:spacing w:before="0" w:after="100" w:line="300" w:lineRule="auto"/>
        <w:jc w:val="both"/>
      </w:pPr>
      <w:r>
        <w:rPr>
          <w:rFonts w:ascii="Arial" w:hAnsi="Arial" w:cs="Arial" w:eastAsia="Arial"/>
          <w:color w:val="1F2430"/>
          <w:sz w:val="19"/>
          <w:szCs w:val="19"/>
          <w:rtl/>
        </w:rPr>
        <w:t>בעקבות הצטרפות ישראל ל</w:t>
      </w:r>
      <w:r>
        <w:rPr>
          <w:rFonts w:ascii="Arial" w:hAnsi="Arial" w:cs="Arial" w:eastAsia="Arial"/>
          <w:b/>
          <w:bCs/>
          <w:color w:val="1F2430"/>
          <w:sz w:val="19"/>
          <w:szCs w:val="19"/>
          <w:rtl/>
        </w:rPr>
        <w:t>אמנת האו״ם בדבר זכויות הילד (1989)</w:t>
      </w:r>
      <w:r>
        <w:rPr>
          <w:rFonts w:ascii="Arial" w:hAnsi="Arial" w:cs="Arial" w:eastAsia="Arial"/>
          <w:color w:val="1F2430"/>
          <w:sz w:val="19"/>
          <w:szCs w:val="19"/>
          <w:rtl/>
        </w:rPr>
        <w:t xml:space="preserve"> הוקמו ועדות לבחינת מעמד הילד במשפט. ועדת רוטלוי, למשל, קידמה את שמיעת הילד. שתי ועדות חשובות במיוחד לפרק:</w:t>
      </w:r>
    </w:p>
    <w:tbl>
      <w:tblPr>
        <w:tblW w:type="dxa" w:w="10206"/>
        <w:jc w:val="center"/>
        <w:tblLook w:firstColumn="1" w:firstRow="1" w:lastColumn="0" w:lastRow="0" w:noHBand="0" w:noVBand="1" w:val="04A0"/>
        <w:bidiVisual/>
        <w:tblLayout w:type="fixed"/>
      </w:tblPr>
      <w:tblGrid>
        <w:gridCol w:w="1224"/>
        <w:gridCol w:w="4490"/>
        <w:gridCol w:w="4490"/>
      </w:tblGrid>
      <w:tr>
        <w:trPr>
          <w:tblHeader/>
        </w:trPr>
        <w:tc>
          <w:tcPr>
            <w:tcW w:type="dxa" w:w="122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p>
        </w:tc>
        <w:tc>
          <w:tcPr>
            <w:tcW w:type="dxa" w:w="4490"/>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ועדת שניט (2010)</w:t>
            </w:r>
          </w:p>
        </w:tc>
        <w:tc>
          <w:tcPr>
            <w:tcW w:type="dxa" w:w="4490"/>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ועדת שיפמן (2012)</w:t>
            </w:r>
          </w:p>
        </w:tc>
      </w:tr>
      <w:tr>
        <w:trPr>
          <w:cantSplit/>
        </w:trPr>
        <w:tc>
          <w:tcPr>
            <w:tcW w:type="dxa" w:w="12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בראשה</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פרופ׳ שניט, פרופסור לעבודה סוציאלית</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פרופ׳ שיפמן, פרופסור למשפטים</w:t>
            </w:r>
          </w:p>
        </w:tc>
      </w:tr>
      <w:tr>
        <w:trPr>
          <w:cantSplit/>
        </w:trPr>
        <w:tc>
          <w:tcPr>
            <w:tcW w:type="dxa" w:w="12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נושא</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מקומה של חזקת הגיל הרך</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מזונות ילדים</w:t>
            </w:r>
          </w:p>
        </w:tc>
      </w:tr>
      <w:tr>
        <w:trPr>
          <w:cantSplit/>
        </w:trPr>
        <w:tc>
          <w:tcPr>
            <w:tcW w:type="dxa" w:w="12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המלצה</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לבטל את חזקת הגיל הרך</w:t>
            </w:r>
            <w:r>
              <w:rPr>
                <w:rFonts w:ascii="Arial" w:hAnsi="Arial" w:cs="Arial" w:eastAsia="Arial"/>
                <w:color w:val="1F2430"/>
                <w:sz w:val="17"/>
                <w:szCs w:val="17"/>
                <w:rtl/>
              </w:rPr>
              <w:t>: בוחנים כל מקרה לגופו (מי טיפל בילד, מי היה מעורב, מי לקח אחריות)</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לבטל את התלות בדין האישי</w:t>
            </w:r>
            <w:r>
              <w:rPr>
                <w:rFonts w:ascii="Arial" w:hAnsi="Arial" w:cs="Arial" w:eastAsia="Arial"/>
                <w:color w:val="1F2430"/>
                <w:sz w:val="17"/>
                <w:szCs w:val="17"/>
                <w:rtl/>
              </w:rPr>
              <w:t>: דין מזונות אזרחי אחיד לכל הדתות, לפי הכנסות ההורים, זמני ההורות וצורכי הילד, עם מערכת מנהלית ונוסחאות אחידות</w:t>
            </w:r>
          </w:p>
        </w:tc>
      </w:tr>
      <w:tr>
        <w:trPr>
          <w:cantSplit/>
        </w:trPr>
        <w:tc>
          <w:tcPr>
            <w:tcW w:type="dxa" w:w="12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מעמד</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לא הפכה לחוק, יש הצעות חוק. ארגוני הנשים מתנגדים</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לא התקבלה בחקיקה, יש כמה הצעות חוק</w:t>
            </w:r>
          </w:p>
        </w:tc>
      </w:tr>
      <w:tr>
        <w:trPr>
          <w:cantSplit/>
        </w:trPr>
        <w:tc>
          <w:tcPr>
            <w:tcW w:type="dxa" w:w="12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השפעה</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החזקה עדיין בחוק, אבל נחלשה מאוד בפועל</w:t>
            </w:r>
          </w:p>
        </w:tc>
        <w:tc>
          <w:tcPr>
            <w:tcW w:type="dxa" w:w="449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השפיעה על הפסיקה ושימשה בסיס ל-919/15</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דוח הביניים של ועדת שניט (2010)</w:t>
            </w:r>
          </w:p>
          <w:p>
            <w:pPr>
              <w:bidi/>
              <w:spacing w:before="0" w:after="60" w:line="300" w:lineRule="auto"/>
              <w:jc w:val="both"/>
            </w:pPr>
            <w:r>
              <w:rPr>
                <w:rFonts w:ascii="Arial" w:hAnsi="Arial" w:cs="Arial" w:eastAsia="Arial"/>
                <w:color w:val="1F2430"/>
                <w:sz w:val="18"/>
                <w:szCs w:val="18"/>
                <w:rtl/>
              </w:rPr>
              <w:t>״אין עוד מקום לכללים הנוהגים בחוק הכשרות המבססים את הקשר ההורי במקרה פירוד על חזקה הקובעת אפריורית את זהות ההורה ׳המשמורן׳ וההורה שיזכה להסדרי קשר וראייה בלבד״.</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דוח ועדת שיפמן (2012)</w:t>
            </w:r>
          </w:p>
          <w:p>
            <w:pPr>
              <w:bidi/>
              <w:spacing w:before="0" w:after="60" w:line="300" w:lineRule="auto"/>
              <w:jc w:val="both"/>
            </w:pPr>
            <w:r>
              <w:rPr>
                <w:rFonts w:ascii="Arial" w:hAnsi="Arial" w:cs="Arial" w:eastAsia="Arial"/>
                <w:color w:val="1F2430"/>
                <w:sz w:val="18"/>
                <w:szCs w:val="18"/>
                <w:rtl/>
              </w:rPr>
              <w:t>״בצד אחריותם המשותפת של ההורים לתמיכה כלכלית בילד, חלוקת החיובים ביניהם צריכה להיעשות על בסיס רמת הכנסתם היחסית ועל פי היקף הטיפול של כל אחד מהם בילד (ימי הורות)״.</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הרקע לשינוי.</w:t>
      </w:r>
      <w:r>
        <w:rPr>
          <w:rFonts w:ascii="Arial" w:hAnsi="Arial" w:cs="Arial" w:eastAsia="Arial"/>
          <w:color w:val="1F2430"/>
          <w:sz w:val="19"/>
          <w:szCs w:val="19"/>
          <w:rtl/>
        </w:rPr>
        <w:t xml:space="preserve"> בפרשת בבלי (1994) הרכוש התחלק חצי-חצי, אבל המזונות נשארו לפי הדין האישי, שהטיל אותם על האב כשהרכוש היה בידיו. החלוקה הישנה גם התאימה למצב שבו האם הייתה משמורנית בלעדית. כשהתרחבה המשמורת המשותפת, האב החזיק בית לילדים ובכל זאת שילם מזונות מלאים, וכך נוצרה ביקורת קשה.</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10.7 בע״מ 919/15: המהפכה של 2017</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919/15 (יולי 2017)</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בתי המשפט לענייני משפחה והמחוזיים פיתחו גישות סותרות בשאלת שיתוף האם. הנושא הגיע לעליון בהרכב של </w:t>
            </w:r>
            <w:r>
              <w:rPr>
                <w:rFonts w:ascii="Arial" w:hAnsi="Arial" w:cs="Arial" w:eastAsia="Arial"/>
                <w:b/>
                <w:bCs/>
                <w:color w:val="1F2430"/>
                <w:sz w:val="18"/>
                <w:szCs w:val="18"/>
                <w:rtl/>
              </w:rPr>
              <w:t>שבעה שופטים</w:t>
            </w:r>
            <w:r>
              <w:rPr>
                <w:rFonts w:ascii="Arial" w:hAnsi="Arial" w:cs="Arial" w:eastAsia="Arial"/>
                <w:color w:val="1F2430"/>
                <w:sz w:val="18"/>
                <w:szCs w:val="18"/>
                <w:rtl/>
              </w:rPr>
              <w:t xml:space="preserve">, וההכרעה העקרונית התקבלה </w:t>
            </w:r>
            <w:r>
              <w:rPr>
                <w:rFonts w:ascii="Arial" w:hAnsi="Arial" w:cs="Arial" w:eastAsia="Arial"/>
                <w:b/>
                <w:bCs/>
                <w:color w:val="1F2430"/>
                <w:sz w:val="18"/>
                <w:szCs w:val="18"/>
                <w:rtl/>
              </w:rPr>
              <w:t>פה אחד</w:t>
            </w:r>
            <w:r>
              <w:rPr>
                <w:rFonts w:ascii="Arial" w:hAnsi="Arial" w:cs="Arial" w:eastAsia="Arial"/>
                <w:color w:val="1F2430"/>
                <w:sz w:val="18"/>
                <w:szCs w:val="18"/>
                <w:rtl/>
              </w:rPr>
              <w:t xml:space="preserve">. </w:t>
            </w:r>
            <w:r>
              <w:rPr>
                <w:rFonts w:ascii="Arial" w:hAnsi="Arial" w:cs="Arial" w:eastAsia="Arial"/>
                <w:b/>
                <w:bCs/>
                <w:color w:val="1F2430"/>
                <w:sz w:val="18"/>
                <w:szCs w:val="18"/>
                <w:rtl/>
              </w:rPr>
              <w:t>הלכה (השופט פוגלמן):</w:t>
            </w:r>
            <w:r>
              <w:rPr>
                <w:rFonts w:ascii="Arial" w:hAnsi="Arial" w:cs="Arial" w:eastAsia="Arial"/>
                <w:color w:val="1F2430"/>
                <w:sz w:val="18"/>
                <w:szCs w:val="18"/>
                <w:rtl/>
              </w:rPr>
              <w:t xml:space="preserve"> בגילאי </w:t>
            </w:r>
            <w:r>
              <w:rPr>
                <w:rFonts w:ascii="Arial" w:hAnsi="Arial" w:cs="Arial" w:eastAsia="Arial"/>
                <w:color w:val="1F2430"/>
                <w:sz w:val="18"/>
                <w:szCs w:val="18"/>
                <w:highlight w:val="yellow"/>
                <w:rtl/>
              </w:rPr>
              <w:t>6–15 שני ההורים חבים באופן שווה במזונות ילדיהם מדין צדקה</w:t>
            </w:r>
            <w:r>
              <w:rPr>
                <w:rFonts w:ascii="Arial" w:hAnsi="Arial" w:cs="Arial" w:eastAsia="Arial"/>
                <w:color w:val="1F2430"/>
                <w:sz w:val="18"/>
                <w:szCs w:val="18"/>
                <w:rtl/>
              </w:rPr>
              <w:t xml:space="preserve">. החלוקה ביניהם נקבעת לפי </w:t>
            </w:r>
            <w:r>
              <w:rPr>
                <w:rFonts w:ascii="Arial" w:hAnsi="Arial" w:cs="Arial" w:eastAsia="Arial"/>
                <w:b/>
                <w:bCs/>
                <w:color w:val="1F2430"/>
                <w:sz w:val="18"/>
                <w:szCs w:val="18"/>
                <w:rtl/>
              </w:rPr>
              <w:t>יכולותיהם הכלכליות היחסיות</w:t>
            </w:r>
            <w:r>
              <w:rPr>
                <w:rFonts w:ascii="Arial" w:hAnsi="Arial" w:cs="Arial" w:eastAsia="Arial"/>
                <w:color w:val="1F2430"/>
                <w:sz w:val="18"/>
                <w:szCs w:val="18"/>
                <w:rtl/>
              </w:rPr>
              <w:t xml:space="preserve"> מכלל המקורות שעומדים לרשותם, לרבות שכר עבודה, ובהתחשב ב</w:t>
            </w:r>
            <w:r>
              <w:rPr>
                <w:rFonts w:ascii="Arial" w:hAnsi="Arial" w:cs="Arial" w:eastAsia="Arial"/>
                <w:b/>
                <w:bCs/>
                <w:color w:val="1F2430"/>
                <w:sz w:val="18"/>
                <w:szCs w:val="18"/>
                <w:rtl/>
              </w:rPr>
              <w:t>חלוקת המשמורת הפיזית בפועל</w:t>
            </w:r>
            <w:r>
              <w:rPr>
                <w:rFonts w:ascii="Arial" w:hAnsi="Arial" w:cs="Arial" w:eastAsia="Arial"/>
                <w:color w:val="1F2430"/>
                <w:sz w:val="18"/>
                <w:szCs w:val="18"/>
                <w:rtl/>
              </w:rPr>
              <w:t xml:space="preserve">. במשמורת משותפת חיובו של האב יופחת, ואם ההורים שקולים כלכלית, ייתכן שכל הורה יישא במזונות כשהילד אצלו, בלי העברת תשלומים. </w:t>
            </w:r>
            <w:r>
              <w:rPr>
                <w:rFonts w:ascii="Arial" w:hAnsi="Arial" w:cs="Arial" w:eastAsia="Arial"/>
                <w:b/>
                <w:bCs/>
                <w:color w:val="1F2430"/>
                <w:sz w:val="18"/>
                <w:szCs w:val="18"/>
                <w:rtl/>
              </w:rPr>
              <w:t>הלכה (השופטת ברק-ארז, בהסכמת יתר השופטים):</w:t>
            </w:r>
            <w:r>
              <w:rPr>
                <w:rFonts w:ascii="Arial" w:hAnsi="Arial" w:cs="Arial" w:eastAsia="Arial"/>
                <w:color w:val="1F2430"/>
                <w:sz w:val="18"/>
                <w:szCs w:val="18"/>
                <w:rtl/>
              </w:rPr>
              <w:t xml:space="preserve"> בגלל חוסר אמון ובעיות בשיתוף פעולה בין הורים גרושים </w:t>
            </w:r>
            <w:r>
              <w:rPr>
                <w:rFonts w:ascii="Arial" w:hAnsi="Arial" w:cs="Arial" w:eastAsia="Arial"/>
                <w:color w:val="1F2430"/>
                <w:sz w:val="18"/>
                <w:szCs w:val="18"/>
                <w:highlight w:val="yellow"/>
                <w:rtl/>
              </w:rPr>
              <w:t>נדרשים כללים ברורים</w:t>
            </w:r>
            <w:r>
              <w:rPr>
                <w:rFonts w:ascii="Arial" w:hAnsi="Arial" w:cs="Arial" w:eastAsia="Arial"/>
                <w:color w:val="1F2430"/>
                <w:sz w:val="18"/>
                <w:szCs w:val="18"/>
                <w:rtl/>
              </w:rPr>
              <w:t xml:space="preserve">. ההנחה שההורים יתקזזו בעין לבדם אינה מציאותית.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לראשונה נקבע בבירור שמגיל 6 </w:t>
            </w:r>
            <w:r>
              <w:rPr>
                <w:rFonts w:ascii="Arial" w:hAnsi="Arial" w:cs="Arial" w:eastAsia="Arial"/>
                <w:color w:val="1F2430"/>
                <w:sz w:val="18"/>
                <w:szCs w:val="18"/>
                <w:highlight w:val="yellow"/>
                <w:rtl/>
              </w:rPr>
              <w:t>האם משתתפת מהשקל הראשון</w:t>
            </w:r>
            <w:r>
              <w:rPr>
                <w:rFonts w:ascii="Arial" w:hAnsi="Arial" w:cs="Arial" w:eastAsia="Arial"/>
                <w:color w:val="1F2430"/>
                <w:sz w:val="18"/>
                <w:szCs w:val="18"/>
                <w:rtl/>
              </w:rPr>
              <w:t xml:space="preserve"> לפי יכולתה. אם היא מרוויחה יותר, ייתכן שהיא תשלם לאב.</w:t>
            </w:r>
          </w:p>
        </w:tc>
      </w:tr>
    </w:tbl>
    <w:p>
      <w:pPr>
        <w:bidi/>
        <w:spacing w:after="0" w:before="0" w:line="120" w:lineRule="exact"/>
      </w:pPr>
      <w:r>
        <w:rPr>
          <w:sz w:val="2"/>
        </w:rPr>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שלושה סוגי הוצאות לפי ברק-ארז</w:t>
      </w:r>
    </w:p>
    <w:tbl>
      <w:tblPr>
        <w:tblW w:type="dxa" w:w="10206"/>
        <w:jc w:val="center"/>
        <w:tblLook w:firstColumn="1" w:firstRow="1" w:lastColumn="0" w:lastRow="0" w:noHBand="0" w:noVBand="1" w:val="04A0"/>
        <w:bidiVisual/>
        <w:tblLayout w:type="fixed"/>
      </w:tblPr>
      <w:tblGrid>
        <w:gridCol w:w="2806"/>
        <w:gridCol w:w="3827"/>
        <w:gridCol w:w="3572"/>
      </w:tblGrid>
      <w:tr>
        <w:trPr>
          <w:tblHeader/>
        </w:trPr>
        <w:tc>
          <w:tcPr>
            <w:tcW w:type="dxa" w:w="2806"/>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w:t>
            </w:r>
          </w:p>
        </w:tc>
        <w:tc>
          <w:tcPr>
            <w:tcW w:type="dxa" w:w="3827"/>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דוגמאות</w:t>
            </w:r>
          </w:p>
        </w:tc>
        <w:tc>
          <w:tcPr>
            <w:tcW w:type="dxa" w:w="3572"/>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מנגנון</w:t>
            </w:r>
          </w:p>
        </w:tc>
      </w:tr>
      <w:tr>
        <w:trPr>
          <w:cantSplit/>
        </w:trPr>
        <w:tc>
          <w:tcPr>
            <w:tcW w:type="dxa" w:w="2806"/>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 xml:space="preserve">הוצאות </w:t>
            </w:r>
            <w:r>
              <w:rPr>
                <w:rFonts w:ascii="Arial" w:hAnsi="Arial" w:cs="Arial" w:eastAsia="Arial"/>
                <w:b/>
                <w:bCs/>
                <w:color w:val="1F2430"/>
                <w:sz w:val="17"/>
                <w:szCs w:val="17"/>
                <w:highlight w:val="yellow"/>
                <w:rtl/>
              </w:rPr>
              <w:t>תלויות שהות</w:t>
            </w:r>
            <w:r>
              <w:rPr>
                <w:rFonts w:ascii="Arial" w:hAnsi="Arial" w:cs="Arial" w:eastAsia="Arial"/>
                <w:b/>
                <w:bCs/>
                <w:color w:val="1F2430"/>
                <w:sz w:val="17"/>
                <w:szCs w:val="17"/>
                <w:rtl/>
              </w:rPr>
              <w:t xml:space="preserve"> (קיום שוטף)</w:t>
            </w:r>
          </w:p>
        </w:tc>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מזון, מים, חשמל, הסעות, בילויים שגרתיים, וכן מדור</w:t>
            </w:r>
          </w:p>
        </w:tc>
        <w:tc>
          <w:tcPr>
            <w:tcW w:type="dxa" w:w="357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הורה נושא בהן כשהילד אצלו, והן ״מתקזזות בעין״</w:t>
            </w:r>
          </w:p>
        </w:tc>
      </w:tr>
      <w:tr>
        <w:trPr>
          <w:cantSplit/>
        </w:trPr>
        <w:tc>
          <w:tcPr>
            <w:tcW w:type="dxa" w:w="2806"/>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 xml:space="preserve">הוצאות </w:t>
            </w:r>
            <w:r>
              <w:rPr>
                <w:rFonts w:ascii="Arial" w:hAnsi="Arial" w:cs="Arial" w:eastAsia="Arial"/>
                <w:b/>
                <w:bCs/>
                <w:color w:val="1F2430"/>
                <w:sz w:val="17"/>
                <w:szCs w:val="17"/>
                <w:highlight w:val="yellow"/>
                <w:rtl/>
              </w:rPr>
              <w:t>שאינן תלויות שהות</w:t>
            </w:r>
            <w:r>
              <w:rPr>
                <w:rFonts w:ascii="Arial" w:hAnsi="Arial" w:cs="Arial" w:eastAsia="Arial"/>
                <w:b/>
                <w:bCs/>
                <w:color w:val="1F2430"/>
                <w:sz w:val="17"/>
                <w:szCs w:val="17"/>
                <w:rtl/>
              </w:rPr>
              <w:t xml:space="preserve"> (״צרכים אחרים״)</w:t>
            </w:r>
          </w:p>
        </w:tc>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ביגוד, נעליים, ספרים, ציוד, חוגים, טלפון, תספורת, מתנות, טיפול רפואי לא צפוי</w:t>
            </w:r>
          </w:p>
        </w:tc>
        <w:tc>
          <w:tcPr>
            <w:tcW w:type="dxa" w:w="357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הורה מרכז</w:t>
            </w:r>
            <w:r>
              <w:rPr>
                <w:rFonts w:ascii="Arial" w:hAnsi="Arial" w:cs="Arial" w:eastAsia="Arial"/>
                <w:color w:val="1F2430"/>
                <w:sz w:val="17"/>
                <w:szCs w:val="17"/>
                <w:rtl/>
              </w:rPr>
              <w:t xml:space="preserve"> שמנהל אותן, וכל הורה משתתף לפי יחס היכולות</w:t>
            </w:r>
          </w:p>
        </w:tc>
      </w:tr>
      <w:tr>
        <w:trPr>
          <w:cantSplit/>
        </w:trPr>
        <w:tc>
          <w:tcPr>
            <w:tcW w:type="dxa" w:w="2806"/>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הוצאות חריגות</w:t>
            </w:r>
          </w:p>
        </w:tc>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טיפול רפואי מיוחד, טיפול שיניים חריג, הוצאה חינוכית מיוחדת</w:t>
            </w:r>
          </w:p>
        </w:tc>
        <w:tc>
          <w:tcPr>
            <w:tcW w:type="dxa" w:w="357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חלוקה לפי כושר ההשתכרות ובמנגנון שבית המשפט קובע</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ההורה המרכז</w:t>
      </w:r>
      <w:r>
        <w:rPr>
          <w:rFonts w:ascii="Arial" w:hAnsi="Arial" w:cs="Arial" w:eastAsia="Arial"/>
          <w:color w:val="1F2430"/>
          <w:sz w:val="19"/>
          <w:szCs w:val="19"/>
          <w:rtl/>
        </w:rPr>
        <w:t xml:space="preserve"> לא בהכרח משלם יותר. הוא </w:t>
      </w:r>
      <w:r>
        <w:rPr>
          <w:rFonts w:ascii="Arial" w:hAnsi="Arial" w:cs="Arial" w:eastAsia="Arial"/>
          <w:b/>
          <w:bCs/>
          <w:color w:val="1F2430"/>
          <w:sz w:val="19"/>
          <w:szCs w:val="19"/>
          <w:rtl/>
        </w:rPr>
        <w:t>מנהל</w:t>
      </w:r>
      <w:r>
        <w:rPr>
          <w:rFonts w:ascii="Arial" w:hAnsi="Arial" w:cs="Arial" w:eastAsia="Arial"/>
          <w:color w:val="1F2430"/>
          <w:sz w:val="19"/>
          <w:szCs w:val="19"/>
          <w:rtl/>
        </w:rPr>
        <w:t xml:space="preserve"> את ההוצאות שאינן תלויות שהות, כדי שהילד לא ״ייקרע״ בין ההורים. מנגנונים אפשריים: </w:t>
      </w:r>
      <w:r>
        <w:rPr>
          <w:rFonts w:ascii="Arial" w:hAnsi="Arial" w:cs="Arial" w:eastAsia="Arial"/>
          <w:b/>
          <w:bCs/>
          <w:color w:val="1F2430"/>
          <w:sz w:val="19"/>
          <w:szCs w:val="19"/>
          <w:rtl/>
        </w:rPr>
        <w:t>חשבון בנק משותף</w:t>
      </w:r>
      <w:r>
        <w:rPr>
          <w:rFonts w:ascii="Arial" w:hAnsi="Arial" w:cs="Arial" w:eastAsia="Arial"/>
          <w:color w:val="1F2430"/>
          <w:sz w:val="19"/>
          <w:szCs w:val="19"/>
          <w:rtl/>
        </w:rPr>
        <w:t xml:space="preserve"> ששני ההורים מפקידים אליו לפי יחס ההכנסות, או הודעה של ההורה המרכז על כל הוצאה וחלוקתה לפי היחס. דוגמה: יחס 40% אב ו-60% אם, והוצאה של 1,000 ₪: האב מעביר 400 ₪ והאם 600 ₪.</w:t>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סיכום 919/15 לפי גילאים</w:t>
      </w:r>
    </w:p>
    <w:tbl>
      <w:tblPr>
        <w:tblW w:type="dxa" w:w="10206"/>
        <w:jc w:val="center"/>
        <w:tblLook w:firstColumn="1" w:firstRow="1" w:lastColumn="0" w:lastRow="0" w:noHBand="0" w:noVBand="1" w:val="04A0"/>
        <w:bidiVisual/>
        <w:tblLayout w:type="fixed"/>
      </w:tblPr>
      <w:tblGrid>
        <w:gridCol w:w="1291"/>
        <w:gridCol w:w="8914"/>
      </w:tblGrid>
      <w:tr>
        <w:trPr>
          <w:tblHeader/>
        </w:trPr>
        <w:tc>
          <w:tcPr>
            <w:tcW w:type="dxa" w:w="1291"/>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גיל</w:t>
            </w:r>
          </w:p>
        </w:tc>
        <w:tc>
          <w:tcPr>
            <w:tcW w:type="dxa" w:w="891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נקבע</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0–6</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העיקרון לא שונה: המזונות ההכרחיים על האב לפי הדין האישי, ומעבר להכרחי מדין צדקה. השינוי: מקזזים את מה שהאב מוציא ישירות כשהילד אצלו</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6–15</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השינוי הגדול: דין צדקה, ושני ההורים לפי היכולת היחסית וזמני השהות</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15–18</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צדקה. לפי מה שנלמד בקורס, עקרונות היחסיות חלים גם כאן</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18+</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בשירות צבאי או לאומי נהוג להפחית לשליש</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עמ״ש (ת״א) 38647-09-17 פלוני נ׳ פלונית (6.1.2019)</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ההלכה החדשה </w:t>
            </w:r>
            <w:r>
              <w:rPr>
                <w:rFonts w:ascii="Arial" w:hAnsi="Arial" w:cs="Arial" w:eastAsia="Arial"/>
                <w:color w:val="1F2430"/>
                <w:sz w:val="18"/>
                <w:szCs w:val="18"/>
                <w:highlight w:val="yellow"/>
                <w:rtl/>
              </w:rPr>
              <w:t>אינה מצומצמת למשמורת משותפת</w:t>
            </w:r>
            <w:r>
              <w:rPr>
                <w:rFonts w:ascii="Arial" w:hAnsi="Arial" w:cs="Arial" w:eastAsia="Arial"/>
                <w:color w:val="1F2430"/>
                <w:sz w:val="18"/>
                <w:szCs w:val="18"/>
                <w:rtl/>
              </w:rPr>
              <w:t xml:space="preserve"> או להכנסות שוות, כפי שטענו ארגוני הנשים. בפועל בוטל ״המוסד״ של מזונות הכרחיים מגיל 6. חיוב האב והאם זהה, ואין חיוב יתר על האב מדין צדקה.</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10.8 יישום: איך מחשבים מזונות אחרי 919/15</w:t>
      </w:r>
    </w:p>
    <w:p>
      <w:pPr>
        <w:bidi/>
        <w:spacing w:before="0" w:after="100" w:line="300" w:lineRule="auto"/>
        <w:jc w:val="both"/>
      </w:pPr>
      <w:r>
        <w:rPr>
          <w:rFonts w:ascii="Arial" w:hAnsi="Arial" w:cs="Arial" w:eastAsia="Arial"/>
          <w:color w:val="1F2430"/>
          <w:sz w:val="19"/>
          <w:szCs w:val="19"/>
          <w:rtl/>
        </w:rPr>
        <w:t>בפסיקה המחוזית שאחרי 919/15 (לפי סיכום השיעור, פסק דין של השופט שוחט מ-2017; במקראה, עמ״ש (ת״א) 14612-10-16 פ.ב. נ׳ א.ב. מ-20.12.2017 ותמ״ש 25329-11-17) נקבעה שיטה בארבעה שלבים: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b/>
          <w:bCs/>
          <w:color w:val="1F2430"/>
          <w:sz w:val="19"/>
          <w:szCs w:val="19"/>
          <w:rtl/>
        </w:rPr>
        <w:t>צורכי הילדים</w:t>
      </w:r>
      <w:r>
        <w:rPr>
          <w:rFonts w:ascii="Arial" w:hAnsi="Arial" w:cs="Arial" w:eastAsia="Arial"/>
          <w:color w:val="1F2430"/>
          <w:sz w:val="19"/>
          <w:szCs w:val="19"/>
          <w:rtl/>
        </w:rPr>
        <w:t xml:space="preserve"> לפי רמת החיים ערב הפירוד, בחלוקה לצרכים תלויי שהות (כולל מדור ואחזקתו), צרכים שאינם תלויי שהות וצרכים חריגים.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b/>
          <w:bCs/>
          <w:color w:val="1F2430"/>
          <w:sz w:val="19"/>
          <w:szCs w:val="19"/>
          <w:rtl/>
        </w:rPr>
        <w:t>היכולות הכלכליות</w:t>
      </w:r>
      <w:r>
        <w:rPr>
          <w:rFonts w:ascii="Arial" w:hAnsi="Arial" w:cs="Arial" w:eastAsia="Arial"/>
          <w:color w:val="1F2430"/>
          <w:sz w:val="19"/>
          <w:szCs w:val="19"/>
          <w:rtl/>
        </w:rPr>
        <w:t xml:space="preserve"> של ההורים מכל המקורות: משכורות, נכסים, חסכונות, הכנסות נוספות ופוטנציאל השתכרות.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3. </w:t>
      </w:r>
      <w:r>
        <w:tab/>
      </w:r>
      <w:r>
        <w:rPr>
          <w:rFonts w:ascii="Arial" w:hAnsi="Arial" w:cs="Arial" w:eastAsia="Arial"/>
          <w:b/>
          <w:bCs/>
          <w:color w:val="1F2430"/>
          <w:sz w:val="19"/>
          <w:szCs w:val="19"/>
          <w:rtl/>
        </w:rPr>
        <w:t>יחס היכולת הכלכלית</w:t>
      </w:r>
      <w:r>
        <w:rPr>
          <w:rFonts w:ascii="Arial" w:hAnsi="Arial" w:cs="Arial" w:eastAsia="Arial"/>
          <w:color w:val="1F2430"/>
          <w:sz w:val="19"/>
          <w:szCs w:val="19"/>
          <w:rtl/>
        </w:rPr>
        <w:t>, למשל 40% מול 60%.</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4. </w:t>
      </w:r>
      <w:r>
        <w:tab/>
      </w:r>
      <w:r>
        <w:rPr>
          <w:rFonts w:ascii="Arial" w:hAnsi="Arial" w:cs="Arial" w:eastAsia="Arial"/>
          <w:b/>
          <w:bCs/>
          <w:color w:val="1F2430"/>
          <w:sz w:val="19"/>
          <w:szCs w:val="19"/>
          <w:rtl/>
        </w:rPr>
        <w:t>זמני השהות</w:t>
      </w:r>
      <w:r>
        <w:rPr>
          <w:rFonts w:ascii="Arial" w:hAnsi="Arial" w:cs="Arial" w:eastAsia="Arial"/>
          <w:color w:val="1F2430"/>
          <w:sz w:val="19"/>
          <w:szCs w:val="19"/>
          <w:rtl/>
        </w:rPr>
        <w:t xml:space="preserve"> בפועל, למשל 25% אצל האב ו-75% אצל האם.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דוגמת החישוב שנלמדה</w:t>
            </w:r>
          </w:p>
          <w:p>
            <w:pPr>
              <w:bidi/>
              <w:spacing w:before="0" w:after="60" w:line="300" w:lineRule="auto"/>
              <w:jc w:val="both"/>
            </w:pPr>
            <w:r>
              <w:rPr>
                <w:rFonts w:ascii="Arial" w:hAnsi="Arial" w:cs="Arial" w:eastAsia="Arial"/>
                <w:b/>
                <w:bCs/>
                <w:color w:val="1F2430"/>
                <w:sz w:val="18"/>
                <w:szCs w:val="18"/>
                <w:rtl/>
              </w:rPr>
              <w:t>שלב א, ילדה בת 5 (גילאי 0–6):</w:t>
            </w:r>
            <w:r>
              <w:rPr>
                <w:rFonts w:ascii="Arial" w:hAnsi="Arial" w:cs="Arial" w:eastAsia="Arial"/>
                <w:color w:val="1F2430"/>
                <w:sz w:val="18"/>
                <w:szCs w:val="18"/>
                <w:rtl/>
              </w:rPr>
              <w:t xml:space="preserve"> הצרכים ההכרחיים הם מזון 600, ביגוד והנעלה 300, מדור 330 והחזקת מדור 525, ובסך הכול 1,755 ₪ (כ-1,800–2,000). החיוב על האב בלבד, ולכן לא בודקים את הכנסת האם. הילדה אצלו 25% מהזמן, אבל הוא לא הוכיח שקונה לה ביגוד, ולכן קוזזו כ-350 ₪ ולא 25% מכל הסכום. </w:t>
            </w:r>
            <w:r>
              <w:rPr>
                <w:rFonts w:ascii="Arial" w:hAnsi="Arial" w:cs="Arial" w:eastAsia="Arial"/>
                <w:b/>
                <w:bCs/>
                <w:color w:val="1F2430"/>
                <w:sz w:val="18"/>
                <w:szCs w:val="18"/>
                <w:rtl/>
              </w:rPr>
              <w:t>האב מעביר כ-1,400 ₪.</w:t>
            </w:r>
            <w:r>
              <w:rPr>
                <w:rFonts w:ascii="Arial" w:hAnsi="Arial" w:cs="Arial" w:eastAsia="Arial"/>
                <w:color w:val="1F2430"/>
                <w:sz w:val="18"/>
                <w:szCs w:val="18"/>
                <w:rtl/>
              </w:rPr>
              <w:t xml:space="preserve"> </w:t>
            </w:r>
            <w:r>
              <w:rPr>
                <w:rFonts w:ascii="Arial" w:hAnsi="Arial" w:cs="Arial" w:eastAsia="Arial"/>
                <w:b/>
                <w:bCs/>
                <w:color w:val="1F2430"/>
                <w:sz w:val="18"/>
                <w:szCs w:val="18"/>
                <w:rtl/>
              </w:rPr>
              <w:t>שלב ב, הילדה בת 6:</w:t>
            </w:r>
            <w:r>
              <w:rPr>
                <w:rFonts w:ascii="Arial" w:hAnsi="Arial" w:cs="Arial" w:eastAsia="Arial"/>
                <w:color w:val="1F2430"/>
                <w:sz w:val="18"/>
                <w:szCs w:val="18"/>
                <w:rtl/>
              </w:rPr>
              <w:t xml:space="preserve"> נכנס 919/15. הכנסת האב נטו 10,500 ₪, וההכנסה הפנויה כ-7,000 ₪ אחרי הלוואות ושכירות. הכנסת האם נטו 7,621 ₪, וההכנסה הפנויה כ-5,700 ₪ אחרי משכנתא ודיור של כ-1,900 ₪. לאם יש גם דירה נוספת ונכסים, ולכן יכולתה גבוהה בכ-50% מזו של האב, ביחס 2:3. </w:t>
            </w:r>
            <w:r>
              <w:rPr>
                <w:rFonts w:ascii="Arial" w:hAnsi="Arial" w:cs="Arial" w:eastAsia="Arial"/>
                <w:b/>
                <w:bCs/>
                <w:color w:val="1F2430"/>
                <w:sz w:val="18"/>
                <w:szCs w:val="18"/>
                <w:rtl/>
              </w:rPr>
              <w:t>האב נושא ב-40% והאם ב-60%.</w:t>
            </w:r>
            <w:r>
              <w:rPr>
                <w:rFonts w:ascii="Arial" w:hAnsi="Arial" w:cs="Arial" w:eastAsia="Arial"/>
                <w:color w:val="1F2430"/>
                <w:sz w:val="18"/>
                <w:szCs w:val="18"/>
                <w:rtl/>
              </w:rPr>
              <w:t xml:space="preserve"> </w:t>
            </w:r>
            <w:r>
              <w:rPr>
                <w:rFonts w:ascii="Arial" w:hAnsi="Arial" w:cs="Arial" w:eastAsia="Arial"/>
                <w:b/>
                <w:bCs/>
                <w:color w:val="1F2430"/>
                <w:sz w:val="18"/>
                <w:szCs w:val="18"/>
                <w:rtl/>
              </w:rPr>
              <w:t>הוצאות תלויות שהות:</w:t>
            </w:r>
            <w:r>
              <w:rPr>
                <w:rFonts w:ascii="Arial" w:hAnsi="Arial" w:cs="Arial" w:eastAsia="Arial"/>
                <w:color w:val="1F2430"/>
                <w:sz w:val="18"/>
                <w:szCs w:val="18"/>
                <w:rtl/>
              </w:rPr>
              <w:t xml:space="preserve"> נניח 2,000 ₪. חלק האב 40%, כלומר 800 ₪. הוא כבר מוציא כ-500 ₪ ישירות בזמן השהות שלו, ולכן </w:t>
            </w:r>
            <w:r>
              <w:rPr>
                <w:rFonts w:ascii="Arial" w:hAnsi="Arial" w:cs="Arial" w:eastAsia="Arial"/>
                <w:b/>
                <w:bCs/>
                <w:color w:val="1F2430"/>
                <w:sz w:val="18"/>
                <w:szCs w:val="18"/>
                <w:rtl/>
              </w:rPr>
              <w:t>מעביר רק 300 ₪</w:t>
            </w:r>
            <w:r>
              <w:rPr>
                <w:rFonts w:ascii="Arial" w:hAnsi="Arial" w:cs="Arial" w:eastAsia="Arial"/>
                <w:color w:val="1F2430"/>
                <w:sz w:val="18"/>
                <w:szCs w:val="18"/>
                <w:rtl/>
              </w:rPr>
              <w:t xml:space="preserve">. אילו הילדה הייתה אצל האם כל הזמן, היה מעביר 800 ₪. </w:t>
            </w:r>
            <w:r>
              <w:rPr>
                <w:rFonts w:ascii="Arial" w:hAnsi="Arial" w:cs="Arial" w:eastAsia="Arial"/>
                <w:b/>
                <w:bCs/>
                <w:color w:val="1F2430"/>
                <w:sz w:val="18"/>
                <w:szCs w:val="18"/>
                <w:rtl/>
              </w:rPr>
              <w:t>הוצאות שאינן תלויות שהות</w:t>
            </w:r>
            <w:r>
              <w:rPr>
                <w:rFonts w:ascii="Arial" w:hAnsi="Arial" w:cs="Arial" w:eastAsia="Arial"/>
                <w:color w:val="1F2430"/>
                <w:sz w:val="18"/>
                <w:szCs w:val="18"/>
                <w:rtl/>
              </w:rPr>
              <w:t xml:space="preserve"> (ביגוד, בית ספר, חוגים, בריאות, תספורת, טלפון, מתנות, תרבות): מתחלקות 40/60. במחלוקת על נחיצות הוצאה מכריע גורם מקצועי (מורה או רופא). </w:t>
            </w:r>
            <w:r>
              <w:rPr>
                <w:rFonts w:ascii="Arial" w:hAnsi="Arial" w:cs="Arial" w:eastAsia="Arial"/>
                <w:b/>
                <w:bCs/>
                <w:color w:val="1F2430"/>
                <w:sz w:val="18"/>
                <w:szCs w:val="18"/>
                <w:rtl/>
              </w:rPr>
              <w:t>האם, ההורה הדומיננטי, נקבעה כהורה המרכז.</w:t>
            </w:r>
            <w:r>
              <w:rPr>
                <w:rFonts w:ascii="Arial" w:hAnsi="Arial" w:cs="Arial" w:eastAsia="Arial"/>
                <w:color w:val="1F2430"/>
                <w:sz w:val="18"/>
                <w:szCs w:val="18"/>
                <w:rtl/>
              </w:rPr>
              <w:t xml:space="preserve"> נפתח חשבון משותף שאליו האב מפקיד 4,000 ₪ והאם 6,000 ₪, וכשהיתרה יורדת ל-5,000 ₪ משלימים 2,000 ו-3,000 לפי אותו יחס. דמי הכיס נקבעים בהתאם, ויש להבהיר לילד ששני ההורים משתתפים. מהשירות הצבאי ההורים נושאים בהוצאות בשווה.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נוסחה כללית</w:t>
      </w:r>
      <w:r>
        <w:rPr>
          <w:rFonts w:ascii="Arial" w:hAnsi="Arial" w:cs="Arial" w:eastAsia="Arial"/>
          <w:color w:val="1F2430"/>
          <w:sz w:val="19"/>
          <w:szCs w:val="19"/>
          <w:rtl/>
        </w:rPr>
        <w:t xml:space="preserve"> (מהמקראה): סכום המזונות של הורה א׳ = A × (B1 / (B1 + B2) − C1 / 100), כאשר A הם צורכי הקטין, B1 ו-B2 הכנסות ההורים, ו-C1 אחוז השהות אצל הורה 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תמ״ש (נצ׳) 46640-01-15 (השופט זגורי): מנגנוני ביצוע</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המזונות צמודים למדד (עדכון כל שלושה חודשים) ומשולמים עד גיל 18 או סיום התיכון, לפי המאוחר. קצבת הילדים והמענקים משולמים לאם כמשמורנית, מעבר למזונות. בגיוס המזונות יורדים לשליש, ומסתיימים בתום השירות. הוצאות בריאות וחינוך שאינן מכוסות מתחלקות במחצית. הוצאה חריגה מעל 200 ₪ טעונה התייעצות: האם שולחת פירוט ב-SMS, ואם האב לא חולק תוך 3 ימים הוא מחויב. במחלוקת על נחיצות מכריע גורם מקצועי, ובמחלוקת על הסכום האב מביא הצעת מחיר נגדית.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המטרה היא לתת לצדדים כלים להתנהל לבד ולצמצם חזרה לבית המשפט.</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10.9 החשש ממניע פסול למשמורת</w:t>
      </w:r>
    </w:p>
    <w:p>
      <w:pPr>
        <w:bidi/>
        <w:spacing w:before="0" w:after="100" w:line="300" w:lineRule="auto"/>
        <w:jc w:val="both"/>
      </w:pPr>
      <w:r>
        <w:rPr>
          <w:rFonts w:ascii="Arial" w:hAnsi="Arial" w:cs="Arial" w:eastAsia="Arial"/>
          <w:color w:val="1F2430"/>
          <w:sz w:val="19"/>
          <w:szCs w:val="19"/>
          <w:rtl/>
        </w:rPr>
        <w:t>מיד אחרי 919/15 עלה חשש שאבות יבקשו משמורת משותפת רק כדי להפחית מזונות. העליון הכיר בכך: ״אין להתעלם מכך שהפחתת שיעור המזונות תהווה כדאית יותר בסכסוך בין ההורים ולבקש משמורת משותפת מהסיבות הלא נכונות״. התשובה שלו:</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המשימה אינה משתלמת למי שמניעיו כספיים</w:t>
      </w:r>
      <w:r>
        <w:rPr>
          <w:rFonts w:ascii="Arial" w:hAnsi="Arial" w:cs="Arial" w:eastAsia="Arial"/>
          <w:color w:val="1F2430"/>
          <w:sz w:val="19"/>
          <w:szCs w:val="19"/>
          <w:rtl/>
        </w:rPr>
        <w:t>: ״אב המקבל על עצמו את עול המשמורת רק ממניע כספי ייוודע לדעת חיש קל ש׳העסקה׳ שרקם אינה משתלמת״. משמורת מחייבת קיצור שעות עבודה וזמינות קבועה: איסוף, ארוחות, שיעורי בית, חוגים וכביסות.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highlight w:val="yellow"/>
          <w:rtl/>
        </w:rPr>
        <w:t>המענה נמצא בשלב ההכרעה במשמורת, לא בשלב קביעת המזונות</w:t>
      </w:r>
      <w:r>
        <w:rPr>
          <w:rFonts w:ascii="Arial" w:hAnsi="Arial" w:cs="Arial" w:eastAsia="Arial"/>
          <w:color w:val="1F2430"/>
          <w:sz w:val="19"/>
          <w:szCs w:val="19"/>
          <w:rtl/>
        </w:rPr>
        <w:t>. בית המשפט שמאשר הסדר לפי סעיפים 24 ו-25 לחוק הכשרות נעזר בחוות דעת מומחים (עובדים סוציאליים ופסיכולוגים) שמתרשמים ישירות מההורים, מכנות כוונותיהם ומהמסוגלות שלהם, ובוחן את דפוסי ההתנהלות של המשפחה בעבר.</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10.10 האם 919/15 מהווה ״שינוי נסיבות״?</w:t>
      </w:r>
    </w:p>
    <w:p>
      <w:pPr>
        <w:bidi/>
        <w:spacing w:before="0" w:after="100" w:line="300" w:lineRule="auto"/>
        <w:jc w:val="both"/>
      </w:pPr>
      <w:r>
        <w:rPr>
          <w:rFonts w:ascii="Arial" w:hAnsi="Arial" w:cs="Arial" w:eastAsia="Arial"/>
          <w:color w:val="1F2430"/>
          <w:sz w:val="19"/>
          <w:szCs w:val="19"/>
          <w:rtl/>
        </w:rPr>
        <w:t>פסק דין מזונות נפתח מחדש בשינוי נסיבות מהותי. נשאלה השאלה אם עצם שינוי ההלכה מאפשר לאבות לבקש הפחתה.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גישה ראשונה</w:t>
      </w:r>
      <w:r>
        <w:rPr>
          <w:rFonts w:ascii="Arial" w:hAnsi="Arial" w:cs="Arial" w:eastAsia="Arial"/>
          <w:color w:val="1F2430"/>
          <w:sz w:val="19"/>
          <w:szCs w:val="19"/>
          <w:rtl/>
        </w:rPr>
        <w:t>: 919/15 חל למפרע ומהווה כשלעצמו שינוי נסיבות, בין בפסק דין ובין בהסכם.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גישה שנייה</w:t>
      </w:r>
      <w:r>
        <w:rPr>
          <w:rFonts w:ascii="Arial" w:hAnsi="Arial" w:cs="Arial" w:eastAsia="Arial"/>
          <w:color w:val="1F2430"/>
          <w:sz w:val="19"/>
          <w:szCs w:val="19"/>
          <w:rtl/>
        </w:rPr>
        <w:t>: הלכה חדשה אינה שינוי נסיבות כלל.</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גישת ביניים (השופט זגורי, 10726-05-18)</w:t>
      </w:r>
      <w:r>
        <w:rPr>
          <w:rFonts w:ascii="Arial" w:hAnsi="Arial" w:cs="Arial" w:eastAsia="Arial"/>
          <w:color w:val="1F2430"/>
          <w:sz w:val="19"/>
          <w:szCs w:val="19"/>
          <w:rtl/>
        </w:rPr>
        <w:t xml:space="preserve">: בחיוב שנפסק </w:t>
      </w:r>
      <w:r>
        <w:rPr>
          <w:rFonts w:ascii="Arial" w:hAnsi="Arial" w:cs="Arial" w:eastAsia="Arial"/>
          <w:b/>
          <w:bCs/>
          <w:color w:val="1F2430"/>
          <w:sz w:val="19"/>
          <w:szCs w:val="19"/>
          <w:rtl/>
        </w:rPr>
        <w:t>בפסק דין</w:t>
      </w:r>
      <w:r>
        <w:rPr>
          <w:rFonts w:ascii="Arial" w:hAnsi="Arial" w:cs="Arial" w:eastAsia="Arial"/>
          <w:color w:val="1F2430"/>
          <w:sz w:val="19"/>
          <w:szCs w:val="19"/>
          <w:rtl/>
        </w:rPr>
        <w:t>, ההלכה חלה למפרע ומהווה שינוי נסיבות (בהסכמה עם השופט אליאס), כי הסתמכות האם ״חלשה״. ב</w:t>
      </w:r>
      <w:r>
        <w:rPr>
          <w:rFonts w:ascii="Arial" w:hAnsi="Arial" w:cs="Arial" w:eastAsia="Arial"/>
          <w:b/>
          <w:bCs/>
          <w:color w:val="1F2430"/>
          <w:sz w:val="19"/>
          <w:szCs w:val="19"/>
          <w:rtl/>
        </w:rPr>
        <w:t>הסכם גירושין או ממון כולל</w:t>
      </w:r>
      <w:r>
        <w:rPr>
          <w:rFonts w:ascii="Arial" w:hAnsi="Arial" w:cs="Arial" w:eastAsia="Arial"/>
          <w:color w:val="1F2430"/>
          <w:sz w:val="19"/>
          <w:szCs w:val="19"/>
          <w:rtl/>
        </w:rPr>
        <w:t xml:space="preserve"> היא אינה שינוי נסיבות, בגלל ההסתמכות והחיובים השלובים.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הכרעת העליון</w:t>
            </w:r>
          </w:p>
          <w:p>
            <w:pPr>
              <w:bidi/>
              <w:spacing w:before="0" w:after="60" w:line="300" w:lineRule="auto"/>
              <w:jc w:val="both"/>
            </w:pPr>
            <w:r>
              <w:rPr>
                <w:rFonts w:ascii="Arial" w:hAnsi="Arial" w:cs="Arial" w:eastAsia="Arial"/>
                <w:color w:val="1F2430"/>
                <w:sz w:val="18"/>
                <w:szCs w:val="18"/>
                <w:rtl/>
              </w:rPr>
              <w:t xml:space="preserve">לאחר כארבע שנים של פסיקה סותרת, העליון קבע: </w:t>
            </w:r>
            <w:r>
              <w:rPr>
                <w:rFonts w:ascii="Arial" w:hAnsi="Arial" w:cs="Arial" w:eastAsia="Arial"/>
                <w:color w:val="1F2430"/>
                <w:sz w:val="18"/>
                <w:szCs w:val="18"/>
                <w:highlight w:val="yellow"/>
                <w:rtl/>
              </w:rPr>
              <w:t>הלכת 919/15 אינה מהווה כשלעצמה שינוי נסיבות מהותי</w:t>
            </w:r>
            <w:r>
              <w:rPr>
                <w:rFonts w:ascii="Arial" w:hAnsi="Arial" w:cs="Arial" w:eastAsia="Arial"/>
                <w:color w:val="1F2430"/>
                <w:sz w:val="18"/>
                <w:szCs w:val="18"/>
                <w:rtl/>
              </w:rPr>
              <w:t xml:space="preserve"> שמצדיק פתיחת תיק מזונות. זה נכון בין בפסק דין חלוט שאישר הסכם ובין בפסק דין שניתן אחרי הליך, משום שתוצאה אחרת תפגע בסופיות הדיון וביציבות חיי הקטינים. אבל </w:t>
            </w:r>
            <w:r>
              <w:rPr>
                <w:rFonts w:ascii="Arial" w:hAnsi="Arial" w:cs="Arial" w:eastAsia="Arial"/>
                <w:b/>
                <w:bCs/>
                <w:color w:val="1F2430"/>
                <w:sz w:val="18"/>
                <w:szCs w:val="18"/>
                <w:rtl/>
              </w:rPr>
              <w:t>אם קיים שינוי נסיבות עובדתי מהותי</w:t>
            </w:r>
            <w:r>
              <w:rPr>
                <w:rFonts w:ascii="Arial" w:hAnsi="Arial" w:cs="Arial" w:eastAsia="Arial"/>
                <w:color w:val="1F2430"/>
                <w:sz w:val="18"/>
                <w:szCs w:val="18"/>
                <w:rtl/>
              </w:rPr>
              <w:t xml:space="preserve"> (הקלאסי: הילדים עוברים לשהות יותר אצל האב), בית המשפט יבחן את </w:t>
            </w:r>
            <w:r>
              <w:rPr>
                <w:rFonts w:ascii="Arial" w:hAnsi="Arial" w:cs="Arial" w:eastAsia="Arial"/>
                <w:b/>
                <w:bCs/>
                <w:color w:val="1F2430"/>
                <w:sz w:val="18"/>
                <w:szCs w:val="18"/>
                <w:rtl/>
              </w:rPr>
              <w:t>הרכיב שבו חל השינוי</w:t>
            </w:r>
            <w:r>
              <w:rPr>
                <w:rFonts w:ascii="Arial" w:hAnsi="Arial" w:cs="Arial" w:eastAsia="Arial"/>
                <w:color w:val="1F2430"/>
                <w:sz w:val="18"/>
                <w:szCs w:val="18"/>
                <w:rtl/>
              </w:rPr>
              <w:t>, ולגביו בלבד יפסוק לפי עקרונות 919/15.</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10.11 בית הדין הרבני אחרי 919/15</w:t>
      </w:r>
    </w:p>
    <w:p>
      <w:pPr>
        <w:bidi/>
        <w:spacing w:before="0" w:after="100" w:line="300" w:lineRule="auto"/>
        <w:jc w:val="both"/>
      </w:pPr>
      <w:r>
        <w:rPr>
          <w:rFonts w:ascii="Arial" w:hAnsi="Arial" w:cs="Arial" w:eastAsia="Arial"/>
          <w:color w:val="1F2430"/>
          <w:sz w:val="19"/>
          <w:szCs w:val="19"/>
          <w:rtl/>
        </w:rPr>
        <w:t>בית הדין הרבני לא קיבל את ההלכה.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תיק 1266707/1 (בית הדין הרבני הגדול), פלונית נ׳ פלוני (6.9.2020)</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האב הוא החייב במזונות ילדיו ולא האם. עד גיל 6 זה חיוב גמור, ומעל גיל 6 החיוב נובע מתקנת חז״ל ומתקנות הרבנות הראשית, והוא </w:t>
            </w:r>
            <w:r>
              <w:rPr>
                <w:rFonts w:ascii="Arial" w:hAnsi="Arial" w:cs="Arial" w:eastAsia="Arial"/>
                <w:b/>
                <w:bCs/>
                <w:color w:val="1F2430"/>
                <w:sz w:val="18"/>
                <w:szCs w:val="18"/>
                <w:rtl/>
              </w:rPr>
              <w:t>של האב בלבד</w:t>
            </w:r>
            <w:r>
              <w:rPr>
                <w:rFonts w:ascii="Arial" w:hAnsi="Arial" w:cs="Arial" w:eastAsia="Arial"/>
                <w:color w:val="1F2430"/>
                <w:sz w:val="18"/>
                <w:szCs w:val="18"/>
                <w:rtl/>
              </w:rPr>
              <w:t xml:space="preserve">. גם אם יש חיוב על האם, הוא רק מדיני הצדקה הכלליים. לפי בית הדין, ״בית המשפט גילה פנים בתורה שלא כהלכה״, ולשוויון בין האב לאם מעל גיל 6 ״אין שורש בהלכה״. </w:t>
            </w:r>
            <w:r>
              <w:rPr>
                <w:rFonts w:ascii="Arial" w:hAnsi="Arial" w:cs="Arial" w:eastAsia="Arial"/>
                <w:b/>
                <w:bCs/>
                <w:color w:val="1F2430"/>
                <w:sz w:val="18"/>
                <w:szCs w:val="18"/>
                <w:rtl/>
              </w:rPr>
              <w:t>פרטים נוספים:</w:t>
            </w:r>
            <w:r>
              <w:rPr>
                <w:rFonts w:ascii="Arial" w:hAnsi="Arial" w:cs="Arial" w:eastAsia="Arial"/>
                <w:color w:val="1F2430"/>
                <w:sz w:val="18"/>
                <w:szCs w:val="18"/>
                <w:rtl/>
              </w:rPr>
              <w:t xml:space="preserve"> האם זכאית לתשלום על טרחתה ול״דמי טיפול״. דמי מדור לילד אחד לא יפחתו מ-1,000–1,500 ₪, ועל האב 30% מהחשמל, הגז, המים והארנונה. ל״מנהג המחציות״ אין מקור בדין, רק ״פשרה״ או ״מנהג מדינה״. לפי ההלכה החיוב עשוי להגיע ל-4,000 ₪ לילד.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היפוך הקערה</w:t>
            </w:r>
            <w:r>
              <w:rPr>
                <w:rFonts w:ascii="Arial" w:hAnsi="Arial" w:cs="Arial" w:eastAsia="Arial"/>
                <w:color w:val="1F2430"/>
                <w:sz w:val="18"/>
                <w:szCs w:val="18"/>
                <w:rtl/>
              </w:rPr>
              <w:t>: פעם הומלץ לאישה לתבוע מזונות ילדים רק בבית המשפט, כי בית הדין פוסק נמוך ולא מתחשב בפוטנציאל השתכרות. היום אישה שמרוויחה יותר מבעלה מעדיפה את בית הדין הרבני, כי שם היא לא תשתתף.</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תיק 1140557/4 (בית הדין האזורי באר שבע, 11/2018)</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הדין דחה את הנחת השופט פוגלמן שלפיה בדין העברי האב מעביר את מלוא הצרכים לחודש שלם בלי קיזוז. לפי דין תורה האב משלם רק עבור </w:t>
            </w:r>
            <w:r>
              <w:rPr>
                <w:rFonts w:ascii="Arial" w:hAnsi="Arial" w:cs="Arial" w:eastAsia="Arial"/>
                <w:color w:val="1F2430"/>
                <w:sz w:val="18"/>
                <w:szCs w:val="18"/>
                <w:highlight w:val="yellow"/>
                <w:rtl/>
              </w:rPr>
              <w:t>הזמן שהילדים אצל האם</w:t>
            </w:r>
            <w:r>
              <w:rPr>
                <w:rFonts w:ascii="Arial" w:hAnsi="Arial" w:cs="Arial" w:eastAsia="Arial"/>
                <w:color w:val="1F2430"/>
                <w:sz w:val="18"/>
                <w:szCs w:val="18"/>
                <w:rtl/>
              </w:rPr>
              <w:t xml:space="preserve">. הכללים: חיוב סביר ומידתי; רק לתקופת השהות אצל האם; </w:t>
            </w:r>
            <w:r>
              <w:rPr>
                <w:rFonts w:ascii="Arial" w:hAnsi="Arial" w:cs="Arial" w:eastAsia="Arial"/>
                <w:b/>
                <w:bCs/>
                <w:color w:val="1F2430"/>
                <w:sz w:val="18"/>
                <w:szCs w:val="18"/>
                <w:rtl/>
              </w:rPr>
              <w:t>השארת די סיפוקו לאב למחייתו</w:t>
            </w:r>
            <w:r>
              <w:rPr>
                <w:rFonts w:ascii="Arial" w:hAnsi="Arial" w:cs="Arial" w:eastAsia="Arial"/>
                <w:color w:val="1F2430"/>
                <w:sz w:val="18"/>
                <w:szCs w:val="18"/>
                <w:rtl/>
              </w:rPr>
              <w:t xml:space="preserve">; בלי פוטנציאל השתכרות; בלי חיוב במצבי ספק. רק אחרי כל אלה בוחנים חיוב של האם. השיעור ״כפי צורכם ולא כפי עושרו של האב״, כשיעור עיקר מזונות אישה עניה.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בבית הדין נשארו המונח ״צרכים הכרחיים״ </w:t>
            </w:r>
            <w:r>
              <w:rPr>
                <w:rFonts w:ascii="Arial" w:hAnsi="Arial" w:cs="Arial" w:eastAsia="Arial"/>
                <w:b/>
                <w:bCs/>
                <w:color w:val="1F2430"/>
                <w:sz w:val="18"/>
                <w:szCs w:val="18"/>
                <w:rtl/>
              </w:rPr>
              <w:t>בכל שכבות הגיל</w:t>
            </w:r>
            <w:r>
              <w:rPr>
                <w:rFonts w:ascii="Arial" w:hAnsi="Arial" w:cs="Arial" w:eastAsia="Arial"/>
                <w:color w:val="1F2430"/>
                <w:sz w:val="18"/>
                <w:szCs w:val="18"/>
                <w:rtl/>
              </w:rPr>
              <w:t>, חיוב האב והמחציות.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דוגמה שהובאה אחרי 919/15</w:t>
            </w:r>
          </w:p>
          <w:p>
            <w:pPr>
              <w:bidi/>
              <w:spacing w:before="0" w:after="60" w:line="300" w:lineRule="auto"/>
              <w:jc w:val="both"/>
            </w:pPr>
            <w:r>
              <w:rPr>
                <w:rFonts w:ascii="Arial" w:hAnsi="Arial" w:cs="Arial" w:eastAsia="Arial"/>
                <w:color w:val="1F2430"/>
                <w:sz w:val="18"/>
                <w:szCs w:val="18"/>
                <w:rtl/>
              </w:rPr>
              <w:t>האם משתכרת 3,400 ₪ (כשלושה רבעי משרה) והאב 6,400 ₪ נטו. הילדים בני 3 ו-6, במשמורת משותפת. נפסקו 900 ₪ לכל ילד ועוד מדור של 650 ₪, ובסך הכול 2,450 ₪, ובנוסף מחציות. החיוב חל ממועד הקרע (סידור הגט), והניסיון הוא להשאיר לאב ממה לחיות.</w:t>
            </w:r>
          </w:p>
        </w:tc>
      </w:tr>
    </w:tbl>
    <w:p>
      <w:pPr>
        <w:bidi/>
        <w:spacing w:after="0" w:before="0" w:line="120" w:lineRule="exact"/>
      </w:pPr>
      <w:r>
        <w:rPr>
          <w:sz w:val="2"/>
        </w:rPr>
      </w:r>
    </w:p>
    <w:p>
      <w:pPr>
        <w:keepNext/>
        <w:bidi/>
        <w:spacing w:before="160" w:after="60" w:line="300" w:lineRule="auto"/>
      </w:pPr>
      <w:r>
        <w:rPr>
          <w:rFonts w:ascii="Arial" w:hAnsi="Arial" w:cs="Arial" w:eastAsia="Arial"/>
          <w:color w:val="0B7FA0"/>
          <w:sz w:val="22"/>
          <w:szCs w:val="22"/>
          <w:rtl/>
        </w:rPr>
        <w:t xml:space="preserve">▌ </w:t>
      </w:r>
      <w:r>
        <w:rPr>
          <w:rFonts w:ascii="Arial" w:hAnsi="Arial" w:cs="Arial" w:eastAsia="Arial"/>
          <w:b/>
          <w:bCs/>
          <w:color w:val="0B7FA0"/>
          <w:sz w:val="22"/>
          <w:szCs w:val="22"/>
          <w:rtl/>
        </w:rPr>
        <w:t>טבלת השוואה: בית המשפט האזרחי מול בית הדין הרבני</w:t>
      </w:r>
    </w:p>
    <w:tbl>
      <w:tblPr>
        <w:tblW w:type="dxa" w:w="10206"/>
        <w:jc w:val="center"/>
        <w:tblLook w:firstColumn="1" w:firstRow="1" w:lastColumn="0" w:lastRow="0" w:noHBand="0" w:noVBand="1" w:val="04A0"/>
        <w:bidiVisual/>
        <w:tblLayout w:type="fixed"/>
      </w:tblPr>
      <w:tblGrid>
        <w:gridCol w:w="4725"/>
        <w:gridCol w:w="2457"/>
        <w:gridCol w:w="3024"/>
      </w:tblGrid>
      <w:tr>
        <w:trPr>
          <w:tblHeader/>
        </w:trPr>
        <w:tc>
          <w:tcPr>
            <w:tcW w:type="dxa" w:w="472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הסוגיה</w:t>
            </w:r>
          </w:p>
        </w:tc>
        <w:tc>
          <w:tcPr>
            <w:tcW w:type="dxa" w:w="2457"/>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בית המשפט האזרחי</w:t>
            </w:r>
          </w:p>
        </w:tc>
        <w:tc>
          <w:tcPr>
            <w:tcW w:type="dxa" w:w="302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בית הדין הרבני</w:t>
            </w:r>
          </w:p>
        </w:tc>
      </w:tr>
      <w:tr>
        <w:trPr>
          <w:cantSplit/>
        </w:trPr>
        <w:tc>
          <w:tcPr>
            <w:tcW w:type="dxa" w:w="47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עד גיל 6: להשאיר לאב כדי צרכו (שכר מינימום)</w:t>
            </w:r>
          </w:p>
        </w:tc>
        <w:tc>
          <w:tcPr>
            <w:tcW w:type="dxa" w:w="245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מתחשב</w:t>
            </w:r>
          </w:p>
        </w:tc>
        <w:tc>
          <w:tcPr>
            <w:tcW w:type="dxa" w:w="30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מתחשב</w:t>
            </w:r>
            <w:r>
              <w:rPr>
                <w:rFonts w:ascii="Arial" w:hAnsi="Arial" w:cs="Arial" w:eastAsia="Arial"/>
                <w:color w:val="1F2430"/>
                <w:sz w:val="17"/>
                <w:szCs w:val="17"/>
                <w:rtl/>
              </w:rPr>
              <w:t>, ולכן הסכומים נמוכים</w:t>
            </w:r>
          </w:p>
        </w:tc>
      </w:tr>
      <w:tr>
        <w:trPr>
          <w:cantSplit/>
        </w:trPr>
        <w:tc>
          <w:tcPr>
            <w:tcW w:type="dxa" w:w="47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עד גיל 6: קיזוז זמני שהות אצל האב מהצרכים ההכרחיים</w:t>
            </w:r>
          </w:p>
        </w:tc>
        <w:tc>
          <w:tcPr>
            <w:tcW w:type="dxa" w:w="245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רלוונטי</w:t>
            </w:r>
          </w:p>
        </w:tc>
        <w:tc>
          <w:tcPr>
            <w:tcW w:type="dxa" w:w="30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רלוונטי</w:t>
            </w:r>
          </w:p>
        </w:tc>
      </w:tr>
      <w:tr>
        <w:trPr>
          <w:cantSplit/>
        </w:trPr>
        <w:tc>
          <w:tcPr>
            <w:tcW w:type="dxa" w:w="47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מעל גיל 6: ״צרכים הכרחיים״</w:t>
            </w:r>
          </w:p>
        </w:tc>
        <w:tc>
          <w:tcPr>
            <w:tcW w:type="dxa" w:w="245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לא רלוונטי</w:t>
            </w:r>
            <w:r>
              <w:rPr>
                <w:rFonts w:ascii="Arial" w:hAnsi="Arial" w:cs="Arial" w:eastAsia="Arial"/>
                <w:color w:val="1F2430"/>
                <w:sz w:val="17"/>
                <w:szCs w:val="17"/>
                <w:rtl/>
              </w:rPr>
              <w:t xml:space="preserve"> (בוטל)</w:t>
            </w:r>
          </w:p>
        </w:tc>
        <w:tc>
          <w:tcPr>
            <w:tcW w:type="dxa" w:w="30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רלוונטי</w:t>
            </w:r>
          </w:p>
        </w:tc>
      </w:tr>
      <w:tr>
        <w:trPr>
          <w:cantSplit/>
        </w:trPr>
        <w:tc>
          <w:tcPr>
            <w:tcW w:type="dxa" w:w="47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מעל גיל 6: מי משלם מהשקל הראשון</w:t>
            </w:r>
          </w:p>
        </w:tc>
        <w:tc>
          <w:tcPr>
            <w:tcW w:type="dxa" w:w="245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האם והאב לפי יכולות יחסיות</w:t>
            </w:r>
          </w:p>
        </w:tc>
        <w:tc>
          <w:tcPr>
            <w:tcW w:type="dxa" w:w="30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האב (האם רק מדיני צדקה, ככל אדם)</w:t>
            </w:r>
          </w:p>
        </w:tc>
      </w:tr>
      <w:tr>
        <w:trPr>
          <w:cantSplit/>
        </w:trPr>
        <w:tc>
          <w:tcPr>
            <w:tcW w:type="dxa" w:w="47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מעל גיל 6: קיזוז הוצאות תלויות שהות אצל האב</w:t>
            </w:r>
          </w:p>
        </w:tc>
        <w:tc>
          <w:tcPr>
            <w:tcW w:type="dxa" w:w="245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רלוונטי</w:t>
            </w:r>
          </w:p>
        </w:tc>
        <w:tc>
          <w:tcPr>
            <w:tcW w:type="dxa" w:w="30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רלוונטי</w:t>
            </w:r>
          </w:p>
        </w:tc>
      </w:tr>
      <w:tr>
        <w:trPr>
          <w:cantSplit/>
        </w:trPr>
        <w:tc>
          <w:tcPr>
            <w:tcW w:type="dxa" w:w="47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פוטנציאל השתכרות</w:t>
            </w:r>
          </w:p>
        </w:tc>
        <w:tc>
          <w:tcPr>
            <w:tcW w:type="dxa" w:w="245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מתחשב</w:t>
            </w:r>
          </w:p>
        </w:tc>
        <w:tc>
          <w:tcPr>
            <w:tcW w:type="dxa" w:w="302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לא מתחשב</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טיפ למבחן</w:t>
            </w:r>
          </w:p>
          <w:p>
            <w:pPr>
              <w:bidi/>
              <w:spacing w:before="0" w:after="60" w:line="300" w:lineRule="auto"/>
              <w:jc w:val="both"/>
            </w:pPr>
            <w:r>
              <w:rPr>
                <w:rFonts w:ascii="Arial" w:hAnsi="Arial" w:cs="Arial" w:eastAsia="Arial"/>
                <w:color w:val="1F2430"/>
                <w:sz w:val="18"/>
                <w:szCs w:val="18"/>
                <w:rtl/>
              </w:rPr>
              <w:t>סדר עבודה באירוע מזונות: (1) איזה דין חל (3(א) או 3(ב) ו-3א); (2) גיל הילד; (3) קיזוז זמני שהות; (4) הכנסה פנויה (3432/09); (5) סיווג ההוצאות והורה מרכז; (6) הערכאה (טבלת ההשוואה). באירוע משמורת: הסכם (סעיף 24) או אין הסכם (סעיף 25), טובת הילד, חזקת הגיל הרך וסיבות מיוחדות.</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10.12 מלכודות נפוצות וסיכום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 נפוצות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highlight w:val="yellow"/>
                <w:rtl/>
              </w:rPr>
              <w:t>919/15 לא שינה את גילאי 0–6</w:t>
            </w:r>
            <w:r>
              <w:rPr>
                <w:rFonts w:ascii="Arial" w:hAnsi="Arial" w:cs="Arial" w:eastAsia="Arial"/>
                <w:color w:val="1F2430"/>
                <w:sz w:val="18"/>
                <w:szCs w:val="18"/>
                <w:rtl/>
              </w:rPr>
              <w:t>. המזונות ההכרחיים עדיין על האב, והשינוי היחיד הוא קיזוז זמני השהות אצלו. אצל ילד בן 5 לא בודקים את הכנסת האם לצורך ההכרחיים.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919/15 </w:t>
            </w:r>
            <w:r>
              <w:rPr>
                <w:rFonts w:ascii="Arial" w:hAnsi="Arial" w:cs="Arial" w:eastAsia="Arial"/>
                <w:b/>
                <w:bCs/>
                <w:color w:val="1F2430"/>
                <w:sz w:val="18"/>
                <w:szCs w:val="18"/>
                <w:rtl/>
              </w:rPr>
              <w:t>לא</w:t>
            </w:r>
            <w:r>
              <w:rPr>
                <w:rFonts w:ascii="Arial" w:hAnsi="Arial" w:cs="Arial" w:eastAsia="Arial"/>
                <w:color w:val="1F2430"/>
                <w:sz w:val="18"/>
                <w:szCs w:val="18"/>
                <w:rtl/>
              </w:rPr>
              <w:t xml:space="preserve"> מוגבל למשמורת משותפת או להכנסות שוות (38647-09-17).</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919/15 </w:t>
            </w:r>
            <w:r>
              <w:rPr>
                <w:rFonts w:ascii="Arial" w:hAnsi="Arial" w:cs="Arial" w:eastAsia="Arial"/>
                <w:b/>
                <w:bCs/>
                <w:color w:val="1F2430"/>
                <w:sz w:val="18"/>
                <w:szCs w:val="18"/>
                <w:rtl/>
              </w:rPr>
              <w:t>אינו</w:t>
            </w:r>
            <w:r>
              <w:rPr>
                <w:rFonts w:ascii="Arial" w:hAnsi="Arial" w:cs="Arial" w:eastAsia="Arial"/>
                <w:color w:val="1F2430"/>
                <w:sz w:val="18"/>
                <w:szCs w:val="18"/>
                <w:rtl/>
              </w:rPr>
              <w:t xml:space="preserve"> כשלעצמו שינוי נסיבות. נדרש שינוי עובדתי מהותי.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חזקת הגיל הרך נוגעת ל</w:t>
            </w:r>
            <w:r>
              <w:rPr>
                <w:rFonts w:ascii="Arial" w:hAnsi="Arial" w:cs="Arial" w:eastAsia="Arial"/>
                <w:b/>
                <w:bCs/>
                <w:color w:val="1F2430"/>
                <w:sz w:val="18"/>
                <w:szCs w:val="18"/>
                <w:rtl/>
              </w:rPr>
              <w:t>משמורת פיזית</w:t>
            </w:r>
            <w:r>
              <w:rPr>
                <w:rFonts w:ascii="Arial" w:hAnsi="Arial" w:cs="Arial" w:eastAsia="Arial"/>
                <w:color w:val="1F2430"/>
                <w:sz w:val="18"/>
                <w:szCs w:val="18"/>
                <w:rtl/>
              </w:rPr>
              <w:t xml:space="preserve"> בלבד, לא לאפוטרופסות או לזרם החינוך. היא </w:t>
            </w:r>
            <w:r>
              <w:rPr>
                <w:rFonts w:ascii="Arial" w:hAnsi="Arial" w:cs="Arial" w:eastAsia="Arial"/>
                <w:b/>
                <w:bCs/>
                <w:color w:val="1F2430"/>
                <w:sz w:val="18"/>
                <w:szCs w:val="18"/>
                <w:rtl/>
              </w:rPr>
              <w:t>ניתנת לסתירה</w:t>
            </w:r>
            <w:r>
              <w:rPr>
                <w:rFonts w:ascii="Arial" w:hAnsi="Arial" w:cs="Arial" w:eastAsia="Arial"/>
                <w:color w:val="1F2430"/>
                <w:sz w:val="18"/>
                <w:szCs w:val="18"/>
                <w:rtl/>
              </w:rPr>
              <w:t xml:space="preserve"> (״סיבות מיוחדות״) ורלוונטית רק בהיעדר הסכמה.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ועדת </w:t>
            </w:r>
            <w:r>
              <w:rPr>
                <w:rFonts w:ascii="Arial" w:hAnsi="Arial" w:cs="Arial" w:eastAsia="Arial"/>
                <w:b/>
                <w:bCs/>
                <w:color w:val="1F2430"/>
                <w:sz w:val="18"/>
                <w:szCs w:val="18"/>
                <w:rtl/>
              </w:rPr>
              <w:t>שניט</w:t>
            </w:r>
            <w:r>
              <w:rPr>
                <w:rFonts w:ascii="Arial" w:hAnsi="Arial" w:cs="Arial" w:eastAsia="Arial"/>
                <w:color w:val="1F2430"/>
                <w:sz w:val="18"/>
                <w:szCs w:val="18"/>
                <w:rtl/>
              </w:rPr>
              <w:t xml:space="preserve"> עסקה בחזקת הגיל הרך, וועדת </w:t>
            </w:r>
            <w:r>
              <w:rPr>
                <w:rFonts w:ascii="Arial" w:hAnsi="Arial" w:cs="Arial" w:eastAsia="Arial"/>
                <w:b/>
                <w:bCs/>
                <w:color w:val="1F2430"/>
                <w:sz w:val="18"/>
                <w:szCs w:val="18"/>
                <w:rtl/>
              </w:rPr>
              <w:t>שיפמן</w:t>
            </w:r>
            <w:r>
              <w:rPr>
                <w:rFonts w:ascii="Arial" w:hAnsi="Arial" w:cs="Arial" w:eastAsia="Arial"/>
                <w:color w:val="1F2430"/>
                <w:sz w:val="18"/>
                <w:szCs w:val="18"/>
                <w:rtl/>
              </w:rPr>
              <w:t xml:space="preserve"> במזונות. </w:t>
            </w:r>
            <w:r>
              <w:rPr>
                <w:rFonts w:ascii="Arial" w:hAnsi="Arial" w:cs="Arial" w:eastAsia="Arial"/>
                <w:b/>
                <w:bCs/>
                <w:color w:val="1F2430"/>
                <w:sz w:val="18"/>
                <w:szCs w:val="18"/>
                <w:rtl/>
              </w:rPr>
              <w:t>אף אחת מהן לא נחקקה</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סעיף 3(ב) אינו פטור: מי שהדין האישי שלו לא מחייב אותו חייב לפי החוק.</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בדין האזרחי (סעיף 3א) שני ההורים חייבים </w:t>
            </w:r>
            <w:r>
              <w:rPr>
                <w:rFonts w:ascii="Arial" w:hAnsi="Arial" w:cs="Arial" w:eastAsia="Arial"/>
                <w:color w:val="1F2430"/>
                <w:sz w:val="18"/>
                <w:szCs w:val="18"/>
                <w:highlight w:val="yellow"/>
                <w:rtl/>
              </w:rPr>
              <w:t>באופן יחסי להכנסותיהם</w:t>
            </w:r>
            <w:r>
              <w:rPr>
                <w:rFonts w:ascii="Arial" w:hAnsi="Arial" w:cs="Arial" w:eastAsia="Arial"/>
                <w:color w:val="1F2430"/>
                <w:sz w:val="18"/>
                <w:szCs w:val="18"/>
                <w:rtl/>
              </w:rPr>
              <w:t>, ולא בהכרח חצי-חצי.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גם בית הדין הרבני כפוף לחוק הכשרות בענייני משמורת (סעיף 79).</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spacing w:before="0" w:after="60" w:line="300" w:lineRule="auto"/>
              <w:jc w:val="both"/>
            </w:pPr>
            <w:r>
              <w:rPr>
                <w:rFonts w:ascii="Arial" w:hAnsi="Arial" w:cs="Arial" w:eastAsia="Arial"/>
                <w:color w:val="1F2430"/>
                <w:sz w:val="18"/>
                <w:szCs w:val="18"/>
                <w:rtl/>
              </w:rPr>
              <w:t>מזונות ילדים נפסקים לפי הדין האישי (3(א)), וכשאין דין אישי מחייב, שני ההורים חייבים יחסית להכנסותיהם (3(ב) ו-3א). בדין העברי עד גיל 6 ההכרחיים על האב בלבד. מגיל 6, על בסיס דין צדקה, קבע בע״מ 919/15 ששני ההורים חבים לפי יכולתם היחסית וזמני השהות, עם הבחנה בין הוצאות תלויות שהות לשאינן תלויות שהות והורה מרכז. המשמורת נקבעת לפי הדין האזרחי וטובת הילד (סעיפים 24 ו-25). חזקת הגיל הרך עדיין בחוק אך נחלשה. בית הדין הרבני דוחה את 919/15.</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B83227"/>
            <w:tcBorders>
              <w:top w:val="single" w:sz="4" w:space="0" w:color="B83227"/>
              <w:left w:val="single" w:sz="4" w:space="0" w:color="B83227"/>
              <w:bottom w:val="single" w:sz="4" w:space="0" w:color="B83227"/>
              <w:right w:val="single" w:sz="4" w:space="0" w:color="B83227"/>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11</w:t>
            </w:r>
          </w:p>
          <w:p>
            <w:pPr>
              <w:bidi/>
              <w:spacing w:before="0" w:after="0" w:line="264" w:lineRule="auto"/>
              <w:outlineLvl w:val="0"/>
            </w:pPr>
            <w:r>
              <w:rPr>
                <w:rFonts w:ascii="Arial" w:hAnsi="Arial" w:cs="Arial" w:eastAsia="Arial"/>
                <w:b/>
                <w:bCs/>
                <w:color w:val="FFFFFF"/>
                <w:sz w:val="42"/>
                <w:szCs w:val="42"/>
                <w:rtl/>
              </w:rPr>
              <w:t>הלכת השיתוף</w:t>
            </w:r>
          </w:p>
        </w:tc>
      </w:tr>
    </w:tbl>
    <w:p>
      <w:pPr>
        <w:bidi/>
        <w:spacing w:after="0" w:before="0" w:line="20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11.1 מבוא: שני משטרי רכוש בישראל</w:t>
      </w:r>
    </w:p>
    <w:p>
      <w:pPr>
        <w:bidi/>
        <w:spacing w:before="0" w:after="100" w:line="300" w:lineRule="auto"/>
        <w:jc w:val="both"/>
      </w:pPr>
      <w:r>
        <w:rPr>
          <w:rFonts w:ascii="Arial" w:hAnsi="Arial" w:cs="Arial" w:eastAsia="Arial"/>
          <w:color w:val="1F2430"/>
          <w:sz w:val="19"/>
          <w:szCs w:val="19"/>
          <w:rtl/>
        </w:rPr>
        <w:t xml:space="preserve">בישראל קיימים </w:t>
      </w:r>
      <w:r>
        <w:rPr>
          <w:rFonts w:ascii="Arial" w:hAnsi="Arial" w:cs="Arial" w:eastAsia="Arial"/>
          <w:b/>
          <w:bCs/>
          <w:color w:val="1F2430"/>
          <w:sz w:val="19"/>
          <w:szCs w:val="19"/>
          <w:rtl/>
        </w:rPr>
        <w:t>שני משטרי רכוש</w:t>
      </w:r>
      <w:r>
        <w:rPr>
          <w:rFonts w:ascii="Arial" w:hAnsi="Arial" w:cs="Arial" w:eastAsia="Arial"/>
          <w:color w:val="1F2430"/>
          <w:sz w:val="19"/>
          <w:szCs w:val="19"/>
          <w:rtl/>
        </w:rPr>
        <w:t>, כלומר שני הסדרים שקובעים איך מחלקים רכוש בין בני זוג כשהם נפרדים (ובמקרה של מוות):</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1. </w:t>
      </w:r>
      <w:r>
        <w:tab/>
      </w:r>
      <w:r>
        <w:rPr>
          <w:rFonts w:ascii="Arial" w:hAnsi="Arial" w:cs="Arial" w:eastAsia="Arial"/>
          <w:b/>
          <w:bCs/>
          <w:color w:val="1F2430"/>
          <w:sz w:val="19"/>
          <w:szCs w:val="19"/>
          <w:rtl/>
        </w:rPr>
        <w:t>הלכת השיתוף (חזקת השיתוף)</w:t>
      </w:r>
      <w:r>
        <w:rPr>
          <w:rFonts w:ascii="Arial" w:hAnsi="Arial" w:cs="Arial" w:eastAsia="Arial"/>
          <w:color w:val="1F2430"/>
          <w:sz w:val="19"/>
          <w:szCs w:val="19"/>
          <w:rtl/>
        </w:rPr>
        <w:t xml:space="preserve"> - הסדר שנוצר </w:t>
      </w:r>
      <w:r>
        <w:rPr>
          <w:rFonts w:ascii="Arial" w:hAnsi="Arial" w:cs="Arial" w:eastAsia="Arial"/>
          <w:color w:val="1F2430"/>
          <w:sz w:val="19"/>
          <w:szCs w:val="19"/>
          <w:highlight w:val="yellow"/>
          <w:rtl/>
        </w:rPr>
        <w:t>בפסיקה</w:t>
      </w:r>
      <w:r>
        <w:rPr>
          <w:rFonts w:ascii="Arial" w:hAnsi="Arial" w:cs="Arial" w:eastAsia="Arial"/>
          <w:color w:val="1F2430"/>
          <w:sz w:val="19"/>
          <w:szCs w:val="19"/>
          <w:rtl/>
        </w:rPr>
        <w:t xml:space="preserve"> של בית המשפט העליון, ולא בחוק של הכנסת.</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2. </w:t>
      </w:r>
      <w:r>
        <w:tab/>
      </w:r>
      <w:r>
        <w:rPr>
          <w:rFonts w:ascii="Arial" w:hAnsi="Arial" w:cs="Arial" w:eastAsia="Arial"/>
          <w:b/>
          <w:bCs/>
          <w:color w:val="1F2430"/>
          <w:sz w:val="19"/>
          <w:szCs w:val="19"/>
          <w:rtl/>
        </w:rPr>
        <w:t>הסדר איזון המשאבים</w:t>
      </w:r>
      <w:r>
        <w:rPr>
          <w:rFonts w:ascii="Arial" w:hAnsi="Arial" w:cs="Arial" w:eastAsia="Arial"/>
          <w:color w:val="1F2430"/>
          <w:sz w:val="19"/>
          <w:szCs w:val="19"/>
          <w:rtl/>
        </w:rPr>
        <w:t xml:space="preserve"> - הסדר שנקבע </w:t>
      </w:r>
      <w:r>
        <w:rPr>
          <w:rFonts w:ascii="Arial" w:hAnsi="Arial" w:cs="Arial" w:eastAsia="Arial"/>
          <w:color w:val="1F2430"/>
          <w:sz w:val="19"/>
          <w:szCs w:val="19"/>
          <w:highlight w:val="yellow"/>
          <w:rtl/>
        </w:rPr>
        <w:t>בחקיקה</w:t>
      </w:r>
      <w:r>
        <w:rPr>
          <w:rFonts w:ascii="Arial" w:hAnsi="Arial" w:cs="Arial" w:eastAsia="Arial"/>
          <w:color w:val="1F2430"/>
          <w:sz w:val="19"/>
          <w:szCs w:val="19"/>
          <w:rtl/>
        </w:rPr>
        <w:t>, בחוק יחסי ממון בין בני זוג, התשל"ג-1973, וחל על מי שנישא מיום 1.1.1974 (ראו פרק 12).</w:t>
      </w:r>
    </w:p>
    <w:p>
      <w:pPr>
        <w:bidi/>
        <w:spacing w:before="0" w:after="100" w:line="300" w:lineRule="auto"/>
        <w:jc w:val="both"/>
      </w:pPr>
      <w:r>
        <w:rPr>
          <w:rFonts w:ascii="Arial" w:hAnsi="Arial" w:cs="Arial" w:eastAsia="Arial"/>
          <w:color w:val="1F2430"/>
          <w:sz w:val="19"/>
          <w:szCs w:val="19"/>
          <w:rtl/>
        </w:rPr>
        <w:t>הפרק הזה עוסק במשטר הראשון. חשוב להבין אותו היטב גם מפני שהוא עדיין חל על אנשים רבים, וגם מפני שחלק מהמושגים שלו (נכס פנימי וחיצוני, כוונת שיתוף, תום לב של צד שלישי) חוזרים בפסיקה גם אחרי חוק יחסי ממון.</w:t>
      </w:r>
    </w:p>
    <w:tbl>
      <w:tblPr>
        <w:tblW w:type="dxa" w:w="10206"/>
        <w:jc w:val="center"/>
        <w:tblLook w:firstColumn="1" w:firstRow="1" w:lastColumn="0" w:lastRow="0" w:noHBand="0" w:noVBand="1" w:val="04A0"/>
        <w:bidiVisual/>
        <w:tblLayout w:type="fixed"/>
      </w:tblPr>
      <w:tblGrid>
        <w:gridCol w:w="1379"/>
        <w:gridCol w:w="4827"/>
        <w:gridCol w:w="3999"/>
      </w:tblGrid>
      <w:tr>
        <w:trPr>
          <w:tblHeader/>
        </w:trPr>
        <w:tc>
          <w:tcPr>
            <w:tcW w:type="dxa" w:w="1379"/>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p>
        </w:tc>
        <w:tc>
          <w:tcPr>
            <w:tcW w:type="dxa" w:w="4827"/>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3999"/>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איזון המשאבים</w:t>
            </w:r>
          </w:p>
        </w:tc>
      </w:tr>
      <w:tr>
        <w:trPr>
          <w:cantSplit/>
        </w:trPr>
        <w:tc>
          <w:tcPr>
            <w:tcW w:type="dxa" w:w="13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מקור</w:t>
            </w:r>
          </w:p>
        </w:tc>
        <w:tc>
          <w:tcPr>
            <w:tcW w:type="dxa" w:w="4827"/>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פסיקה (חקיקה שיפוטית)</w:t>
            </w:r>
          </w:p>
        </w:tc>
        <w:tc>
          <w:tcPr>
            <w:tcW w:type="dxa" w:w="399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חוק יחסי ממון</w:t>
            </w:r>
          </w:p>
        </w:tc>
      </w:tr>
      <w:tr>
        <w:trPr>
          <w:cantSplit/>
        </w:trPr>
        <w:tc>
          <w:tcPr>
            <w:tcW w:type="dxa" w:w="13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על מי חל</w:t>
            </w:r>
          </w:p>
        </w:tc>
        <w:tc>
          <w:tcPr>
            <w:tcW w:type="dxa" w:w="4827"/>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נישאו לפני 1.1.1974 + ידועים בציבור</w:t>
            </w:r>
          </w:p>
        </w:tc>
        <w:tc>
          <w:tcPr>
            <w:tcW w:type="dxa" w:w="399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נישאו מיום 1.1.1974 ואילך</w:t>
            </w:r>
          </w:p>
        </w:tc>
      </w:tr>
      <w:tr>
        <w:trPr>
          <w:cantSplit/>
        </w:trPr>
        <w:tc>
          <w:tcPr>
            <w:tcW w:type="dxa" w:w="13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אופי הזכות</w:t>
            </w:r>
          </w:p>
        </w:tc>
        <w:tc>
          <w:tcPr>
            <w:tcW w:type="dxa" w:w="4827"/>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קניינית - בעלות בנכס עצמו</w:t>
            </w:r>
          </w:p>
        </w:tc>
        <w:tc>
          <w:tcPr>
            <w:tcW w:type="dxa" w:w="399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אובליגטורית - זכות לשווי כספי</w:t>
            </w:r>
          </w:p>
        </w:tc>
      </w:tr>
      <w:tr>
        <w:trPr>
          <w:cantSplit/>
        </w:trPr>
        <w:tc>
          <w:tcPr>
            <w:tcW w:type="dxa" w:w="13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מתי</w:t>
            </w:r>
          </w:p>
        </w:tc>
        <w:tc>
          <w:tcPr>
            <w:tcW w:type="dxa" w:w="4827"/>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בנכסים משפחתיים - כבר במהלך החיים</w:t>
            </w:r>
          </w:p>
        </w:tc>
        <w:tc>
          <w:tcPr>
            <w:tcW w:type="dxa" w:w="399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במועד איזון המשאבים</w:t>
            </w:r>
          </w:p>
        </w:tc>
      </w:tr>
    </w:tbl>
    <w:p>
      <w:pPr>
        <w:bidi/>
        <w:spacing w:after="0" w:before="0" w:line="120" w:lineRule="exact"/>
      </w:pPr>
      <w:r>
        <w:rPr>
          <w:sz w:val="2"/>
        </w:rPr>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על מי חלה הלכת השיתוף?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בני זוג שנישאו לפני 1.1.1974</w:t>
      </w:r>
      <w:r>
        <w:rPr>
          <w:rFonts w:ascii="Arial" w:hAnsi="Arial" w:cs="Arial" w:eastAsia="Arial"/>
          <w:color w:val="1F2430"/>
          <w:sz w:val="19"/>
          <w:szCs w:val="19"/>
          <w:rtl/>
        </w:rPr>
        <w:t xml:space="preserve"> - לא משנה מתי התגרשו. סעיף 14 לחוק יחסי ממון (הוראות מעבר) קובע שהפרק השני של החוק (הסדר איזון המשאבים) לא יחול על מי שנישאו לפני תחילת החוק. לעומת זאת, הפרק הראשון (הסכמי ממון) חל על כולם - גם זוג שנישא ב-1970 ועורך היום הסכם ממון, עורך אותו לפי החוק.</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 בלי קשר למועד שבו התחילה הזוגיות, שהרי חוק יחסי ממון אינו חל עליהם. אבל אצלם השיתוף </w:t>
      </w:r>
      <w:r>
        <w:rPr>
          <w:rFonts w:ascii="Arial" w:hAnsi="Arial" w:cs="Arial" w:eastAsia="Arial"/>
          <w:color w:val="1F2430"/>
          <w:sz w:val="19"/>
          <w:szCs w:val="19"/>
          <w:highlight w:val="yellow"/>
          <w:rtl/>
        </w:rPr>
        <w:t>אינו ברירת מחדל</w:t>
      </w:r>
      <w:r>
        <w:rPr>
          <w:rFonts w:ascii="Arial" w:hAnsi="Arial" w:cs="Arial" w:eastAsia="Arial"/>
          <w:color w:val="1F2430"/>
          <w:sz w:val="19"/>
          <w:szCs w:val="19"/>
          <w:rtl/>
        </w:rPr>
        <w:t>: הם צריכים להוכיח קודם שהם ידועים בציבור, ואחר כך להוכיח כוונת שיתוף (פס"ד שחר נ' פרידמן - "הלכת שיתוף מוחלשת").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נישואין אזרחיים</w:t>
      </w:r>
      <w:r>
        <w:rPr>
          <w:rFonts w:ascii="Arial" w:hAnsi="Arial" w:cs="Arial" w:eastAsia="Arial"/>
          <w:color w:val="1F2430"/>
          <w:sz w:val="19"/>
          <w:szCs w:val="19"/>
          <w:rtl/>
        </w:rPr>
        <w:t xml:space="preserve"> - גם עליהם חלה הלכת השיתוף (או חוק יחסי ממון, לפי מועד הנישואין). כך עלה בפרשת אורון (ראו בהמשך).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זוג שנישא בחו"ל לפני 1974</w:t>
            </w:r>
          </w:p>
          <w:p>
            <w:pPr>
              <w:bidi/>
              <w:spacing w:before="0" w:after="60" w:line="300" w:lineRule="auto"/>
              <w:jc w:val="both"/>
            </w:pPr>
            <w:r>
              <w:rPr>
                <w:rFonts w:ascii="Arial" w:hAnsi="Arial" w:cs="Arial" w:eastAsia="Arial"/>
                <w:color w:val="1F2430"/>
                <w:sz w:val="18"/>
                <w:szCs w:val="18"/>
                <w:rtl/>
              </w:rPr>
              <w:t xml:space="preserve">בני זוג יהודים נישאו בשנת 1970 בגרמניה, עלו לארץ ב-1975 והתגרשו ב-1980. אילו נישאו אחרי 1974, ייתכן שהיה צריך לבדוק את הדין הזר (לפי הוראות הברירה שבחוק יחסי ממון). אבל מאחר שנישאו לפני כניסת החוק לתוקף - חל עליהם הדין הקודם, </w:t>
            </w:r>
            <w:r>
              <w:rPr>
                <w:rFonts w:ascii="Arial" w:hAnsi="Arial" w:cs="Arial" w:eastAsia="Arial"/>
                <w:color w:val="1F2430"/>
                <w:sz w:val="18"/>
                <w:szCs w:val="18"/>
                <w:highlight w:val="yellow"/>
                <w:rtl/>
              </w:rPr>
              <w:t>הלכת השיתוף</w:t>
            </w:r>
            <w:r>
              <w:rPr>
                <w:rFonts w:ascii="Arial" w:hAnsi="Arial" w:cs="Arial" w:eastAsia="Arial"/>
                <w:color w:val="1F2430"/>
                <w:sz w:val="18"/>
                <w:szCs w:val="18"/>
                <w:rtl/>
              </w:rPr>
              <w:t>.</w:t>
            </w:r>
          </w:p>
        </w:tc>
      </w:tr>
    </w:tbl>
    <w:p>
      <w:pPr>
        <w:bidi/>
        <w:spacing w:after="0" w:before="0" w:line="120" w:lineRule="exact"/>
      </w:pPr>
      <w:r>
        <w:rPr>
          <w:sz w:val="2"/>
        </w:rPr>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מדוע נוצרה ההלכה?</w:t>
      </w:r>
    </w:p>
    <w:p>
      <w:pPr>
        <w:bidi/>
        <w:spacing w:before="0" w:after="100" w:line="300" w:lineRule="auto"/>
        <w:jc w:val="both"/>
      </w:pPr>
      <w:r>
        <w:rPr>
          <w:rFonts w:ascii="Arial" w:hAnsi="Arial" w:cs="Arial" w:eastAsia="Arial"/>
          <w:color w:val="1F2430"/>
          <w:sz w:val="19"/>
          <w:szCs w:val="19"/>
          <w:rtl/>
        </w:rPr>
        <w:t xml:space="preserve">בני זוג לא רושמים כל נכס על שם שניהם. לפי חלוקת התפקידים המסורתית, "שר החוץ" של המשפחה (מי שעובד מחוץ לבית) צובר נכסים על שמו, ו"שר הפנים" (מי שמחזיק את הבית והילדים) נשאר בלי רישום. אילו חילקו לפי דיני הקניין הרגילים, לפי מי שרשום, בן הזוג הביתי היה יוצא בלי כלום. לכן </w:t>
      </w:r>
      <w:r>
        <w:rPr>
          <w:rFonts w:ascii="Arial" w:hAnsi="Arial" w:cs="Arial" w:eastAsia="Arial"/>
          <w:color w:val="1F2430"/>
          <w:sz w:val="19"/>
          <w:szCs w:val="19"/>
          <w:highlight w:val="yellow"/>
          <w:rtl/>
        </w:rPr>
        <w:t>בדיני המשפחה חזקת השיתוף גוברת על הרישום</w:t>
      </w:r>
      <w:r>
        <w:rPr>
          <w:rFonts w:ascii="Arial" w:hAnsi="Arial" w:cs="Arial" w:eastAsia="Arial"/>
          <w:color w:val="1F2430"/>
          <w:sz w:val="19"/>
          <w:szCs w:val="19"/>
          <w:rtl/>
        </w:rPr>
        <w:t xml:space="preserve">, והרכוש המשותף מתחלק </w:t>
      </w:r>
      <w:r>
        <w:rPr>
          <w:rFonts w:ascii="Arial" w:hAnsi="Arial" w:cs="Arial" w:eastAsia="Arial"/>
          <w:color w:val="1F2430"/>
          <w:sz w:val="19"/>
          <w:szCs w:val="19"/>
          <w:highlight w:val="yellow"/>
          <w:rtl/>
        </w:rPr>
        <w:t>חצי חצי</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color w:val="1F2430"/>
          <w:sz w:val="19"/>
          <w:szCs w:val="19"/>
          <w:rtl/>
        </w:rPr>
        <w:t>רקע חקיקתי: בפרשת סידיס נקבע שרכוש אינו חלק מ"ענייני נישואין וגירושין" ואינו מענייני המעמד האישי, ולכן אין הוראה שמחייבת לחלק אותו לפי דין דתי. סעיף 2 לחוק שיווי זכויות האישה, התשי"א-1951, קובע: "לאשה נשואה תהיה כשרות מלאה לקנין ולעשיה בקנינים כאילו היתה פנויה; ואין קניניה שרכשה לפני הנישואין נפגעים על ידי קשר הנישואין". הסעיף יצא נגד תפיסות בדין הדתי (למשל "מה שקנתה אישה קנה בעלה"), והפסיקה הבינה ממנו שהמחוקק אינו רוצה שרכוש ינוהל לפי דין אישי.</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11.2 ההתפתחות: מהסכם מכללא לחזקה שיפוטית</w:t>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שלב א: הסכם מכללא (קונסטרוקציה חוזית)</w:t>
      </w:r>
    </w:p>
    <w:p>
      <w:pPr>
        <w:bidi/>
        <w:spacing w:before="0" w:after="100" w:line="300" w:lineRule="auto"/>
        <w:jc w:val="both"/>
      </w:pPr>
      <w:r>
        <w:rPr>
          <w:rFonts w:ascii="Arial" w:hAnsi="Arial" w:cs="Arial" w:eastAsia="Arial"/>
          <w:color w:val="1F2430"/>
          <w:sz w:val="19"/>
          <w:szCs w:val="19"/>
          <w:rtl/>
        </w:rPr>
        <w:t xml:space="preserve">בתחילה חיפש בית המשפט בסיס משפטי, ומצא אותו בחוזה: מניחים שקיים בין בני הזוג </w:t>
      </w:r>
      <w:r>
        <w:rPr>
          <w:rFonts w:ascii="Arial" w:hAnsi="Arial" w:cs="Arial" w:eastAsia="Arial"/>
          <w:color w:val="1F2430"/>
          <w:sz w:val="19"/>
          <w:szCs w:val="19"/>
          <w:highlight w:val="yellow"/>
          <w:rtl/>
        </w:rPr>
        <w:t>הסכם שלא נכתב</w:t>
      </w:r>
      <w:r>
        <w:rPr>
          <w:rFonts w:ascii="Arial" w:hAnsi="Arial" w:cs="Arial" w:eastAsia="Arial"/>
          <w:color w:val="1F2430"/>
          <w:sz w:val="19"/>
          <w:szCs w:val="19"/>
          <w:rtl/>
        </w:rPr>
        <w:t>, שלפיו הם מתכוונים לשתף זה את זה ברכוש. אילו היו שואלים את הבעל שרשם את הדירה על שמו אם היא שלו בלבד, סביר שהיה עונה שהיא של שניהם. הסכם מפורש בכתב גובר כמובן על הסכם מכללא.</w:t>
      </w:r>
    </w:p>
    <w:p>
      <w:pPr>
        <w:bidi/>
        <w:spacing w:before="0" w:after="100" w:line="300" w:lineRule="auto"/>
        <w:jc w:val="both"/>
      </w:pPr>
      <w:r>
        <w:rPr>
          <w:rFonts w:ascii="Arial" w:hAnsi="Arial" w:cs="Arial" w:eastAsia="Arial"/>
          <w:color w:val="1F2430"/>
          <w:sz w:val="19"/>
          <w:szCs w:val="19"/>
          <w:rtl/>
        </w:rPr>
        <w:t xml:space="preserve">בשלב זה נדרשו שני תנאים: </w:t>
      </w:r>
      <w:r>
        <w:rPr>
          <w:rFonts w:ascii="Arial" w:hAnsi="Arial" w:cs="Arial" w:eastAsia="Arial"/>
          <w:b/>
          <w:bCs/>
          <w:color w:val="1F2430"/>
          <w:sz w:val="19"/>
          <w:szCs w:val="19"/>
          <w:rtl/>
        </w:rPr>
        <w:t>אורח חיים תקין</w:t>
      </w:r>
      <w:r>
        <w:rPr>
          <w:rFonts w:ascii="Arial" w:hAnsi="Arial" w:cs="Arial" w:eastAsia="Arial"/>
          <w:color w:val="1F2430"/>
          <w:sz w:val="19"/>
          <w:szCs w:val="19"/>
          <w:rtl/>
        </w:rPr>
        <w:t xml:space="preserve"> ו</w:t>
      </w:r>
      <w:r>
        <w:rPr>
          <w:rFonts w:ascii="Arial" w:hAnsi="Arial" w:cs="Arial" w:eastAsia="Arial"/>
          <w:b/>
          <w:bCs/>
          <w:color w:val="1F2430"/>
          <w:sz w:val="19"/>
          <w:szCs w:val="19"/>
          <w:rtl/>
        </w:rPr>
        <w:t>מאמץ משותף</w:t>
      </w:r>
      <w:r>
        <w:rPr>
          <w:rFonts w:ascii="Arial" w:hAnsi="Arial" w:cs="Arial" w:eastAsia="Arial"/>
          <w:color w:val="1F2430"/>
          <w:sz w:val="19"/>
          <w:szCs w:val="19"/>
          <w:rtl/>
        </w:rPr>
        <w:t xml:space="preserve"> (לא בהכרח השתתפות כספית). אצל נשואים הונחה כוונת שיתוף; אצל ידועים בציבור היה צריך להוכיח אותה.</w:t>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הסדקים בהסבר החוזי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הסתרת נכסים</w:t>
      </w:r>
      <w:r>
        <w:rPr>
          <w:rFonts w:ascii="Arial" w:hAnsi="Arial" w:cs="Arial" w:eastAsia="Arial"/>
          <w:color w:val="1F2430"/>
          <w:sz w:val="19"/>
          <w:szCs w:val="19"/>
          <w:rtl/>
        </w:rPr>
        <w:t xml:space="preserve"> - אי אפשר לטעון שבעל שהסתיר נכס התכוון לשתף בו, ובכל זאת רוצים שהנכס יהיה משותף.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אישה שסברה שהכול של בעלה</w:t>
      </w:r>
      <w:r>
        <w:rPr>
          <w:rFonts w:ascii="Arial" w:hAnsi="Arial" w:cs="Arial" w:eastAsia="Arial"/>
          <w:color w:val="1F2430"/>
          <w:sz w:val="19"/>
          <w:szCs w:val="19"/>
          <w:rtl/>
        </w:rPr>
        <w:t xml:space="preserve"> - קשה לדבר על כוונה משותפת.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בעל שמנהל את הכספים לבדו ומקציב לאישה דמי כיס</w:t>
      </w:r>
      <w:r>
        <w:rPr>
          <w:rFonts w:ascii="Arial" w:hAnsi="Arial" w:cs="Arial" w:eastAsia="Arial"/>
          <w:color w:val="1F2430"/>
          <w:sz w:val="19"/>
          <w:szCs w:val="19"/>
          <w:rtl/>
        </w:rPr>
        <w:t xml:space="preserve"> (ע"א 724/83 בר נתן) - איך אפשר לומר שהתכוון לשתף?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יחסים לא טובים ומריבות</w:t>
      </w:r>
      <w:r>
        <w:rPr>
          <w:rFonts w:ascii="Arial" w:hAnsi="Arial" w:cs="Arial" w:eastAsia="Arial"/>
          <w:color w:val="1F2430"/>
          <w:sz w:val="19"/>
          <w:szCs w:val="19"/>
          <w:rtl/>
        </w:rPr>
        <w:t xml:space="preserve"> - האם הם שוללים את "אורח החיים התקין"?</w:t>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שלב ב: חזקת השיתוף - חזקה נורמטיבית</w:t>
      </w:r>
    </w:p>
    <w:p>
      <w:pPr>
        <w:bidi/>
        <w:spacing w:before="0" w:after="100" w:line="300" w:lineRule="auto"/>
        <w:jc w:val="both"/>
      </w:pPr>
      <w:r>
        <w:rPr>
          <w:rFonts w:ascii="Arial" w:hAnsi="Arial" w:cs="Arial" w:eastAsia="Arial"/>
          <w:color w:val="1F2430"/>
          <w:sz w:val="19"/>
          <w:szCs w:val="19"/>
          <w:rtl/>
        </w:rPr>
        <w:t>מכאן (מיוחס לשנות ה-80) המשפט עבר ל</w:t>
      </w:r>
      <w:r>
        <w:rPr>
          <w:rFonts w:ascii="Arial" w:hAnsi="Arial" w:cs="Arial" w:eastAsia="Arial"/>
          <w:b/>
          <w:bCs/>
          <w:color w:val="1F2430"/>
          <w:sz w:val="19"/>
          <w:szCs w:val="19"/>
          <w:rtl/>
        </w:rPr>
        <w:t>רציונל נורמטיבי</w:t>
      </w:r>
      <w:r>
        <w:rPr>
          <w:rFonts w:ascii="Arial" w:hAnsi="Arial" w:cs="Arial" w:eastAsia="Arial"/>
          <w:color w:val="1F2430"/>
          <w:sz w:val="19"/>
          <w:szCs w:val="19"/>
          <w:rtl/>
        </w:rPr>
        <w:t xml:space="preserve">: בית המשפט מפסיק לשאול מה בני הזוג התכוונו, וקובע בעצמו שמה שנצבר בחיים המשותפים </w:t>
      </w:r>
      <w:r>
        <w:rPr>
          <w:rFonts w:ascii="Arial" w:hAnsi="Arial" w:cs="Arial" w:eastAsia="Arial"/>
          <w:color w:val="1F2430"/>
          <w:sz w:val="19"/>
          <w:szCs w:val="19"/>
          <w:highlight w:val="yellow"/>
          <w:rtl/>
        </w:rPr>
        <w:t>משותף</w:t>
      </w:r>
      <w:r>
        <w:rPr>
          <w:rFonts w:ascii="Arial" w:hAnsi="Arial" w:cs="Arial" w:eastAsia="Arial"/>
          <w:color w:val="1F2430"/>
          <w:sz w:val="19"/>
          <w:szCs w:val="19"/>
          <w:rtl/>
        </w:rPr>
        <w:t>. זו "חקיקה שיפוטית", והיא חלה על כולם בלי צורך בכוונה ובדוקטרינה החוזית. היא משחררת את בן הזוג החלש מהצורך להוכיח, תורמת לאמון וליציבות המשפחה, וגם נכס שהוסתר ונמצא (לפעמים בעזרת חוקר פרטי) - משותף.</w:t>
      </w:r>
    </w:p>
    <w:p>
      <w:pPr>
        <w:bidi/>
        <w:spacing w:before="0" w:after="100" w:line="300" w:lineRule="auto"/>
        <w:jc w:val="both"/>
      </w:pPr>
      <w:r>
        <w:rPr>
          <w:rFonts w:ascii="Arial" w:hAnsi="Arial" w:cs="Arial" w:eastAsia="Arial"/>
          <w:b/>
          <w:bCs/>
          <w:color w:val="1F2430"/>
          <w:sz w:val="19"/>
          <w:szCs w:val="19"/>
          <w:rtl/>
        </w:rPr>
        <w:t>התנאי כיום: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חיים משותפים תחת קורת גג אחת</w:t>
      </w:r>
      <w:r>
        <w:rPr>
          <w:rFonts w:ascii="Arial" w:hAnsi="Arial" w:cs="Arial" w:eastAsia="Arial"/>
          <w:color w:val="1F2430"/>
          <w:sz w:val="19"/>
          <w:szCs w:val="19"/>
          <w:rtl/>
        </w:rPr>
        <w:t>. לא נדרשת הרמוניה, לא נדרשת מערכת יחסים מושלמת ולא נדרשת תרומה שווה. מריבות אינן שוללות שיתוף; מה שמפסיק אותו הוא פירוד של ממש (משבר שמביא ליציאה מהבית, או הגשת תביעות - ראו פרשת לידאי). בית המשפט אינו רוצה לחלק רכוש לפי השאלה מי היה בן זוג טוב יותר.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370/87 מדג'ר - "תרומה שלילית"</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האישה סבלה במשך שנים ממחלת נפש קשה ואושפזה לא מעט. הבעל סעד אותה במסירות, הגיע אליה כל ערב וחזר הביתה. במהלך הנישואין רכש בית מרקחת ורשם אותו על שמו. המחלוקת התנהלה בסופו של דבר בין העיזבונות (בני הזוג נפטרו והיורשים התדיינו). המחוזי קבע שהאישה לא תרמה לעסק ואף הכבידה ("תרומה שלילית"), ולכן בית המרקחת של הבעל בלבד.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 ברק הפך: חיי נישואין הם "מסכת אנושית" - פעם זה חולה ופעם זו, וזה חלק מהחיים המשותפים. מחלה ואי-תרומה כלכלית אינן שוללות שיתוף. בית המרקחת מתחלק חצי חצי.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ההמחשה החזקה ביותר לכך שהחזקה נורמטיבית ואינה תלויה במאמץ משותף בפועל או בטיב היחסים.</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11.3 ההשלכות של חזקת השיתוף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בעלות משותפת ושווה</w:t>
      </w:r>
      <w:r>
        <w:rPr>
          <w:rFonts w:ascii="Arial" w:hAnsi="Arial" w:cs="Arial" w:eastAsia="Arial"/>
          <w:color w:val="1F2430"/>
          <w:sz w:val="19"/>
          <w:szCs w:val="19"/>
          <w:rtl/>
        </w:rPr>
        <w:t xml:space="preserve"> - חצי חצי, לא 60/40 לפי "תרומה".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חלה על בני כל העדות והדתות</w:t>
      </w:r>
      <w:r>
        <w:rPr>
          <w:rFonts w:ascii="Arial" w:hAnsi="Arial" w:cs="Arial" w:eastAsia="Arial"/>
          <w:color w:val="1F2430"/>
          <w:sz w:val="19"/>
          <w:szCs w:val="19"/>
          <w:rtl/>
        </w:rPr>
        <w:t xml:space="preserve"> - זה דין אזרחי טריטוריאלי ולא דין דתי.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יציאה מהשיתוף רק בהסכם מפורש</w:t>
      </w:r>
      <w:r>
        <w:rPr>
          <w:rFonts w:ascii="Arial" w:hAnsi="Arial" w:cs="Arial" w:eastAsia="Arial"/>
          <w:color w:val="1F2430"/>
          <w:sz w:val="19"/>
          <w:szCs w:val="19"/>
          <w:rtl/>
        </w:rPr>
        <w:t xml:space="preserve"> - הסכם ממון (אצל נשואים - מאושר כדין). בנכסים פנימיים </w:t>
      </w:r>
      <w:r>
        <w:rPr>
          <w:rFonts w:ascii="Arial" w:hAnsi="Arial" w:cs="Arial" w:eastAsia="Arial"/>
          <w:color w:val="1F2430"/>
          <w:sz w:val="19"/>
          <w:szCs w:val="19"/>
          <w:highlight w:val="yellow"/>
          <w:rtl/>
        </w:rPr>
        <w:t>לא</w:t>
      </w:r>
      <w:r>
        <w:rPr>
          <w:rFonts w:ascii="Arial" w:hAnsi="Arial" w:cs="Arial" w:eastAsia="Arial"/>
          <w:color w:val="1F2430"/>
          <w:sz w:val="19"/>
          <w:szCs w:val="19"/>
          <w:rtl/>
        </w:rPr>
        <w:t xml:space="preserve"> ניתן לצאת בהתנהגות: חשבון בנק נפרד, הסתרה או רישום על שם אחד - אינם מוכיחים כוונה להפריד.</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השיתוף מתחיל ממועד הרכישה</w:t>
      </w:r>
      <w:r>
        <w:rPr>
          <w:rFonts w:ascii="Arial" w:hAnsi="Arial" w:cs="Arial" w:eastAsia="Arial"/>
          <w:color w:val="1F2430"/>
          <w:sz w:val="19"/>
          <w:szCs w:val="19"/>
          <w:rtl/>
        </w:rPr>
        <w:t xml:space="preserve"> - זו </w:t>
      </w:r>
      <w:r>
        <w:rPr>
          <w:rFonts w:ascii="Arial" w:hAnsi="Arial" w:cs="Arial" w:eastAsia="Arial"/>
          <w:color w:val="1F2430"/>
          <w:sz w:val="19"/>
          <w:szCs w:val="19"/>
          <w:highlight w:val="yellow"/>
          <w:rtl/>
        </w:rPr>
        <w:t>זכות קניינית מעכשיו</w:t>
      </w:r>
      <w:r>
        <w:rPr>
          <w:rFonts w:ascii="Arial" w:hAnsi="Arial" w:cs="Arial" w:eastAsia="Arial"/>
          <w:color w:val="1F2430"/>
          <w:sz w:val="19"/>
          <w:szCs w:val="19"/>
          <w:rtl/>
        </w:rPr>
        <w:t>, שאינה דחויה לפקיעת הנישואין. נכס שנקנה מכספי הנישואין משותף כבר מרגע הרכישה, גם אם נרשם על שם אחד. הדבר חשוב במיוחד כשאחד מבני הזוג מוכר או משעבד נכס לצד שלישי במהלך הנישואין (פרשת סיטין).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למבחן: פסק דין הצהרתי לפני הגירושין</w:t>
            </w:r>
          </w:p>
          <w:p>
            <w:pPr>
              <w:bidi/>
              <w:spacing w:before="0" w:after="60" w:line="300" w:lineRule="auto"/>
              <w:jc w:val="both"/>
            </w:pPr>
            <w:r>
              <w:rPr>
                <w:rFonts w:ascii="Arial" w:hAnsi="Arial" w:cs="Arial" w:eastAsia="Arial"/>
                <w:color w:val="1F2430"/>
                <w:sz w:val="18"/>
                <w:szCs w:val="18"/>
                <w:rtl/>
              </w:rPr>
              <w:t xml:space="preserve">בעל טוען: "טרם התגרשנו, ולכן אין לה זכויות ברכוש". בהלכת השיתוף הטענה נדחית - מדובר בזכות קניינית מיידית, והאישה יכולה לבקש </w:t>
            </w:r>
            <w:r>
              <w:rPr>
                <w:rFonts w:ascii="Arial" w:hAnsi="Arial" w:cs="Arial" w:eastAsia="Arial"/>
                <w:color w:val="1F2430"/>
                <w:sz w:val="18"/>
                <w:szCs w:val="18"/>
                <w:highlight w:val="yellow"/>
                <w:rtl/>
              </w:rPr>
              <w:t>פסק דין הצהרתי</w:t>
            </w:r>
            <w:r>
              <w:rPr>
                <w:rFonts w:ascii="Arial" w:hAnsi="Arial" w:cs="Arial" w:eastAsia="Arial"/>
                <w:color w:val="1F2430"/>
                <w:sz w:val="18"/>
                <w:szCs w:val="18"/>
                <w:rtl/>
              </w:rPr>
              <w:t xml:space="preserve"> על זכויותיה בכל שלב. סייג: בנכס עסקי השיתוף נדחה למועד הקריטי (פרשת שלם, סעיף 11.12).</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11.4 הלכת השיתוף בבית הדין הרבני - בבלי ו"שוויון לפני החוק"</w:t>
      </w:r>
    </w:p>
    <w:p>
      <w:pPr>
        <w:bidi/>
        <w:spacing w:before="0" w:after="100" w:line="300" w:lineRule="auto"/>
        <w:jc w:val="both"/>
      </w:pPr>
      <w:r>
        <w:rPr>
          <w:rFonts w:ascii="Arial" w:hAnsi="Arial" w:cs="Arial" w:eastAsia="Arial"/>
          <w:b/>
          <w:bCs/>
          <w:color w:val="1F2430"/>
          <w:sz w:val="19"/>
          <w:szCs w:val="19"/>
          <w:rtl/>
        </w:rPr>
        <w:t>שאלת הסמכות:</w:t>
      </w:r>
      <w:r>
        <w:rPr>
          <w:rFonts w:ascii="Arial" w:hAnsi="Arial" w:cs="Arial" w:eastAsia="Arial"/>
          <w:color w:val="1F2430"/>
          <w:sz w:val="19"/>
          <w:szCs w:val="19"/>
          <w:rtl/>
        </w:rPr>
        <w:t xml:space="preserve"> בית הדין הרבני דן ברכוש רק ב</w:t>
      </w:r>
      <w:r>
        <w:rPr>
          <w:rFonts w:ascii="Arial" w:hAnsi="Arial" w:cs="Arial" w:eastAsia="Arial"/>
          <w:b/>
          <w:bCs/>
          <w:color w:val="1F2430"/>
          <w:sz w:val="19"/>
          <w:szCs w:val="19"/>
          <w:rtl/>
        </w:rPr>
        <w:t>כריכה</w:t>
      </w:r>
      <w:r>
        <w:rPr>
          <w:rFonts w:ascii="Arial" w:hAnsi="Arial" w:cs="Arial" w:eastAsia="Arial"/>
          <w:color w:val="1F2430"/>
          <w:sz w:val="19"/>
          <w:szCs w:val="19"/>
          <w:rtl/>
        </w:rPr>
        <w:t xml:space="preserve"> לתביעת גירושין כנה (סעיף 3 לחוק השיפוט), ולא בהסכמה לפי סעיף 9, משום שרכוש אינו מענייני המעמד האישי (סימה אמיר - ראו פרקים 3-4).</w:t>
      </w:r>
    </w:p>
    <w:p>
      <w:pPr>
        <w:bidi/>
        <w:spacing w:before="0" w:after="100" w:line="300" w:lineRule="auto"/>
        <w:jc w:val="both"/>
      </w:pPr>
      <w:r>
        <w:rPr>
          <w:rFonts w:ascii="Arial" w:hAnsi="Arial" w:cs="Arial" w:eastAsia="Arial"/>
          <w:b/>
          <w:bCs/>
          <w:color w:val="1F2430"/>
          <w:sz w:val="19"/>
          <w:szCs w:val="19"/>
          <w:rtl/>
        </w:rPr>
        <w:t>שאלת הדין:</w:t>
      </w:r>
      <w:r>
        <w:rPr>
          <w:rFonts w:ascii="Arial" w:hAnsi="Arial" w:cs="Arial" w:eastAsia="Arial"/>
          <w:color w:val="1F2430"/>
          <w:sz w:val="19"/>
          <w:szCs w:val="19"/>
          <w:rtl/>
        </w:rPr>
        <w:t xml:space="preserve"> הכלל היה "</w:t>
      </w:r>
      <w:r>
        <w:rPr>
          <w:rFonts w:ascii="Arial" w:hAnsi="Arial" w:cs="Arial" w:eastAsia="Arial"/>
          <w:color w:val="1F2430"/>
          <w:sz w:val="19"/>
          <w:szCs w:val="19"/>
          <w:highlight w:val="yellow"/>
          <w:rtl/>
        </w:rPr>
        <w:t>הדין הולך אחר הדיין</w:t>
      </w:r>
      <w:r>
        <w:rPr>
          <w:rFonts w:ascii="Arial" w:hAnsi="Arial" w:cs="Arial" w:eastAsia="Arial"/>
          <w:color w:val="1F2430"/>
          <w:sz w:val="19"/>
          <w:szCs w:val="19"/>
          <w:rtl/>
        </w:rPr>
        <w:t>" - באין הוראת חוק, בית הדין הדתי מחיל דין דתי ובית המשפט דין אזרחי. מאחר שהלכת השיתוף היא פסיקה ולא חוק, בית הדין הרבני סבר שהוא רשאי לחלק לפי הדין הדתי, כלומר לפי הרישום.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1000/92 בבלי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נישאו ב-1957, ולהם שלושה ילדים. הבעל טייס בחברה אזרחית, והמשפחה אמידה (דירה בגבעתיים, וילה בסביון). האישה הפסיקה לעבוד כמורה כדי לגדל את הילדים. אחרי כשלושים שנה הבעל תבע גירושין ברבני וכרך מזונות ורכוש. ניסיון האישה להעביר את הרכוש לבית המשפט נכשל: הכריכה נמצאה כנה, בין היתר משום שהבעל נתן גט. בית הדין הרבני בדק נכס נכס, מצא שהכול רשום על שם הבעל ופסק שהכול שלו (האישה נותרה עם הכתובה). הרבני הגדול אישר, והאישה עתרה לבג"ץ.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הדין טען שהוא פועל בשוויון: אילו הכול היה רשום על האישה, הכול היה שלה. השופט ברק דחה זאת - זהו </w:t>
            </w:r>
            <w:r>
              <w:rPr>
                <w:rFonts w:ascii="Arial" w:hAnsi="Arial" w:cs="Arial" w:eastAsia="Arial"/>
                <w:color w:val="1F2430"/>
                <w:sz w:val="18"/>
                <w:szCs w:val="18"/>
                <w:highlight w:val="yellow"/>
                <w:rtl/>
              </w:rPr>
              <w:t>שוויון פורמלי</w:t>
            </w:r>
            <w:r>
              <w:rPr>
                <w:rFonts w:ascii="Arial" w:hAnsi="Arial" w:cs="Arial" w:eastAsia="Arial"/>
                <w:color w:val="1F2430"/>
                <w:sz w:val="18"/>
                <w:szCs w:val="18"/>
                <w:rtl/>
              </w:rPr>
              <w:t xml:space="preserve"> שמסתכל על הרישום בלבד, ואילו נדרש </w:t>
            </w:r>
            <w:r>
              <w:rPr>
                <w:rFonts w:ascii="Arial" w:hAnsi="Arial" w:cs="Arial" w:eastAsia="Arial"/>
                <w:color w:val="1F2430"/>
                <w:sz w:val="18"/>
                <w:szCs w:val="18"/>
                <w:highlight w:val="yellow"/>
                <w:rtl/>
              </w:rPr>
              <w:t>שוויון מהותי</w:t>
            </w:r>
            <w:r>
              <w:rPr>
                <w:rFonts w:ascii="Arial" w:hAnsi="Arial" w:cs="Arial" w:eastAsia="Arial"/>
                <w:color w:val="1F2430"/>
                <w:sz w:val="18"/>
                <w:szCs w:val="18"/>
                <w:rtl/>
              </w:rPr>
              <w:t xml:space="preserve"> שמכיר בכך ששני בני הזוג תרמו לחיים המשותפים. ברק נשען על סעיף 1 לחוק שיווי זכויות האישה ("דין אחד יהיה לאשה ולאיש") וקבע ש"</w:t>
            </w:r>
            <w:r>
              <w:rPr>
                <w:rFonts w:ascii="Arial" w:hAnsi="Arial" w:cs="Arial" w:eastAsia="Arial"/>
                <w:color w:val="1F2430"/>
                <w:sz w:val="18"/>
                <w:szCs w:val="18"/>
                <w:highlight w:val="yellow"/>
                <w:rtl/>
              </w:rPr>
              <w:t>הלכת השיתוף היא דין בישראל</w:t>
            </w:r>
            <w:r>
              <w:rPr>
                <w:rFonts w:ascii="Arial" w:hAnsi="Arial" w:cs="Arial" w:eastAsia="Arial"/>
                <w:color w:val="1F2430"/>
                <w:sz w:val="18"/>
                <w:szCs w:val="18"/>
                <w:rtl/>
              </w:rPr>
              <w:t xml:space="preserve">": היא "פרי יצירתו של בית המשפט העליון... דוגמא מובהקת של חקיקה שיפוטית" המבוססת על שוויון בין המינים. לכן בענייני רכוש </w:t>
            </w:r>
            <w:r>
              <w:rPr>
                <w:rFonts w:ascii="Arial" w:hAnsi="Arial" w:cs="Arial" w:eastAsia="Arial"/>
                <w:color w:val="1F2430"/>
                <w:sz w:val="18"/>
                <w:szCs w:val="18"/>
                <w:highlight w:val="yellow"/>
                <w:rtl/>
              </w:rPr>
              <w:t>הדיין הולך אחר הדין</w:t>
            </w:r>
            <w:r>
              <w:rPr>
                <w:rFonts w:ascii="Arial" w:hAnsi="Arial" w:cs="Arial" w:eastAsia="Arial"/>
                <w:color w:val="1F2430"/>
                <w:sz w:val="18"/>
                <w:szCs w:val="18"/>
                <w:rtl/>
              </w:rPr>
              <w:t xml:space="preserve"> - גם בית הדין הרבני חייב להחיל את הדין האזרחי.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עד בבלי ההתערבות של בג"ץ בבתי הדין הייתה בשאלות סמכות; כאן בג"ץ אומר: הסמכות שלכם, אבל תכריעו לפי הדין האזרחי. ההלכה גם מנעה תוצאה של 100-0 ברבני מול 50-50 בבית המשפט, שהייתה מחריפה את מרוץ הסמכויות.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שיווי זכויות האישה, התשי"א-1951 - סעיף 1א(א) (שוויון לפני החוק)</w:t>
            </w:r>
          </w:p>
          <w:p>
            <w:pPr>
              <w:bidi/>
              <w:spacing w:before="0" w:after="60" w:line="300" w:lineRule="auto"/>
              <w:jc w:val="both"/>
            </w:pPr>
            <w:r>
              <w:rPr>
                <w:rFonts w:ascii="Arial" w:hAnsi="Arial" w:cs="Arial" w:eastAsia="Arial"/>
                <w:color w:val="1F2430"/>
                <w:sz w:val="18"/>
                <w:szCs w:val="18"/>
                <w:rtl/>
              </w:rPr>
              <w:t>"דין אחד יהיה לאשה ולאיש..."</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שתי השלכות נוספות: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"או הלכת בבלי או תלמוד בבלי"</w:t>
      </w:r>
      <w:r>
        <w:rPr>
          <w:rFonts w:ascii="Arial" w:hAnsi="Arial" w:cs="Arial" w:eastAsia="Arial"/>
          <w:color w:val="1F2430"/>
          <w:sz w:val="19"/>
          <w:szCs w:val="19"/>
          <w:rtl/>
        </w:rPr>
        <w:t xml:space="preserve"> - הכתובה נועדה לתת לאישה ביטחון כשלא קיבלה רכוש. אישה שמקבלת חצי מהרכוש לא תקבל גם כתובה מלאה ("אין כפל מבצעים"), ולכן בהסכמי גירושין מקובל ש"האישה מוותרת על כתובתה". לפי תשובת הפרופ', אותו רעיון חל גם על איזון משאבים.</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סעיף 13(ב) לחוק יחסי ממון</w:t>
      </w:r>
      <w:r>
        <w:rPr>
          <w:rFonts w:ascii="Arial" w:hAnsi="Arial" w:cs="Arial" w:eastAsia="Arial"/>
          <w:color w:val="1F2430"/>
          <w:sz w:val="19"/>
          <w:szCs w:val="19"/>
          <w:rtl/>
        </w:rPr>
        <w:t xml:space="preserve"> - בעניינים שהחוק דן בהם, גם בית דין דתי נוהג לפי החוק, "זולת אם הסכימו בעלי הדין לפני בית הדין להתדיין לפי הדין הדתי" - הסכמה </w:t>
      </w:r>
      <w:r>
        <w:rPr>
          <w:rFonts w:ascii="Arial" w:hAnsi="Arial" w:cs="Arial" w:eastAsia="Arial"/>
          <w:color w:val="1F2430"/>
          <w:sz w:val="19"/>
          <w:szCs w:val="19"/>
          <w:highlight w:val="yellow"/>
          <w:rtl/>
        </w:rPr>
        <w:t>מפורשת</w:t>
      </w:r>
      <w:r>
        <w:rPr>
          <w:rFonts w:ascii="Arial" w:hAnsi="Arial" w:cs="Arial" w:eastAsia="Arial"/>
          <w:color w:val="1F2430"/>
          <w:sz w:val="19"/>
          <w:szCs w:val="19"/>
          <w:rtl/>
        </w:rPr>
        <w:t xml:space="preserve"> לשאלת הדין (ראו פרק 12).</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11.5 נכס פנימי ונכס חיצוני</w:t>
      </w:r>
    </w:p>
    <w:p>
      <w:pPr>
        <w:bidi/>
        <w:spacing w:before="0" w:after="100" w:line="300" w:lineRule="auto"/>
        <w:jc w:val="both"/>
      </w:pPr>
      <w:r>
        <w:rPr>
          <w:rFonts w:ascii="Arial" w:hAnsi="Arial" w:cs="Arial" w:eastAsia="Arial"/>
          <w:color w:val="1F2430"/>
          <w:sz w:val="19"/>
          <w:szCs w:val="19"/>
          <w:rtl/>
        </w:rPr>
        <w:t xml:space="preserve">המבחן המרכזי להבחנה הוא </w:t>
      </w:r>
      <w:r>
        <w:rPr>
          <w:rFonts w:ascii="Arial" w:hAnsi="Arial" w:cs="Arial" w:eastAsia="Arial"/>
          <w:color w:val="1F2430"/>
          <w:sz w:val="19"/>
          <w:szCs w:val="19"/>
          <w:highlight w:val="yellow"/>
          <w:rtl/>
        </w:rPr>
        <w:t>מקור המימון</w:t>
      </w:r>
      <w:r>
        <w:rPr>
          <w:rFonts w:ascii="Arial" w:hAnsi="Arial" w:cs="Arial" w:eastAsia="Arial"/>
          <w:color w:val="1F2430"/>
          <w:sz w:val="19"/>
          <w:szCs w:val="19"/>
          <w:rtl/>
        </w:rPr>
        <w:t xml:space="preserve"> של הנכס.</w:t>
      </w:r>
    </w:p>
    <w:tbl>
      <w:tblPr>
        <w:tblW w:type="dxa" w:w="10206"/>
        <w:jc w:val="center"/>
        <w:tblLook w:firstColumn="1" w:firstRow="1" w:lastColumn="0" w:lastRow="0" w:noHBand="0" w:noVBand="1" w:val="04A0"/>
        <w:bidiVisual/>
        <w:tblLayout w:type="fixed"/>
      </w:tblPr>
      <w:tblGrid>
        <w:gridCol w:w="1272"/>
        <w:gridCol w:w="4189"/>
        <w:gridCol w:w="4743"/>
      </w:tblGrid>
      <w:tr>
        <w:trPr>
          <w:tblHeader/>
        </w:trPr>
        <w:tc>
          <w:tcPr>
            <w:tcW w:type="dxa" w:w="1273"/>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p>
        </w:tc>
        <w:tc>
          <w:tcPr>
            <w:tcW w:type="dxa" w:w="4189"/>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נכס פנימי</w:t>
            </w:r>
          </w:p>
        </w:tc>
        <w:tc>
          <w:tcPr>
            <w:tcW w:type="dxa" w:w="4743"/>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נכס חיצוני</w:t>
            </w:r>
          </w:p>
        </w:tc>
      </w:tr>
      <w:tr>
        <w:trPr>
          <w:cantSplit/>
        </w:trPr>
        <w:tc>
          <w:tcPr>
            <w:tcW w:type="dxa" w:w="127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הגדרה</w:t>
            </w:r>
          </w:p>
        </w:tc>
        <w:tc>
          <w:tcPr>
            <w:tcW w:type="dxa" w:w="418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נצבר מכספים ומשאבים בתקופת החיים המשותפים</w:t>
            </w:r>
          </w:p>
        </w:tc>
        <w:tc>
          <w:tcPr>
            <w:tcW w:type="dxa" w:w="474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הובא לפני הנישואין, או התקבל בירושה או במתנה (גם במהלך הנישואין)</w:t>
            </w:r>
          </w:p>
        </w:tc>
      </w:tr>
      <w:tr>
        <w:trPr>
          <w:cantSplit/>
        </w:trPr>
        <w:tc>
          <w:tcPr>
            <w:tcW w:type="dxa" w:w="127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דוגמאות</w:t>
            </w:r>
          </w:p>
        </w:tc>
        <w:tc>
          <w:tcPr>
            <w:tcW w:type="dxa" w:w="418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משכורות, דירה מכספי הנישואין, רכב, עסק, חיסכון, פנסיה</w:t>
            </w:r>
          </w:p>
        </w:tc>
        <w:tc>
          <w:tcPr>
            <w:tcW w:type="dxa" w:w="474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דירה מלפני הנישואין, ירושה מההורים</w:t>
            </w:r>
          </w:p>
        </w:tc>
      </w:tr>
      <w:tr>
        <w:trPr>
          <w:cantSplit/>
        </w:trPr>
        <w:tc>
          <w:tcPr>
            <w:tcW w:type="dxa" w:w="127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חזקה</w:t>
            </w:r>
          </w:p>
        </w:tc>
        <w:tc>
          <w:tcPr>
            <w:tcW w:type="dxa" w:w="418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שיתוף חזק, ראיות מינימליות</w:t>
            </w:r>
          </w:p>
        </w:tc>
        <w:tc>
          <w:tcPr>
            <w:tcW w:type="dxa" w:w="474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שיתוף אוטומטי</w:t>
            </w:r>
          </w:p>
        </w:tc>
      </w:tr>
      <w:tr>
        <w:trPr>
          <w:cantSplit/>
        </w:trPr>
        <w:tc>
          <w:tcPr>
            <w:tcW w:type="dxa" w:w="127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נטל ההוכחה</w:t>
            </w:r>
          </w:p>
        </w:tc>
        <w:tc>
          <w:tcPr>
            <w:tcW w:type="dxa" w:w="418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על מי ש</w:t>
            </w:r>
            <w:r>
              <w:rPr>
                <w:rFonts w:ascii="Arial" w:hAnsi="Arial" w:cs="Arial" w:eastAsia="Arial"/>
                <w:color w:val="1F2430"/>
                <w:sz w:val="17"/>
                <w:szCs w:val="17"/>
                <w:highlight w:val="yellow"/>
                <w:rtl/>
              </w:rPr>
              <w:t>שולל</w:t>
            </w:r>
            <w:r>
              <w:rPr>
                <w:rFonts w:ascii="Arial" w:hAnsi="Arial" w:cs="Arial" w:eastAsia="Arial"/>
                <w:color w:val="1F2430"/>
                <w:sz w:val="17"/>
                <w:szCs w:val="17"/>
                <w:rtl/>
              </w:rPr>
              <w:t xml:space="preserve"> שיתוף (נטל כבד)</w:t>
            </w:r>
          </w:p>
        </w:tc>
        <w:tc>
          <w:tcPr>
            <w:tcW w:type="dxa" w:w="474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על מי ש</w:t>
            </w:r>
            <w:r>
              <w:rPr>
                <w:rFonts w:ascii="Arial" w:hAnsi="Arial" w:cs="Arial" w:eastAsia="Arial"/>
                <w:color w:val="1F2430"/>
                <w:sz w:val="17"/>
                <w:szCs w:val="17"/>
                <w:highlight w:val="yellow"/>
                <w:rtl/>
              </w:rPr>
              <w:t>מבקש</w:t>
            </w:r>
            <w:r>
              <w:rPr>
                <w:rFonts w:ascii="Arial" w:hAnsi="Arial" w:cs="Arial" w:eastAsia="Arial"/>
                <w:color w:val="1F2430"/>
                <w:sz w:val="17"/>
                <w:szCs w:val="17"/>
                <w:rtl/>
              </w:rPr>
              <w:t xml:space="preserve"> שיתוף</w:t>
            </w:r>
          </w:p>
        </w:tc>
      </w:tr>
      <w:tr>
        <w:trPr>
          <w:cantSplit/>
        </w:trPr>
        <w:tc>
          <w:tcPr>
            <w:tcW w:type="dxa" w:w="127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יציאה מהשיתוף</w:t>
            </w:r>
          </w:p>
        </w:tc>
        <w:tc>
          <w:tcPr>
            <w:tcW w:type="dxa" w:w="418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הסכם ממון</w:t>
            </w:r>
          </w:p>
        </w:tc>
        <w:tc>
          <w:tcPr>
            <w:tcW w:type="dxa" w:w="474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הסכם ממון, או התנהגות של הפרדה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4151/99 בריל - הבחנה בין פנימי לחיצוני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נישאו ב-1967. שניהם עבדו, ומשפחותיהם עשירות - היו להם נכסים ממשכורות וגם ממתנות וירושות. ב-1978 פתחה האישה חשבון נפרד והפקידה בו את רוב משכורתה. החיים היו משבריים לאורך שנים ("שלי שלי, שלך שלך").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אורח חיים משברי </w:t>
            </w:r>
            <w:r>
              <w:rPr>
                <w:rFonts w:ascii="Arial" w:hAnsi="Arial" w:cs="Arial" w:eastAsia="Arial"/>
                <w:color w:val="1F2430"/>
                <w:sz w:val="18"/>
                <w:szCs w:val="18"/>
                <w:highlight w:val="yellow"/>
                <w:rtl/>
              </w:rPr>
              <w:t>אינו שולל</w:t>
            </w:r>
            <w:r>
              <w:rPr>
                <w:rFonts w:ascii="Arial" w:hAnsi="Arial" w:cs="Arial" w:eastAsia="Arial"/>
                <w:color w:val="1F2430"/>
                <w:sz w:val="18"/>
                <w:szCs w:val="18"/>
                <w:rtl/>
              </w:rPr>
              <w:t xml:space="preserve"> שיתוף בנכסים הפנימיים, כי חיו תחת קורת גג אחת; אבל </w:t>
            </w:r>
            <w:r>
              <w:rPr>
                <w:rFonts w:ascii="Arial" w:hAnsi="Arial" w:cs="Arial" w:eastAsia="Arial"/>
                <w:color w:val="1F2430"/>
                <w:sz w:val="18"/>
                <w:szCs w:val="18"/>
                <w:highlight w:val="yellow"/>
                <w:rtl/>
              </w:rPr>
              <w:t>אינו מאפשר</w:t>
            </w:r>
            <w:r>
              <w:rPr>
                <w:rFonts w:ascii="Arial" w:hAnsi="Arial" w:cs="Arial" w:eastAsia="Arial"/>
                <w:color w:val="1F2430"/>
                <w:sz w:val="18"/>
                <w:szCs w:val="18"/>
                <w:rtl/>
              </w:rPr>
              <w:t xml:space="preserve"> שיתוף בנכסים החיצוניים, שבהם נדרשת כוונת שיתוף והרמוניה. חשבון נפרד אינו בהכרח ראיה להפרדה רכושית.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טיב היחסים אינו רלוונטי לנכס פנימי, אך מכריע לגבי נכס חיצוני. הנכסים הפנימיים חולקו, החיצוניים לא.</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הערה מעשית מההרצאה: חשבון נפרד כן יכול לעזור לשמור כסף חיצוני מחוץ לשיתוף. מתנה מההורים שהופקדה בחשבון המשותף - שותפה; מתנה שהופקדה בחשבון נפרד - אפשר לטעון שלא הייתה כוונת שיתוף.</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806/93 הדרי - דירת המגורים כ"גולת הכותרת"</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נגר בן 35 קנה דירה ב-22,000 לירות, אך היו לו רק 16,000, והתכוון לקחת משכנתא. אז הכיר אחות בת 25, והם נישאו (1964). היא נתנה לו 6,000 לירות וחסכה את המשכנתא, אך הדירה נרשמה על שמו בלבד. שלושים שנות נישואין, שלושה ילדים. המחוזי קבע שהבעל לא התכוון לשתף, שהרי הדירה נשארה על שמו. האישה דרשה מחצית ולא רק את חלקה היחסי.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(השופט שמגר) קבע שהדירה הפכה למשותפת. דירת המגורים היא "גולת הכותרת" של החזקה, ולגביה מספיקה "כמות צנועה של ראיות" כדי שגם נכס חיצוני </w:t>
            </w:r>
            <w:r>
              <w:rPr>
                <w:rFonts w:ascii="Arial" w:hAnsi="Arial" w:cs="Arial" w:eastAsia="Arial"/>
                <w:color w:val="1F2430"/>
                <w:sz w:val="18"/>
                <w:szCs w:val="18"/>
                <w:highlight w:val="yellow"/>
                <w:rtl/>
              </w:rPr>
              <w:t>יוטמע</w:t>
            </w:r>
            <w:r>
              <w:rPr>
                <w:rFonts w:ascii="Arial" w:hAnsi="Arial" w:cs="Arial" w:eastAsia="Arial"/>
                <w:color w:val="1F2430"/>
                <w:sz w:val="18"/>
                <w:szCs w:val="18"/>
                <w:rtl/>
              </w:rPr>
              <w:t xml:space="preserve"> ויהפוך למשותף, אם בני הזוג חיו בו שנים רבות במערכת יחסים סבירה. שמגר גם הצביע על הדרך למנוע זאת: הסכם ממון.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מקור הפרמטרים לשיתוף בנכס חיצוני.</w:t>
            </w:r>
          </w:p>
        </w:tc>
      </w:tr>
    </w:tbl>
    <w:p>
      <w:pPr>
        <w:bidi/>
        <w:spacing w:after="0" w:before="0" w:line="120" w:lineRule="exact"/>
      </w:pPr>
      <w:r>
        <w:rPr>
          <w:sz w:val="2"/>
        </w:rPr>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הפרמטרים לשיתוף בנכס חיצוני (הדרי ובריל)</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1. </w:t>
      </w:r>
      <w:r>
        <w:tab/>
      </w:r>
      <w:r>
        <w:rPr>
          <w:rFonts w:ascii="Arial" w:hAnsi="Arial" w:cs="Arial" w:eastAsia="Arial"/>
          <w:b/>
          <w:bCs/>
          <w:color w:val="1F2430"/>
          <w:sz w:val="19"/>
          <w:szCs w:val="19"/>
          <w:rtl/>
        </w:rPr>
        <w:t>טיב הנכס</w:t>
      </w:r>
      <w:r>
        <w:rPr>
          <w:rFonts w:ascii="Arial" w:hAnsi="Arial" w:cs="Arial" w:eastAsia="Arial"/>
          <w:color w:val="1F2430"/>
          <w:sz w:val="19"/>
          <w:szCs w:val="19"/>
          <w:rtl/>
        </w:rPr>
        <w:t xml:space="preserve"> - עד כמה שימש את המשפחה. דירת מגורים או מכונית משפחתית יוטמעו מהר יותר; נכס להשקעה או עסק (למשל מונית) - לאט יותר.</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2. </w:t>
      </w:r>
      <w:r>
        <w:tab/>
      </w:r>
      <w:r>
        <w:rPr>
          <w:rFonts w:ascii="Arial" w:hAnsi="Arial" w:cs="Arial" w:eastAsia="Arial"/>
          <w:b/>
          <w:bCs/>
          <w:color w:val="1F2430"/>
          <w:sz w:val="19"/>
          <w:szCs w:val="19"/>
          <w:rtl/>
        </w:rPr>
        <w:t>נישואין ראשונים או שניים</w:t>
      </w:r>
      <w:r>
        <w:rPr>
          <w:rFonts w:ascii="Arial" w:hAnsi="Arial" w:cs="Arial" w:eastAsia="Arial"/>
          <w:color w:val="1F2430"/>
          <w:sz w:val="19"/>
          <w:szCs w:val="19"/>
          <w:rtl/>
        </w:rPr>
        <w:t xml:space="preserve"> - בנישואין ראשונים יש נטייה גדולה יותר לשתף; בנישואין שניים אנשים "מלומדי ניסיון", ולעיתים יש ילדים מנישואין קודמים.</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3. </w:t>
      </w:r>
      <w:r>
        <w:tab/>
      </w:r>
      <w:r>
        <w:rPr>
          <w:rFonts w:ascii="Arial" w:hAnsi="Arial" w:cs="Arial" w:eastAsia="Arial"/>
          <w:b/>
          <w:bCs/>
          <w:color w:val="1F2430"/>
          <w:sz w:val="19"/>
          <w:szCs w:val="19"/>
          <w:rtl/>
        </w:rPr>
        <w:t>שיפוצים והשבחה מכספים משותפים</w:t>
      </w:r>
      <w:r>
        <w:rPr>
          <w:rFonts w:ascii="Arial" w:hAnsi="Arial" w:cs="Arial" w:eastAsia="Arial"/>
          <w:color w:val="1F2430"/>
          <w:sz w:val="19"/>
          <w:szCs w:val="19"/>
          <w:rtl/>
        </w:rPr>
        <w:t>, כולל תשלום המשכנתא מכספים משותפים - הסימן החזק ביותר לכוונת שיתוף.</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4. </w:t>
      </w:r>
      <w:r>
        <w:tab/>
      </w:r>
      <w:r>
        <w:rPr>
          <w:rFonts w:ascii="Arial" w:hAnsi="Arial" w:cs="Arial" w:eastAsia="Arial"/>
          <w:b/>
          <w:bCs/>
          <w:color w:val="1F2430"/>
          <w:sz w:val="19"/>
          <w:szCs w:val="19"/>
          <w:rtl/>
        </w:rPr>
        <w:t>משך הנישואין וטיבם (הרמוניה)</w:t>
      </w:r>
      <w:r>
        <w:rPr>
          <w:rFonts w:ascii="Arial" w:hAnsi="Arial" w:cs="Arial" w:eastAsia="Arial"/>
          <w:color w:val="1F2430"/>
          <w:sz w:val="19"/>
          <w:szCs w:val="19"/>
          <w:rtl/>
        </w:rPr>
        <w:t xml:space="preserve"> - לא די ביחסים טובים; גם המשך חשוב. לפי ההרצאה, תוך 5 שנים נכס לא יעבור, גם תוך 10 לעיתים נדירות, ומ-12-13 שנה ואילך - כן.</w:t>
      </w:r>
    </w:p>
    <w:p>
      <w:pPr>
        <w:bidi/>
        <w:spacing w:before="0" w:after="100" w:line="300" w:lineRule="auto"/>
        <w:jc w:val="both"/>
      </w:pPr>
      <w:r>
        <w:rPr>
          <w:rFonts w:ascii="Arial" w:hAnsi="Arial" w:cs="Arial" w:eastAsia="Arial"/>
          <w:color w:val="1F2430"/>
          <w:sz w:val="19"/>
          <w:szCs w:val="19"/>
          <w:rtl/>
        </w:rPr>
        <w:t xml:space="preserve">הרשימה </w:t>
      </w:r>
      <w:r>
        <w:rPr>
          <w:rFonts w:ascii="Arial" w:hAnsi="Arial" w:cs="Arial" w:eastAsia="Arial"/>
          <w:color w:val="1F2430"/>
          <w:sz w:val="19"/>
          <w:szCs w:val="19"/>
          <w:highlight w:val="yellow"/>
          <w:rtl/>
        </w:rPr>
        <w:t>אינה סגורה</w:t>
      </w:r>
      <w:r>
        <w:rPr>
          <w:rFonts w:ascii="Arial" w:hAnsi="Arial" w:cs="Arial" w:eastAsia="Arial"/>
          <w:color w:val="1F2430"/>
          <w:sz w:val="19"/>
          <w:szCs w:val="19"/>
          <w:rtl/>
        </w:rPr>
        <w:t>, ובית המשפט יכול לשקול נסיבות נוספות.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הרמוניה - כן או לא?</w:t>
            </w:r>
          </w:p>
          <w:p>
            <w:pPr>
              <w:bidi/>
              <w:spacing w:before="0" w:after="60" w:line="300" w:lineRule="auto"/>
              <w:jc w:val="both"/>
            </w:pPr>
            <w:r>
              <w:rPr>
                <w:rFonts w:ascii="Arial" w:hAnsi="Arial" w:cs="Arial" w:eastAsia="Arial"/>
                <w:color w:val="1F2430"/>
                <w:sz w:val="18"/>
                <w:szCs w:val="18"/>
                <w:highlight w:val="yellow"/>
                <w:rtl/>
              </w:rPr>
              <w:t>לנכס פנימי לא צריך הרמוניה; לנכס חיצוני כן צריך הרמוניה.</w:t>
            </w:r>
            <w:r>
              <w:rPr>
                <w:rFonts w:ascii="Arial" w:hAnsi="Arial" w:cs="Arial" w:eastAsia="Arial"/>
                <w:color w:val="1F2430"/>
                <w:sz w:val="18"/>
                <w:szCs w:val="18"/>
                <w:rtl/>
              </w:rPr>
              <w:t xml:space="preserve"> זו אחת ההבחנות שהכי קל להתבלבל בהן.</w:t>
            </w:r>
          </w:p>
        </w:tc>
      </w:tr>
    </w:tbl>
    <w:p>
      <w:pPr>
        <w:bidi/>
        <w:spacing w:after="0" w:before="0" w:line="120" w:lineRule="exact"/>
      </w:pPr>
      <w:r>
        <w:rPr>
          <w:sz w:val="2"/>
        </w:rPr>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איך מונעים שיתוף בנכס חיצוני?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הסכם ממון</w:t>
      </w:r>
      <w:r>
        <w:rPr>
          <w:rFonts w:ascii="Arial" w:hAnsi="Arial" w:cs="Arial" w:eastAsia="Arial"/>
          <w:color w:val="1F2430"/>
          <w:sz w:val="19"/>
          <w:szCs w:val="19"/>
          <w:rtl/>
        </w:rPr>
        <w:t xml:space="preserve"> - קובע מראש שהנכס יישאר של אחד מבני הזוג. הסכם יכול לעשות שני דברים: להשאיר נכס חיצוני בחוץ (גם אם היחסים יפים), ולהשאיר גם </w:t>
      </w:r>
      <w:r>
        <w:rPr>
          <w:rFonts w:ascii="Arial" w:hAnsi="Arial" w:cs="Arial" w:eastAsia="Arial"/>
          <w:color w:val="1F2430"/>
          <w:sz w:val="19"/>
          <w:szCs w:val="19"/>
          <w:highlight w:val="yellow"/>
          <w:rtl/>
        </w:rPr>
        <w:t>נכסים פנימיים</w:t>
      </w:r>
      <w:r>
        <w:rPr>
          <w:rFonts w:ascii="Arial" w:hAnsi="Arial" w:cs="Arial" w:eastAsia="Arial"/>
          <w:color w:val="1F2430"/>
          <w:sz w:val="19"/>
          <w:szCs w:val="19"/>
          <w:rtl/>
        </w:rPr>
        <w:t xml:space="preserve"> בחוץ (מקובל יותר אצל ידועים בציבור).</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התנהגות של הפרדה</w:t>
      </w:r>
      <w:r>
        <w:rPr>
          <w:rFonts w:ascii="Arial" w:hAnsi="Arial" w:cs="Arial" w:eastAsia="Arial"/>
          <w:color w:val="1F2430"/>
          <w:sz w:val="19"/>
          <w:szCs w:val="19"/>
          <w:rtl/>
        </w:rPr>
        <w:t xml:space="preserve"> - לא לגור בדירה, להפקיד את שכר הדירה בחשבון נפרד, לשפץ מכספי השכירות ולא מכספים משותפים, לא לשלם את המשכנתא מהמשכורות. התנהגות כזו מועילה </w:t>
      </w:r>
      <w:r>
        <w:rPr>
          <w:rFonts w:ascii="Arial" w:hAnsi="Arial" w:cs="Arial" w:eastAsia="Arial"/>
          <w:color w:val="1F2430"/>
          <w:sz w:val="19"/>
          <w:szCs w:val="19"/>
          <w:highlight w:val="yellow"/>
          <w:rtl/>
        </w:rPr>
        <w:t>רק בנכס חיצוני</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שבח:</w:t>
      </w:r>
      <w:r>
        <w:rPr>
          <w:rFonts w:ascii="Arial" w:hAnsi="Arial" w:cs="Arial" w:eastAsia="Arial"/>
          <w:color w:val="1F2430"/>
          <w:sz w:val="19"/>
          <w:szCs w:val="19"/>
          <w:rtl/>
        </w:rPr>
        <w:t xml:space="preserve"> גם כשהנכס החיצוני עצמו נשאר בחוץ, </w:t>
      </w:r>
      <w:r>
        <w:rPr>
          <w:rFonts w:ascii="Arial" w:hAnsi="Arial" w:cs="Arial" w:eastAsia="Arial"/>
          <w:color w:val="1F2430"/>
          <w:sz w:val="19"/>
          <w:szCs w:val="19"/>
          <w:highlight w:val="yellow"/>
          <w:rtl/>
        </w:rPr>
        <w:t>השבח</w:t>
      </w:r>
      <w:r>
        <w:rPr>
          <w:rFonts w:ascii="Arial" w:hAnsi="Arial" w:cs="Arial" w:eastAsia="Arial"/>
          <w:color w:val="1F2430"/>
          <w:sz w:val="19"/>
          <w:szCs w:val="19"/>
          <w:rtl/>
        </w:rPr>
        <w:t xml:space="preserve"> שנוצר ממאמץ (שיפוץ, טיפוח) עשוי להיות משותף, כי "הזמן הזוגי הוא זמן משותף". לעומת זאת, עליית ערך "מאליה" אינה כזו.</w:t>
      </w:r>
    </w:p>
    <w:p>
      <w:pPr>
        <w:bidi/>
        <w:spacing w:before="0" w:after="100" w:line="300" w:lineRule="auto"/>
        <w:jc w:val="both"/>
      </w:pPr>
      <w:r>
        <w:rPr>
          <w:rFonts w:ascii="Arial" w:hAnsi="Arial" w:cs="Arial" w:eastAsia="Arial"/>
          <w:b/>
          <w:bCs/>
          <w:color w:val="1F2430"/>
          <w:sz w:val="19"/>
          <w:szCs w:val="19"/>
          <w:rtl/>
        </w:rPr>
        <w:t>נכס חיצוני שנרשם על שם שניהם:</w:t>
      </w:r>
      <w:r>
        <w:rPr>
          <w:rFonts w:ascii="Arial" w:hAnsi="Arial" w:cs="Arial" w:eastAsia="Arial"/>
          <w:color w:val="1F2430"/>
          <w:sz w:val="19"/>
          <w:szCs w:val="19"/>
          <w:rtl/>
        </w:rPr>
        <w:t xml:space="preserve"> נניח שאחד מבני הזוג קיבל דירה במתנה מהוריו ורשם אותה על שם שניהם. כאן הרישום עצמו מעיד על שיתוף, ואין צורך בראיות נוספות. דוגמה נוספת: ההורים נתנו 100 אלף ש"ח והכסף הועבר לחשבון המשותף. גם הוא הפך למשותף. ומי שמכר דירה חיצונית ורכש בתמורה דירה משותפת עם בן זוגו (חלק מהתמורה וחלק במשכנתא) - גם התמורה עשויה להפוך למשותפת, אלא אם נקבע אחרת בהסכם מפורש. מנגד, אם מכר נכס חיצוני וקנה בתמורה נכס אחר בלי להוסיף כסף משותף, הנכס החדש נשאר חיצוני.</w:t>
      </w:r>
    </w:p>
    <w:p>
      <w:pPr>
        <w:bidi/>
        <w:spacing w:before="0" w:after="100" w:line="300" w:lineRule="auto"/>
        <w:jc w:val="both"/>
      </w:pPr>
      <w:r>
        <w:rPr>
          <w:rFonts w:ascii="Arial" w:hAnsi="Arial" w:cs="Arial" w:eastAsia="Arial"/>
          <w:b/>
          <w:bCs/>
          <w:color w:val="1F2430"/>
          <w:sz w:val="19"/>
          <w:szCs w:val="19"/>
          <w:rtl/>
        </w:rPr>
        <w:t>ידועים בציבור - שתי דרגות:</w:t>
      </w:r>
      <w:r>
        <w:rPr>
          <w:rFonts w:ascii="Arial" w:hAnsi="Arial" w:cs="Arial" w:eastAsia="Arial"/>
          <w:color w:val="1F2430"/>
          <w:sz w:val="19"/>
          <w:szCs w:val="19"/>
          <w:rtl/>
        </w:rPr>
        <w:t xml:space="preserve"> קודם מוכיחים שהם ידועים בציבור ושהייתה כוונת שיתוף בנכסים שנצברו בחיים המשותפים; רק אחר כך בודקים כוונת שיתוף גם בנכס החיצוני. לכן אצלם קשה פי כמה לשתף נכס חיצוני.</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11.6 בגידה ושיתוף</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3395/00 - בגידה ונכס חיצוני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נישואין של 17 שנה. בבית הדין הרבני הודתה האישה שבגדה בבעלה 12 שנים מתוכן. היא דרשה שיתוף גם בדירה שהייתה נכס חיצוני של הבעל, ושבה גרו. לטענתה חיו בהרמוניה, כי הבעל לא ידע על הבגידות. הבעל טען שההרמוניה הייתה מזויפת. בני הזוג גם הקפידו לאורך השנים על הפרדה בבעלות שתי דירותיהם.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הרבני קבע שאין שיתוף בדירה החיצונית, ובג"ץ (השופט ברק) אישר: יסוד הכרחי לשיתוף בנכס חיצוני הוא הרמוניה וכוונת שיתוף, וכאן הייתה "כוונת שיתוף מדומה". עם זאת, הדבר "אין בו כדי לשלול את תחולת הלכת השיתוף על שאר הנכסים... שנרכשו במהלך חיי הנישואין".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הבגידה השפיעה </w:t>
            </w:r>
            <w:r>
              <w:rPr>
                <w:rFonts w:ascii="Arial" w:hAnsi="Arial" w:cs="Arial" w:eastAsia="Arial"/>
                <w:color w:val="1F2430"/>
                <w:sz w:val="18"/>
                <w:szCs w:val="18"/>
                <w:highlight w:val="yellow"/>
                <w:rtl/>
              </w:rPr>
              <w:t>רק על הנכס החיצוני</w:t>
            </w:r>
            <w:r>
              <w:rPr>
                <w:rFonts w:ascii="Arial" w:hAnsi="Arial" w:cs="Arial" w:eastAsia="Arial"/>
                <w:color w:val="1F2430"/>
                <w:sz w:val="18"/>
                <w:szCs w:val="18"/>
                <w:rtl/>
              </w:rPr>
              <w:t>. הרכוש הפנימי נשאר משותף גם אחרי בגידה ממושכת.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שימו לב: בסיכום 2026 מספר התיק הוא 3395/00, ובמקראה מופיע 3995/00.</w:t>
      </w:r>
    </w:p>
    <w:p>
      <w:pPr>
        <w:bidi/>
        <w:spacing w:before="0" w:after="100" w:line="300" w:lineRule="auto"/>
        <w:jc w:val="both"/>
      </w:pPr>
      <w:r>
        <w:rPr>
          <w:rFonts w:ascii="Arial" w:hAnsi="Arial" w:cs="Arial" w:eastAsia="Arial"/>
          <w:b/>
          <w:bCs/>
          <w:color w:val="1F2430"/>
          <w:sz w:val="19"/>
          <w:szCs w:val="19"/>
          <w:rtl/>
        </w:rPr>
        <w:t>העיקרון הכללי - אין ענישה רכושית למפרע על בגידה:</w:t>
      </w:r>
      <w:r>
        <w:rPr>
          <w:rFonts w:ascii="Arial" w:hAnsi="Arial" w:cs="Arial" w:eastAsia="Arial"/>
          <w:color w:val="1F2430"/>
          <w:sz w:val="19"/>
          <w:szCs w:val="19"/>
          <w:rtl/>
        </w:rPr>
        <w:t xml:space="preserve"> כבר בע"א 264/77 דרור נקבע שנטישת הבית או בגידה עשויות ליצור קרע, </w:t>
      </w:r>
      <w:r>
        <w:rPr>
          <w:rFonts w:ascii="Arial" w:hAnsi="Arial" w:cs="Arial" w:eastAsia="Arial"/>
          <w:color w:val="1F2430"/>
          <w:sz w:val="19"/>
          <w:szCs w:val="19"/>
          <w:highlight w:val="yellow"/>
          <w:rtl/>
        </w:rPr>
        <w:t>אך אין נענשים עליהן למפרע</w:t>
      </w:r>
      <w:r>
        <w:rPr>
          <w:rFonts w:ascii="Arial" w:hAnsi="Arial" w:cs="Arial" w:eastAsia="Arial"/>
          <w:color w:val="1F2430"/>
          <w:sz w:val="19"/>
          <w:szCs w:val="19"/>
          <w:rtl/>
        </w:rPr>
        <w:t xml:space="preserve"> בנטילת זכויות ברכוש המשותף. כך גם בבג"ץ 8928/06: הרבני הגדול ראה בבגידה "נסיבה מיוחדת" כדי לשלול מהאישה את מחצית הפנסיה, ובג"ץ קבע שבגידה כשלעצמה אינה מצדיקה שלילת זכויות שנצברו. השופטת נאור הסבירה שחלוקת רכוש איננה כלי להעניש (הרחבה על סעיף 8 בפרק 12).</w:t>
      </w:r>
    </w:p>
    <w:p>
      <w:pPr>
        <w:bidi/>
        <w:spacing w:before="0" w:after="100" w:line="300" w:lineRule="auto"/>
        <w:jc w:val="both"/>
      </w:pPr>
      <w:r>
        <w:rPr>
          <w:rFonts w:ascii="Arial" w:hAnsi="Arial" w:cs="Arial" w:eastAsia="Arial"/>
          <w:b/>
          <w:bCs/>
          <w:color w:val="1F2430"/>
          <w:sz w:val="19"/>
          <w:szCs w:val="19"/>
          <w:rtl/>
        </w:rPr>
        <w:t>בגידה ושיתוף ספציפי שכבר התגבש (בג"ץ 4602/13 והדיון הנוסף):</w:t>
      </w:r>
      <w:r>
        <w:rPr>
          <w:rFonts w:ascii="Arial" w:hAnsi="Arial" w:cs="Arial" w:eastAsia="Arial"/>
          <w:color w:val="1F2430"/>
          <w:sz w:val="19"/>
          <w:szCs w:val="19"/>
          <w:rtl/>
        </w:rPr>
        <w:t xml:space="preserve"> הבעל ירש מגרש לפני הנישואין ובנה עליו, בעסקת קומבינציה, את בית המגורים. בני הזוג גרו בבית למעלה מעשרים שנה ושיפצו אותו. האזורי הכיר בשיתוף ספציפי, והגדול הפך, בין היתר בגלל בגידת האישה. בבג"ץ הוחלט ברוב דעות שלא להתערב (השופט עמית במיעוט). בדיון הנוסף בהרכב של תשעה שופטים (6 נגד 3, הנשיאה חיות) נקבע ש</w:t>
      </w:r>
      <w:r>
        <w:rPr>
          <w:rFonts w:ascii="Arial" w:hAnsi="Arial" w:cs="Arial" w:eastAsia="Arial"/>
          <w:color w:val="1F2430"/>
          <w:sz w:val="19"/>
          <w:szCs w:val="19"/>
          <w:highlight w:val="yellow"/>
          <w:rtl/>
        </w:rPr>
        <w:t>אי-נאמנות מינית אינה שוללת בדיעבד זכויות שכבר התגבשו</w:t>
      </w:r>
      <w:r>
        <w:rPr>
          <w:rFonts w:ascii="Arial" w:hAnsi="Arial" w:cs="Arial" w:eastAsia="Arial"/>
          <w:color w:val="1F2430"/>
          <w:sz w:val="19"/>
          <w:szCs w:val="19"/>
          <w:rtl/>
        </w:rPr>
        <w:t>, ושאין לאפשר לבן זוג "למשטר" את בן זוגו באמצעות הרכוש. עצם השיתוף הספציפי עדיין צריך הוכחה (ראו פרק 12).</w:t>
      </w:r>
    </w:p>
    <w:p>
      <w:pPr>
        <w:bidi/>
        <w:spacing w:before="0" w:after="100" w:line="300" w:lineRule="auto"/>
        <w:jc w:val="both"/>
      </w:pPr>
      <w:r>
        <w:rPr>
          <w:rFonts w:ascii="Arial" w:hAnsi="Arial" w:cs="Arial" w:eastAsia="Arial"/>
          <w:b/>
          <w:bCs/>
          <w:color w:val="1F2430"/>
          <w:sz w:val="19"/>
          <w:szCs w:val="19"/>
          <w:rtl/>
        </w:rPr>
        <w:t>בגידה ומועד הקרע:</w:t>
      </w:r>
      <w:r>
        <w:rPr>
          <w:rFonts w:ascii="Arial" w:hAnsi="Arial" w:cs="Arial" w:eastAsia="Arial"/>
          <w:color w:val="1F2430"/>
          <w:sz w:val="19"/>
          <w:szCs w:val="19"/>
          <w:rtl/>
        </w:rPr>
        <w:t xml:space="preserve"> בית הדין הרבני הגדול קבע שאין לקבוע אוטומטית את מועד הקרע ליום הבגידה, כי לא ברור שאילו ידע עליה הבעל בזמן אמת היה מפרק את הנישואין.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בגידה - שורה תחתונה</w:t>
            </w:r>
          </w:p>
          <w:p>
            <w:pPr>
              <w:bidi/>
              <w:spacing w:before="0" w:after="60" w:line="300" w:lineRule="auto"/>
              <w:jc w:val="both"/>
            </w:pPr>
            <w:r>
              <w:rPr>
                <w:rFonts w:ascii="Arial" w:hAnsi="Arial" w:cs="Arial" w:eastAsia="Arial"/>
                <w:color w:val="1F2430"/>
                <w:sz w:val="18"/>
                <w:szCs w:val="18"/>
                <w:rtl/>
              </w:rPr>
              <w:t>בנכס פנימי - אין השפעה. בנכס חיצוני שטרם הוטמע - בגידה עשויה להעיד שלא הייתה כוונת שיתוף אמיתית (3395/00). זכויות שכבר התגבשו - לא נשללות בדיעבד (דרור, 8928/06, הדיון הנוסף).</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11.7 מתנות בין בני זוג וחשבון משותף</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384/88 זיסרמן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אישה קיבלה דירה מהוריה במתנה, נתנה לבעלה מחצית במתנה ורשמה אותו כבעלים משותף. כשהגיש נגדה תביעת גירושין, ביקשה למחוק את שמו בטענה שבמתנה היה "תנאי מפסיק" מכללא: הגשת תביעת גירושין מבטלת אותה.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המחוזי והעליון דחו. מתנות ניתנות בשעת קרבה, ומי שרוצה תנאי - צריך לקבוע אותו </w:t>
            </w:r>
            <w:r>
              <w:rPr>
                <w:rFonts w:ascii="Arial" w:hAnsi="Arial" w:cs="Arial" w:eastAsia="Arial"/>
                <w:color w:val="1F2430"/>
                <w:sz w:val="18"/>
                <w:szCs w:val="18"/>
                <w:highlight w:val="yellow"/>
                <w:rtl/>
              </w:rPr>
              <w:t>במפורש</w:t>
            </w:r>
            <w:r>
              <w:rPr>
                <w:rFonts w:ascii="Arial" w:hAnsi="Arial" w:cs="Arial" w:eastAsia="Arial"/>
                <w:color w:val="1F2430"/>
                <w:sz w:val="18"/>
                <w:szCs w:val="18"/>
                <w:rtl/>
              </w:rPr>
              <w:t xml:space="preserve">. הסקת תנאי מפסיק מכללא הייתה הופכת כמעט כל מתנה בין בני זוג להדירה, בניגוד לחוק המתנה.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מתנה בין בני זוג אינה מתבטלת אוטומטית בגירושין.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בג"ץ 6037/18 פלונית נ' בית הדין הרבני האזורי ת"א-יפו:</w:t>
      </w:r>
      <w:r>
        <w:rPr>
          <w:rFonts w:ascii="Arial" w:hAnsi="Arial" w:cs="Arial" w:eastAsia="Arial"/>
          <w:color w:val="1F2430"/>
          <w:sz w:val="19"/>
          <w:szCs w:val="19"/>
          <w:rtl/>
        </w:rPr>
        <w:t xml:space="preserve"> "במקרה הרגיל של מתנה ללא תמורה ישנה חזקה שלפיה אין נתינה חד צדדית. ברם, כאשר בין הצדדים יחסי קרבה בדרגה גבוהה - שונים פני הדברים וקיימת </w:t>
      </w:r>
      <w:r>
        <w:rPr>
          <w:rFonts w:ascii="Arial" w:hAnsi="Arial" w:cs="Arial" w:eastAsia="Arial"/>
          <w:color w:val="1F2430"/>
          <w:sz w:val="19"/>
          <w:szCs w:val="19"/>
          <w:highlight w:val="yellow"/>
          <w:rtl/>
        </w:rPr>
        <w:t>חזקה הפוכה</w:t>
      </w:r>
      <w:r>
        <w:rPr>
          <w:rFonts w:ascii="Arial" w:hAnsi="Arial" w:cs="Arial" w:eastAsia="Arial"/>
          <w:color w:val="1F2430"/>
          <w:sz w:val="19"/>
          <w:szCs w:val="19"/>
          <w:rtl/>
        </w:rPr>
        <w:t>, שאף היא ניתנת לסתירה, כי העברה ללא תמורה נעשית מתוך כוונה לתת מתנה". הדבר רלוונטי גם להעברות מהורים לילדיהם ולבני זוגם. בנוסף: "ככלל, חזקה על כספים המצויים ב</w:t>
      </w:r>
      <w:r>
        <w:rPr>
          <w:rFonts w:ascii="Arial" w:hAnsi="Arial" w:cs="Arial" w:eastAsia="Arial"/>
          <w:color w:val="1F2430"/>
          <w:sz w:val="19"/>
          <w:szCs w:val="19"/>
          <w:highlight w:val="yellow"/>
          <w:rtl/>
        </w:rPr>
        <w:t>חשבון משותף</w:t>
      </w:r>
      <w:r>
        <w:rPr>
          <w:rFonts w:ascii="Arial" w:hAnsi="Arial" w:cs="Arial" w:eastAsia="Arial"/>
          <w:color w:val="1F2430"/>
          <w:sz w:val="19"/>
          <w:szCs w:val="19"/>
          <w:rtl/>
        </w:rPr>
        <w:t xml:space="preserve"> שהם שייכים לבעלי החשבון בחלקים שווים (ע"א 1967/90 גיברשטיין; ע"א 575/98 ברנהיים). הטוען לבעלות שונה... עליו הראיה".</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11.8 נכסים עסקיים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122/83 בסיליאן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עשר שנים יחד, ואז משבר. האישה תבעה בעלות בנכסים העסקיים הרשומים על שם הבעל (חנות שנרכשה מכספים משותפים), והבעל תבע בעלות בחנות הרשומה על שמה. המחוזי דחה את שתי התביעות.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בעבר נדרשה בנכס עסקי ראיה מוגברת, כלומר הרמוניה גבוהה יותר. השופט ברק קבע שאין להבחין בין נכס עסקי פנימי לנכס פנימי אחר: אורח החיים המשותף הוא מקור לכוונת שיתוף גם בעסק. גם הסתרת הנכס העסקי או אי-ידיעה עליו אינן שוללות שיתוף. הערעור התקבל.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נכס עסקי פנימי הוא נכס משותף</w:t>
            </w:r>
            <w:r>
              <w:rPr>
                <w:rFonts w:ascii="Arial" w:hAnsi="Arial" w:cs="Arial" w:eastAsia="Arial"/>
                <w:color w:val="1F2430"/>
                <w:sz w:val="18"/>
                <w:szCs w:val="18"/>
                <w:rtl/>
              </w:rPr>
              <w:t>, כמו דירה או רכב. (נכס עסקי חיצוני - קשה פי כמה.) על מועד השיתוף בעסק - ראו שלם, סעיף 11.12.</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11.9 מתי מסתיים השיתוף?</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809/90 לידאי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שנישאו ב-1946. האישה הגישה תביעה לחלוקת רכוש, ורק כעבור כשנה עזבה את הבית.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בעבר נחשבה עזיבת הבית לסוף החיים המשותפים. בית המשפט קבע שהשיתוף יכול להסתיים גם קודם, למשל בהגשת תביעה שמראה שהקשר הגיע לנקודת שבירה. </w:t>
            </w:r>
            <w:r>
              <w:rPr>
                <w:rFonts w:ascii="Arial" w:hAnsi="Arial" w:cs="Arial" w:eastAsia="Arial"/>
                <w:color w:val="1F2430"/>
                <w:sz w:val="18"/>
                <w:szCs w:val="18"/>
                <w:highlight w:val="yellow"/>
                <w:rtl/>
              </w:rPr>
              <w:t>מועד הפסקת השיתוף הוא המוקדם מבין הגשת התביעה לעזיבת הבית</w:t>
            </w:r>
            <w:r>
              <w:rPr>
                <w:rFonts w:ascii="Arial" w:hAnsi="Arial" w:cs="Arial" w:eastAsia="Arial"/>
                <w:color w:val="1F2430"/>
                <w:sz w:val="18"/>
                <w:szCs w:val="18"/>
                <w:rtl/>
              </w:rPr>
              <w:t xml:space="preserve"> (ובמקרה זה - מועד הגשת התביעה).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קובע עד מתי משכורות ונכסים נצברים במשותף. בשונה ממזונות אישה, שנמשכים עד הגט: "רכוש זה לאחור, מזונות זה לעתיד".</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11.10 נכסי פרישה: פנסיה ופיצויי פיטורים</w:t>
      </w:r>
    </w:p>
    <w:p>
      <w:pPr>
        <w:bidi/>
        <w:spacing w:before="0" w:after="100" w:line="300" w:lineRule="auto"/>
        <w:jc w:val="both"/>
      </w:pPr>
      <w:r>
        <w:rPr>
          <w:rFonts w:ascii="Arial" w:hAnsi="Arial" w:cs="Arial" w:eastAsia="Arial"/>
          <w:color w:val="1F2430"/>
          <w:sz w:val="19"/>
          <w:szCs w:val="19"/>
          <w:rtl/>
        </w:rPr>
        <w:t xml:space="preserve">הכלל: </w:t>
      </w:r>
      <w:r>
        <w:rPr>
          <w:rFonts w:ascii="Arial" w:hAnsi="Arial" w:cs="Arial" w:eastAsia="Arial"/>
          <w:color w:val="1F2430"/>
          <w:sz w:val="19"/>
          <w:szCs w:val="19"/>
          <w:highlight w:val="yellow"/>
          <w:rtl/>
        </w:rPr>
        <w:t>כל רכוש שצומח משכר עבודה בתקופת הנישואין משותף</w:t>
      </w:r>
      <w:r>
        <w:rPr>
          <w:rFonts w:ascii="Arial" w:hAnsi="Arial" w:cs="Arial" w:eastAsia="Arial"/>
          <w:color w:val="1F2430"/>
          <w:sz w:val="19"/>
          <w:szCs w:val="19"/>
          <w:rtl/>
        </w:rPr>
        <w:t>, לא משנה אם המשכורת הלכה לרהיטים, לעסק, לדירה או לפנסיה. כשהבעל טען שהפנסיה "כסף של המעביד", נקבע שכל שקל שנכנס הביתה משותף.</w:t>
      </w:r>
    </w:p>
    <w:p>
      <w:pPr>
        <w:bidi/>
        <w:spacing w:before="0" w:after="100" w:line="300" w:lineRule="auto"/>
        <w:jc w:val="both"/>
      </w:pPr>
      <w:r>
        <w:rPr>
          <w:rFonts w:ascii="Arial" w:hAnsi="Arial" w:cs="Arial" w:eastAsia="Arial"/>
          <w:b/>
          <w:bCs/>
          <w:color w:val="1F2430"/>
          <w:sz w:val="19"/>
          <w:szCs w:val="19"/>
          <w:rtl/>
        </w:rPr>
        <w:t>מועד החלוקה:</w:t>
      </w:r>
      <w:r>
        <w:rPr>
          <w:rFonts w:ascii="Arial" w:hAnsi="Arial" w:cs="Arial" w:eastAsia="Arial"/>
          <w:color w:val="1F2430"/>
          <w:sz w:val="19"/>
          <w:szCs w:val="19"/>
          <w:rtl/>
        </w:rPr>
        <w:t xml:space="preserve"> המחוזי רצה לפרק את החיסכון מיד, אך משיכה מוקדמת גוררת הפסד ניכר (כ-35% ניכוי). העליון קבע שהזכויות יתחלקו </w:t>
      </w:r>
      <w:r>
        <w:rPr>
          <w:rFonts w:ascii="Arial" w:hAnsi="Arial" w:cs="Arial" w:eastAsia="Arial"/>
          <w:color w:val="1F2430"/>
          <w:sz w:val="19"/>
          <w:szCs w:val="19"/>
          <w:highlight w:val="yellow"/>
          <w:rtl/>
        </w:rPr>
        <w:t>במועד שבו ניתן לממשן</w:t>
      </w:r>
      <w:r>
        <w:rPr>
          <w:rFonts w:ascii="Arial" w:hAnsi="Arial" w:cs="Arial" w:eastAsia="Arial"/>
          <w:color w:val="1F2430"/>
          <w:sz w:val="19"/>
          <w:szCs w:val="19"/>
          <w:rtl/>
        </w:rPr>
        <w:t xml:space="preserve">, ורק לגבי התקופה היחסית של הנישואין. בהמשך נחקק </w:t>
      </w:r>
      <w:r>
        <w:rPr>
          <w:rFonts w:ascii="Arial" w:hAnsi="Arial" w:cs="Arial" w:eastAsia="Arial"/>
          <w:b/>
          <w:bCs/>
          <w:color w:val="1F2430"/>
          <w:sz w:val="19"/>
          <w:szCs w:val="19"/>
          <w:rtl/>
        </w:rPr>
        <w:t>החוק לחלוקת חיסכון פנסיוני בין בני זוג שנפרדו, התשע"ד-2014</w:t>
      </w:r>
      <w:r>
        <w:rPr>
          <w:rFonts w:ascii="Arial" w:hAnsi="Arial" w:cs="Arial" w:eastAsia="Arial"/>
          <w:color w:val="1F2430"/>
          <w:sz w:val="19"/>
          <w:szCs w:val="19"/>
          <w:rtl/>
        </w:rPr>
        <w:t xml:space="preserve">: לפי סעיף 6, הגוף המשלם פותח </w:t>
      </w:r>
      <w:r>
        <w:rPr>
          <w:rFonts w:ascii="Arial" w:hAnsi="Arial" w:cs="Arial" w:eastAsia="Arial"/>
          <w:color w:val="1F2430"/>
          <w:sz w:val="19"/>
          <w:szCs w:val="19"/>
          <w:highlight w:val="yellow"/>
          <w:rtl/>
        </w:rPr>
        <w:t>חשבון נפרד</w:t>
      </w:r>
      <w:r>
        <w:rPr>
          <w:rFonts w:ascii="Arial" w:hAnsi="Arial" w:cs="Arial" w:eastAsia="Arial"/>
          <w:color w:val="1F2430"/>
          <w:sz w:val="19"/>
          <w:szCs w:val="19"/>
          <w:rtl/>
        </w:rPr>
        <w:t xml:space="preserve"> על שם בן הזוג לשעבר ומעביר אליו את חלקו לפי היתרה במועד הפירוד, בלי לשבור את הקופה (פירוט בפרק 12).</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רע"א 964/92 אורון - פיצויי פיטורים ופנסיה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שנישאו בנישואין אזרחיים. הדירה נרשמה על שם הבעל ומומנה משלושה מקורות: (א) תמורת דירה שהבעל ירש מאמו, שבינתיים נמסרה לאישה להשקעה במניות; (ב) כספי פיצויים; (ג) פנסיה צבאית מהוונת. המחוזי קבע שאין שיתוף.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בחן כל מקור מימון בנפרד ומצא שיתוף בכולם. הכסף שהועבר לאישה להשקעה מלמד על כוונת שיתוף, אף שמקורו בירושה. הפיצויים והפנסיה נצברו מכוח עבודה בתקופה המשותפת, ולכן הם משותפים. הדירה מתחלקת.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פיצויי פיטורים ופנסיה הם "חלק מהשכר" ונכס משותף, וגם נישואין אזרחיים נכנסים למשטר הרכוש.</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11.11 נכסי קריירה ומוניטין</w:t>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מוניטין עסקי - "פירות" מול "עץ"</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5640/94 חסל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נישאו ב-1960. הבעל השתחרר מצבא הקבע וקנה בכספי הפרישה עסק (חברה) שנרשם על שמו. ב-1986 עזב את הבית, וב-1989 הגישה האישה תביעות. הבעל טען שהשיתוף הסתיים ב-1986, והאישה - ב-1989.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השיתוף הסתיים ב-1986, כשבני הזוג הפסיקו לחיות יחד, והאישה זכאית למחצית שווי החברה באותו מועד. היא טענה שקיבלה רק "פירות" והבעל שמר את "העץ" שימשיך להניב. העליון השיב שהערכת שווי חברה כוללת </w:t>
            </w:r>
            <w:r>
              <w:rPr>
                <w:rFonts w:ascii="Arial" w:hAnsi="Arial" w:cs="Arial" w:eastAsia="Arial"/>
                <w:color w:val="1F2430"/>
                <w:sz w:val="18"/>
                <w:szCs w:val="18"/>
                <w:highlight w:val="yellow"/>
                <w:rtl/>
              </w:rPr>
              <w:t>צפי הכנסות והפסדים</w:t>
            </w:r>
            <w:r>
              <w:rPr>
                <w:rFonts w:ascii="Arial" w:hAnsi="Arial" w:cs="Arial" w:eastAsia="Arial"/>
                <w:color w:val="1F2430"/>
                <w:sz w:val="18"/>
                <w:szCs w:val="18"/>
                <w:rtl/>
              </w:rPr>
              <w:t xml:space="preserve">, מוניטין, סיכונים ופוטנציאל, ולכן היא קיבלה גם חלק מהעץ. עוד נקבע: "הסדר ממוני הקושר את בני הזוג זה לזה אחרי פרידתם אינו רצוי" (פתח להעלמת הכנסות ולמעקב הדדי).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מוניטין עסקי נכלל בשיתוף דרך שווי העסק במועד הפירוד, והמטרה היא ניתוק כלכלי נקי.</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(במקראה: הבעל טען להפרדה כבר מ-1976, ובית המשפט דחה את שתי הטענות; לפי מה שנלמד בקורס - הבעל טען ל-1986 וכך נקבע.)</w:t>
      </w:r>
    </w:p>
    <w:p>
      <w:pPr>
        <w:keepNext/>
        <w:bidi/>
        <w:spacing w:before="160" w:after="60" w:line="300" w:lineRule="auto"/>
      </w:pPr>
      <w:r>
        <w:rPr>
          <w:rFonts w:ascii="Arial" w:hAnsi="Arial" w:cs="Arial" w:eastAsia="Arial"/>
          <w:color w:val="B83227"/>
          <w:sz w:val="22"/>
          <w:szCs w:val="22"/>
          <w:rtl/>
        </w:rPr>
        <w:t xml:space="preserve">▌ </w:t>
      </w:r>
      <w:r>
        <w:rPr>
          <w:rFonts w:ascii="Arial" w:hAnsi="Arial" w:cs="Arial" w:eastAsia="Arial"/>
          <w:b/>
          <w:bCs/>
          <w:color w:val="B83227"/>
          <w:sz w:val="22"/>
          <w:szCs w:val="22"/>
          <w:rtl/>
        </w:rPr>
        <w:t>מוניטין אישי וכושר השתכרות</w:t>
      </w:r>
    </w:p>
    <w:p>
      <w:pPr>
        <w:bidi/>
        <w:spacing w:before="0" w:after="100" w:line="300" w:lineRule="auto"/>
        <w:jc w:val="both"/>
      </w:pPr>
      <w:r>
        <w:rPr>
          <w:rFonts w:ascii="Arial" w:hAnsi="Arial" w:cs="Arial" w:eastAsia="Arial"/>
          <w:color w:val="1F2430"/>
          <w:sz w:val="19"/>
          <w:szCs w:val="19"/>
          <w:rtl/>
        </w:rPr>
        <w:t xml:space="preserve">עורך דין שנישא כשהשתכר 10,000 ש"ח, ואחרי 20 שנה הוא משתכר 50,000 ש"ח. בינתיים אשתו טיפלה בבית ובילדים ואפשרה את התפתחותו. הנכסים מחולקים חצי חצי, אך כבר בחודשים הראשונים נפער פער ענק. </w:t>
      </w:r>
      <w:r>
        <w:rPr>
          <w:rFonts w:ascii="Arial" w:hAnsi="Arial" w:cs="Arial" w:eastAsia="Arial"/>
          <w:b/>
          <w:bCs/>
          <w:color w:val="1F2430"/>
          <w:sz w:val="19"/>
          <w:szCs w:val="19"/>
          <w:rtl/>
        </w:rPr>
        <w:t>פרופ' לינור ויצמן</w:t>
      </w:r>
      <w:r>
        <w:rPr>
          <w:rFonts w:ascii="Arial" w:hAnsi="Arial" w:cs="Arial" w:eastAsia="Arial"/>
          <w:color w:val="1F2430"/>
          <w:sz w:val="19"/>
          <w:szCs w:val="19"/>
          <w:rtl/>
        </w:rPr>
        <w:t xml:space="preserve"> מצאה שרמת החיים של גברים אחרי גירושין עולה בכ-30%-40%, ושל נשים יורדת בכ-70%. ההסבר שלה: נכס מרכזי שאינו מחולק - </w:t>
      </w:r>
      <w:r>
        <w:rPr>
          <w:rFonts w:ascii="Arial" w:hAnsi="Arial" w:cs="Arial" w:eastAsia="Arial"/>
          <w:color w:val="1F2430"/>
          <w:sz w:val="19"/>
          <w:szCs w:val="19"/>
          <w:highlight w:val="yellow"/>
          <w:rtl/>
        </w:rPr>
        <w:t>מוניטין אישי וכושר השתכרות</w:t>
      </w:r>
      <w:r>
        <w:rPr>
          <w:rFonts w:ascii="Arial" w:hAnsi="Arial" w:cs="Arial" w:eastAsia="Arial"/>
          <w:color w:val="1F2430"/>
          <w:sz w:val="19"/>
          <w:szCs w:val="19"/>
          <w:rtl/>
        </w:rPr>
        <w:t xml:space="preserve"> (בהרצאה הוזכרה גם ביקורת על המחקר). הקושי: נכס לא מוחשי, שקשה לבודד ממנו את תרומת בן הזוג לעומת הכישורים האישיים. לכן המשפט התעלם ממנו במשך שנים.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4623/04 פלוני - נכסי קריירה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נישאו ב-1971 צעירים וללא רכוש. הבעל קיבל רישיון רואה חשבון אחרי הנישואין, האישה יועצת חינוכית, ולהם חמישה ילדים. ב-1997 תבעה האישה רכוש, וב-1999 התגרשו. לבעל נמצאו שבע דירות, ולטענתו היו של אביו. הערכאות הדיוניות דחו את טענתו (המחוזי חילק את הדירות חצי חצי) והוסיפו תשלום חודשי של 3,000 ש"ח לסגירת הפער בהכנסות, עם אפשרות הקטנה בלבד. הבעל טען: הנכס טרם בא לעולם (את המוניטין העריכו ב-700 אלף ש"ח); התשלום משעבד את חירותו לפרוש; הכושר הוא פרי כישרונותיו.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קבע ש"</w:t>
            </w:r>
            <w:r>
              <w:rPr>
                <w:rFonts w:ascii="Arial" w:hAnsi="Arial" w:cs="Arial" w:eastAsia="Arial"/>
                <w:color w:val="1F2430"/>
                <w:sz w:val="18"/>
                <w:szCs w:val="18"/>
                <w:highlight w:val="yellow"/>
                <w:rtl/>
              </w:rPr>
              <w:t>נכסי קריירה</w:t>
            </w:r>
            <w:r>
              <w:rPr>
                <w:rFonts w:ascii="Arial" w:hAnsi="Arial" w:cs="Arial" w:eastAsia="Arial"/>
                <w:color w:val="1F2430"/>
                <w:sz w:val="18"/>
                <w:szCs w:val="18"/>
                <w:rtl/>
              </w:rPr>
              <w:t xml:space="preserve"> שנצברו אצל אחד מבני הזוג הינם פרי השילוב בין מקורות שונים, שתמיכתו של קשר הנישואין הוא אך אחד מהם". יש לאזן בכסף את </w:t>
            </w:r>
            <w:r>
              <w:rPr>
                <w:rFonts w:ascii="Arial" w:hAnsi="Arial" w:cs="Arial" w:eastAsia="Arial"/>
                <w:color w:val="1F2430"/>
                <w:sz w:val="18"/>
                <w:szCs w:val="18"/>
                <w:highlight w:val="yellow"/>
                <w:rtl/>
              </w:rPr>
              <w:t>הפער שנוצר בעקבות הנישואין</w:t>
            </w:r>
            <w:r>
              <w:rPr>
                <w:rFonts w:ascii="Arial" w:hAnsi="Arial" w:cs="Arial" w:eastAsia="Arial"/>
                <w:color w:val="1F2430"/>
                <w:sz w:val="18"/>
                <w:szCs w:val="18"/>
                <w:rtl/>
              </w:rPr>
              <w:t xml:space="preserve"> (לא כל פער בהכנסות). הערעור התקבל בנקודה אחת: עדיף </w:t>
            </w:r>
            <w:r>
              <w:rPr>
                <w:rFonts w:ascii="Arial" w:hAnsi="Arial" w:cs="Arial" w:eastAsia="Arial"/>
                <w:color w:val="1F2430"/>
                <w:sz w:val="18"/>
                <w:szCs w:val="18"/>
                <w:highlight w:val="yellow"/>
                <w:rtl/>
              </w:rPr>
              <w:t>תשלום חד-פעמי</w:t>
            </w:r>
            <w:r>
              <w:rPr>
                <w:rFonts w:ascii="Arial" w:hAnsi="Arial" w:cs="Arial" w:eastAsia="Arial"/>
                <w:color w:val="1F2430"/>
                <w:sz w:val="18"/>
                <w:szCs w:val="18"/>
                <w:rtl/>
              </w:rPr>
              <w:t xml:space="preserve"> על תשלום חודשי, כדי לא ליצור קשר כלכלי מתמשך (פתח לאבטלה סמויה ולהון שחור). נפסקו 250 אלף ש"ח, לתשלום בשלבים, בקיזוז מזונות משקמים ככל שישנם.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כושר השתכרות הוא </w:t>
            </w:r>
            <w:r>
              <w:rPr>
                <w:rFonts w:ascii="Arial" w:hAnsi="Arial" w:cs="Arial" w:eastAsia="Arial"/>
                <w:color w:val="1F2430"/>
                <w:sz w:val="18"/>
                <w:szCs w:val="18"/>
                <w:highlight w:val="yellow"/>
                <w:rtl/>
              </w:rPr>
              <w:t>נכס פנימי</w:t>
            </w:r>
            <w:r>
              <w:rPr>
                <w:rFonts w:ascii="Arial" w:hAnsi="Arial" w:cs="Arial" w:eastAsia="Arial"/>
                <w:color w:val="1F2430"/>
                <w:sz w:val="18"/>
                <w:szCs w:val="18"/>
                <w:rtl/>
              </w:rPr>
              <w:t>, והדרך היחידה להוציאו היא הסכם ממון.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בבית הדין הרבני</w:t>
      </w:r>
      <w:r>
        <w:rPr>
          <w:rFonts w:ascii="Arial" w:hAnsi="Arial" w:cs="Arial" w:eastAsia="Arial"/>
          <w:color w:val="1F2430"/>
          <w:sz w:val="19"/>
          <w:szCs w:val="19"/>
          <w:rtl/>
        </w:rPr>
        <w:t xml:space="preserve"> הנטייה מצמצמת: הדין הדתי אינו מחלק נכסים "וירטואליים", רואה בכישורים הטבעיים נכס חיצוני, ורואה בתשלום על הכנסה עתידית "שעבוד הגוף". בחוק יחסי ממון הנושא מוסדר דרך סעיף 8(2) (ראו פרק 12).</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11.12 צדדים שלישיים: עסקאות נוגדות - בן צבי נ' סיטין</w:t>
      </w:r>
    </w:p>
    <w:p>
      <w:pPr>
        <w:bidi/>
        <w:spacing w:before="0" w:after="100" w:line="300" w:lineRule="auto"/>
        <w:jc w:val="both"/>
      </w:pPr>
      <w:r>
        <w:rPr>
          <w:rFonts w:ascii="Arial" w:hAnsi="Arial" w:cs="Arial" w:eastAsia="Arial"/>
          <w:color w:val="1F2430"/>
          <w:sz w:val="19"/>
          <w:szCs w:val="19"/>
          <w:rtl/>
        </w:rPr>
        <w:t xml:space="preserve">השיתוף הקנייני יוצר </w:t>
      </w:r>
      <w:r>
        <w:rPr>
          <w:rFonts w:ascii="Arial" w:hAnsi="Arial" w:cs="Arial" w:eastAsia="Arial"/>
          <w:color w:val="1F2430"/>
          <w:sz w:val="19"/>
          <w:szCs w:val="19"/>
          <w:highlight w:val="yellow"/>
          <w:rtl/>
        </w:rPr>
        <w:t>זכויות סמויות</w:t>
      </w:r>
      <w:r>
        <w:rPr>
          <w:rFonts w:ascii="Arial" w:hAnsi="Arial" w:cs="Arial" w:eastAsia="Arial"/>
          <w:color w:val="1F2430"/>
          <w:sz w:val="19"/>
          <w:szCs w:val="19"/>
          <w:rtl/>
        </w:rPr>
        <w:t xml:space="preserve"> בנכס: בן זוג שאינו רשום בטאבו הוא בעלים. מה קורה כשהבעל הרשום מתקשר עם צד שלישי?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המקרקעין, התשכ"ט-1969 - סעיף 9 (עסקאות נוגדות)</w:t>
            </w:r>
          </w:p>
          <w:p>
            <w:pPr>
              <w:bidi/>
              <w:spacing w:before="0" w:after="60" w:line="300" w:lineRule="auto"/>
              <w:jc w:val="both"/>
            </w:pPr>
            <w:r>
              <w:rPr>
                <w:rFonts w:ascii="Arial" w:hAnsi="Arial" w:cs="Arial" w:eastAsia="Arial"/>
                <w:color w:val="1F2430"/>
                <w:sz w:val="18"/>
                <w:szCs w:val="18"/>
                <w:rtl/>
              </w:rPr>
              <w:t>"התחייב אדם לעשות עסקה במקרקעין ולפני שנגמרה העסקה ברישום חזר והתחייב כלפי אדם אחר לעסקה נוגדת, זכותו של בעל העסקה הראשונה עדיפה, אך אם השני פעל בתום-לב ובתמורה והעסקה לטובתו נרשמה בעודו בתום-לב - זכותו עדיפה."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הכלל הוא שהראשון בזמן גובר. השני גובר רק אם עמד ב</w:t>
      </w:r>
      <w:r>
        <w:rPr>
          <w:rFonts w:ascii="Arial" w:hAnsi="Arial" w:cs="Arial" w:eastAsia="Arial"/>
          <w:color w:val="1F2430"/>
          <w:sz w:val="19"/>
          <w:szCs w:val="19"/>
          <w:highlight w:val="yellow"/>
          <w:rtl/>
        </w:rPr>
        <w:t>שלושה תנאים</w:t>
      </w:r>
      <w:r>
        <w:rPr>
          <w:rFonts w:ascii="Arial" w:hAnsi="Arial" w:cs="Arial" w:eastAsia="Arial"/>
          <w:color w:val="1F2430"/>
          <w:sz w:val="19"/>
          <w:szCs w:val="19"/>
          <w:rtl/>
        </w:rPr>
        <w:t xml:space="preserve"> מצטברים: תום לב, תמורה, ורישום בעודו בתום לב.</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3002/93 בן צבי נ' סיטין - זכויות צד ג'</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נישאו ב-1969 וגרו בדירה הרשומה על שם הבעל. ב-1986 לקח הבעל הלוואה מאדם פרטי, התחייב למשכנתא לטובתו והצהיר שהדירה נקייה (לפי המקראה נרשם לטובת הנושה עיקול). כעבור שנה התגרשו, ובהסכם הגירושין התחייב הבעל להעביר לאישה את כל הדירה. האישה טענה שמחציתה הייתה שלה מכוח הלכת השיתוף עוד קודם. הנושה טען שהסתמך על הטאבו.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 ברק הפעיל את סעיף 9. </w:t>
            </w:r>
            <w:r>
              <w:rPr>
                <w:rFonts w:ascii="Arial" w:hAnsi="Arial" w:cs="Arial" w:eastAsia="Arial"/>
                <w:color w:val="1F2430"/>
                <w:sz w:val="18"/>
                <w:szCs w:val="18"/>
                <w:highlight w:val="yellow"/>
                <w:rtl/>
              </w:rPr>
              <w:t>על הנושה הנטל להוכיח תום לב</w:t>
            </w:r>
            <w:r>
              <w:rPr>
                <w:rFonts w:ascii="Arial" w:hAnsi="Arial" w:cs="Arial" w:eastAsia="Arial"/>
                <w:color w:val="1F2430"/>
                <w:sz w:val="18"/>
                <w:szCs w:val="18"/>
                <w:rtl/>
              </w:rPr>
              <w:t xml:space="preserve">, כלומר שלא ידע ולא עצם עיניו. הרישום אינו משולל ערך ראייתי, אך אין להקיש ממנו על כוונה להפרדה. השופט שמגר: כשמדובר בדירת מגורים והצד השלישי יודע שלבעלים יש בן זוג הגר עמו - "מתהפכת ההנחה", ועליו לבדוק מעבר לרישום. החובה חלה </w:t>
            </w:r>
            <w:r>
              <w:rPr>
                <w:rFonts w:ascii="Arial" w:hAnsi="Arial" w:cs="Arial" w:eastAsia="Arial"/>
                <w:color w:val="1F2430"/>
                <w:sz w:val="18"/>
                <w:szCs w:val="18"/>
                <w:highlight w:val="yellow"/>
                <w:rtl/>
              </w:rPr>
              <w:t>גם על נושה פרטי</w:t>
            </w:r>
            <w:r>
              <w:rPr>
                <w:rFonts w:ascii="Arial" w:hAnsi="Arial" w:cs="Arial" w:eastAsia="Arial"/>
                <w:color w:val="1F2430"/>
                <w:sz w:val="18"/>
                <w:szCs w:val="18"/>
                <w:rtl/>
              </w:rPr>
              <w:t>, לא רק על בנק. ההכרעה פוצלה:</w:t>
            </w:r>
          </w:p>
          <w:p>
            <w:pPr>
              <w:bidi/>
              <w:tabs>
                <w:tab w:val="left" w:pos="311"/>
              </w:tabs>
              <w:spacing w:before="0" w:after="40" w:line="288" w:lineRule="auto"/>
              <w:ind w:right="311" w:hanging="255"/>
            </w:pPr>
            <w:r>
              <w:rPr>
                <w:rFonts w:ascii="Arial" w:hAnsi="Arial" w:cs="Arial" w:eastAsia="Arial"/>
                <w:b/>
                <w:bCs/>
                <w:color w:val="23935A"/>
                <w:sz w:val="14"/>
                <w:szCs w:val="14"/>
                <w:rtl/>
              </w:rPr>
              <w:t xml:space="preserve">● </w:t>
            </w:r>
            <w:r>
              <w:tab/>
            </w:r>
            <w:r>
              <w:rPr>
                <w:rFonts w:ascii="Arial" w:hAnsi="Arial" w:cs="Arial" w:eastAsia="Arial"/>
                <w:color w:val="1F2430"/>
                <w:sz w:val="18"/>
                <w:szCs w:val="18"/>
                <w:rtl/>
              </w:rPr>
              <w:t xml:space="preserve">מחצית ראשונה - של האישה </w:t>
            </w:r>
            <w:r>
              <w:rPr>
                <w:rFonts w:ascii="Arial" w:hAnsi="Arial" w:cs="Arial" w:eastAsia="Arial"/>
                <w:color w:val="1F2430"/>
                <w:sz w:val="18"/>
                <w:szCs w:val="18"/>
                <w:highlight w:val="yellow"/>
                <w:rtl/>
              </w:rPr>
              <w:t>מכוח הלכת השיתוף</w:t>
            </w:r>
            <w:r>
              <w:rPr>
                <w:rFonts w:ascii="Arial" w:hAnsi="Arial" w:cs="Arial" w:eastAsia="Arial"/>
                <w:color w:val="1F2430"/>
                <w:sz w:val="18"/>
                <w:szCs w:val="18"/>
                <w:rtl/>
              </w:rPr>
              <w:t>, שקדמה להתחייבות לנושה, ולכן היא גוברת;</w:t>
            </w:r>
          </w:p>
          <w:p>
            <w:pPr>
              <w:bidi/>
              <w:tabs>
                <w:tab w:val="left" w:pos="311"/>
              </w:tabs>
              <w:spacing w:before="0" w:after="40" w:line="288" w:lineRule="auto"/>
              <w:ind w:right="311" w:hanging="255"/>
            </w:pPr>
            <w:r>
              <w:rPr>
                <w:rFonts w:ascii="Arial" w:hAnsi="Arial" w:cs="Arial" w:eastAsia="Arial"/>
                <w:b/>
                <w:bCs/>
                <w:color w:val="23935A"/>
                <w:sz w:val="14"/>
                <w:szCs w:val="14"/>
                <w:rtl/>
              </w:rPr>
              <w:t xml:space="preserve">● </w:t>
            </w:r>
            <w:r>
              <w:tab/>
            </w:r>
            <w:r>
              <w:rPr>
                <w:rFonts w:ascii="Arial" w:hAnsi="Arial" w:cs="Arial" w:eastAsia="Arial"/>
                <w:color w:val="1F2430"/>
                <w:sz w:val="18"/>
                <w:szCs w:val="18"/>
                <w:rtl/>
              </w:rPr>
              <w:t xml:space="preserve">מחצית שנייה - הובטחה לה רק </w:t>
            </w:r>
            <w:r>
              <w:rPr>
                <w:rFonts w:ascii="Arial" w:hAnsi="Arial" w:cs="Arial" w:eastAsia="Arial"/>
                <w:color w:val="1F2430"/>
                <w:sz w:val="18"/>
                <w:szCs w:val="18"/>
                <w:highlight w:val="yellow"/>
                <w:rtl/>
              </w:rPr>
              <w:t>בהסכם הגירושין</w:t>
            </w:r>
            <w:r>
              <w:rPr>
                <w:rFonts w:ascii="Arial" w:hAnsi="Arial" w:cs="Arial" w:eastAsia="Arial"/>
                <w:color w:val="1F2430"/>
                <w:sz w:val="18"/>
                <w:szCs w:val="18"/>
                <w:rtl/>
              </w:rPr>
              <w:t>, שנעשה אחרי ההתחייבות לנושה, ולכן הנושה גובר.</w:t>
            </w:r>
          </w:p>
          <w:p>
            <w:pPr>
              <w:bidi/>
              <w:spacing w:before="0" w:after="60" w:line="300" w:lineRule="auto"/>
              <w:jc w:val="both"/>
            </w:pPr>
            <w:r>
              <w:rPr>
                <w:rFonts w:ascii="Arial" w:hAnsi="Arial" w:cs="Arial" w:eastAsia="Arial"/>
                <w:color w:val="1F2430"/>
                <w:sz w:val="18"/>
                <w:szCs w:val="18"/>
                <w:rtl/>
              </w:rPr>
              <w:t xml:space="preserve">ברק: "מכוח דיני עיסקאות נוגדות, יד ההתחייבות הראשונה בזמן על העליונה; זכותה של בת הזוג מהלכת השיתוף גוברת על זכותו של הנושה מכוח התחייבות למשכנתא; זכותו של הנושה מכוח ההתחייבות למשכנתא גוברת על זכותה של האישה מכוח החוזה המפורש שבינה לבין בעלה".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בעקבות ההלכה התחילו בנקים ועורכי דין להחתים את בן הזוג על כל עסקה. התוצאה: הטאבו הפך ללא אמין, והדבר דחף לחקיקת חוק יחסי ממון.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ומה עם החוב?</w:t>
      </w:r>
      <w:r>
        <w:rPr>
          <w:rFonts w:ascii="Arial" w:hAnsi="Arial" w:cs="Arial" w:eastAsia="Arial"/>
          <w:color w:val="1F2430"/>
          <w:sz w:val="19"/>
          <w:szCs w:val="19"/>
          <w:rtl/>
        </w:rPr>
        <w:t xml:space="preserve"> אם האישה זכאית למחצית הדירה, למה שלא תחוב גם במחצית ההלוואה? בסיטין נאמר ש"חזקת השיתוף בחובות משלימה את חזקת השיתוף בנכסים": מי שנהנה מפירות השותפות נושא גם בחובות שנוצרו בחיים המשותפים. אבל במקרה עצמו לא הוכח לשם מה נלקחה ההלוואה, ואם שימשה את המשפחה או עסק משותף (והנושה לא טען זאת בערכאה הראשונה). לכן נקבע ש</w:t>
      </w:r>
      <w:r>
        <w:rPr>
          <w:rFonts w:ascii="Arial" w:hAnsi="Arial" w:cs="Arial" w:eastAsia="Arial"/>
          <w:color w:val="1F2430"/>
          <w:sz w:val="19"/>
          <w:szCs w:val="19"/>
          <w:highlight w:val="yellow"/>
          <w:rtl/>
        </w:rPr>
        <w:t>לא כל חוב של אחד מבני הזוג הופך אוטומטית לחוב של השני</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טופס הוויתור (ע"א 4306/12 פלונית נ' בנק לאומי):</w:t>
      </w:r>
      <w:r>
        <w:rPr>
          <w:rFonts w:ascii="Arial" w:hAnsi="Arial" w:cs="Arial" w:eastAsia="Arial"/>
          <w:color w:val="1F2430"/>
          <w:sz w:val="19"/>
          <w:szCs w:val="19"/>
          <w:rtl/>
        </w:rPr>
        <w:t xml:space="preserve"> בן הזוג חותם שהוא "מוותר בזאת </w:t>
      </w:r>
      <w:r>
        <w:rPr>
          <w:rFonts w:ascii="Arial" w:hAnsi="Arial" w:cs="Arial" w:eastAsia="Arial"/>
          <w:color w:val="1F2430"/>
          <w:sz w:val="19"/>
          <w:szCs w:val="19"/>
          <w:highlight w:val="yellow"/>
          <w:rtl/>
        </w:rPr>
        <w:t>כלפיכם</w:t>
      </w:r>
      <w:r>
        <w:rPr>
          <w:rFonts w:ascii="Arial" w:hAnsi="Arial" w:cs="Arial" w:eastAsia="Arial"/>
          <w:color w:val="1F2430"/>
          <w:sz w:val="19"/>
          <w:szCs w:val="19"/>
          <w:rtl/>
        </w:rPr>
        <w:t xml:space="preserve"> על כל זכות במקרקעין... על פי חזקת שיתוף כלשהי ו/או על פי חוק יחסי ממון". הוויתור הוא כלפי הבנק בלבד, ולא כלפי בן הזוג. בגירושין הבעל לא יוכל להציג אותו כוויתור על חלקה בדירה.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אבא שמלווה לבנו</w:t>
            </w:r>
          </w:p>
          <w:p>
            <w:pPr>
              <w:bidi/>
              <w:spacing w:before="0" w:after="60" w:line="300" w:lineRule="auto"/>
              <w:jc w:val="both"/>
            </w:pPr>
            <w:r>
              <w:rPr>
                <w:rFonts w:ascii="Arial" w:hAnsi="Arial" w:cs="Arial" w:eastAsia="Arial"/>
                <w:color w:val="1F2430"/>
                <w:sz w:val="18"/>
                <w:szCs w:val="18"/>
                <w:rtl/>
              </w:rPr>
              <w:t>אב שמלווה לבנו כסף לרכישת דירה ורוצה להגן על ההלוואה מפני נושים עתידיים, צריך לדאוג ל</w:t>
            </w:r>
            <w:r>
              <w:rPr>
                <w:rFonts w:ascii="Arial" w:hAnsi="Arial" w:cs="Arial" w:eastAsia="Arial"/>
                <w:color w:val="1F2430"/>
                <w:sz w:val="18"/>
                <w:szCs w:val="18"/>
                <w:highlight w:val="yellow"/>
                <w:rtl/>
              </w:rPr>
              <w:t>משכנתא רשומה כדין</w:t>
            </w:r>
            <w:r>
              <w:rPr>
                <w:rFonts w:ascii="Arial" w:hAnsi="Arial" w:cs="Arial" w:eastAsia="Arial"/>
                <w:color w:val="1F2430"/>
                <w:sz w:val="18"/>
                <w:szCs w:val="18"/>
                <w:rtl/>
              </w:rPr>
              <w:t>, ולא להסתפק בהבטחה בעל פה.</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11.13 השיתוף בחובות - הלכת שלם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רע"א 8791/00 שלם (2006)</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נישאו ב-1970 ורכשו דירה ב-1990 (דירה פנימית), הרשומה על שם הבעל. לבעל היה עסק צעצועים על שמו. שלושה צ'קים שנתן לספק חזרו, והנושים פתחו בהוצאה לפועל ועיקלו את הדירה. האישה ביקשה בבית המשפט לענייני משפחה הצהרה שהיא בעלת מחצית.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המשפט לענייני משפחה הצהיר שמחצית הדירה שלה (ואף הורה על רישום), אך קבע שהיא שותפה גם בחובות, למעט חובות אישיים מובהקים: חובות בגין נכס חיצוני, והוצאות על מאהבת. המחוזי (שלושה שופטים) אישר. בעליון שינה השופט ברק את הלכת השיתוף "מקצה לקצה":</w:t>
            </w:r>
          </w:p>
          <w:p>
            <w:pPr>
              <w:bidi/>
              <w:tabs>
                <w:tab w:val="left" w:pos="311"/>
              </w:tabs>
              <w:spacing w:before="0" w:after="40" w:line="288" w:lineRule="auto"/>
              <w:ind w:right="311" w:hanging="255"/>
            </w:pPr>
            <w:r>
              <w:rPr>
                <w:rFonts w:ascii="Arial" w:hAnsi="Arial" w:cs="Arial" w:eastAsia="Arial"/>
                <w:b/>
                <w:bCs/>
                <w:color w:val="23935A"/>
                <w:sz w:val="14"/>
                <w:szCs w:val="14"/>
                <w:rtl/>
              </w:rPr>
              <w:t xml:space="preserve">● </w:t>
            </w:r>
            <w:r>
              <w:tab/>
            </w:r>
            <w:r>
              <w:rPr>
                <w:rFonts w:ascii="Arial" w:hAnsi="Arial" w:cs="Arial" w:eastAsia="Arial"/>
                <w:b/>
                <w:bCs/>
                <w:color w:val="1F2430"/>
                <w:sz w:val="18"/>
                <w:szCs w:val="18"/>
                <w:rtl/>
              </w:rPr>
              <w:t>נכסים משפחתיים מובהקים</w:t>
            </w:r>
            <w:r>
              <w:rPr>
                <w:rFonts w:ascii="Arial" w:hAnsi="Arial" w:cs="Arial" w:eastAsia="Arial"/>
                <w:color w:val="1F2430"/>
                <w:sz w:val="18"/>
                <w:szCs w:val="18"/>
                <w:rtl/>
              </w:rPr>
              <w:t xml:space="preserve"> (דירת המגורים, הרכב המשפחתי, הרהיטים) - </w:t>
            </w:r>
            <w:r>
              <w:rPr>
                <w:rFonts w:ascii="Arial" w:hAnsi="Arial" w:cs="Arial" w:eastAsia="Arial"/>
                <w:color w:val="1F2430"/>
                <w:sz w:val="18"/>
                <w:szCs w:val="18"/>
                <w:highlight w:val="yellow"/>
                <w:rtl/>
              </w:rPr>
              <w:t>השיתוף קיים לאורך כל הדרך</w:t>
            </w:r>
            <w:r>
              <w:rPr>
                <w:rFonts w:ascii="Arial" w:hAnsi="Arial" w:cs="Arial" w:eastAsia="Arial"/>
                <w:color w:val="1F2430"/>
                <w:sz w:val="18"/>
                <w:szCs w:val="18"/>
                <w:rtl/>
              </w:rPr>
              <w:t>, מרגע הרכישה, וכך גם החובות שלהם (למשל המשכנתא על הדירה).</w:t>
            </w:r>
          </w:p>
          <w:p>
            <w:pPr>
              <w:bidi/>
              <w:tabs>
                <w:tab w:val="left" w:pos="311"/>
              </w:tabs>
              <w:spacing w:before="0" w:after="40" w:line="288" w:lineRule="auto"/>
              <w:ind w:right="311" w:hanging="255"/>
            </w:pPr>
            <w:r>
              <w:rPr>
                <w:rFonts w:ascii="Arial" w:hAnsi="Arial" w:cs="Arial" w:eastAsia="Arial"/>
                <w:b/>
                <w:bCs/>
                <w:color w:val="23935A"/>
                <w:sz w:val="14"/>
                <w:szCs w:val="14"/>
                <w:rtl/>
              </w:rPr>
              <w:t xml:space="preserve">● </w:t>
            </w:r>
            <w:r>
              <w:tab/>
            </w:r>
            <w:r>
              <w:rPr>
                <w:rFonts w:ascii="Arial" w:hAnsi="Arial" w:cs="Arial" w:eastAsia="Arial"/>
                <w:b/>
                <w:bCs/>
                <w:color w:val="1F2430"/>
                <w:sz w:val="18"/>
                <w:szCs w:val="18"/>
                <w:rtl/>
              </w:rPr>
              <w:t>נכסים עסקיים וחובות עסקיים</w:t>
            </w:r>
            <w:r>
              <w:rPr>
                <w:rFonts w:ascii="Arial" w:hAnsi="Arial" w:cs="Arial" w:eastAsia="Arial"/>
                <w:color w:val="1F2430"/>
                <w:sz w:val="18"/>
                <w:szCs w:val="18"/>
                <w:rtl/>
              </w:rPr>
              <w:t xml:space="preserve"> - </w:t>
            </w:r>
            <w:r>
              <w:rPr>
                <w:rFonts w:ascii="Arial" w:hAnsi="Arial" w:cs="Arial" w:eastAsia="Arial"/>
                <w:color w:val="1F2430"/>
                <w:sz w:val="18"/>
                <w:szCs w:val="18"/>
                <w:highlight w:val="yellow"/>
                <w:rtl/>
              </w:rPr>
              <w:t>שיתוף קנייני דחוי</w:t>
            </w:r>
            <w:r>
              <w:rPr>
                <w:rFonts w:ascii="Arial" w:hAnsi="Arial" w:cs="Arial" w:eastAsia="Arial"/>
                <w:color w:val="1F2430"/>
                <w:sz w:val="18"/>
                <w:szCs w:val="18"/>
                <w:rtl/>
              </w:rPr>
              <w:t xml:space="preserve"> ל"מועד הקריטי".</w:t>
            </w:r>
          </w:p>
          <w:p>
            <w:pPr>
              <w:bidi/>
              <w:spacing w:before="0" w:after="60" w:line="300" w:lineRule="auto"/>
              <w:jc w:val="both"/>
            </w:pPr>
            <w:r>
              <w:rPr>
                <w:rFonts w:ascii="Arial" w:hAnsi="Arial" w:cs="Arial" w:eastAsia="Arial"/>
                <w:b/>
                <w:bCs/>
                <w:color w:val="1F2430"/>
                <w:sz w:val="18"/>
                <w:szCs w:val="18"/>
                <w:rtl/>
              </w:rPr>
              <w:t>המועד הקריטי:</w:t>
            </w:r>
            <w:r>
              <w:rPr>
                <w:rFonts w:ascii="Arial" w:hAnsi="Arial" w:cs="Arial" w:eastAsia="Arial"/>
                <w:color w:val="1F2430"/>
                <w:sz w:val="18"/>
                <w:szCs w:val="18"/>
                <w:rtl/>
              </w:rPr>
              <w:t xml:space="preserve"> אירוע שמביא להתגבשות השיתוף - מוות (שיתוף מלא בהכול, כולל חובות העסק), משבר חמור ביחסים או פירוד (כל שופט יגדיר אחרת: בגידה, עזיבת הבית), ולפי המקראה גם פשיטת רגל. בשלם בני הזוג חיו יחד, ולכן המועד טרם הגיע: מחצית הדירה של האישה, והנושים העסקיים לא יכולים לגבות ממנה.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שתי מטרות - (1) </w:t>
            </w:r>
            <w:r>
              <w:rPr>
                <w:rFonts w:ascii="Arial" w:hAnsi="Arial" w:cs="Arial" w:eastAsia="Arial"/>
                <w:color w:val="1F2430"/>
                <w:sz w:val="18"/>
                <w:szCs w:val="18"/>
                <w:highlight w:val="yellow"/>
                <w:rtl/>
              </w:rPr>
              <w:t>להגן על בן הזוג החלש</w:t>
            </w:r>
            <w:r>
              <w:rPr>
                <w:rFonts w:ascii="Arial" w:hAnsi="Arial" w:cs="Arial" w:eastAsia="Arial"/>
                <w:color w:val="1F2430"/>
                <w:sz w:val="18"/>
                <w:szCs w:val="18"/>
                <w:rtl/>
              </w:rPr>
              <w:t xml:space="preserve">, שלא היה מעורב בעסק ומגלה יום אחד שגם חצי הדירה שלו עוקל; (2) </w:t>
            </w:r>
            <w:r>
              <w:rPr>
                <w:rFonts w:ascii="Arial" w:hAnsi="Arial" w:cs="Arial" w:eastAsia="Arial"/>
                <w:color w:val="1F2430"/>
                <w:sz w:val="18"/>
                <w:szCs w:val="18"/>
                <w:highlight w:val="yellow"/>
                <w:rtl/>
              </w:rPr>
              <w:t>להגן על השוק</w:t>
            </w:r>
            <w:r>
              <w:rPr>
                <w:rFonts w:ascii="Arial" w:hAnsi="Arial" w:cs="Arial" w:eastAsia="Arial"/>
                <w:color w:val="1F2430"/>
                <w:sz w:val="18"/>
                <w:szCs w:val="18"/>
                <w:rtl/>
              </w:rPr>
              <w:t xml:space="preserve"> - מי שעושה עסקה עם בעל עסק הרשום על שמו לא צריך להחתים את בן זוגו, כי בינתיים העסק שלו בלבד. זכות האישה בדירה מתוארת כ"</w:t>
            </w:r>
            <w:r>
              <w:rPr>
                <w:rFonts w:ascii="Arial" w:hAnsi="Arial" w:cs="Arial" w:eastAsia="Arial"/>
                <w:color w:val="1F2430"/>
                <w:sz w:val="18"/>
                <w:szCs w:val="18"/>
                <w:highlight w:val="yellow"/>
                <w:rtl/>
              </w:rPr>
              <w:t>זכות קניין שביושר</w:t>
            </w:r>
            <w:r>
              <w:rPr>
                <w:rFonts w:ascii="Arial" w:hAnsi="Arial" w:cs="Arial" w:eastAsia="Arial"/>
                <w:color w:val="1F2430"/>
                <w:sz w:val="18"/>
                <w:szCs w:val="18"/>
                <w:rtl/>
              </w:rPr>
              <w:t>" (מעין-קניינית), המוגנת אלא מפני רוכש בתום לב ובתמורה. לפי ההרצאה, הרעיון של שיתוף דחוי שאוב מחוק יחסי ממון.</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4032"/>
        <w:gridCol w:w="2898"/>
        <w:gridCol w:w="3276"/>
      </w:tblGrid>
      <w:tr>
        <w:trPr>
          <w:tblHeader/>
        </w:trPr>
        <w:tc>
          <w:tcPr>
            <w:tcW w:type="dxa" w:w="4031"/>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 נכס</w:t>
            </w:r>
          </w:p>
        </w:tc>
        <w:tc>
          <w:tcPr>
            <w:tcW w:type="dxa" w:w="2898"/>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מתי השיתוף</w:t>
            </w:r>
          </w:p>
        </w:tc>
        <w:tc>
          <w:tcPr>
            <w:tcW w:type="dxa" w:w="3276"/>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חובות</w:t>
            </w:r>
          </w:p>
        </w:tc>
      </w:tr>
      <w:tr>
        <w:trPr>
          <w:cantSplit/>
        </w:trPr>
        <w:tc>
          <w:tcPr>
            <w:tcW w:type="dxa" w:w="4031"/>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משפחתי מובהק (דירה, רכב, רהיטים)</w:t>
            </w:r>
          </w:p>
        </w:tc>
        <w:tc>
          <w:tcPr>
            <w:tcW w:type="dxa" w:w="2898"/>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מרגע הרכישה, קנייני</w:t>
            </w:r>
          </w:p>
        </w:tc>
        <w:tc>
          <w:tcPr>
            <w:tcW w:type="dxa" w:w="327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משותפים מיד (למשל משכנתא)</w:t>
            </w:r>
          </w:p>
        </w:tc>
      </w:tr>
      <w:tr>
        <w:trPr>
          <w:cantSplit/>
        </w:trPr>
        <w:tc>
          <w:tcPr>
            <w:tcW w:type="dxa" w:w="4031"/>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עסקי פנימי</w:t>
            </w:r>
          </w:p>
        </w:tc>
        <w:tc>
          <w:tcPr>
            <w:tcW w:type="dxa" w:w="2898"/>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דחוי למועד הקריטי</w:t>
            </w:r>
          </w:p>
        </w:tc>
        <w:tc>
          <w:tcPr>
            <w:tcW w:type="dxa" w:w="327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לא משותפים עד המועד הקריטי</w:t>
            </w:r>
          </w:p>
        </w:tc>
      </w:tr>
      <w:tr>
        <w:trPr>
          <w:cantSplit/>
        </w:trPr>
        <w:tc>
          <w:tcPr>
            <w:tcW w:type="dxa" w:w="4031"/>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חיצוני</w:t>
            </w:r>
          </w:p>
        </w:tc>
        <w:tc>
          <w:tcPr>
            <w:tcW w:type="dxa" w:w="2898"/>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אם הוכחה כוונת שיתוף</w:t>
            </w:r>
          </w:p>
        </w:tc>
        <w:tc>
          <w:tcPr>
            <w:tcW w:type="dxa" w:w="327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חוב בגין נכס חיצוני - אישי</w:t>
            </w:r>
          </w:p>
        </w:tc>
      </w:tr>
      <w:tr>
        <w:trPr>
          <w:cantSplit/>
        </w:trPr>
        <w:tc>
          <w:tcPr>
            <w:tcW w:type="dxa" w:w="4031"/>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הוצאות אישיות מובהקות (מאהבת)</w:t>
            </w:r>
          </w:p>
        </w:tc>
        <w:tc>
          <w:tcPr>
            <w:tcW w:type="dxa" w:w="2898"/>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w:t>
            </w:r>
          </w:p>
        </w:tc>
        <w:tc>
          <w:tcPr>
            <w:tcW w:type="dxa" w:w="327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לעולם אינן משותפות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 - לא כל חוב הוא משותף</w:t>
            </w:r>
          </w:p>
          <w:p>
            <w:pPr>
              <w:bidi/>
              <w:spacing w:before="0" w:after="60" w:line="300" w:lineRule="auto"/>
              <w:jc w:val="both"/>
            </w:pPr>
            <w:r>
              <w:rPr>
                <w:rFonts w:ascii="Arial" w:hAnsi="Arial" w:cs="Arial" w:eastAsia="Arial"/>
                <w:color w:val="1F2430"/>
                <w:sz w:val="18"/>
                <w:szCs w:val="18"/>
                <w:rtl/>
              </w:rPr>
              <w:t xml:space="preserve">גם בלי שלם, השיתוף בחובות אינו כולל חובות בגין נכס חיצוני והוצאות אישיות מובהקות. ואחרי שלם - חוב עסקי אינו משותף כל עוד החיים תקינים. נכס שאינו משפחתי מובהק, כמו </w:t>
            </w:r>
            <w:r>
              <w:rPr>
                <w:rFonts w:ascii="Arial" w:hAnsi="Arial" w:cs="Arial" w:eastAsia="Arial"/>
                <w:color w:val="1F2430"/>
                <w:sz w:val="18"/>
                <w:szCs w:val="18"/>
                <w:highlight w:val="yellow"/>
                <w:rtl/>
              </w:rPr>
              <w:t>דירה שנייה להשקעה</w:t>
            </w:r>
            <w:r>
              <w:rPr>
                <w:rFonts w:ascii="Arial" w:hAnsi="Arial" w:cs="Arial" w:eastAsia="Arial"/>
                <w:color w:val="1F2430"/>
                <w:sz w:val="18"/>
                <w:szCs w:val="18"/>
                <w:rtl/>
              </w:rPr>
              <w:t>, נוטה לצד ה"עסקי": בחידוד שאלה של זוג מאושר עם דירה מושכרת שמשועבדת לבנק, התשובה הייתה שהבנק יכול לממש, כי טרם הגיע המועד הקריטי.</w:t>
            </w:r>
          </w:p>
        </w:tc>
      </w:tr>
    </w:tbl>
    <w:p>
      <w:pPr>
        <w:bidi/>
        <w:spacing w:after="0" w:before="0" w:line="12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11.14 מהלכת השיתוף לחוק יחסי ממון - גשר לפרק 12</w:t>
      </w:r>
    </w:p>
    <w:p>
      <w:pPr>
        <w:bidi/>
        <w:spacing w:before="0" w:after="100" w:line="300" w:lineRule="auto"/>
        <w:jc w:val="both"/>
      </w:pPr>
      <w:r>
        <w:rPr>
          <w:rFonts w:ascii="Arial" w:hAnsi="Arial" w:cs="Arial" w:eastAsia="Arial"/>
          <w:color w:val="1F2430"/>
          <w:sz w:val="19"/>
          <w:szCs w:val="19"/>
          <w:rtl/>
        </w:rPr>
        <w:t xml:space="preserve">השיתוף הקנייני יצר בעיות: </w:t>
      </w:r>
      <w:r>
        <w:rPr>
          <w:rFonts w:ascii="Arial" w:hAnsi="Arial" w:cs="Arial" w:eastAsia="Arial"/>
          <w:color w:val="1F2430"/>
          <w:sz w:val="19"/>
          <w:szCs w:val="19"/>
          <w:highlight w:val="yellow"/>
          <w:rtl/>
        </w:rPr>
        <w:t>זכויות סמויות</w:t>
      </w:r>
      <w:r>
        <w:rPr>
          <w:rFonts w:ascii="Arial" w:hAnsi="Arial" w:cs="Arial" w:eastAsia="Arial"/>
          <w:color w:val="1F2430"/>
          <w:sz w:val="19"/>
          <w:szCs w:val="19"/>
          <w:rtl/>
        </w:rPr>
        <w:t xml:space="preserve"> בניגוד לדיני הקניין, פגיעה בבטחון העסקאות ובערך הנכס, וחשש לפגיעה בצדדים שלישיים. ועדת זוסמן (1965) המליצה על חקיקה, ונחקק חוק יחסי ממון. סעיף 4 קובע: "אין בכריתת הנישואין או בקיומם כשלעצמם כדי לפגוע בקנינים של בני הזוג, להקנות לאחד מהם זכויות בנכסי השני או להטיל עליו אחריות לחובות השני". זו הפרדה רכושית במהלך הנישואין, ובסופם איזון אובליגטורי (סעיף 5). מי שנישא אחרי 1974 </w:t>
      </w:r>
      <w:r>
        <w:rPr>
          <w:rFonts w:ascii="Arial" w:hAnsi="Arial" w:cs="Arial" w:eastAsia="Arial"/>
          <w:color w:val="1F2430"/>
          <w:sz w:val="19"/>
          <w:szCs w:val="19"/>
          <w:highlight w:val="yellow"/>
          <w:rtl/>
        </w:rPr>
        <w:t>אינו יכול לטעון לחזקת השיתוף</w:t>
      </w:r>
      <w:r>
        <w:rPr>
          <w:rFonts w:ascii="Arial" w:hAnsi="Arial" w:cs="Arial" w:eastAsia="Arial"/>
          <w:color w:val="1F2430"/>
          <w:sz w:val="19"/>
          <w:szCs w:val="19"/>
          <w:rtl/>
        </w:rPr>
        <w:t xml:space="preserve"> (יעקובי, אבו רומי), אלא לשיתוף ספציפי מכוח הדין הכללי, ולשם כך צריך "דבר מה נוסף". כל אלה בפרק 12.</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מלכודות נפוצות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"רשום רק על שם הבעל, ולכן שלו" - שגוי. בהלכת השיתוף הרישום אינו מכריע.</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"בגלל מריבות או בגידה אין שיתוף" - שגוי לגבי נכס פנימי (בריל, מדג'ר, 3395/00).</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"חשבון בנק נפרד מוכיח הפרדה" - לא בנכס פנימי. שם רק הסכם ממון מועיל.</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"הלכת השיתוף מחייבת רק את בתי המשפט" - שגוי. בבלי: גם בית הדין הרבני.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"השיתוף נוצר ביום הגירושין" - שגוי. בנכס משפחתי השיתוף קנייני ממועד הרכישה; רק בנכס עסקי הוא נדחה למועד הקריטי (שלם).</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לבלבל בין בן צבי נ' סיטין (צד ג', סעיף 9, תום לב) לבין שלם (חובות, נכס משפחתי מול עסקי, מועד קריטי).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"סיום השיתוף = עזיבת הבית" - לא בהכרח. המוקדם מבין הגשת התביעה לעזיבה (לידאי).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להניח שידועים בציבור נהנים מחזקה כמו נשואים - הם צריכים להוכיח.</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סיכום הפרק</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1. </w:t>
            </w:r>
            <w:r>
              <w:tab/>
            </w:r>
            <w:r>
              <w:rPr>
                <w:rFonts w:ascii="Arial" w:hAnsi="Arial" w:cs="Arial" w:eastAsia="Arial"/>
                <w:color w:val="1F2430"/>
                <w:sz w:val="18"/>
                <w:szCs w:val="18"/>
                <w:rtl/>
              </w:rPr>
              <w:t>שני משטרים: הלכת השיתוף (פסיקה; נישאו לפני 1.1.1974 וידועים בציבור) ואיזון משאבים (חוק; מ-1974).</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2. </w:t>
            </w:r>
            <w:r>
              <w:tab/>
            </w:r>
            <w:r>
              <w:rPr>
                <w:rFonts w:ascii="Arial" w:hAnsi="Arial" w:cs="Arial" w:eastAsia="Arial"/>
                <w:color w:val="1F2430"/>
                <w:sz w:val="18"/>
                <w:szCs w:val="18"/>
                <w:rtl/>
              </w:rPr>
              <w:t>מהסכם מכללא לחזקה נורמטיבית: די בקורת גג אחת, בלי הרמוניה ובלי מאמץ משותף בפועל (מדג'ר).</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3. </w:t>
            </w:r>
            <w:r>
              <w:tab/>
            </w:r>
            <w:r>
              <w:rPr>
                <w:rFonts w:ascii="Arial" w:hAnsi="Arial" w:cs="Arial" w:eastAsia="Arial"/>
                <w:color w:val="1F2430"/>
                <w:sz w:val="18"/>
                <w:szCs w:val="18"/>
                <w:rtl/>
              </w:rPr>
              <w:t>זכות קניינית, חצי חצי, ממועד הרכישה; יציאה רק בהסכם ממון; חלה על כל העדות.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4. </w:t>
            </w:r>
            <w:r>
              <w:tab/>
            </w:r>
            <w:r>
              <w:rPr>
                <w:rFonts w:ascii="Arial" w:hAnsi="Arial" w:cs="Arial" w:eastAsia="Arial"/>
                <w:color w:val="1F2430"/>
                <w:sz w:val="18"/>
                <w:szCs w:val="18"/>
                <w:rtl/>
              </w:rPr>
              <w:t>בבלי: "הלכת השיתוף היא דין בישראל", שוויון מהותי ולא פורמלי (סעיף 1 לחוק שיווי זכויות האישה), והדיין הולך אחר הדין גם ברבני.</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5. </w:t>
            </w:r>
            <w:r>
              <w:tab/>
            </w:r>
            <w:r>
              <w:rPr>
                <w:rFonts w:ascii="Arial" w:hAnsi="Arial" w:cs="Arial" w:eastAsia="Arial"/>
                <w:color w:val="1F2430"/>
                <w:sz w:val="18"/>
                <w:szCs w:val="18"/>
                <w:rtl/>
              </w:rPr>
              <w:t>נכס פנימי - נטל על השולל; נכס חיצוני - נטל על המבקש, לפי פרמטרי הדרי ובריל; דירת המגורים היא "גולת הכותרת".</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6. </w:t>
            </w:r>
            <w:r>
              <w:tab/>
            </w:r>
            <w:r>
              <w:rPr>
                <w:rFonts w:ascii="Arial" w:hAnsi="Arial" w:cs="Arial" w:eastAsia="Arial"/>
                <w:color w:val="1F2430"/>
                <w:sz w:val="18"/>
                <w:szCs w:val="18"/>
                <w:rtl/>
              </w:rPr>
              <w:t>בגידה: לא פוגעת בנכס פנימי; עשויה למנוע שיתוף בנכס חיצוני (3395/00); אין ענישה למפרע.</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7. </w:t>
            </w:r>
            <w:r>
              <w:tab/>
            </w:r>
            <w:r>
              <w:rPr>
                <w:rFonts w:ascii="Arial" w:hAnsi="Arial" w:cs="Arial" w:eastAsia="Arial"/>
                <w:color w:val="1F2430"/>
                <w:sz w:val="18"/>
                <w:szCs w:val="18"/>
                <w:rtl/>
              </w:rPr>
              <w:t>מתנות (זיסרמן, 6037/18), חשבון משותף (חזקת חלקים שווים), נכס עסקי (בסיליאן), סיום השיתוף (לידאי, חסל), פנסיה ופיצויים (אורון), מוניטין ונכסי קריירה (חסל, 4623/04 - תשלום חד-פעמי).</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8. </w:t>
            </w:r>
            <w:r>
              <w:tab/>
            </w:r>
            <w:r>
              <w:rPr>
                <w:rFonts w:ascii="Arial" w:hAnsi="Arial" w:cs="Arial" w:eastAsia="Arial"/>
                <w:color w:val="1F2430"/>
                <w:sz w:val="18"/>
                <w:szCs w:val="18"/>
                <w:rtl/>
              </w:rPr>
              <w:t>צד ג': סעיף 9 לחוק המקרקעין, ועל הנושה נטל תום הלב (בן צבי נ' סיטין).</w:t>
            </w:r>
          </w:p>
          <w:p>
            <w:pPr>
              <w:bidi/>
              <w:tabs>
                <w:tab w:val="left" w:pos="311"/>
              </w:tabs>
              <w:spacing w:before="0" w:after="40" w:line="288" w:lineRule="auto"/>
              <w:ind w:right="311" w:hanging="255"/>
            </w:pPr>
            <w:r>
              <w:rPr>
                <w:rFonts w:ascii="Arial" w:hAnsi="Arial" w:cs="Arial" w:eastAsia="Arial"/>
                <w:b/>
                <w:bCs/>
                <w:color w:val="3F51B5"/>
                <w:sz w:val="18"/>
                <w:szCs w:val="18"/>
                <w:rtl/>
              </w:rPr>
              <w:t xml:space="preserve">9. </w:t>
            </w:r>
            <w:r>
              <w:tab/>
            </w:r>
            <w:r>
              <w:rPr>
                <w:rFonts w:ascii="Arial" w:hAnsi="Arial" w:cs="Arial" w:eastAsia="Arial"/>
                <w:color w:val="1F2430"/>
                <w:sz w:val="18"/>
                <w:szCs w:val="18"/>
                <w:rtl/>
              </w:rPr>
              <w:t>חובות: נכס משפחתי מובהק - שיתוף מיידי; עסקי - דחוי למועד הקריטי (שלם).</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55741A"/>
            <w:tcBorders>
              <w:top w:val="single" w:sz="4" w:space="0" w:color="55741A"/>
              <w:left w:val="single" w:sz="4" w:space="0" w:color="55741A"/>
              <w:bottom w:val="single" w:sz="4" w:space="0" w:color="55741A"/>
              <w:right w:val="single" w:sz="4" w:space="0" w:color="55741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12</w:t>
            </w:r>
          </w:p>
          <w:p>
            <w:pPr>
              <w:bidi/>
              <w:spacing w:before="0" w:after="0" w:line="264" w:lineRule="auto"/>
              <w:outlineLvl w:val="0"/>
            </w:pPr>
            <w:r>
              <w:rPr>
                <w:rFonts w:ascii="Arial" w:hAnsi="Arial" w:cs="Arial" w:eastAsia="Arial"/>
                <w:b/>
                <w:bCs/>
                <w:color w:val="FFFFFF"/>
                <w:sz w:val="42"/>
                <w:szCs w:val="42"/>
                <w:rtl/>
              </w:rPr>
              <w:t>חוק יחסי ממון ואיזון משאבים</w:t>
            </w:r>
          </w:p>
        </w:tc>
      </w:tr>
    </w:tbl>
    <w:p>
      <w:pPr>
        <w:bidi/>
        <w:spacing w:after="0" w:before="0" w:line="20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 רקע: למה נחקק חוק יחסי ממון?</w:t>
      </w:r>
    </w:p>
    <w:p>
      <w:pPr>
        <w:bidi/>
        <w:spacing w:before="0" w:after="100" w:line="300" w:lineRule="auto"/>
        <w:jc w:val="both"/>
      </w:pPr>
      <w:r>
        <w:rPr>
          <w:rFonts w:ascii="Arial" w:hAnsi="Arial" w:cs="Arial" w:eastAsia="Arial"/>
          <w:color w:val="1F2430"/>
          <w:sz w:val="19"/>
          <w:szCs w:val="19"/>
          <w:rtl/>
        </w:rPr>
        <w:t xml:space="preserve">בישראל פועלים </w:t>
      </w:r>
      <w:r>
        <w:rPr>
          <w:rFonts w:ascii="Arial" w:hAnsi="Arial" w:cs="Arial" w:eastAsia="Arial"/>
          <w:color w:val="1F2430"/>
          <w:sz w:val="19"/>
          <w:szCs w:val="19"/>
          <w:highlight w:val="yellow"/>
          <w:rtl/>
        </w:rPr>
        <w:t>שני משטרי רכוש</w:t>
      </w:r>
      <w:r>
        <w:rPr>
          <w:rFonts w:ascii="Arial" w:hAnsi="Arial" w:cs="Arial" w:eastAsia="Arial"/>
          <w:color w:val="1F2430"/>
          <w:sz w:val="19"/>
          <w:szCs w:val="19"/>
          <w:rtl/>
        </w:rPr>
        <w:t xml:space="preserve"> בין בני זוג. הראשון, </w:t>
      </w:r>
      <w:r>
        <w:rPr>
          <w:rFonts w:ascii="Arial" w:hAnsi="Arial" w:cs="Arial" w:eastAsia="Arial"/>
          <w:b/>
          <w:bCs/>
          <w:color w:val="1F2430"/>
          <w:sz w:val="19"/>
          <w:szCs w:val="19"/>
          <w:rtl/>
        </w:rPr>
        <w:t>הלכת השיתוף</w:t>
      </w:r>
      <w:r>
        <w:rPr>
          <w:rFonts w:ascii="Arial" w:hAnsi="Arial" w:cs="Arial" w:eastAsia="Arial"/>
          <w:color w:val="1F2430"/>
          <w:sz w:val="19"/>
          <w:szCs w:val="19"/>
          <w:rtl/>
        </w:rPr>
        <w:t xml:space="preserve">, נוצר בפסיקה (ראו פרק 11). השני, </w:t>
      </w:r>
      <w:r>
        <w:rPr>
          <w:rFonts w:ascii="Arial" w:hAnsi="Arial" w:cs="Arial" w:eastAsia="Arial"/>
          <w:b/>
          <w:bCs/>
          <w:color w:val="1F2430"/>
          <w:sz w:val="19"/>
          <w:szCs w:val="19"/>
          <w:rtl/>
        </w:rPr>
        <w:t>הסדר איזון המשאבים</w:t>
      </w:r>
      <w:r>
        <w:rPr>
          <w:rFonts w:ascii="Arial" w:hAnsi="Arial" w:cs="Arial" w:eastAsia="Arial"/>
          <w:color w:val="1F2430"/>
          <w:sz w:val="19"/>
          <w:szCs w:val="19"/>
          <w:rtl/>
        </w:rPr>
        <w:t>, נוצר בחקיקה: חוק יחסי ממון בין בני זוג, התשל"ג-1973. שני המשטרים הם "ברירת מחדל", כלומר הם חלים רק כשבני הזוג לא קבעו אחרת בהסכם ממון (ראו פרק 13).</w:t>
      </w:r>
    </w:p>
    <w:tbl>
      <w:tblPr>
        <w:tblW w:type="dxa" w:w="10206"/>
        <w:jc w:val="center"/>
        <w:tblLook w:firstColumn="1" w:firstRow="1" w:lastColumn="0" w:lastRow="0" w:noHBand="0" w:noVBand="1" w:val="04A0"/>
        <w:bidiVisual/>
        <w:tblLayout w:type="fixed"/>
      </w:tblPr>
      <w:tblGrid>
        <w:gridCol w:w="4143"/>
        <w:gridCol w:w="3536"/>
        <w:gridCol w:w="2526"/>
      </w:tblGrid>
      <w:tr>
        <w:trPr>
          <w:tblHeader/>
        </w:trPr>
        <w:tc>
          <w:tcPr>
            <w:tcW w:type="dxa" w:w="4143"/>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p>
        </w:tc>
        <w:tc>
          <w:tcPr>
            <w:tcW w:type="dxa" w:w="3536"/>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2526"/>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הסדר איזון המשאבים</w:t>
            </w:r>
          </w:p>
        </w:tc>
      </w:tr>
      <w:tr>
        <w:trPr>
          <w:cantSplit/>
        </w:trPr>
        <w:tc>
          <w:tcPr>
            <w:tcW w:type="dxa" w:w="414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מקור</w:t>
            </w:r>
          </w:p>
        </w:tc>
        <w:tc>
          <w:tcPr>
            <w:tcW w:type="dxa" w:w="353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פסיקה (משנות ה-50 ואילך)</w:t>
            </w:r>
          </w:p>
        </w:tc>
        <w:tc>
          <w:tcPr>
            <w:tcW w:type="dxa" w:w="252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חקיקה: חוק יחסי ממון</w:t>
            </w:r>
          </w:p>
        </w:tc>
      </w:tr>
      <w:tr>
        <w:trPr>
          <w:cantSplit/>
        </w:trPr>
        <w:tc>
          <w:tcPr>
            <w:tcW w:type="dxa" w:w="414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על מי חל (לפי מועד הנישואין, לא הגירושין)</w:t>
            </w:r>
          </w:p>
        </w:tc>
        <w:tc>
          <w:tcPr>
            <w:tcW w:type="dxa" w:w="353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נישאו לפני 1.1.1974, וידועים בציבור</w:t>
            </w:r>
          </w:p>
        </w:tc>
        <w:tc>
          <w:tcPr>
            <w:tcW w:type="dxa" w:w="252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נישאו מיום 1.1.1974 ואילך</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הבעיה שהחוק בא לפתור.</w:t>
      </w:r>
      <w:r>
        <w:rPr>
          <w:rFonts w:ascii="Arial" w:hAnsi="Arial" w:cs="Arial" w:eastAsia="Arial"/>
          <w:color w:val="1F2430"/>
          <w:sz w:val="19"/>
          <w:szCs w:val="19"/>
          <w:rtl/>
        </w:rPr>
        <w:t xml:space="preserve"> הלכת השיתוף יצרה </w:t>
      </w:r>
      <w:r>
        <w:rPr>
          <w:rFonts w:ascii="Arial" w:hAnsi="Arial" w:cs="Arial" w:eastAsia="Arial"/>
          <w:color w:val="1F2430"/>
          <w:sz w:val="19"/>
          <w:szCs w:val="19"/>
          <w:highlight w:val="yellow"/>
          <w:rtl/>
        </w:rPr>
        <w:t>זכויות סמויות בנכס</w:t>
      </w:r>
      <w:r>
        <w:rPr>
          <w:rFonts w:ascii="Arial" w:hAnsi="Arial" w:cs="Arial" w:eastAsia="Arial"/>
          <w:color w:val="1F2430"/>
          <w:sz w:val="19"/>
          <w:szCs w:val="19"/>
          <w:rtl/>
        </w:rPr>
        <w:t xml:space="preserve">: בן זוג שאינו רשום בטאבו יכול להיות בעלים של מחצית הדירה. זה פוגע בבטחון הקניין ובערך הנכס, וגם בצד שלישי שהסתמך על הרישום, כמו הנושה בבן צבי נ' סיטין (ראו פרק 11). כבר ב-1965 ישבה </w:t>
      </w:r>
      <w:r>
        <w:rPr>
          <w:rFonts w:ascii="Arial" w:hAnsi="Arial" w:cs="Arial" w:eastAsia="Arial"/>
          <w:b/>
          <w:bCs/>
          <w:color w:val="1F2430"/>
          <w:sz w:val="19"/>
          <w:szCs w:val="19"/>
          <w:rtl/>
        </w:rPr>
        <w:t>ועדת זוסמן</w:t>
      </w:r>
      <w:r>
        <w:rPr>
          <w:rFonts w:ascii="Arial" w:hAnsi="Arial" w:cs="Arial" w:eastAsia="Arial"/>
          <w:color w:val="1F2430"/>
          <w:sz w:val="19"/>
          <w:szCs w:val="19"/>
          <w:rtl/>
        </w:rPr>
        <w:t xml:space="preserve"> והמליצה לאמץ חוק לפי דגם של מדינות זרות, והחוק נכנס לתוקף ב-1974.</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שני פרקי החוק</w:t>
            </w:r>
          </w:p>
          <w:p>
            <w:pPr>
              <w:bidi/>
              <w:spacing w:before="0" w:after="60" w:line="300" w:lineRule="auto"/>
              <w:jc w:val="both"/>
            </w:pPr>
            <w:r>
              <w:rPr>
                <w:rFonts w:ascii="Arial" w:hAnsi="Arial" w:cs="Arial" w:eastAsia="Arial"/>
                <w:b/>
                <w:bCs/>
                <w:color w:val="1F2430"/>
                <w:sz w:val="18"/>
                <w:szCs w:val="18"/>
                <w:rtl/>
              </w:rPr>
              <w:t>פרק ראשון (סעיפים 1–2) — הסכמי ממון:</w:t>
            </w:r>
            <w:r>
              <w:rPr>
                <w:rFonts w:ascii="Arial" w:hAnsi="Arial" w:cs="Arial" w:eastAsia="Arial"/>
                <w:color w:val="1F2430"/>
                <w:sz w:val="18"/>
                <w:szCs w:val="18"/>
                <w:rtl/>
              </w:rPr>
              <w:t xml:space="preserve"> חל על כולם, גם על מי שנישאו לפני 1974 וחותמים על הסכם היום (ראו פרק 13).</w:t>
            </w:r>
          </w:p>
          <w:p>
            <w:pPr>
              <w:bidi/>
              <w:spacing w:before="0" w:after="60" w:line="300" w:lineRule="auto"/>
              <w:jc w:val="both"/>
            </w:pPr>
            <w:r>
              <w:rPr>
                <w:rFonts w:ascii="Arial" w:hAnsi="Arial" w:cs="Arial" w:eastAsia="Arial"/>
                <w:b/>
                <w:bCs/>
                <w:color w:val="1F2430"/>
                <w:sz w:val="18"/>
                <w:szCs w:val="18"/>
                <w:rtl/>
              </w:rPr>
              <w:t>פרק שני (סעיפים 3 ואילך) — הסדר איזון המשאבים:</w:t>
            </w:r>
            <w:r>
              <w:rPr>
                <w:rFonts w:ascii="Arial" w:hAnsi="Arial" w:cs="Arial" w:eastAsia="Arial"/>
                <w:color w:val="1F2430"/>
                <w:sz w:val="18"/>
                <w:szCs w:val="18"/>
                <w:rtl/>
              </w:rPr>
              <w:t xml:space="preserve"> לפי סעיף 14 (הוראות מעבר) "סעיף 3 ושאר הוראות הפרק השני לא יחולו על בני זוג שנישאו זה לזה לפני תחילת חוק זה".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 תחולה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ידועים בציבור:</w:t>
            </w:r>
            <w:r>
              <w:rPr>
                <w:rFonts w:ascii="Arial" w:hAnsi="Arial" w:cs="Arial" w:eastAsia="Arial"/>
                <w:color w:val="1F2430"/>
                <w:sz w:val="18"/>
                <w:szCs w:val="18"/>
                <w:rtl/>
              </w:rPr>
              <w:t xml:space="preserve"> חוק יחסי ממון לא חל עליהם. עליהם חלה הלכת השיתוף, וגם זאת בגרסה "מוחלשת": צריך להוכיח כוונת שיתוף לגבי כל נכס.</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נישואין אזרחיים:</w:t>
            </w:r>
            <w:r>
              <w:rPr>
                <w:rFonts w:ascii="Arial" w:hAnsi="Arial" w:cs="Arial" w:eastAsia="Arial"/>
                <w:color w:val="1F2430"/>
                <w:sz w:val="18"/>
                <w:szCs w:val="18"/>
                <w:rtl/>
              </w:rPr>
              <w:t xml:space="preserve"> החוק (או הלכת השיתוף, לפי מועד הנישואין) חל גם על נישואין אזרחיים רגילים.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נישאו בחו"ל לפני 1974:</w:t>
            </w:r>
            <w:r>
              <w:rPr>
                <w:rFonts w:ascii="Arial" w:hAnsi="Arial" w:cs="Arial" w:eastAsia="Arial"/>
                <w:color w:val="1F2430"/>
                <w:sz w:val="18"/>
                <w:szCs w:val="18"/>
                <w:rtl/>
              </w:rPr>
              <w:t xml:space="preserve"> לפי סעיף 15 לחוק, על בני זוג שנישאו בחו"ל אמור לחול הדין של מקום מושבם בעת הנישואין. אבל אם נישאו לפני 1974, החוק עדיין לא היה בתוקף, ולכן חל הדין הקודם: הלכת השיתוף (כך בשאלות החזרה של הקורס).</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12.2 תחולת ההסדר ועקרון ההפרדה (סעיפים 3–4)</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3(א) – תחולת ההסדר</w:t>
            </w:r>
          </w:p>
          <w:p>
            <w:pPr>
              <w:bidi/>
              <w:spacing w:before="0" w:after="60" w:line="300" w:lineRule="auto"/>
              <w:jc w:val="both"/>
            </w:pPr>
            <w:r>
              <w:rPr>
                <w:rFonts w:ascii="Arial" w:hAnsi="Arial" w:cs="Arial" w:eastAsia="Arial"/>
                <w:color w:val="1F2430"/>
                <w:sz w:val="18"/>
                <w:szCs w:val="18"/>
                <w:rtl/>
              </w:rPr>
              <w:t>"לא עשו בני הזוג הסכם ממון, ואם עשו – במידה שההסכם אינו קובע אחרת, יראום כמסכימים להסדר איזון המשאבים לפי פרק זה, ויראו הסדר זה כמוסכם בהסכם ממון בעל תוקף שנתמלאו בו הוראות סעיף 2."</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כלומר, ההסדר הוא מעין </w:t>
      </w:r>
      <w:r>
        <w:rPr>
          <w:rFonts w:ascii="Arial" w:hAnsi="Arial" w:cs="Arial" w:eastAsia="Arial"/>
          <w:b/>
          <w:bCs/>
          <w:color w:val="1F2430"/>
          <w:sz w:val="19"/>
          <w:szCs w:val="19"/>
          <w:rtl/>
        </w:rPr>
        <w:t>הסכם ממון משתמע</w:t>
      </w:r>
      <w:r>
        <w:rPr>
          <w:rFonts w:ascii="Arial" w:hAnsi="Arial" w:cs="Arial" w:eastAsia="Arial"/>
          <w:color w:val="1F2430"/>
          <w:sz w:val="19"/>
          <w:szCs w:val="19"/>
          <w:rtl/>
        </w:rPr>
        <w:t xml:space="preserve"> שהמחוקק "כתב" לכל זוג שלא כתב לעצמו.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4 – העדר תוצאות במשך הנישואין</w:t>
            </w:r>
          </w:p>
          <w:p>
            <w:pPr>
              <w:bidi/>
              <w:spacing w:before="0" w:after="60" w:line="300" w:lineRule="auto"/>
              <w:jc w:val="both"/>
            </w:pPr>
            <w:r>
              <w:rPr>
                <w:rFonts w:ascii="Arial" w:hAnsi="Arial" w:cs="Arial" w:eastAsia="Arial"/>
                <w:color w:val="1F2430"/>
                <w:sz w:val="18"/>
                <w:szCs w:val="18"/>
                <w:rtl/>
              </w:rPr>
              <w:t>"אין בכריתת הנישואין או בקיומם כשלעצמם כדי לפגוע בקנינים של בני הזוג, להקנות לאחד מהם זכויות בנכסי השני או להטיל עליו אחריות לחובות השני."</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המשמעות:</w:t>
      </w:r>
      <w:r>
        <w:rPr>
          <w:rFonts w:ascii="Arial" w:hAnsi="Arial" w:cs="Arial" w:eastAsia="Arial"/>
          <w:color w:val="1F2430"/>
          <w:sz w:val="19"/>
          <w:szCs w:val="19"/>
          <w:rtl/>
        </w:rPr>
        <w:t xml:space="preserve"> במהלך הנישואין בני הזוג הם </w:t>
      </w:r>
      <w:r>
        <w:rPr>
          <w:rFonts w:ascii="Arial" w:hAnsi="Arial" w:cs="Arial" w:eastAsia="Arial"/>
          <w:color w:val="1F2430"/>
          <w:sz w:val="19"/>
          <w:szCs w:val="19"/>
          <w:highlight w:val="yellow"/>
          <w:rtl/>
        </w:rPr>
        <w:t>שתי יחידות כלכליות נפרדות</w:t>
      </w:r>
      <w:r>
        <w:rPr>
          <w:rFonts w:ascii="Arial" w:hAnsi="Arial" w:cs="Arial" w:eastAsia="Arial"/>
          <w:color w:val="1F2430"/>
          <w:sz w:val="19"/>
          <w:szCs w:val="19"/>
          <w:rtl/>
        </w:rPr>
        <w:t xml:space="preserve">. מה שרשום על שמי שלי, ומה שרשום על שם בן זוגי שלו, </w:t>
      </w:r>
      <w:r>
        <w:rPr>
          <w:rFonts w:ascii="Arial" w:hAnsi="Arial" w:cs="Arial" w:eastAsia="Arial"/>
          <w:b/>
          <w:bCs/>
          <w:color w:val="1F2430"/>
          <w:sz w:val="19"/>
          <w:szCs w:val="19"/>
          <w:rtl/>
        </w:rPr>
        <w:t>גם בנכסים פנימיים ומשפחתיים</w:t>
      </w:r>
      <w:r>
        <w:rPr>
          <w:rFonts w:ascii="Arial" w:hAnsi="Arial" w:cs="Arial" w:eastAsia="Arial"/>
          <w:color w:val="1F2430"/>
          <w:sz w:val="19"/>
          <w:szCs w:val="19"/>
          <w:rtl/>
        </w:rPr>
        <w:t xml:space="preserve"> (דירה, רכב, משכורת). אין שיתוף אוטומטי בנכסים ואין אחריות אוטומטית לחובות של השני. לכאורה הסעיף מבטל את השיתוף האוטומטי של הלכת השיתוף, ובכך פותר את "בעיית הטאבו": מי שרואה נכס רשום על שם פלוני יודע שהוא שלו, ואף אחד לא "יצוץ" עם זכות סמויה.</w:t>
      </w:r>
    </w:p>
    <w:p>
      <w:pPr>
        <w:bidi/>
        <w:spacing w:before="0" w:after="100" w:line="300" w:lineRule="auto"/>
        <w:jc w:val="both"/>
      </w:pPr>
      <w:r>
        <w:rPr>
          <w:rFonts w:ascii="Arial" w:hAnsi="Arial" w:cs="Arial" w:eastAsia="Arial"/>
          <w:color w:val="1F2430"/>
          <w:sz w:val="19"/>
          <w:szCs w:val="19"/>
          <w:rtl/>
        </w:rPr>
        <w:t>אם הדירה נרשמה מלכתחילה על שם שניהם, הם כמובן שותפים בה מכוח הרישום עצמו. הסעיף עוסק במצב שבו הנכס רשום על שם אחד בלבד.</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12.3 הזכות לאיזון: סעיף 5</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5(א)</w:t>
            </w:r>
          </w:p>
          <w:p>
            <w:pPr>
              <w:bidi/>
              <w:spacing w:before="0" w:after="60" w:line="300" w:lineRule="auto"/>
              <w:jc w:val="both"/>
            </w:pPr>
            <w:r>
              <w:rPr>
                <w:rFonts w:ascii="Arial" w:hAnsi="Arial" w:cs="Arial" w:eastAsia="Arial"/>
                <w:color w:val="1F2430"/>
                <w:sz w:val="18"/>
                <w:szCs w:val="18"/>
                <w:rtl/>
              </w:rPr>
              <w:t>"עם התרת הנישואין או עם פקיעת הנישואין עקב מותו של בן זוג (בחוק זה – פקיעת הנישואין) זכאי כל אחד מבני הזוג למחצית שוויים של כלל נכסי בני הזוג, למעט –</w:t>
            </w:r>
          </w:p>
          <w:p>
            <w:pPr>
              <w:bidi/>
              <w:spacing w:before="0" w:after="60" w:line="300" w:lineRule="auto"/>
              <w:jc w:val="both"/>
            </w:pPr>
            <w:r>
              <w:rPr>
                <w:rFonts w:ascii="Arial" w:hAnsi="Arial" w:cs="Arial" w:eastAsia="Arial"/>
                <w:color w:val="1F2430"/>
                <w:sz w:val="18"/>
                <w:szCs w:val="18"/>
                <w:rtl/>
              </w:rPr>
              <w:t>(1) נכסים שהיו להם ערב הנישואין או שקיבלו במתנה או בירושה בתקופת הנישואין;</w:t>
            </w:r>
          </w:p>
          <w:p>
            <w:pPr>
              <w:bidi/>
              <w:spacing w:before="0" w:after="60" w:line="300" w:lineRule="auto"/>
              <w:jc w:val="both"/>
            </w:pPr>
            <w:r>
              <w:rPr>
                <w:rFonts w:ascii="Arial" w:hAnsi="Arial" w:cs="Arial" w:eastAsia="Arial"/>
                <w:color w:val="1F2430"/>
                <w:sz w:val="18"/>
                <w:szCs w:val="18"/>
                <w:rtl/>
              </w:rPr>
              <w:t>(2) גימלה המשתלמת לאחד מבני הזוג על-ידי המוסד לביטוח לאומי, או גימלה או פיצוי שנפסקו או המגיעים על פי חיקוק לאחד מבני-הזוג בשל נזק גוף, או מוות;</w:t>
            </w:r>
          </w:p>
          <w:p>
            <w:pPr>
              <w:bidi/>
              <w:spacing w:before="0" w:after="60" w:line="300" w:lineRule="auto"/>
              <w:jc w:val="both"/>
            </w:pPr>
            <w:r>
              <w:rPr>
                <w:rFonts w:ascii="Arial" w:hAnsi="Arial" w:cs="Arial" w:eastAsia="Arial"/>
                <w:color w:val="1F2430"/>
                <w:sz w:val="18"/>
                <w:szCs w:val="18"/>
                <w:rtl/>
              </w:rPr>
              <w:t>(3) נכסים שלגביהם הסכימו בני הזוג בכתב ששוויים לא יאוזן ביניהם."</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שתי נקודות יסוד:</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1. </w:t>
      </w:r>
      <w:r>
        <w:tab/>
      </w:r>
      <w:r>
        <w:rPr>
          <w:rFonts w:ascii="Arial" w:hAnsi="Arial" w:cs="Arial" w:eastAsia="Arial"/>
          <w:b/>
          <w:bCs/>
          <w:color w:val="1F2430"/>
          <w:sz w:val="19"/>
          <w:szCs w:val="19"/>
          <w:rtl/>
        </w:rPr>
        <w:t>השיתוף בא בסוף</w:t>
      </w:r>
      <w:r>
        <w:rPr>
          <w:rFonts w:ascii="Arial" w:hAnsi="Arial" w:cs="Arial" w:eastAsia="Arial"/>
          <w:color w:val="1F2430"/>
          <w:sz w:val="19"/>
          <w:szCs w:val="19"/>
          <w:rtl/>
        </w:rPr>
        <w:t xml:space="preserve"> — רק בפקיעת הנישואין (גירושין או מוות), או במועד מוקדם יותר לפי סעיף 5א (להלן). לאורך הדרך אין שיתוף.</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2. </w:t>
      </w:r>
      <w:r>
        <w:tab/>
      </w:r>
      <w:r>
        <w:rPr>
          <w:rFonts w:ascii="Arial" w:hAnsi="Arial" w:cs="Arial" w:eastAsia="Arial"/>
          <w:b/>
          <w:bCs/>
          <w:color w:val="1F2430"/>
          <w:sz w:val="19"/>
          <w:szCs w:val="19"/>
          <w:rtl/>
        </w:rPr>
        <w:t>השיתוף אובליגטורי</w:t>
      </w:r>
      <w:r>
        <w:rPr>
          <w:rFonts w:ascii="Arial" w:hAnsi="Arial" w:cs="Arial" w:eastAsia="Arial"/>
          <w:color w:val="1F2430"/>
          <w:sz w:val="19"/>
          <w:szCs w:val="19"/>
          <w:rtl/>
        </w:rPr>
        <w:t xml:space="preserve"> — גם בסוף, בן הזוג לא מקבל "חצי דירה" אלא </w:t>
      </w:r>
      <w:r>
        <w:rPr>
          <w:rFonts w:ascii="Arial" w:hAnsi="Arial" w:cs="Arial" w:eastAsia="Arial"/>
          <w:color w:val="1F2430"/>
          <w:sz w:val="19"/>
          <w:szCs w:val="19"/>
          <w:highlight w:val="yellow"/>
          <w:rtl/>
        </w:rPr>
        <w:t>מחצית השווי בכסף</w:t>
      </w:r>
      <w:r>
        <w:rPr>
          <w:rFonts w:ascii="Arial" w:hAnsi="Arial" w:cs="Arial" w:eastAsia="Arial"/>
          <w:color w:val="1F2430"/>
          <w:sz w:val="19"/>
          <w:szCs w:val="19"/>
          <w:rtl/>
        </w:rPr>
        <w:t>. בסוף "מקפיאים" את התמונה ועושים חצי-חצי בשווי.</w:t>
      </w:r>
    </w:p>
    <w:p>
      <w:pPr>
        <w:keepNext/>
        <w:bidi/>
        <w:spacing w:before="160" w:after="60" w:line="300" w:lineRule="auto"/>
      </w:pPr>
      <w:r>
        <w:rPr>
          <w:rFonts w:ascii="Arial" w:hAnsi="Arial" w:cs="Arial" w:eastAsia="Arial"/>
          <w:color w:val="55741A"/>
          <w:sz w:val="22"/>
          <w:szCs w:val="22"/>
          <w:rtl/>
        </w:rPr>
        <w:t xml:space="preserve">▌ </w:t>
      </w:r>
      <w:r>
        <w:rPr>
          <w:rFonts w:ascii="Arial" w:hAnsi="Arial" w:cs="Arial" w:eastAsia="Arial"/>
          <w:b/>
          <w:bCs/>
          <w:color w:val="55741A"/>
          <w:sz w:val="22"/>
          <w:szCs w:val="22"/>
          <w:rtl/>
        </w:rPr>
        <w:t>החריגים לאיזון</w:t>
      </w:r>
    </w:p>
    <w:tbl>
      <w:tblPr>
        <w:tblW w:type="dxa" w:w="10206"/>
        <w:jc w:val="center"/>
        <w:tblLook w:firstColumn="1" w:firstRow="1" w:lastColumn="0" w:lastRow="0" w:noHBand="0" w:noVBand="1" w:val="04A0"/>
        <w:bidiVisual/>
        <w:tblLayout w:type="fixed"/>
      </w:tblPr>
      <w:tblGrid>
        <w:gridCol w:w="1751"/>
        <w:gridCol w:w="3884"/>
        <w:gridCol w:w="4569"/>
      </w:tblGrid>
      <w:tr>
        <w:trPr>
          <w:tblHeader/>
        </w:trPr>
        <w:tc>
          <w:tcPr>
            <w:tcW w:type="dxa" w:w="1752"/>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חריג</w:t>
            </w:r>
          </w:p>
        </w:tc>
        <w:tc>
          <w:tcPr>
            <w:tcW w:type="dxa" w:w="3884"/>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פירוט</w:t>
            </w:r>
          </w:p>
        </w:tc>
        <w:tc>
          <w:tcPr>
            <w:tcW w:type="dxa" w:w="4569"/>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הערות</w:t>
            </w:r>
          </w:p>
        </w:tc>
      </w:tr>
      <w:tr>
        <w:trPr>
          <w:cantSplit/>
        </w:trPr>
        <w:tc>
          <w:tcPr>
            <w:tcW w:type="dxa" w:w="175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5(א)(1) נכס חיצוני</w:t>
            </w:r>
          </w:p>
        </w:tc>
        <w:tc>
          <w:tcPr>
            <w:tcW w:type="dxa" w:w="38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מה שהיה ערב הנישואין, ומתנה או ירושה שהתקבלו במהלכם</w:t>
            </w:r>
          </w:p>
        </w:tc>
        <w:tc>
          <w:tcPr>
            <w:tcW w:type="dxa" w:w="456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המחוקק מבקש להשאיר את הנכס החיצוני בחוץ</w:t>
            </w:r>
          </w:p>
        </w:tc>
      </w:tr>
      <w:tr>
        <w:trPr>
          <w:cantSplit/>
        </w:trPr>
        <w:tc>
          <w:tcPr>
            <w:tcW w:type="dxa" w:w="175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5(א)(2) גמלאות ופיצויים</w:t>
            </w:r>
          </w:p>
        </w:tc>
        <w:tc>
          <w:tcPr>
            <w:tcW w:type="dxa" w:w="38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ביטוח לאומי; גמלה או פיצוי בשל נזק גוף או מוות</w:t>
            </w:r>
          </w:p>
        </w:tc>
        <w:tc>
          <w:tcPr>
            <w:tcW w:type="dxa" w:w="456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הפסיקה מבחינה: פיצוי על אובדן כושר השתכרות – משותף; פיצוי על כאב וסבל – של הנפגע בלבד</w:t>
            </w:r>
          </w:p>
        </w:tc>
      </w:tr>
      <w:tr>
        <w:trPr>
          <w:cantSplit/>
        </w:trPr>
        <w:tc>
          <w:tcPr>
            <w:tcW w:type="dxa" w:w="175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5(א)(3) הסכמה בכתב</w:t>
            </w:r>
          </w:p>
        </w:tc>
        <w:tc>
          <w:tcPr>
            <w:tcW w:type="dxa" w:w="38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נכסים שהוסכם בכתב ששוויים לא יאוזן</w:t>
            </w:r>
          </w:p>
        </w:tc>
        <w:tc>
          <w:tcPr>
            <w:tcW w:type="dxa" w:w="456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 בכתב, ולא נדרש אישור כמו בהסכם ממון (ראו פרק 13)</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נקודה למחשבה מהשיעור</w:t>
            </w:r>
          </w:p>
          <w:p>
            <w:pPr>
              <w:bidi/>
              <w:spacing w:before="0" w:after="60" w:line="300" w:lineRule="auto"/>
              <w:jc w:val="both"/>
            </w:pPr>
            <w:r>
              <w:rPr>
                <w:rFonts w:ascii="Arial" w:hAnsi="Arial" w:cs="Arial" w:eastAsia="Arial"/>
                <w:color w:val="1F2430"/>
                <w:sz w:val="18"/>
                <w:szCs w:val="18"/>
                <w:rtl/>
              </w:rPr>
              <w:t>אם המחוקק כבר מוציא את הנכס החיצוני מהאיזון, לכאורה אין צורך בהסכם ממון כדי "להשאיר את הדירה בחוץ". אבל הפסיקה פתחה דלת לשיתוף בנכס חיצוני (הדין הכללי, "דבר מה נוסף"), ולכן להסכם ממון ברור ומאושר יש ערך גם היום.</w:t>
            </w:r>
          </w:p>
        </w:tc>
      </w:tr>
    </w:tbl>
    <w:p>
      <w:pPr>
        <w:bidi/>
        <w:spacing w:after="0" w:before="0" w:line="120" w:lineRule="exact"/>
      </w:pPr>
      <w:r>
        <w:rPr>
          <w:sz w:val="2"/>
        </w:rPr>
      </w:r>
    </w:p>
    <w:p>
      <w:pPr>
        <w:keepNext/>
        <w:bidi/>
        <w:spacing w:before="160" w:after="60" w:line="300" w:lineRule="auto"/>
      </w:pPr>
      <w:r>
        <w:rPr>
          <w:rFonts w:ascii="Arial" w:hAnsi="Arial" w:cs="Arial" w:eastAsia="Arial"/>
          <w:color w:val="55741A"/>
          <w:sz w:val="22"/>
          <w:szCs w:val="22"/>
          <w:rtl/>
        </w:rPr>
        <w:t xml:space="preserve">▌ </w:t>
      </w:r>
      <w:r>
        <w:rPr>
          <w:rFonts w:ascii="Arial" w:hAnsi="Arial" w:cs="Arial" w:eastAsia="Arial"/>
          <w:b/>
          <w:bCs/>
          <w:color w:val="55741A"/>
          <w:sz w:val="22"/>
          <w:szCs w:val="22"/>
          <w:rtl/>
        </w:rPr>
        <w:t>סעיף 5(ג): מה כולל "כלל נכסי בני הזוג"</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5(ג) (תיקון תשס"ט-2008)</w:t>
            </w:r>
          </w:p>
          <w:p>
            <w:pPr>
              <w:bidi/>
              <w:spacing w:before="0" w:after="60" w:line="300" w:lineRule="auto"/>
              <w:jc w:val="both"/>
            </w:pPr>
            <w:r>
              <w:rPr>
                <w:rFonts w:ascii="Arial" w:hAnsi="Arial" w:cs="Arial" w:eastAsia="Arial"/>
                <w:color w:val="1F2430"/>
                <w:sz w:val="18"/>
                <w:szCs w:val="18"/>
                <w:rtl/>
              </w:rPr>
              <w:t>"בסעיף זה, 'כלל נכסי בני זוג' – לרבות זכויות עתידיות לפנסיה, פיצויי פרישה, קרנות השתלמות, קופות תגמולים וחסכונות."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הסעיף נוסף ב-2008. המחוקק כבר הכיר את ההלכות שנולדו בהלכת השיתוף (לידאי, בסיליאן, אורון) ו"העתיק" אותן לחוק: גם זכויות סוציאליות ועתידיות שנצברו במהלך החיים המשותפים נכללות באיזון.</w:t>
      </w:r>
    </w:p>
    <w:p>
      <w:pPr>
        <w:bidi/>
        <w:spacing w:before="0" w:after="100" w:line="300" w:lineRule="auto"/>
        <w:jc w:val="both"/>
      </w:pPr>
      <w:r>
        <w:rPr>
          <w:rFonts w:ascii="Arial" w:hAnsi="Arial" w:cs="Arial" w:eastAsia="Arial"/>
          <w:b/>
          <w:bCs/>
          <w:color w:val="1F2430"/>
          <w:sz w:val="19"/>
          <w:szCs w:val="19"/>
          <w:rtl/>
        </w:rPr>
        <w:t>ומה עם מוניטין אישי וכושר השתכרות?</w:t>
      </w:r>
      <w:r>
        <w:rPr>
          <w:rFonts w:ascii="Arial" w:hAnsi="Arial" w:cs="Arial" w:eastAsia="Arial"/>
          <w:color w:val="1F2430"/>
          <w:sz w:val="19"/>
          <w:szCs w:val="19"/>
          <w:rtl/>
        </w:rPr>
        <w:t xml:space="preserve"> הם </w:t>
      </w:r>
      <w:r>
        <w:rPr>
          <w:rFonts w:ascii="Arial" w:hAnsi="Arial" w:cs="Arial" w:eastAsia="Arial"/>
          <w:color w:val="1F2430"/>
          <w:sz w:val="19"/>
          <w:szCs w:val="19"/>
          <w:highlight w:val="yellow"/>
          <w:rtl/>
        </w:rPr>
        <w:t>לא מוזכרים</w:t>
      </w:r>
      <w:r>
        <w:rPr>
          <w:rFonts w:ascii="Arial" w:hAnsi="Arial" w:cs="Arial" w:eastAsia="Arial"/>
          <w:color w:val="1F2430"/>
          <w:sz w:val="19"/>
          <w:szCs w:val="19"/>
          <w:rtl/>
        </w:rPr>
        <w:t xml:space="preserve"> בסעיף 5(ג). זו לקונה, ויש לה שני פירושים, ובתי המשפט חלוקים עד היום:</w:t>
      </w:r>
    </w:p>
    <w:tbl>
      <w:tblPr>
        <w:tblW w:type="dxa" w:w="10206"/>
        <w:jc w:val="center"/>
        <w:tblLook w:firstColumn="1" w:firstRow="1" w:lastColumn="0" w:lastRow="0" w:noHBand="0" w:noVBand="1" w:val="04A0"/>
        <w:bidiVisual/>
        <w:tblLayout w:type="fixed"/>
      </w:tblPr>
      <w:tblGrid>
        <w:gridCol w:w="1267"/>
        <w:gridCol w:w="5362"/>
        <w:gridCol w:w="3575"/>
      </w:tblGrid>
      <w:tr>
        <w:trPr>
          <w:tblHeader/>
        </w:trPr>
        <w:tc>
          <w:tcPr>
            <w:tcW w:type="dxa" w:w="1268"/>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גישה</w:t>
            </w:r>
          </w:p>
        </w:tc>
        <w:tc>
          <w:tcPr>
            <w:tcW w:type="dxa" w:w="5362"/>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הטענה</w:t>
            </w:r>
          </w:p>
        </w:tc>
        <w:tc>
          <w:tcPr>
            <w:tcW w:type="dxa" w:w="3575"/>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זה אומר למבחן</w:t>
            </w:r>
          </w:p>
        </w:tc>
      </w:tr>
      <w:tr>
        <w:trPr>
          <w:cantSplit/>
        </w:trPr>
        <w:tc>
          <w:tcPr>
            <w:tcW w:type="dxa" w:w="126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הסדר שלילי</w:t>
            </w:r>
          </w:p>
        </w:tc>
        <w:tc>
          <w:tcPr>
            <w:tcW w:type="dxa" w:w="536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המחוקק ידע ולא כתב, כי לא רצה שכושר השתכרות ייחשב נכס. הגישה מתחזקת מכך שהמחוקק כן הזכיר כושר השתכרות בסעיף 8(2)</w:t>
            </w:r>
          </w:p>
        </w:tc>
        <w:tc>
          <w:tcPr>
            <w:tcW w:type="dxa" w:w="357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בעל הקריירה "עדיף" שייפול אצל שופטים אלה</w:t>
            </w:r>
          </w:p>
        </w:tc>
      </w:tr>
      <w:tr>
        <w:trPr>
          <w:cantSplit/>
        </w:trPr>
        <w:tc>
          <w:tcPr>
            <w:tcW w:type="dxa" w:w="126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השמטה מקרית</w:t>
            </w:r>
          </w:p>
        </w:tc>
        <w:tc>
          <w:tcPr>
            <w:tcW w:type="dxa" w:w="536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כושר השתכרות ומוניטין אישי הם נכס ומחלקים גם אותם, במיוחד כשבן הזוג השני תרם להתפתחות המקצועית</w:t>
            </w:r>
          </w:p>
        </w:tc>
        <w:tc>
          <w:tcPr>
            <w:tcW w:type="dxa" w:w="357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בעל הקריירה לא ירצה להגיע לשופטים אלה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לרקע על נכסי קריירה, מחקר ויצמן ופסק הדין שבו העליון העדיף תשלום חד-פעמי על תשלום חודשי, ראו פרק 11.</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12.4 מימוש האיזון: סעיף 6</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6 – מימוש הזכות לאיזון</w:t>
            </w:r>
          </w:p>
          <w:p>
            <w:pPr>
              <w:bidi/>
              <w:spacing w:before="0" w:after="60" w:line="300" w:lineRule="auto"/>
              <w:jc w:val="both"/>
            </w:pPr>
            <w:r>
              <w:rPr>
                <w:rFonts w:ascii="Arial" w:hAnsi="Arial" w:cs="Arial" w:eastAsia="Arial"/>
                <w:color w:val="1F2430"/>
                <w:sz w:val="18"/>
                <w:szCs w:val="18"/>
                <w:rtl/>
              </w:rPr>
              <w:t>"(א) לצורך איזון המשאבים לפי סעיף 5 יש לשום את נכסי כל אחד מבני הזוג, פרט לנכסים שאין לאזן שוויים; משווי הנכסים האמורים של כל בן-זוג יש לנכות את סכום החובות המגיעים ממנו, למעט חובות בקשר לנכסים שאין לאזן שוויים.</w:t>
            </w:r>
          </w:p>
          <w:p>
            <w:pPr>
              <w:bidi/>
              <w:spacing w:before="0" w:after="60" w:line="300" w:lineRule="auto"/>
              <w:jc w:val="both"/>
            </w:pPr>
            <w:r>
              <w:rPr>
                <w:rFonts w:ascii="Arial" w:hAnsi="Arial" w:cs="Arial" w:eastAsia="Arial"/>
                <w:color w:val="1F2430"/>
                <w:sz w:val="18"/>
                <w:szCs w:val="18"/>
                <w:rtl/>
              </w:rPr>
              <w:t>(ב) היה שוויים של נכסי בן הזוג האחד עולה על שוויים של נכסי השני, חייב האחד לתת לשני את מחצית ההפרש, אם בעין ואם בכסף או בשווה כסף."</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שלבי החישוב:</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1. </w:t>
      </w:r>
      <w:r>
        <w:tab/>
      </w:r>
      <w:r>
        <w:rPr>
          <w:rFonts w:ascii="Arial" w:hAnsi="Arial" w:cs="Arial" w:eastAsia="Arial"/>
          <w:color w:val="1F2430"/>
          <w:sz w:val="19"/>
          <w:szCs w:val="19"/>
          <w:rtl/>
        </w:rPr>
        <w:t>שמים בטבלה את הנכסים בני האיזון של כל בן זוג (בלי הנכסים החיצוניים והחריגים).</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2. </w:t>
      </w:r>
      <w:r>
        <w:tab/>
      </w:r>
      <w:r>
        <w:rPr>
          <w:rFonts w:ascii="Arial" w:hAnsi="Arial" w:cs="Arial" w:eastAsia="Arial"/>
          <w:color w:val="1F2430"/>
          <w:sz w:val="19"/>
          <w:szCs w:val="19"/>
          <w:rtl/>
        </w:rPr>
        <w:t>מנכים מכל צד את החובות שלו (נטו), למעט חובות שקשורים לנכס שאינו בר-איזון. חוב על נכס חיצוני נשאר "בחוץ" יחד עם הנכס.</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3. </w:t>
      </w:r>
      <w:r>
        <w:tab/>
      </w:r>
      <w:r>
        <w:rPr>
          <w:rFonts w:ascii="Arial" w:hAnsi="Arial" w:cs="Arial" w:eastAsia="Arial"/>
          <w:color w:val="1F2430"/>
          <w:sz w:val="19"/>
          <w:szCs w:val="19"/>
          <w:rtl/>
        </w:rPr>
        <w:t xml:space="preserve">משווים, ומי שיש לו יותר מעביר לשני </w:t>
      </w:r>
      <w:r>
        <w:rPr>
          <w:rFonts w:ascii="Arial" w:hAnsi="Arial" w:cs="Arial" w:eastAsia="Arial"/>
          <w:color w:val="1F2430"/>
          <w:sz w:val="19"/>
          <w:szCs w:val="19"/>
          <w:highlight w:val="yellow"/>
          <w:rtl/>
        </w:rPr>
        <w:t>מחצית ההפרש</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דוגמה מספרית</w:t>
            </w:r>
          </w:p>
          <w:p>
            <w:pPr>
              <w:bidi/>
              <w:spacing w:before="0" w:after="60" w:line="300" w:lineRule="auto"/>
              <w:jc w:val="both"/>
            </w:pPr>
            <w:r>
              <w:rPr>
                <w:rFonts w:ascii="Arial" w:hAnsi="Arial" w:cs="Arial" w:eastAsia="Arial"/>
                <w:color w:val="1F2430"/>
                <w:sz w:val="18"/>
                <w:szCs w:val="18"/>
                <w:rtl/>
              </w:rPr>
              <w:t>דירה של הבעל שווה 1,000,000 ש"ח ורובצת עליה משכנתא של 300,000 ש"ח, כך ששוויה נטו 700,000 ש"ח. נניח שבסך הכול לבעל נכסים נטו בשווי 800,000 ש"ח ולאישה 400,000 ש"ח. ההפרש הוא 400,000, ולכן הבעל מעביר לאישה 200,000 ש"ח. בסוף לכל אחד שווי של 600,000 ש"ח. אפשר לבצע את ההעברה בכסף, בנכסים או בשווה כסף. המטרה היא שהשווי הכולל יתחלק שווה, לא שכל נכס יירשם חצי-חצי.</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שני סעיפים משלימים:</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סעיף 9:</w:t>
      </w:r>
      <w:r>
        <w:rPr>
          <w:rFonts w:ascii="Arial" w:hAnsi="Arial" w:cs="Arial" w:eastAsia="Arial"/>
          <w:color w:val="1F2430"/>
          <w:sz w:val="19"/>
          <w:szCs w:val="19"/>
          <w:rtl/>
        </w:rPr>
        <w:t xml:space="preserve"> "אין ברישום לבדו" כדי לצאת ידי נטל ההוכחה בתובענה בין בני הזוג. העובדה שנכס רשום על שם אחד מהם אינה מכריעה.</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סעיף 6א (2008):</w:t>
      </w:r>
      <w:r>
        <w:rPr>
          <w:rFonts w:ascii="Arial" w:hAnsi="Arial" w:cs="Arial" w:eastAsia="Arial"/>
          <w:color w:val="1F2430"/>
          <w:sz w:val="19"/>
          <w:szCs w:val="19"/>
          <w:rtl/>
        </w:rPr>
        <w:t xml:space="preserve"> כשמאזנים או מפרקים שיתוף בין בני זוג, הערכאה צריכה להידרש גם ל</w:t>
      </w:r>
      <w:r>
        <w:rPr>
          <w:rFonts w:ascii="Arial" w:hAnsi="Arial" w:cs="Arial" w:eastAsia="Arial"/>
          <w:color w:val="1F2430"/>
          <w:sz w:val="19"/>
          <w:szCs w:val="19"/>
          <w:highlight w:val="yellow"/>
          <w:rtl/>
        </w:rPr>
        <w:t>מדור חלופי</w:t>
      </w:r>
      <w:r>
        <w:rPr>
          <w:rFonts w:ascii="Arial" w:hAnsi="Arial" w:cs="Arial" w:eastAsia="Arial"/>
          <w:color w:val="1F2430"/>
          <w:sz w:val="19"/>
          <w:szCs w:val="19"/>
          <w:rtl/>
        </w:rPr>
        <w:t>, כלומר קורת גג להורה המחזיק בילדים ולילדים עצמם. הוראה דומה הוכנסה ב-1995 לחוק המקרקעין (סעיף 40א).</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12.5 אופי הזכות: אובליגטורית ודחויה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שיתוף קנייני מול שיתוף אובליגטורי</w:t>
            </w:r>
          </w:p>
          <w:p>
            <w:pPr>
              <w:bidi/>
              <w:spacing w:before="0" w:after="60" w:line="300" w:lineRule="auto"/>
              <w:jc w:val="both"/>
            </w:pPr>
            <w:r>
              <w:rPr>
                <w:rFonts w:ascii="Arial" w:hAnsi="Arial" w:cs="Arial" w:eastAsia="Arial"/>
                <w:b/>
                <w:bCs/>
                <w:color w:val="1F2430"/>
                <w:sz w:val="18"/>
                <w:szCs w:val="18"/>
                <w:rtl/>
              </w:rPr>
              <w:t>קנייני (הלכת השיתוף):</w:t>
            </w:r>
            <w:r>
              <w:rPr>
                <w:rFonts w:ascii="Arial" w:hAnsi="Arial" w:cs="Arial" w:eastAsia="Arial"/>
                <w:color w:val="1F2430"/>
                <w:sz w:val="18"/>
                <w:szCs w:val="18"/>
                <w:rtl/>
              </w:rPr>
              <w:t xml:space="preserve"> בן הזוג הוא בעלים ממש בנכס, גם אם אינו רשום בטאבו.</w:t>
            </w:r>
          </w:p>
          <w:p>
            <w:pPr>
              <w:bidi/>
              <w:spacing w:before="0" w:after="60" w:line="300" w:lineRule="auto"/>
              <w:jc w:val="both"/>
            </w:pPr>
            <w:r>
              <w:rPr>
                <w:rFonts w:ascii="Arial" w:hAnsi="Arial" w:cs="Arial" w:eastAsia="Arial"/>
                <w:b/>
                <w:bCs/>
                <w:color w:val="1F2430"/>
                <w:sz w:val="18"/>
                <w:szCs w:val="18"/>
                <w:rtl/>
              </w:rPr>
              <w:t>אובליגטורי ודחוי (חוק יחסי ממון):</w:t>
            </w:r>
            <w:r>
              <w:rPr>
                <w:rFonts w:ascii="Arial" w:hAnsi="Arial" w:cs="Arial" w:eastAsia="Arial"/>
                <w:color w:val="1F2430"/>
                <w:sz w:val="18"/>
                <w:szCs w:val="18"/>
                <w:rtl/>
              </w:rPr>
              <w:t xml:space="preserve"> לבן הזוג יש זכות חיובית לקבל </w:t>
            </w:r>
            <w:r>
              <w:rPr>
                <w:rFonts w:ascii="Arial" w:hAnsi="Arial" w:cs="Arial" w:eastAsia="Arial"/>
                <w:color w:val="1F2430"/>
                <w:sz w:val="18"/>
                <w:szCs w:val="18"/>
                <w:highlight w:val="yellow"/>
                <w:rtl/>
              </w:rPr>
              <w:t>שווי כספי</w:t>
            </w:r>
            <w:r>
              <w:rPr>
                <w:rFonts w:ascii="Arial" w:hAnsi="Arial" w:cs="Arial" w:eastAsia="Arial"/>
                <w:color w:val="1F2430"/>
                <w:sz w:val="18"/>
                <w:szCs w:val="18"/>
                <w:rtl/>
              </w:rPr>
              <w:t>, והיא מתגבשת רק במועד האיזון.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ההבחנה נועדה </w:t>
      </w:r>
      <w:r>
        <w:rPr>
          <w:rFonts w:ascii="Arial" w:hAnsi="Arial" w:cs="Arial" w:eastAsia="Arial"/>
          <w:color w:val="1F2430"/>
          <w:sz w:val="19"/>
          <w:szCs w:val="19"/>
          <w:highlight w:val="yellow"/>
          <w:rtl/>
        </w:rPr>
        <w:t>להגן על השוק</w:t>
      </w:r>
      <w:r>
        <w:rPr>
          <w:rFonts w:ascii="Arial" w:hAnsi="Arial" w:cs="Arial" w:eastAsia="Arial"/>
          <w:color w:val="1F2430"/>
          <w:sz w:val="19"/>
          <w:szCs w:val="19"/>
          <w:rtl/>
        </w:rPr>
        <w:t>: בן הזוג נחלש מעט, כי אינו יכול "לרדוף" אחרי קונה, והמחוקק העדיף את ודאות השוק.</w:t>
      </w:r>
    </w:p>
    <w:tbl>
      <w:tblPr>
        <w:tblW w:type="dxa" w:w="10206"/>
        <w:jc w:val="center"/>
        <w:tblLook w:firstColumn="1" w:firstRow="1" w:lastColumn="0" w:lastRow="0" w:noHBand="0" w:noVBand="1" w:val="04A0"/>
        <w:bidiVisual/>
        <w:tblLayout w:type="fixed"/>
      </w:tblPr>
      <w:tblGrid>
        <w:gridCol w:w="2201"/>
        <w:gridCol w:w="4002"/>
        <w:gridCol w:w="4002"/>
      </w:tblGrid>
      <w:tr>
        <w:trPr>
          <w:tblHeader/>
        </w:trPr>
        <w:tc>
          <w:tcPr>
            <w:tcW w:type="dxa" w:w="2201"/>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4002"/>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4002"/>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חוק יחסי ממון</w:t>
            </w:r>
          </w:p>
        </w:tc>
      </w:tr>
      <w:tr>
        <w:trPr>
          <w:cantSplit/>
        </w:trPr>
        <w:tc>
          <w:tcPr>
            <w:tcW w:type="dxa" w:w="220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דירה משפחתית נמכרה במהלך הנישואין</w:t>
            </w:r>
          </w:p>
        </w:tc>
        <w:tc>
          <w:tcPr>
            <w:tcW w:type="dxa" w:w="400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לבן הזוג זכות קניינית, והוא עשוי לטעון שהמכירה פגעה בו (בכפוף לתום לב הקונה)</w:t>
            </w:r>
          </w:p>
        </w:tc>
        <w:tc>
          <w:tcPr>
            <w:tcW w:type="dxa" w:w="400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זכות קניינית, אין ביטול המכירה. אם התמורה עדיין קיימת במועד האיזון, היא נכללת בו</w:t>
            </w:r>
          </w:p>
        </w:tc>
      </w:tr>
      <w:tr>
        <w:trPr>
          <w:cantSplit/>
        </w:trPr>
        <w:tc>
          <w:tcPr>
            <w:tcW w:type="dxa" w:w="220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עסק נמכר לפני המועד הקריטי</w:t>
            </w:r>
          </w:p>
        </w:tc>
        <w:tc>
          <w:tcPr>
            <w:tcW w:type="dxa" w:w="400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השיתוף העסקי טרם התגבש (הלכת שלם), אין זכות קניינית מגובשת</w:t>
            </w:r>
          </w:p>
        </w:tc>
        <w:tc>
          <w:tcPr>
            <w:tcW w:type="dxa" w:w="400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אין זכות קניינית. התמורה הקיימת במועד האיזון נכללת בו</w:t>
            </w:r>
          </w:p>
        </w:tc>
      </w:tr>
      <w:tr>
        <w:trPr>
          <w:cantSplit/>
        </w:trPr>
        <w:tc>
          <w:tcPr>
            <w:tcW w:type="dxa" w:w="220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עסק קיים במועד הגירושין</w:t>
            </w:r>
          </w:p>
        </w:tc>
        <w:tc>
          <w:tcPr>
            <w:tcW w:type="dxa" w:w="400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עם התגבשות השיתוף, זכות קניינית בעסק</w:t>
            </w:r>
          </w:p>
        </w:tc>
        <w:tc>
          <w:tcPr>
            <w:tcW w:type="dxa" w:w="4002"/>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בדרך כלל מחצית השווי, לא בהכרח מחצית הבעלות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אירוע מהשאלות: הבנק והדירה השנייה</w:t>
            </w:r>
          </w:p>
          <w:p>
            <w:pPr>
              <w:bidi/>
              <w:spacing w:before="0" w:after="60" w:line="300" w:lineRule="auto"/>
              <w:jc w:val="both"/>
            </w:pPr>
            <w:r>
              <w:rPr>
                <w:rFonts w:ascii="Arial" w:hAnsi="Arial" w:cs="Arial" w:eastAsia="Arial"/>
                <w:color w:val="1F2430"/>
                <w:sz w:val="18"/>
                <w:szCs w:val="18"/>
                <w:rtl/>
              </w:rPr>
              <w:t xml:space="preserve">אברהם ורבקה, נשואים באושר, קנו דירה שנייה להשקעה מחסכונותיהם, רשומה רק על שם הבעל, והבעל לקח לשם כך משכנתא. הם לא עמדו בהחזרים, והבנק מבקש לממש. </w:t>
            </w:r>
            <w:r>
              <w:rPr>
                <w:rFonts w:ascii="Arial" w:hAnsi="Arial" w:cs="Arial" w:eastAsia="Arial"/>
                <w:b/>
                <w:bCs/>
                <w:color w:val="1F2430"/>
                <w:sz w:val="18"/>
                <w:szCs w:val="18"/>
                <w:rtl/>
              </w:rPr>
              <w:t>לפי שני המשטרים הבנק יכול לממש.</w:t>
            </w:r>
            <w:r>
              <w:rPr>
                <w:rFonts w:ascii="Arial" w:hAnsi="Arial" w:cs="Arial" w:eastAsia="Arial"/>
                <w:color w:val="1F2430"/>
                <w:sz w:val="18"/>
                <w:szCs w:val="18"/>
                <w:rtl/>
              </w:rPr>
              <w:t xml:space="preserve"> לפי הלכת השיתוף, זה אינו נכס משפחתי מובהק, ולכן הזכות הקניינית של האישה נדחית למועד הקרע, וקרע אין. לפי חוק יחסי ממון, לאישה זכות אובליגטורית דחויה בלבד, שתתגבש רק בפקיעת הנישואין.</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12.6 סעיף 7: הרחבת בסיס האיזון (הברחת נכסים)</w:t>
      </w:r>
    </w:p>
    <w:p>
      <w:pPr>
        <w:bidi/>
        <w:spacing w:before="0" w:after="100" w:line="300" w:lineRule="auto"/>
        <w:jc w:val="both"/>
      </w:pPr>
      <w:r>
        <w:rPr>
          <w:rFonts w:ascii="Arial" w:hAnsi="Arial" w:cs="Arial" w:eastAsia="Arial"/>
          <w:color w:val="1F2430"/>
          <w:sz w:val="19"/>
          <w:szCs w:val="19"/>
          <w:rtl/>
        </w:rPr>
        <w:t>מכיוון שלאורך הדרך כל אחד בעלים בלעדי של מה שעל שמו, בן זוג שמזהה שגירושין באופק עלול "לרוקן" את נכסיו כדי שהפער ייעלם.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7</w:t>
            </w:r>
          </w:p>
          <w:p>
            <w:pPr>
              <w:bidi/>
              <w:spacing w:before="0" w:after="60" w:line="300" w:lineRule="auto"/>
              <w:jc w:val="both"/>
            </w:pPr>
            <w:r>
              <w:rPr>
                <w:rFonts w:ascii="Arial" w:hAnsi="Arial" w:cs="Arial" w:eastAsia="Arial"/>
                <w:color w:val="1F2430"/>
                <w:sz w:val="18"/>
                <w:szCs w:val="18"/>
                <w:rtl/>
              </w:rPr>
              <w:t>"נכס שבן זוג הוציא או התחייב להוציא מרשותו בכוונה לסכל זכותו של בן זוגו לפי סעיף 5, ונכס שנתן או התחייב לתת במתנה – למעט מתנות ותרומות הניתנות לפי הנהוג בנסיבות הענין – רשאי בית המשפט או בית הדין לראותו, לצורך איזון המשאבים, כאילו הוא עדיין של אותו בן-זוג."</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דוגמה:</w:t>
      </w:r>
      <w:r>
        <w:rPr>
          <w:rFonts w:ascii="Arial" w:hAnsi="Arial" w:cs="Arial" w:eastAsia="Arial"/>
          <w:color w:val="1F2430"/>
          <w:sz w:val="19"/>
          <w:szCs w:val="19"/>
          <w:rtl/>
        </w:rPr>
        <w:t xml:space="preserve"> בעל שיודע שהוא עומד להתגרש מעביר דירה לאחיו. בית המשפט רושם את הדירה בטבלת האיזון </w:t>
      </w:r>
      <w:r>
        <w:rPr>
          <w:rFonts w:ascii="Arial" w:hAnsi="Arial" w:cs="Arial" w:eastAsia="Arial"/>
          <w:color w:val="1F2430"/>
          <w:sz w:val="19"/>
          <w:szCs w:val="19"/>
          <w:highlight w:val="yellow"/>
          <w:rtl/>
        </w:rPr>
        <w:t>כאילו היא עדיין של הבעל</w:t>
      </w:r>
      <w:r>
        <w:rPr>
          <w:rFonts w:ascii="Arial" w:hAnsi="Arial" w:cs="Arial" w:eastAsia="Arial"/>
          <w:color w:val="1F2430"/>
          <w:sz w:val="19"/>
          <w:szCs w:val="19"/>
          <w:rtl/>
        </w:rPr>
        <w:t>. בדרך כלל קל לזהות זאת, למשל העברה לבן משפחה במחיר מוזל. הסעיף אינו מבטל את העסקה מול הצד השלישי. הוא רק מחזיר את השווי לחישוב, כי לפני השלב הקריטי בן הזוג ממילא אינו יכול לרדוף אחרי הקונה.</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12.7 סעיף 8: סמכויות מיוחדות ונסיבות מיוחדות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8 (רישה) ו-8(2)</w:t>
            </w:r>
          </w:p>
          <w:p>
            <w:pPr>
              <w:bidi/>
              <w:spacing w:before="0" w:after="60" w:line="300" w:lineRule="auto"/>
              <w:jc w:val="both"/>
            </w:pPr>
            <w:r>
              <w:rPr>
                <w:rFonts w:ascii="Arial" w:hAnsi="Arial" w:cs="Arial" w:eastAsia="Arial"/>
                <w:color w:val="1F2430"/>
                <w:sz w:val="18"/>
                <w:szCs w:val="18"/>
                <w:rtl/>
              </w:rPr>
              <w:t>"ראה בית המשפט או בית הדין נסיבות מיוחדות המצדיקות זאת, רשאי הוא, לבקשת אחד מבני הזוג – אם לא נפסק בדבר יחסי הממון בפסק דין להתרת נישואין – לעשות אחת או יותר מאלה במסגרת איזון המשאבים: ...</w:t>
            </w:r>
          </w:p>
          <w:p>
            <w:pPr>
              <w:bidi/>
              <w:spacing w:before="0" w:after="60" w:line="300" w:lineRule="auto"/>
              <w:jc w:val="both"/>
            </w:pPr>
            <w:r>
              <w:rPr>
                <w:rFonts w:ascii="Arial" w:hAnsi="Arial" w:cs="Arial" w:eastAsia="Arial"/>
                <w:color w:val="1F2430"/>
                <w:sz w:val="18"/>
                <w:szCs w:val="18"/>
                <w:rtl/>
              </w:rPr>
              <w:t>(2) לקבוע שאיזון שווי הנכסים, כולם או מקצתם, לא יהיה מחצה על מחצה, אלא לפי יחס אחר שיקבע בהתחשב, בין השאר, בנכסים עתידיים, לרבות בכושר ההשתכרות של כל אחד מבני הזוג."</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עקרונות: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הכלל הוא </w:t>
      </w:r>
      <w:r>
        <w:rPr>
          <w:rFonts w:ascii="Arial" w:hAnsi="Arial" w:cs="Arial" w:eastAsia="Arial"/>
          <w:color w:val="1F2430"/>
          <w:sz w:val="19"/>
          <w:szCs w:val="19"/>
          <w:highlight w:val="yellow"/>
          <w:rtl/>
        </w:rPr>
        <w:t>חצי בחצי</w:t>
      </w:r>
      <w:r>
        <w:rPr>
          <w:rFonts w:ascii="Arial" w:hAnsi="Arial" w:cs="Arial" w:eastAsia="Arial"/>
          <w:color w:val="1F2430"/>
          <w:sz w:val="19"/>
          <w:szCs w:val="19"/>
          <w:rtl/>
        </w:rPr>
        <w:t>; מי שמבקש לסטות נושא בנטל.</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הסעיף </w:t>
      </w:r>
      <w:r>
        <w:rPr>
          <w:rFonts w:ascii="Arial" w:hAnsi="Arial" w:cs="Arial" w:eastAsia="Arial"/>
          <w:b/>
          <w:bCs/>
          <w:color w:val="1F2430"/>
          <w:sz w:val="19"/>
          <w:szCs w:val="19"/>
          <w:rtl/>
        </w:rPr>
        <w:t>רשות</w:t>
      </w:r>
      <w:r>
        <w:rPr>
          <w:rFonts w:ascii="Arial" w:hAnsi="Arial" w:cs="Arial" w:eastAsia="Arial"/>
          <w:color w:val="1F2430"/>
          <w:sz w:val="19"/>
          <w:szCs w:val="19"/>
          <w:rtl/>
        </w:rPr>
        <w:t xml:space="preserve"> ("רשאי") ורק ב</w:t>
      </w:r>
      <w:r>
        <w:rPr>
          <w:rFonts w:ascii="Arial" w:hAnsi="Arial" w:cs="Arial" w:eastAsia="Arial"/>
          <w:b/>
          <w:bCs/>
          <w:color w:val="1F2430"/>
          <w:sz w:val="19"/>
          <w:szCs w:val="19"/>
          <w:rtl/>
        </w:rPr>
        <w:t>נסיבות מיוחדות</w:t>
      </w:r>
      <w:r>
        <w:rPr>
          <w:rFonts w:ascii="Arial" w:hAnsi="Arial" w:cs="Arial" w:eastAsia="Arial"/>
          <w:color w:val="1F2430"/>
          <w:sz w:val="19"/>
          <w:szCs w:val="19"/>
          <w:rtl/>
        </w:rPr>
        <w:t>: לא כל פער בהשתכרות מצדיק סטייה, ובוחנים מכלול נתונים.</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לפי הגישה הרואה בהשמטה מסעיף 5(ג) הסדר שלילי, סעיף 8(2) מראה שכושר השתכרות </w:t>
      </w:r>
      <w:r>
        <w:rPr>
          <w:rFonts w:ascii="Arial" w:hAnsi="Arial" w:cs="Arial" w:eastAsia="Arial"/>
          <w:b/>
          <w:bCs/>
          <w:color w:val="1F2430"/>
          <w:sz w:val="19"/>
          <w:szCs w:val="19"/>
          <w:rtl/>
        </w:rPr>
        <w:t>אינו נכס בפני עצמו</w:t>
      </w:r>
      <w:r>
        <w:rPr>
          <w:rFonts w:ascii="Arial" w:hAnsi="Arial" w:cs="Arial" w:eastAsia="Arial"/>
          <w:color w:val="1F2430"/>
          <w:sz w:val="19"/>
          <w:szCs w:val="19"/>
          <w:rtl/>
        </w:rPr>
        <w:t>. במקרים חריגים מתחשבים בו בכך ש"מטים" את יחס החלוקה של הנכסים הקיימים.</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לפי מה שנלמד בקורס, סעיף 8 כולל סמכויות נוספות מלבד יחס החלוקה, למשל לגבי </w:t>
      </w:r>
      <w:r>
        <w:rPr>
          <w:rFonts w:ascii="Arial" w:hAnsi="Arial" w:cs="Arial" w:eastAsia="Arial"/>
          <w:color w:val="1F2430"/>
          <w:sz w:val="19"/>
          <w:szCs w:val="19"/>
          <w:highlight w:val="yellow"/>
          <w:rtl/>
        </w:rPr>
        <w:t>המועד</w:t>
      </w:r>
      <w:r>
        <w:rPr>
          <w:rFonts w:ascii="Arial" w:hAnsi="Arial" w:cs="Arial" w:eastAsia="Arial"/>
          <w:color w:val="1F2430"/>
          <w:sz w:val="19"/>
          <w:szCs w:val="19"/>
          <w:rtl/>
        </w:rPr>
        <w:t xml:space="preserve"> שלפיו שמים את הנכסים. בשאלות לפרופסור הוסבר גם שבסעיף 8(4) אפשר לראות "סוג של" שיתוף ספציפי.</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לפי ההלכה שנלמדה בתרגול, סעיף 8 </w:t>
      </w:r>
      <w:r>
        <w:rPr>
          <w:rFonts w:ascii="Arial" w:hAnsi="Arial" w:cs="Arial" w:eastAsia="Arial"/>
          <w:color w:val="1F2430"/>
          <w:sz w:val="19"/>
          <w:szCs w:val="19"/>
          <w:highlight w:val="yellow"/>
          <w:rtl/>
        </w:rPr>
        <w:t>אינו חל על ידועים בציבור</w:t>
      </w:r>
      <w:r>
        <w:rPr>
          <w:rFonts w:ascii="Arial" w:hAnsi="Arial" w:cs="Arial" w:eastAsia="Arial"/>
          <w:color w:val="1F2430"/>
          <w:sz w:val="19"/>
          <w:szCs w:val="19"/>
          <w:rtl/>
        </w:rPr>
        <w:t>. ניסיון ליצור בפסיקה חלוקה לא שוויונית גם עבורם נדחה בעליון, ולכן אצלם החלוקה היא "הכול או כלום".</w:t>
      </w:r>
    </w:p>
    <w:p>
      <w:pPr>
        <w:keepNext/>
        <w:bidi/>
        <w:spacing w:before="160" w:after="60" w:line="300" w:lineRule="auto"/>
      </w:pPr>
      <w:r>
        <w:rPr>
          <w:rFonts w:ascii="Arial" w:hAnsi="Arial" w:cs="Arial" w:eastAsia="Arial"/>
          <w:color w:val="55741A"/>
          <w:sz w:val="22"/>
          <w:szCs w:val="22"/>
          <w:rtl/>
        </w:rPr>
        <w:t xml:space="preserve">▌ </w:t>
      </w:r>
      <w:r>
        <w:rPr>
          <w:rFonts w:ascii="Arial" w:hAnsi="Arial" w:cs="Arial" w:eastAsia="Arial"/>
          <w:b/>
          <w:bCs/>
          <w:color w:val="55741A"/>
          <w:sz w:val="22"/>
          <w:szCs w:val="22"/>
          <w:rtl/>
        </w:rPr>
        <w:t>מהן "נסיבות מיוחדות"?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8928/06 פלונית – בגידה ופנסיה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אישה בגדה בבעלה. בית הדין הרבני האזורי קבע שאין לשלול ממנה למפרע זכויות ממוניות. בית הדין הרבני הגדול קבע שזו נסיבה מיוחדת ושלל ממנה את מחצית זכויות הפנסיה של הבעל. לטענתו זו אינה ענישה דתית, אלא התחשבות בכך שהבגידה פירקה את הבית והנבגד ייאלץ לבנות בית חדש.</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בג"ץ (השופטת נאור) התערב, בהסתמך על ע"א 264/77 דרור: נטישת הבית או בגידה עשויות ליצור קרע, אבל </w:t>
            </w:r>
            <w:r>
              <w:rPr>
                <w:rFonts w:ascii="Arial" w:hAnsi="Arial" w:cs="Arial" w:eastAsia="Arial"/>
                <w:color w:val="1F2430"/>
                <w:sz w:val="18"/>
                <w:szCs w:val="18"/>
                <w:highlight w:val="yellow"/>
                <w:rtl/>
              </w:rPr>
              <w:t>אין נענשים עליהן למפרע</w:t>
            </w:r>
            <w:r>
              <w:rPr>
                <w:rFonts w:ascii="Arial" w:hAnsi="Arial" w:cs="Arial" w:eastAsia="Arial"/>
                <w:color w:val="1F2430"/>
                <w:sz w:val="18"/>
                <w:szCs w:val="18"/>
                <w:rtl/>
              </w:rPr>
              <w:t xml:space="preserve"> בנטילת זכויות ברכוש המשותף. חלוקת רכוש מסדירה זכויות כלכליות ואינה כלי להענשה על התנהגות.</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בגידה כשלעצמה </w:t>
            </w:r>
            <w:r>
              <w:rPr>
                <w:rFonts w:ascii="Arial" w:hAnsi="Arial" w:cs="Arial" w:eastAsia="Arial"/>
                <w:color w:val="1F2430"/>
                <w:sz w:val="18"/>
                <w:szCs w:val="18"/>
                <w:highlight w:val="yellow"/>
                <w:rtl/>
              </w:rPr>
              <w:t>אינה נסיבה מיוחדת</w:t>
            </w:r>
            <w:r>
              <w:rPr>
                <w:rFonts w:ascii="Arial" w:hAnsi="Arial" w:cs="Arial" w:eastAsia="Arial"/>
                <w:color w:val="1F2430"/>
                <w:sz w:val="18"/>
                <w:szCs w:val="18"/>
                <w:rtl/>
              </w:rPr>
              <w:t xml:space="preserve"> לפי סעיף 8.</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7272/10 פלונית – ניסיון רצח</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בעל ניסה לרצוח את אשתו. השאלה הייתה אם זו נסיבה מיוחדת המצדיקה חלוקה לא שווה.</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השופטת ברק-ארז: אלימות חמורה עד כדי ניסיון רצח יכולה להצדיק התחשבות בחלוקה, גם בלי שהוכח נזק כלכלי ישיר. השופט הנדל הדגיש את הצורך לבחון את ההשפעה הכלכלית של האלימות, ולא להסתפק בחומרת המעשה.</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ניסיון רצח </w:t>
            </w:r>
            <w:r>
              <w:rPr>
                <w:rFonts w:ascii="Arial" w:hAnsi="Arial" w:cs="Arial" w:eastAsia="Arial"/>
                <w:color w:val="1F2430"/>
                <w:sz w:val="18"/>
                <w:szCs w:val="18"/>
                <w:highlight w:val="yellow"/>
                <w:rtl/>
              </w:rPr>
              <w:t>יכול</w:t>
            </w:r>
            <w:r>
              <w:rPr>
                <w:rFonts w:ascii="Arial" w:hAnsi="Arial" w:cs="Arial" w:eastAsia="Arial"/>
                <w:color w:val="1F2430"/>
                <w:sz w:val="18"/>
                <w:szCs w:val="18"/>
                <w:rtl/>
              </w:rPr>
              <w:t xml:space="preserve"> להיות נסיבה מיוחדת. המחלוקת היא אם נדרש נזק כלכלי.</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4279"/>
        <w:gridCol w:w="5926"/>
      </w:tblGrid>
      <w:tr>
        <w:trPr>
          <w:tblHeader/>
        </w:trPr>
        <w:tc>
          <w:tcPr>
            <w:tcW w:type="dxa" w:w="4279"/>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התנהגות</w:t>
            </w:r>
          </w:p>
        </w:tc>
        <w:tc>
          <w:tcPr>
            <w:tcW w:type="dxa" w:w="5925"/>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נסיבה מיוחדת לפי סעיף 8?</w:t>
            </w:r>
          </w:p>
        </w:tc>
      </w:tr>
      <w:tr>
        <w:trPr>
          <w:cantSplit/>
        </w:trPr>
        <w:tc>
          <w:tcPr>
            <w:tcW w:type="dxa" w:w="427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בגידה</w:t>
            </w:r>
          </w:p>
        </w:tc>
        <w:tc>
          <w:tcPr>
            <w:tcW w:type="dxa" w:w="592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(בג"ץ 8928/06)</w:t>
            </w:r>
          </w:p>
        </w:tc>
      </w:tr>
      <w:tr>
        <w:trPr>
          <w:cantSplit/>
        </w:trPr>
        <w:tc>
          <w:tcPr>
            <w:tcW w:type="dxa" w:w="427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ניסיון רצח</w:t>
            </w:r>
          </w:p>
        </w:tc>
        <w:tc>
          <w:tcPr>
            <w:tcW w:type="dxa" w:w="592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יכול להיות (בע"מ 7272/10)</w:t>
            </w:r>
          </w:p>
        </w:tc>
      </w:tr>
      <w:tr>
        <w:trPr>
          <w:cantSplit/>
        </w:trPr>
        <w:tc>
          <w:tcPr>
            <w:tcW w:type="dxa" w:w="427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אלימות פיזית, בעיקר מתמשכת</w:t>
            </w:r>
          </w:p>
        </w:tc>
        <w:tc>
          <w:tcPr>
            <w:tcW w:type="dxa" w:w="592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לפי הערכאה האזרחית</w:t>
            </w:r>
          </w:p>
        </w:tc>
      </w:tr>
      <w:tr>
        <w:trPr>
          <w:cantSplit/>
        </w:trPr>
        <w:tc>
          <w:tcPr>
            <w:tcW w:type="dxa" w:w="427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אלימות כלכלית</w:t>
            </w:r>
          </w:p>
        </w:tc>
        <w:tc>
          <w:tcPr>
            <w:tcW w:type="dxa" w:w="592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נסיבה מיוחדת (לפי סיכומי השיעורים)</w:t>
            </w:r>
          </w:p>
        </w:tc>
      </w:tr>
      <w:tr>
        <w:trPr>
          <w:cantSplit/>
        </w:trPr>
        <w:tc>
          <w:tcPr>
            <w:tcW w:type="dxa" w:w="427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פער משמעותי בכושר השתכרות</w:t>
            </w:r>
          </w:p>
        </w:tc>
        <w:tc>
          <w:tcPr>
            <w:tcW w:type="dxa" w:w="5925"/>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אפשרי, זה מה שסעיף 8(2) מזכיר במפורש</w:t>
            </w:r>
          </w:p>
        </w:tc>
      </w:tr>
    </w:tbl>
    <w:p>
      <w:pPr>
        <w:bidi/>
        <w:spacing w:after="0" w:before="0" w:line="120" w:lineRule="exact"/>
      </w:pPr>
      <w:r>
        <w:rPr>
          <w:sz w:val="2"/>
        </w:rPr>
      </w:r>
    </w:p>
    <w:p>
      <w:pPr>
        <w:keepNext/>
        <w:bidi/>
        <w:spacing w:before="160" w:after="60" w:line="300" w:lineRule="auto"/>
      </w:pPr>
      <w:r>
        <w:rPr>
          <w:rFonts w:ascii="Arial" w:hAnsi="Arial" w:cs="Arial" w:eastAsia="Arial"/>
          <w:color w:val="55741A"/>
          <w:sz w:val="22"/>
          <w:szCs w:val="22"/>
          <w:rtl/>
        </w:rPr>
        <w:t xml:space="preserve">▌ </w:t>
      </w:r>
      <w:r>
        <w:rPr>
          <w:rFonts w:ascii="Arial" w:hAnsi="Arial" w:cs="Arial" w:eastAsia="Arial"/>
          <w:b/>
          <w:bCs/>
          <w:color w:val="55741A"/>
          <w:sz w:val="22"/>
          <w:szCs w:val="22"/>
          <w:rtl/>
        </w:rPr>
        <w:t>עמדת בית הדין הרבני לגבי כושר השתכרות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תיק 589451/1 (בית הדין הרבני חיפה), פלוני נ' פלונית (22.11.17)</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נדונה דרישה לאזן "נכסי קריירה" ופערי השתכרות.</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הדין לא יחלק כושר השתכרות: (1) הדין הדתי אינו מחלק "נכסים וירטואליים"; (2) "אין כל הוראה בחוק יחסי ממון לחישוב נכסי הקריירה ופערי השתכרות במסגרת איזון נכסים"; (3) סעיף 8(2) מתיר סטייה רק בנסיבות מיוחדות; (4) כישורים טבעיים קדמו לנישואין, ולכן הם "נכס חיצוני" לפי 5(א)(1); (5) תשלום מראש על הכנסות עתידיות יוצר </w:t>
            </w:r>
            <w:r>
              <w:rPr>
                <w:rFonts w:ascii="Arial" w:hAnsi="Arial" w:cs="Arial" w:eastAsia="Arial"/>
                <w:color w:val="1F2430"/>
                <w:sz w:val="18"/>
                <w:szCs w:val="18"/>
                <w:highlight w:val="yellow"/>
                <w:rtl/>
              </w:rPr>
              <w:t>שעבוד בגופו של אדם</w:t>
            </w:r>
            <w:r>
              <w:rPr>
                <w:rFonts w:ascii="Arial" w:hAnsi="Arial" w:cs="Arial" w:eastAsia="Arial"/>
                <w:color w:val="1F2430"/>
                <w:sz w:val="18"/>
                <w:szCs w:val="18"/>
                <w:rtl/>
              </w:rPr>
              <w:t xml:space="preserve"> (יעבוד עד הפרישה בלי יכולת להתפטר), ו"אין אדם יכול לקבל שעבוד בגוף חברו".</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בבית המשפט יש שתי אסכולות. בבית הדין הנטייה היא לגישה המצמצמת, וגם במסגרת סעיף 8(2) "לא למהר".</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טיפ אסטרטגי</w:t>
            </w:r>
          </w:p>
          <w:p>
            <w:pPr>
              <w:bidi/>
              <w:spacing w:before="0" w:after="60" w:line="300" w:lineRule="auto"/>
              <w:jc w:val="both"/>
            </w:pPr>
            <w:r>
              <w:rPr>
                <w:rFonts w:ascii="Arial" w:hAnsi="Arial" w:cs="Arial" w:eastAsia="Arial"/>
                <w:color w:val="1F2430"/>
                <w:sz w:val="18"/>
                <w:szCs w:val="18"/>
                <w:rtl/>
              </w:rPr>
              <w:t xml:space="preserve">מייצגים את בעל הקריירה? </w:t>
            </w:r>
            <w:r>
              <w:rPr>
                <w:rFonts w:ascii="Arial" w:hAnsi="Arial" w:cs="Arial" w:eastAsia="Arial"/>
                <w:color w:val="1F2430"/>
                <w:sz w:val="18"/>
                <w:szCs w:val="18"/>
                <w:highlight w:val="yellow"/>
                <w:rtl/>
              </w:rPr>
              <w:t>עדיף בית הדין הרבני</w:t>
            </w:r>
            <w:r>
              <w:rPr>
                <w:rFonts w:ascii="Arial" w:hAnsi="Arial" w:cs="Arial" w:eastAsia="Arial"/>
                <w:color w:val="1F2430"/>
                <w:sz w:val="18"/>
                <w:szCs w:val="18"/>
                <w:rtl/>
              </w:rPr>
              <w:t>, שאינו מחלק כושר השתכרות. מייצגים את בן הזוג שוויתר על הקריירה? עדיף בית המשפט לענייני משפחה (בכפוף לכללי הכריכה ומירוץ הסמכויות, ראו פרק 3).</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12.8 "החוק התקוע": איזון תלוי בגט</w:t>
      </w:r>
    </w:p>
    <w:p>
      <w:pPr>
        <w:bidi/>
        <w:spacing w:before="0" w:after="100" w:line="300" w:lineRule="auto"/>
        <w:jc w:val="both"/>
      </w:pPr>
      <w:r>
        <w:rPr>
          <w:rFonts w:ascii="Arial" w:hAnsi="Arial" w:cs="Arial" w:eastAsia="Arial"/>
          <w:color w:val="1F2430"/>
          <w:sz w:val="19"/>
          <w:szCs w:val="19"/>
          <w:rtl/>
        </w:rPr>
        <w:t>בנוסח המקורי הזכות לאיזון קמה רק ב</w:t>
      </w:r>
      <w:r>
        <w:rPr>
          <w:rFonts w:ascii="Arial" w:hAnsi="Arial" w:cs="Arial" w:eastAsia="Arial"/>
          <w:color w:val="1F2430"/>
          <w:sz w:val="19"/>
          <w:szCs w:val="19"/>
          <w:highlight w:val="yellow"/>
          <w:rtl/>
        </w:rPr>
        <w:t>פקיעת הנישואין</w:t>
      </w:r>
      <w:r>
        <w:rPr>
          <w:rFonts w:ascii="Arial" w:hAnsi="Arial" w:cs="Arial" w:eastAsia="Arial"/>
          <w:color w:val="1F2430"/>
          <w:sz w:val="19"/>
          <w:szCs w:val="19"/>
          <w:rtl/>
        </w:rPr>
        <w:t>, אבל גט תלוי ברצון הצדדים. סרבן גט יכול היה לעכב גם את חלוקת הרכוש ("הכפלנו לו את הכוח"). חברי הכנסת הדתיים התנגדו ל"גירושין כלכליים" לפני הגירושין הדתיים, מחשש שמי שחילק את הרכוש לא ייאבק על הגט. ניסיונות התיקון נהדפו שוב ושוב, ולכן העליון לקח על עצמו את היוזמה.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1915/91 יעקובי נ' יעקובי (יחד עם עניין קנובלר)</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שני תיקים שאוחדו לדיון אחד. </w:t>
            </w:r>
            <w:r>
              <w:rPr>
                <w:rFonts w:ascii="Arial" w:hAnsi="Arial" w:cs="Arial" w:eastAsia="Arial"/>
                <w:b/>
                <w:bCs/>
                <w:color w:val="1F2430"/>
                <w:sz w:val="18"/>
                <w:szCs w:val="18"/>
                <w:rtl/>
              </w:rPr>
              <w:t>יעקובי:</w:t>
            </w:r>
            <w:r>
              <w:rPr>
                <w:rFonts w:ascii="Arial" w:hAnsi="Arial" w:cs="Arial" w:eastAsia="Arial"/>
                <w:color w:val="1F2430"/>
                <w:sz w:val="18"/>
                <w:szCs w:val="18"/>
                <w:rtl/>
              </w:rPr>
              <w:t xml:space="preserve"> בני זוג שנישאו ב-1975. האישה ביקשה הצהרה על זכויותיה בנכסים הפנימיים הרשומים על שם הבעל ופירוק שיתוף. המחוזי דחה את התביעה: הם נישאו אחרי 1974, אין גט, ולכן אין איזון. הבעל, עורך דין, נמנע מלתת גט כדי למנוע איזון. </w:t>
            </w:r>
            <w:r>
              <w:rPr>
                <w:rFonts w:ascii="Arial" w:hAnsi="Arial" w:cs="Arial" w:eastAsia="Arial"/>
                <w:b/>
                <w:bCs/>
                <w:color w:val="1F2430"/>
                <w:sz w:val="18"/>
                <w:szCs w:val="18"/>
                <w:rtl/>
              </w:rPr>
              <w:t>קנובלר:</w:t>
            </w:r>
            <w:r>
              <w:rPr>
                <w:rFonts w:ascii="Arial" w:hAnsi="Arial" w:cs="Arial" w:eastAsia="Arial"/>
                <w:color w:val="1F2430"/>
                <w:sz w:val="18"/>
                <w:szCs w:val="18"/>
                <w:rtl/>
              </w:rPr>
              <w:t xml:space="preserve"> הבעל הביא נכס חיצוני לחלוטין, מגרש שלו שהבנייה עליו מומנה בידי הוריו (לפי סיכום 2026: אמו). הבעל לא עבד, האישה פרנסה את הבית, והבעל הציג לה פוליסת ביטוח מבנה ואמר שהיא "שלה". הוא גם סירב לתת גט.</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דעת הרוב: </w:t>
            </w:r>
            <w:r>
              <w:rPr>
                <w:rFonts w:ascii="Arial" w:hAnsi="Arial" w:cs="Arial" w:eastAsia="Arial"/>
                <w:color w:val="1F2430"/>
                <w:sz w:val="18"/>
                <w:szCs w:val="18"/>
                <w:highlight w:val="yellow"/>
                <w:rtl/>
              </w:rPr>
              <w:t>חזקת השיתוף אינה חלה</w:t>
            </w:r>
            <w:r>
              <w:rPr>
                <w:rFonts w:ascii="Arial" w:hAnsi="Arial" w:cs="Arial" w:eastAsia="Arial"/>
                <w:color w:val="1F2430"/>
                <w:sz w:val="18"/>
                <w:szCs w:val="18"/>
                <w:rtl/>
              </w:rPr>
              <w:t xml:space="preserve"> על מי שנישאו אחרי 1974, </w:t>
            </w:r>
            <w:r>
              <w:rPr>
                <w:rFonts w:ascii="Arial" w:hAnsi="Arial" w:cs="Arial" w:eastAsia="Arial"/>
                <w:color w:val="1F2430"/>
                <w:sz w:val="18"/>
                <w:szCs w:val="18"/>
                <w:highlight w:val="yellow"/>
                <w:rtl/>
              </w:rPr>
              <w:t>אבל חל הדין הכללי</w:t>
            </w:r>
            <w:r>
              <w:rPr>
                <w:rFonts w:ascii="Arial" w:hAnsi="Arial" w:cs="Arial" w:eastAsia="Arial"/>
                <w:color w:val="1F2430"/>
                <w:sz w:val="18"/>
                <w:szCs w:val="18"/>
                <w:rtl/>
              </w:rPr>
              <w:t>: אגד של דיני חוזים, מתנה, קניין, תום לב, נאמנות ועשיית עושר. מכוחו אפשר להוכיח שבן הזוג הקנה לשני זכויות בנכס (למשל במתנה) כבר במהלך החיים, בלי לחכות לגט. דרישת הכתב רוככה: לפי השופטת דורנר, במשפחה אפשר להחליש אותה. לפי השופטת שטרסברג-כהן, רק התחייבות לתת מתנה דורשת כתב, ולא מתנה שהוקנתה בפועל.</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נפתחה הדלת לשיתוף ספציפי גם בנכס חיצוני, וה"זכויות הסמויות" חזרו בדלת האחורית. לפי הפרופסור הפסיקה "לא אשמה": החוק היה תקוע.</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8672/00 אבו רומי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מוסלמים, נישאו ב-1982 והתגרשו ב-1997, 7 ילדים. המקרקעין נרשמו על שם הבעל בירושה מאביו, הדירה נבנתה במימון אמו, והוא העביר את זכויותיו לאמו: נכס חיצוני לחלוטין. האישה תבעה מחצית </w:t>
            </w:r>
            <w:r>
              <w:rPr>
                <w:rFonts w:ascii="Arial" w:hAnsi="Arial" w:cs="Arial" w:eastAsia="Arial"/>
                <w:color w:val="1F2430"/>
                <w:sz w:val="18"/>
                <w:szCs w:val="18"/>
                <w:highlight w:val="yellow"/>
                <w:rtl/>
              </w:rPr>
              <w:t>מכוח הלכת השיתוף</w:t>
            </w:r>
            <w:r>
              <w:rPr>
                <w:rFonts w:ascii="Arial" w:hAnsi="Arial" w:cs="Arial" w:eastAsia="Arial"/>
                <w:color w:val="1F2430"/>
                <w:sz w:val="18"/>
                <w:szCs w:val="18"/>
                <w:rtl/>
              </w:rPr>
              <w:t>.</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התביעה נדחתה בכל הערכאות. השופטת שטרסברג-כהן: בקנובלר האישה זכתה בגלל הדין הכללי, לא בגלל הלכת השיתוף. מי שנישאה אחרי 1974 צריכה </w:t>
            </w:r>
            <w:r>
              <w:rPr>
                <w:rFonts w:ascii="Arial" w:hAnsi="Arial" w:cs="Arial" w:eastAsia="Arial"/>
                <w:color w:val="1F2430"/>
                <w:sz w:val="18"/>
                <w:szCs w:val="18"/>
                <w:highlight w:val="yellow"/>
                <w:rtl/>
              </w:rPr>
              <w:t>לטעון ולהוכיח את הדין הכללי</w:t>
            </w:r>
            <w:r>
              <w:rPr>
                <w:rFonts w:ascii="Arial" w:hAnsi="Arial" w:cs="Arial" w:eastAsia="Arial"/>
                <w:color w:val="1F2430"/>
                <w:sz w:val="18"/>
                <w:szCs w:val="18"/>
                <w:rtl/>
              </w:rPr>
              <w:t>. חיים משותפים והרמוניה אינם מספיקים; נדרש "</w:t>
            </w:r>
            <w:r>
              <w:rPr>
                <w:rFonts w:ascii="Arial" w:hAnsi="Arial" w:cs="Arial" w:eastAsia="Arial"/>
                <w:color w:val="1F2430"/>
                <w:sz w:val="18"/>
                <w:szCs w:val="18"/>
                <w:highlight w:val="yellow"/>
                <w:rtl/>
              </w:rPr>
              <w:t>דבר מה נוסף</w:t>
            </w:r>
            <w:r>
              <w:rPr>
                <w:rFonts w:ascii="Arial" w:hAnsi="Arial" w:cs="Arial" w:eastAsia="Arial"/>
                <w:color w:val="1F2430"/>
                <w:sz w:val="18"/>
                <w:szCs w:val="18"/>
                <w:rtl/>
              </w:rPr>
              <w:t>", ראיה לכוונה לשתף דווקא בנכס המסוים (כמו הפוליסה בקנובלר).</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כשל טיעוני שעלה לאישה בנכס. אחרי 1974 טוענים לנכס חיצוני דין כללי ודבר מה נוסף, לא הלכת שיתוף.</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10734/06 פלוני – שיתוף ספציפי</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"בהתאם לגישת הרוב ביעקובי אין בהוראותיו של סעיף 5 לחוק יחסי ממון כדי למנוע יצירת שיתוף בנכס ספציפי לפי הדין הכללי החל על העניין, לרבות בנכס שנרכש על ידי אחד מבני הזוג טרם הנישואין".</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נכס חיצוני יכול "להיכנס פנימה", אבל צריך "להזיע" יותר. הנטל על הטוען לשיתוף, ובוחנים כל נכס לגופו. זו הסיבה שבנקים עדיין מחתימים את בן הזוג גם על נכס הרשום רק על שם אחד מהם. מה שחוק יחסי ממון בא לפתור לא נפתר עד הסוף.</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אסטרטגיית טיעון: מייצגים את בן הזוג החלש</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1. </w:t>
            </w:r>
            <w:r>
              <w:tab/>
            </w:r>
            <w:r>
              <w:rPr>
                <w:rFonts w:ascii="Arial" w:hAnsi="Arial" w:cs="Arial" w:eastAsia="Arial"/>
                <w:b/>
                <w:bCs/>
                <w:color w:val="1F2430"/>
                <w:sz w:val="18"/>
                <w:szCs w:val="18"/>
                <w:rtl/>
              </w:rPr>
              <w:t>חוק יחסי ממון</w:t>
            </w:r>
            <w:r>
              <w:rPr>
                <w:rFonts w:ascii="Arial" w:hAnsi="Arial" w:cs="Arial" w:eastAsia="Arial"/>
                <w:color w:val="1F2430"/>
                <w:sz w:val="18"/>
                <w:szCs w:val="18"/>
                <w:rtl/>
              </w:rPr>
              <w:t xml:space="preserve"> (איזון משאבים), אם יש גט או מתקיים סעיף 5א.</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2. </w:t>
            </w:r>
            <w:r>
              <w:tab/>
            </w:r>
            <w:r>
              <w:rPr>
                <w:rFonts w:ascii="Arial" w:hAnsi="Arial" w:cs="Arial" w:eastAsia="Arial"/>
                <w:b/>
                <w:bCs/>
                <w:color w:val="1F2430"/>
                <w:sz w:val="18"/>
                <w:szCs w:val="18"/>
                <w:rtl/>
              </w:rPr>
              <w:t>שיתוף ספציפי מכוח הדין הכללי</w:t>
            </w:r>
            <w:r>
              <w:rPr>
                <w:rFonts w:ascii="Arial" w:hAnsi="Arial" w:cs="Arial" w:eastAsia="Arial"/>
                <w:color w:val="1F2430"/>
                <w:sz w:val="18"/>
                <w:szCs w:val="18"/>
                <w:rtl/>
              </w:rPr>
              <w:t xml:space="preserve">. כדאי לטעון אותו </w:t>
            </w:r>
            <w:r>
              <w:rPr>
                <w:rFonts w:ascii="Arial" w:hAnsi="Arial" w:cs="Arial" w:eastAsia="Arial"/>
                <w:color w:val="1F2430"/>
                <w:sz w:val="18"/>
                <w:szCs w:val="18"/>
                <w:highlight w:val="yellow"/>
                <w:rtl/>
              </w:rPr>
              <w:t>תמיד</w:t>
            </w:r>
            <w:r>
              <w:rPr>
                <w:rFonts w:ascii="Arial" w:hAnsi="Arial" w:cs="Arial" w:eastAsia="Arial"/>
                <w:color w:val="1F2430"/>
                <w:sz w:val="18"/>
                <w:szCs w:val="18"/>
                <w:rtl/>
              </w:rPr>
              <w:t>, גם כשיש גט, כי רק דרכו אפשר להכניס נכס חיצוני. צריך להוכיח אותו עם מסמך או ראיה לכוונת שיתוף, ולא רק חיים משותפים.</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3. </w:t>
            </w:r>
            <w:r>
              <w:tab/>
            </w:r>
            <w:r>
              <w:rPr>
                <w:rFonts w:ascii="Arial" w:hAnsi="Arial" w:cs="Arial" w:eastAsia="Arial"/>
                <w:b/>
                <w:bCs/>
                <w:color w:val="1F2430"/>
                <w:sz w:val="18"/>
                <w:szCs w:val="18"/>
                <w:rtl/>
              </w:rPr>
              <w:t>הלכת שיתוף מוחלשת</w:t>
            </w:r>
            <w:r>
              <w:rPr>
                <w:rFonts w:ascii="Arial" w:hAnsi="Arial" w:cs="Arial" w:eastAsia="Arial"/>
                <w:color w:val="1F2430"/>
                <w:sz w:val="18"/>
                <w:szCs w:val="18"/>
                <w:rtl/>
              </w:rPr>
              <w:t>, כטענה חלופית. היו שופטים שסברו שגם אחרי החוק אפשר להפעיל את הלכת השיתוף במקביל כשאין גט. היום זה כמעט לא נפוץ.</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4. </w:t>
            </w:r>
            <w:r>
              <w:tab/>
            </w:r>
            <w:r>
              <w:rPr>
                <w:rFonts w:ascii="Arial" w:hAnsi="Arial" w:cs="Arial" w:eastAsia="Arial"/>
                <w:color w:val="1F2430"/>
                <w:sz w:val="18"/>
                <w:szCs w:val="18"/>
                <w:rtl/>
              </w:rPr>
              <w:t xml:space="preserve">ותמיד גם </w:t>
            </w:r>
            <w:r>
              <w:rPr>
                <w:rFonts w:ascii="Arial" w:hAnsi="Arial" w:cs="Arial" w:eastAsia="Arial"/>
                <w:b/>
                <w:bCs/>
                <w:color w:val="1F2430"/>
                <w:sz w:val="18"/>
                <w:szCs w:val="18"/>
                <w:rtl/>
              </w:rPr>
              <w:t>סעיף 8(2)</w:t>
            </w:r>
            <w:r>
              <w:rPr>
                <w:rFonts w:ascii="Arial" w:hAnsi="Arial" w:cs="Arial" w:eastAsia="Arial"/>
                <w:color w:val="1F2430"/>
                <w:sz w:val="18"/>
                <w:szCs w:val="18"/>
                <w:rtl/>
              </w:rPr>
              <w:t>: נסיבות מיוחדות.</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12.9 תיקון מס' 4 (2008): סעיף 5א, הקדמת מועד האיזון</w:t>
      </w:r>
    </w:p>
    <w:p>
      <w:pPr>
        <w:bidi/>
        <w:spacing w:before="0" w:after="100" w:line="300" w:lineRule="auto"/>
        <w:jc w:val="both"/>
      </w:pPr>
      <w:r>
        <w:rPr>
          <w:rFonts w:ascii="Arial" w:hAnsi="Arial" w:cs="Arial" w:eastAsia="Arial"/>
          <w:color w:val="1F2430"/>
          <w:sz w:val="19"/>
          <w:szCs w:val="19"/>
          <w:rtl/>
        </w:rPr>
        <w:t xml:space="preserve">ב-2008, אחרי שנים של התנגדויות פוליטיות, עבר התיקון. מטרתו: </w:t>
      </w:r>
      <w:r>
        <w:rPr>
          <w:rFonts w:ascii="Arial" w:hAnsi="Arial" w:cs="Arial" w:eastAsia="Arial"/>
          <w:color w:val="1F2430"/>
          <w:sz w:val="19"/>
          <w:szCs w:val="19"/>
          <w:highlight w:val="yellow"/>
          <w:rtl/>
        </w:rPr>
        <w:t>גירושין כלכליים לפני גירושין דתיים</w:t>
      </w:r>
      <w:r>
        <w:rPr>
          <w:rFonts w:ascii="Arial" w:hAnsi="Arial" w:cs="Arial" w:eastAsia="Arial"/>
          <w:color w:val="1F2430"/>
          <w:sz w:val="19"/>
          <w:szCs w:val="19"/>
          <w:rtl/>
        </w:rPr>
        <w:t>. ייתכן שגם אחריהם לא יושג גט, והסרבנות תימשך, אבל לפחות הרכוש יחולק.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5א(א) – הקדמת המועד לאיזון המשאבים</w:t>
            </w:r>
          </w:p>
          <w:p>
            <w:pPr>
              <w:bidi/>
              <w:spacing w:before="0" w:after="60" w:line="300" w:lineRule="auto"/>
              <w:jc w:val="both"/>
            </w:pPr>
            <w:r>
              <w:rPr>
                <w:rFonts w:ascii="Arial" w:hAnsi="Arial" w:cs="Arial" w:eastAsia="Arial"/>
                <w:color w:val="1F2430"/>
                <w:sz w:val="18"/>
                <w:szCs w:val="18"/>
                <w:rtl/>
              </w:rPr>
              <w:t>"הזכות לאיזון משאבים לפי סעיף 5 תהיה לכל אחד מבני הזוג אף בטרם פקיעת הנישואין אם הוגשה בקשה לביצועו של הסדר איזון משאבים לפי פרק זה והתקיים אחד מהתנאים המפורטים להלן:</w:t>
            </w:r>
          </w:p>
          <w:p>
            <w:pPr>
              <w:bidi/>
              <w:spacing w:before="0" w:after="60" w:line="300" w:lineRule="auto"/>
              <w:jc w:val="both"/>
            </w:pPr>
            <w:r>
              <w:rPr>
                <w:rFonts w:ascii="Arial" w:hAnsi="Arial" w:cs="Arial" w:eastAsia="Arial"/>
                <w:color w:val="1F2430"/>
                <w:sz w:val="18"/>
                <w:szCs w:val="18"/>
                <w:rtl/>
              </w:rPr>
              <w:t>(1) חלפה שנה מיום שנפתח אחד מההליכים האלה: (א) הליך להתרת נישואין; (ב) תביעה לחלוקת רכוש בין בני הזוג, לרבות תביעה לפירוק שיתוף במקרקעין המשותפים לבני הזוג לפי חוק המקרקעין, התשכ"ט-1969, תביעה לפסק דין הצהרתי בדבר זכויות בני הזוג ברכוש, בקשה לביצוע הסדר איזון משאבים לפי פרק זה או בקשה לפי סעיף 11;</w:t>
            </w:r>
          </w:p>
          <w:p>
            <w:pPr>
              <w:bidi/>
              <w:spacing w:before="0" w:after="60" w:line="300" w:lineRule="auto"/>
              <w:jc w:val="both"/>
            </w:pPr>
            <w:r>
              <w:rPr>
                <w:rFonts w:ascii="Arial" w:hAnsi="Arial" w:cs="Arial" w:eastAsia="Arial"/>
                <w:color w:val="1F2430"/>
                <w:sz w:val="18"/>
                <w:szCs w:val="18"/>
                <w:rtl/>
              </w:rPr>
              <w:t>(2) קיים קרע בין בני הזוג או שבני הזוג חיים בנפרד אף אם תחת קורת גג אחת במשך תקופה מצטברת של תשעה חודשים לפחות מתוך תקופה רצופה של שנה; בית המשפט או בית הדין רשאי לקצר את התקופה האמורה בפסקה זו אם ניתנה החלטה שיפוטית המעידה על קיומו של קרע בין בני הזוג."</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תנאי סף:</w:t>
      </w:r>
      <w:r>
        <w:rPr>
          <w:rFonts w:ascii="Arial" w:hAnsi="Arial" w:cs="Arial" w:eastAsia="Arial"/>
          <w:color w:val="1F2430"/>
          <w:sz w:val="19"/>
          <w:szCs w:val="19"/>
          <w:rtl/>
        </w:rPr>
        <w:t xml:space="preserve"> הוגשה </w:t>
      </w:r>
      <w:r>
        <w:rPr>
          <w:rFonts w:ascii="Arial" w:hAnsi="Arial" w:cs="Arial" w:eastAsia="Arial"/>
          <w:b/>
          <w:bCs/>
          <w:color w:val="1F2430"/>
          <w:sz w:val="19"/>
          <w:szCs w:val="19"/>
          <w:rtl/>
        </w:rPr>
        <w:t>בקשה</w:t>
      </w:r>
      <w:r>
        <w:rPr>
          <w:rFonts w:ascii="Arial" w:hAnsi="Arial" w:cs="Arial" w:eastAsia="Arial"/>
          <w:color w:val="1F2430"/>
          <w:sz w:val="19"/>
          <w:szCs w:val="19"/>
          <w:rtl/>
        </w:rPr>
        <w:t xml:space="preserve"> לביצוע ההסדר, ובנוסף מתקיים </w:t>
      </w:r>
      <w:r>
        <w:rPr>
          <w:rFonts w:ascii="Arial" w:hAnsi="Arial" w:cs="Arial" w:eastAsia="Arial"/>
          <w:b/>
          <w:bCs/>
          <w:color w:val="1F2430"/>
          <w:sz w:val="19"/>
          <w:szCs w:val="19"/>
          <w:rtl/>
        </w:rPr>
        <w:t>אחד</w:t>
      </w:r>
      <w:r>
        <w:rPr>
          <w:rFonts w:ascii="Arial" w:hAnsi="Arial" w:cs="Arial" w:eastAsia="Arial"/>
          <w:color w:val="1F2430"/>
          <w:sz w:val="19"/>
          <w:szCs w:val="19"/>
          <w:rtl/>
        </w:rPr>
        <w:t xml:space="preserve"> מהתנאים.</w:t>
      </w:r>
    </w:p>
    <w:tbl>
      <w:tblPr>
        <w:tblW w:type="dxa" w:w="10206"/>
        <w:jc w:val="center"/>
        <w:tblLook w:firstColumn="1" w:firstRow="1" w:lastColumn="0" w:lastRow="0" w:noHBand="0" w:noVBand="1" w:val="04A0"/>
        <w:bidiVisual/>
        <w:tblLayout w:type="fixed"/>
      </w:tblPr>
      <w:tblGrid>
        <w:gridCol w:w="1249"/>
        <w:gridCol w:w="4478"/>
        <w:gridCol w:w="4478"/>
      </w:tblGrid>
      <w:tr>
        <w:trPr>
          <w:tblHeader/>
        </w:trPr>
        <w:tc>
          <w:tcPr>
            <w:tcW w:type="dxa" w:w="1249"/>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תנאי</w:t>
            </w:r>
          </w:p>
        </w:tc>
        <w:tc>
          <w:tcPr>
            <w:tcW w:type="dxa" w:w="4478"/>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צריך</w:t>
            </w:r>
          </w:p>
        </w:tc>
        <w:tc>
          <w:tcPr>
            <w:tcW w:type="dxa" w:w="4478"/>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הרציונל</w:t>
            </w:r>
          </w:p>
        </w:tc>
      </w:tr>
      <w:tr>
        <w:trPr>
          <w:cantSplit/>
        </w:trPr>
        <w:tc>
          <w:tcPr>
            <w:tcW w:type="dxa" w:w="124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5א(א)(1)(א)</w:t>
            </w:r>
          </w:p>
        </w:tc>
        <w:tc>
          <w:tcPr>
            <w:tcW w:type="dxa" w:w="447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שנה מ</w:t>
            </w:r>
            <w:r>
              <w:rPr>
                <w:rFonts w:ascii="Arial" w:hAnsi="Arial" w:cs="Arial" w:eastAsia="Arial"/>
                <w:b/>
                <w:bCs/>
                <w:color w:val="1F2430"/>
                <w:sz w:val="17"/>
                <w:szCs w:val="17"/>
                <w:rtl/>
              </w:rPr>
              <w:t>פתיחת</w:t>
            </w:r>
            <w:r>
              <w:rPr>
                <w:rFonts w:ascii="Arial" w:hAnsi="Arial" w:cs="Arial" w:eastAsia="Arial"/>
                <w:color w:val="1F2430"/>
                <w:sz w:val="17"/>
                <w:szCs w:val="17"/>
                <w:rtl/>
              </w:rPr>
              <w:t xml:space="preserve"> הליך להתרת נישואין</w:t>
            </w:r>
          </w:p>
        </w:tc>
        <w:tc>
          <w:tcPr>
            <w:tcW w:type="dxa" w:w="447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שנה מפסק דין לגירושין, כי בית הדין הרבני אינו ממהר (מנסה שלום בית). המחוקק בחר במבחן טכני ויבש, שאינו תלוי בדיינים</w:t>
            </w:r>
          </w:p>
        </w:tc>
      </w:tr>
      <w:tr>
        <w:trPr>
          <w:cantSplit/>
        </w:trPr>
        <w:tc>
          <w:tcPr>
            <w:tcW w:type="dxa" w:w="124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5א(א)(1)(ב)</w:t>
            </w:r>
          </w:p>
        </w:tc>
        <w:tc>
          <w:tcPr>
            <w:tcW w:type="dxa" w:w="447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שנה מפתיחת הליך רכושי: חלוקת רכוש, פירוק שיתוף, פס"ד הצהרתי, בקשת איזון, בקשה לפי סעיף 11</w:t>
            </w:r>
          </w:p>
        </w:tc>
        <w:tc>
          <w:tcPr>
            <w:tcW w:type="dxa" w:w="447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אישה שפותחת הליך גירושין עלולה להיפגע (להיתפס כמי שמפרקת את הנישואין, ולהפסיד כתובה ומזונות). לכן די בהליך רכושי</w:t>
            </w:r>
          </w:p>
        </w:tc>
      </w:tr>
      <w:tr>
        <w:trPr>
          <w:cantSplit/>
        </w:trPr>
        <w:tc>
          <w:tcPr>
            <w:tcW w:type="dxa" w:w="124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5א(א)(2)</w:t>
            </w:r>
          </w:p>
        </w:tc>
        <w:tc>
          <w:tcPr>
            <w:tcW w:type="dxa" w:w="447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קרע, או חיים בנפרד (גם תחת קורת גג אחת) 9 חודשים מצטברים מתוך שנה רצופה. אפשר לקצר אם יש החלטה שיפוטית המעידה על קרע</w:t>
            </w:r>
          </w:p>
        </w:tc>
        <w:tc>
          <w:tcPr>
            <w:tcW w:type="dxa" w:w="447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מאפשר להקדים לפי המציאות ולא לפי הפורמליות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אין "חלוקה אוטומטית" אחרי שנה</w:t>
            </w:r>
          </w:p>
          <w:p>
            <w:pPr>
              <w:bidi/>
              <w:spacing w:before="0" w:after="60" w:line="300" w:lineRule="auto"/>
              <w:jc w:val="both"/>
            </w:pPr>
            <w:r>
              <w:rPr>
                <w:rFonts w:ascii="Arial" w:hAnsi="Arial" w:cs="Arial" w:eastAsia="Arial"/>
                <w:color w:val="1F2430"/>
                <w:sz w:val="18"/>
                <w:szCs w:val="18"/>
                <w:rtl/>
              </w:rPr>
              <w:t xml:space="preserve">חלוף השנה אינו מחלק את הרכוש מעצמו. הוא </w:t>
            </w:r>
            <w:r>
              <w:rPr>
                <w:rFonts w:ascii="Arial" w:hAnsi="Arial" w:cs="Arial" w:eastAsia="Arial"/>
                <w:color w:val="1F2430"/>
                <w:sz w:val="18"/>
                <w:szCs w:val="18"/>
                <w:highlight w:val="yellow"/>
                <w:rtl/>
              </w:rPr>
              <w:t>תנאי שמאפשר להקדים</w:t>
            </w:r>
            <w:r>
              <w:rPr>
                <w:rFonts w:ascii="Arial" w:hAnsi="Arial" w:cs="Arial" w:eastAsia="Arial"/>
                <w:color w:val="1F2430"/>
                <w:sz w:val="18"/>
                <w:szCs w:val="18"/>
                <w:rtl/>
              </w:rPr>
              <w:t xml:space="preserve"> את האיזון במסגרת ההליך, ובלבד שהוגשה בקשה מתאימה.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הקרע: אחת המלחמות הקשות בין עורכי דין.</w:t>
      </w:r>
      <w:r>
        <w:rPr>
          <w:rFonts w:ascii="Arial" w:hAnsi="Arial" w:cs="Arial" w:eastAsia="Arial"/>
          <w:color w:val="1F2430"/>
          <w:sz w:val="19"/>
          <w:szCs w:val="19"/>
          <w:rtl/>
        </w:rPr>
        <w:t xml:space="preserve"> לקרע </w:t>
      </w:r>
      <w:r>
        <w:rPr>
          <w:rFonts w:ascii="Arial" w:hAnsi="Arial" w:cs="Arial" w:eastAsia="Arial"/>
          <w:color w:val="1F2430"/>
          <w:sz w:val="19"/>
          <w:szCs w:val="19"/>
          <w:highlight w:val="yellow"/>
          <w:rtl/>
        </w:rPr>
        <w:t>שני תפקידים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1. </w:t>
      </w:r>
      <w:r>
        <w:tab/>
      </w:r>
      <w:r>
        <w:rPr>
          <w:rFonts w:ascii="Arial" w:hAnsi="Arial" w:cs="Arial" w:eastAsia="Arial"/>
          <w:color w:val="1F2430"/>
          <w:sz w:val="19"/>
          <w:szCs w:val="19"/>
          <w:rtl/>
        </w:rPr>
        <w:t xml:space="preserve">הוא קובע </w:t>
      </w:r>
      <w:r>
        <w:rPr>
          <w:rFonts w:ascii="Arial" w:hAnsi="Arial" w:cs="Arial" w:eastAsia="Arial"/>
          <w:b/>
          <w:bCs/>
          <w:color w:val="1F2430"/>
          <w:sz w:val="19"/>
          <w:szCs w:val="19"/>
          <w:rtl/>
        </w:rPr>
        <w:t>מתי אפשר להתחיל</w:t>
      </w:r>
      <w:r>
        <w:rPr>
          <w:rFonts w:ascii="Arial" w:hAnsi="Arial" w:cs="Arial" w:eastAsia="Arial"/>
          <w:color w:val="1F2430"/>
          <w:sz w:val="19"/>
          <w:szCs w:val="19"/>
          <w:rtl/>
        </w:rPr>
        <w:t xml:space="preserve"> את האיזון.</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2. </w:t>
      </w:r>
      <w:r>
        <w:tab/>
      </w:r>
      <w:r>
        <w:rPr>
          <w:rFonts w:ascii="Arial" w:hAnsi="Arial" w:cs="Arial" w:eastAsia="Arial"/>
          <w:color w:val="1F2430"/>
          <w:sz w:val="19"/>
          <w:szCs w:val="19"/>
          <w:rtl/>
        </w:rPr>
        <w:t xml:space="preserve">הוא קובע </w:t>
      </w:r>
      <w:r>
        <w:rPr>
          <w:rFonts w:ascii="Arial" w:hAnsi="Arial" w:cs="Arial" w:eastAsia="Arial"/>
          <w:b/>
          <w:bCs/>
          <w:color w:val="1F2430"/>
          <w:sz w:val="19"/>
          <w:szCs w:val="19"/>
          <w:rtl/>
        </w:rPr>
        <w:t>עד מתי</w:t>
      </w:r>
      <w:r>
        <w:rPr>
          <w:rFonts w:ascii="Arial" w:hAnsi="Arial" w:cs="Arial" w:eastAsia="Arial"/>
          <w:color w:val="1F2430"/>
          <w:sz w:val="19"/>
          <w:szCs w:val="19"/>
          <w:rtl/>
        </w:rPr>
        <w:t xml:space="preserve"> צוברים במשותף. משכורת שמתקבלת אחרי הקרע כבר אינה משותפת.</w:t>
      </w:r>
    </w:p>
    <w:p>
      <w:pPr>
        <w:bidi/>
        <w:spacing w:before="0" w:after="100" w:line="300" w:lineRule="auto"/>
        <w:jc w:val="both"/>
      </w:pPr>
      <w:r>
        <w:rPr>
          <w:rFonts w:ascii="Arial" w:hAnsi="Arial" w:cs="Arial" w:eastAsia="Arial"/>
          <w:color w:val="1F2430"/>
          <w:sz w:val="19"/>
          <w:szCs w:val="19"/>
          <w:rtl/>
        </w:rPr>
        <w:t>הפסיקה פתוחה יחסית בשאלה מה נחשב קרע: אלימות, עזיבת הבית, משיכת כספים גבוהה מהבנק ועוד.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בית הדין הרבני הגדול – בגידה ומועד הקרע</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בעל טען שאשתו בגדה בו כשנתיים לפני שגילה זאת, וביקש לקבוע שמועד הקרע הוא יום הבגידה, כדי שהשיתוף ייפסק מאז.</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אין לקבוע אוטומטית שמועד הקרע הוא מועד הבגידה. לא בטוח שאילו ידע בזמן אמת היה מפרק מיד את הנישואין. בודקים מתי באמת נוצר קרע בחיים המשותפים.</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בגידה אינה מפסיקה את השיתוף מעצמה ואינה קובעת לבדה את מועד הקרע.</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12.10 נכס חיצוני ו"דבר מה נוסף"</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1398/11 אלמונית נ' פלוני (26.12.12)</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לבעל הייתה דירה קטנה מלפני הנישואין (נכס חיצוני); נישאו אחרי 1974 וחייהם היו משבריים. הם אמרו למתווך שימכרו את הדירה, יוסיפו מחסכונותיהם ויקנו דירה גדולה משותפת, אך העסקה לא יצאה לפועל, ובהמשך התגרשו. בית המשפט לענייני משפחה פסק לאישה מחצית לפי עדות המתווך; המחוזי הפך.</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העליון (השופט דנציגר, ובהסכמת השופט עמית) קיבל את הערעור. טענה לזכויות בנכס שבן הזוג רכש לפני הנישואין יכולה להתבסס על </w:t>
            </w:r>
            <w:r>
              <w:rPr>
                <w:rFonts w:ascii="Arial" w:hAnsi="Arial" w:cs="Arial" w:eastAsia="Arial"/>
                <w:color w:val="1F2430"/>
                <w:sz w:val="18"/>
                <w:szCs w:val="18"/>
                <w:highlight w:val="yellow"/>
                <w:rtl/>
              </w:rPr>
              <w:t>הדין הכללי, אך לא על חזקת השיתוף</w:t>
            </w:r>
            <w:r>
              <w:rPr>
                <w:rFonts w:ascii="Arial" w:hAnsi="Arial" w:cs="Arial" w:eastAsia="Arial"/>
                <w:color w:val="1F2430"/>
                <w:sz w:val="18"/>
                <w:szCs w:val="18"/>
                <w:rtl/>
              </w:rPr>
              <w:t>. הטוען צריך להוכיח, מעבר לחיי נישואין משותפים, "</w:t>
            </w:r>
            <w:r>
              <w:rPr>
                <w:rFonts w:ascii="Arial" w:hAnsi="Arial" w:cs="Arial" w:eastAsia="Arial"/>
                <w:color w:val="1F2430"/>
                <w:sz w:val="18"/>
                <w:szCs w:val="18"/>
                <w:highlight w:val="yellow"/>
                <w:rtl/>
              </w:rPr>
              <w:t>דבר מה נוסף</w:t>
            </w:r>
            <w:r>
              <w:rPr>
                <w:rFonts w:ascii="Arial" w:hAnsi="Arial" w:cs="Arial" w:eastAsia="Arial"/>
                <w:color w:val="1F2430"/>
                <w:sz w:val="18"/>
                <w:szCs w:val="18"/>
                <w:rtl/>
              </w:rPr>
              <w:t xml:space="preserve">" המעיד על כוונת שיתוף בנכס הספציפי. ברוב המקרים שהוכרו היו </w:t>
            </w:r>
            <w:r>
              <w:rPr>
                <w:rFonts w:ascii="Arial" w:hAnsi="Arial" w:cs="Arial" w:eastAsia="Arial"/>
                <w:color w:val="1F2430"/>
                <w:sz w:val="18"/>
                <w:szCs w:val="18"/>
                <w:highlight w:val="yellow"/>
                <w:rtl/>
              </w:rPr>
              <w:t>השקעות כספיות</w:t>
            </w:r>
            <w:r>
              <w:rPr>
                <w:rFonts w:ascii="Arial" w:hAnsi="Arial" w:cs="Arial" w:eastAsia="Arial"/>
                <w:color w:val="1F2430"/>
                <w:sz w:val="18"/>
                <w:szCs w:val="18"/>
                <w:rtl/>
              </w:rPr>
              <w:t xml:space="preserve"> בנכס (כמו שיפוצים), אבל </w:t>
            </w:r>
            <w:r>
              <w:rPr>
                <w:rFonts w:ascii="Arial" w:hAnsi="Arial" w:cs="Arial" w:eastAsia="Arial"/>
                <w:color w:val="1F2430"/>
                <w:sz w:val="18"/>
                <w:szCs w:val="18"/>
                <w:highlight w:val="yellow"/>
                <w:rtl/>
              </w:rPr>
              <w:t>די גם במצגים</w:t>
            </w:r>
            <w:r>
              <w:rPr>
                <w:rFonts w:ascii="Arial" w:hAnsi="Arial" w:cs="Arial" w:eastAsia="Arial"/>
                <w:color w:val="1F2430"/>
                <w:sz w:val="18"/>
                <w:szCs w:val="18"/>
                <w:rtl/>
              </w:rPr>
              <w:t xml:space="preserve"> בדבר כוונה למכור את הדירה ולרכוש דירה משותפת. </w:t>
            </w:r>
            <w:r>
              <w:rPr>
                <w:rFonts w:ascii="Arial" w:hAnsi="Arial" w:cs="Arial" w:eastAsia="Arial"/>
                <w:b/>
                <w:bCs/>
                <w:color w:val="1F2430"/>
                <w:sz w:val="18"/>
                <w:szCs w:val="18"/>
                <w:rtl/>
              </w:rPr>
              <w:t>דעת מיעוט (השופט זילברטל):</w:t>
            </w:r>
            <w:r>
              <w:rPr>
                <w:rFonts w:ascii="Arial" w:hAnsi="Arial" w:cs="Arial" w:eastAsia="Arial"/>
                <w:color w:val="1F2430"/>
                <w:sz w:val="18"/>
                <w:szCs w:val="18"/>
                <w:rtl/>
              </w:rPr>
              <w:t xml:space="preserve"> הוא מסכים להלכה, אבל כשחיי הנישואין נעדרים "אווירת שיתוף", ה"דבר מה נוסף" צריך להיות ממשי ובעל משקל, ולא שיחות עם מתווך או אפילו סתם שיפוצים.</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זהו המבחן המרכזי לנכס חיצוני אחרי 1974. השופט עמית התייחס גם להסכם ממון שלא אושר כדין: התנהגות בני הזוג (השקעה ושיפוץ משותפים) עשויה ללמד על שיתוף ספציפי גם כשיש מסמך שמבקש להפריד. לעומת זאת, הסכם ממון מאושר הוא בעל משקל חזק, ולא כל השקעה מבטלת אותו.</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ביקורת: "0 או 50/50"</w:t>
            </w:r>
          </w:p>
          <w:p>
            <w:pPr>
              <w:bidi/>
              <w:spacing w:before="0" w:after="60" w:line="300" w:lineRule="auto"/>
              <w:jc w:val="both"/>
            </w:pPr>
            <w:r>
              <w:rPr>
                <w:rFonts w:ascii="Arial" w:hAnsi="Arial" w:cs="Arial" w:eastAsia="Arial"/>
                <w:color w:val="1F2430"/>
                <w:sz w:val="18"/>
                <w:szCs w:val="18"/>
                <w:rtl/>
              </w:rPr>
              <w:t>בפסיקה הנכס החיצוני משותף או במלואו (חצי-חצי) או בכלל לא. בשיעור נשאלה השאלה מדוע לא, למשל, אחוז אחד לכל שנת נישואין.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4602/13 פלונית ודיון נוסף (המכונה "דנג"ץ הבוגדת")</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אחרי יותר מ-30 שנות נישואין תבע הבעל גירושין, כרך את הרכוש וטען שאשתו "נואפת". האישה עזבה ותבעה שיתוף, גם בדירה. הבעל ירש מגרש לפני הנישואין, ובעסקת קומבינציה העביר 3/4 ממנו לקבלן תמורת בניית בית על הרבע הנותר. בני הזוג גרו בבית יותר מ-20 שנה ושיפצו אותו שיפוץ רחב.</w:t>
            </w:r>
          </w:p>
          <w:p>
            <w:pPr>
              <w:bidi/>
              <w:spacing w:before="0" w:after="60" w:line="300" w:lineRule="auto"/>
              <w:jc w:val="both"/>
            </w:pPr>
            <w:r>
              <w:rPr>
                <w:rFonts w:ascii="Arial" w:hAnsi="Arial" w:cs="Arial" w:eastAsia="Arial"/>
                <w:b/>
                <w:bCs/>
                <w:color w:val="1F2430"/>
                <w:sz w:val="18"/>
                <w:szCs w:val="18"/>
                <w:rtl/>
              </w:rPr>
              <w:t>מהלך:</w:t>
            </w:r>
            <w:r>
              <w:rPr>
                <w:rFonts w:ascii="Arial" w:hAnsi="Arial" w:cs="Arial" w:eastAsia="Arial"/>
                <w:color w:val="1F2430"/>
                <w:sz w:val="18"/>
                <w:szCs w:val="18"/>
                <w:rtl/>
              </w:rPr>
              <w:t xml:space="preserve"> בית הדין האזורי הכיר בשיתוף ספציפי (שיפוץ, מגורים ארוכים, בנייה בתקופה המשותפת). בית הדין הגדול (תיק 1073676/1, הרב עמוס) הפך: אין דבר מה נוסף, והבגידה מלמדת שהבעל לא התכוון לשתף את מי ש"הרסה" את המשפחה, וגם אם נראה שהתכוון, זה היה "בטעות". לדבריו, ענישה על זכויות שנצברו אסורה (בג"ץ 8928/06), אבל מותר להתחשב בבגידה בשאלת כוונת השיתוף בנכס חיצוני. עוד טען ש"כוונת שיתוף" היא פיתוח פסיקתי בלי עיגון בחקיקה (טענה ברוח בבלי). </w:t>
            </w:r>
            <w:r>
              <w:rPr>
                <w:rFonts w:ascii="Arial" w:hAnsi="Arial" w:cs="Arial" w:eastAsia="Arial"/>
                <w:b/>
                <w:bCs/>
                <w:color w:val="1F2430"/>
                <w:sz w:val="18"/>
                <w:szCs w:val="18"/>
                <w:rtl/>
              </w:rPr>
              <w:t>בג"ץ:</w:t>
            </w:r>
            <w:r>
              <w:rPr>
                <w:rFonts w:ascii="Arial" w:hAnsi="Arial" w:cs="Arial" w:eastAsia="Arial"/>
                <w:color w:val="1F2430"/>
                <w:sz w:val="18"/>
                <w:szCs w:val="18"/>
                <w:rtl/>
              </w:rPr>
              <w:t xml:space="preserve"> השופט עמית רצה להתערב (31 שנות הרמוניה, ילדים ושיפוץ; שקילת הבגידה היא חריגה מסמכות). השופט מינץ: אין דבר מה נוסף, והבגידה נזכרה "למעלה מן הצורך". השופט שטיין: אין כאן טעות גלויה. העתירה נדחתה. </w:t>
            </w:r>
            <w:r>
              <w:rPr>
                <w:rFonts w:ascii="Arial" w:hAnsi="Arial" w:cs="Arial" w:eastAsia="Arial"/>
                <w:b/>
                <w:bCs/>
                <w:color w:val="1F2430"/>
                <w:sz w:val="18"/>
                <w:szCs w:val="18"/>
                <w:rtl/>
              </w:rPr>
              <w:t>דיון נוסף:</w:t>
            </w:r>
            <w:r>
              <w:rPr>
                <w:rFonts w:ascii="Arial" w:hAnsi="Arial" w:cs="Arial" w:eastAsia="Arial"/>
                <w:color w:val="1F2430"/>
                <w:sz w:val="18"/>
                <w:szCs w:val="18"/>
                <w:rtl/>
              </w:rPr>
              <w:t xml:space="preserve"> הנשיאה חיות הרכיבה 9 שופטים, והתוצאה התהפכה ב-6 מול 3.</w:t>
            </w:r>
          </w:p>
          <w:p>
            <w:pPr>
              <w:bidi/>
              <w:spacing w:before="0" w:after="60" w:line="300" w:lineRule="auto"/>
              <w:jc w:val="both"/>
            </w:pPr>
            <w:r>
              <w:rPr>
                <w:rFonts w:ascii="Arial" w:hAnsi="Arial" w:cs="Arial" w:eastAsia="Arial"/>
                <w:b/>
                <w:bCs/>
                <w:color w:val="1F2430"/>
                <w:sz w:val="18"/>
                <w:szCs w:val="18"/>
                <w:rtl/>
              </w:rPr>
              <w:t>הלכה (חיות):</w:t>
            </w:r>
            <w:r>
              <w:rPr>
                <w:rFonts w:ascii="Arial" w:hAnsi="Arial" w:cs="Arial" w:eastAsia="Arial"/>
                <w:color w:val="1F2430"/>
                <w:sz w:val="18"/>
                <w:szCs w:val="18"/>
                <w:rtl/>
              </w:rPr>
              <w:t xml:space="preserve"> "עוצמתן המצטברת של שתי השגיאות" (פרשנות שגויה של הלכת השיתוף הספציפי ומתן משקל לבגידה) מקימה עילה להתערבות. </w:t>
            </w:r>
            <w:r>
              <w:rPr>
                <w:rFonts w:ascii="Arial" w:hAnsi="Arial" w:cs="Arial" w:eastAsia="Arial"/>
                <w:color w:val="1F2430"/>
                <w:sz w:val="18"/>
                <w:szCs w:val="18"/>
                <w:highlight w:val="yellow"/>
                <w:rtl/>
              </w:rPr>
              <w:t>אי-נאמנות מינית אינה נסיבה שבכוחה לשלול בדיעבד זכויות שהתגבשו</w:t>
            </w:r>
            <w:r>
              <w:rPr>
                <w:rFonts w:ascii="Arial" w:hAnsi="Arial" w:cs="Arial" w:eastAsia="Arial"/>
                <w:color w:val="1F2430"/>
                <w:sz w:val="18"/>
                <w:szCs w:val="18"/>
                <w:rtl/>
              </w:rPr>
              <w:t>. בשים לב לעיקרון תום הלב, יש לצמצם את יכולתו של בן זוג "למשטר" את משנהו.</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בגידה מאוחרת אינה מוחקת שיתוף ספציפי שכבר התגבש. עדיין צריך להוכיח שהשיתוף אכן התגבש, וחיים משותפים לבדם אינם מספיקים.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עמדת הפרופסור: מאמר "הקדמת מועד איזון המשאבים"</w:t>
            </w:r>
          </w:p>
          <w:p>
            <w:pPr>
              <w:bidi/>
              <w:spacing w:before="0" w:after="60" w:line="300" w:lineRule="auto"/>
              <w:jc w:val="both"/>
            </w:pPr>
            <w:r>
              <w:rPr>
                <w:rFonts w:ascii="Arial" w:hAnsi="Arial" w:cs="Arial" w:eastAsia="Arial"/>
                <w:color w:val="1F2430"/>
                <w:sz w:val="18"/>
                <w:szCs w:val="18"/>
                <w:rtl/>
              </w:rPr>
              <w:t>כל הקונסטרוקציה של הדין הכללי והשיתוף הספציפי נולדה רק כי החוק היה תקוע. משתוקן ב-2008, יש לחזור לכוונתו המקורית:</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color w:val="1F2430"/>
                <w:sz w:val="18"/>
                <w:szCs w:val="18"/>
                <w:rtl/>
              </w:rPr>
              <w:t>לבטל את הגמשת דיני הקניין ולחזור לדיני קניין רגילים. מי שטוען למתנה יוכיח אותה כרגיל: מסמך, רישום וכו'.</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color w:val="1F2430"/>
                <w:sz w:val="18"/>
                <w:szCs w:val="18"/>
                <w:rtl/>
              </w:rPr>
              <w:t>להוציא את הנכס החיצוני מכלל השיתוף לפי סעיף 5(א)(1), וכך לחסוך את הצורך בהסכמי ממון.</w:t>
            </w:r>
          </w:p>
          <w:p>
            <w:pPr>
              <w:bidi/>
              <w:tabs>
                <w:tab w:val="left" w:pos="311"/>
              </w:tabs>
              <w:spacing w:before="0" w:after="40" w:line="288" w:lineRule="auto"/>
              <w:ind w:right="311" w:hanging="255"/>
            </w:pPr>
            <w:r>
              <w:rPr>
                <w:rFonts w:ascii="Arial" w:hAnsi="Arial" w:cs="Arial" w:eastAsia="Arial"/>
                <w:b/>
                <w:bCs/>
                <w:color w:val="2F6FD6"/>
                <w:sz w:val="14"/>
                <w:szCs w:val="14"/>
                <w:rtl/>
              </w:rPr>
              <w:t xml:space="preserve">● </w:t>
            </w:r>
            <w:r>
              <w:tab/>
            </w:r>
            <w:r>
              <w:rPr>
                <w:rFonts w:ascii="Arial" w:hAnsi="Arial" w:cs="Arial" w:eastAsia="Arial"/>
                <w:color w:val="1F2430"/>
                <w:sz w:val="18"/>
                <w:szCs w:val="18"/>
                <w:rtl/>
              </w:rPr>
              <w:t xml:space="preserve">אבל לפסוק </w:t>
            </w:r>
            <w:r>
              <w:rPr>
                <w:rFonts w:ascii="Arial" w:hAnsi="Arial" w:cs="Arial" w:eastAsia="Arial"/>
                <w:b/>
                <w:bCs/>
                <w:color w:val="1F2430"/>
                <w:sz w:val="18"/>
                <w:szCs w:val="18"/>
                <w:rtl/>
              </w:rPr>
              <w:t>פיצוי כספי</w:t>
            </w:r>
            <w:r>
              <w:rPr>
                <w:rFonts w:ascii="Arial" w:hAnsi="Arial" w:cs="Arial" w:eastAsia="Arial"/>
                <w:color w:val="1F2430"/>
                <w:sz w:val="18"/>
                <w:szCs w:val="18"/>
                <w:rtl/>
              </w:rPr>
              <w:t xml:space="preserve"> בגין השקעה בנכס.</w:t>
            </w:r>
          </w:p>
          <w:p>
            <w:pPr>
              <w:bidi/>
              <w:spacing w:before="0" w:after="60" w:line="300" w:lineRule="auto"/>
              <w:jc w:val="both"/>
            </w:pPr>
            <w:r>
              <w:rPr>
                <w:rFonts w:ascii="Arial" w:hAnsi="Arial" w:cs="Arial" w:eastAsia="Arial"/>
                <w:color w:val="1F2430"/>
                <w:sz w:val="18"/>
                <w:szCs w:val="18"/>
                <w:rtl/>
              </w:rPr>
              <w:t>בתשובה לשאלות סטודנטים אישר הפרופסור שאחרי תיקון 4 "לכאורה" כבר אין צורך באגד הדינים הכלליים. עם זאת, ודאות מלאה עדיין אין, והזכויות הסמויות לא נעלמו.</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12.11 חוק יחסי ממון ובתי הדין הדתיים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13(ב)</w:t>
            </w:r>
          </w:p>
          <w:p>
            <w:pPr>
              <w:bidi/>
              <w:spacing w:before="0" w:after="60" w:line="300" w:lineRule="auto"/>
              <w:jc w:val="both"/>
            </w:pPr>
            <w:r>
              <w:rPr>
                <w:rFonts w:ascii="Arial" w:hAnsi="Arial" w:cs="Arial" w:eastAsia="Arial"/>
                <w:color w:val="1F2430"/>
                <w:sz w:val="18"/>
                <w:szCs w:val="18"/>
                <w:rtl/>
              </w:rPr>
              <w:t>"בענין שחוק זה דן בו ינהג גם בית דין דתי לפי הוראות חוק זה, זולת אם הסכימו בעלי הדין לפני בית הדין להתדיין לפי הדין הדתי."</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בית הדין הרבני </w:t>
      </w:r>
      <w:r>
        <w:rPr>
          <w:rFonts w:ascii="Arial" w:hAnsi="Arial" w:cs="Arial" w:eastAsia="Arial"/>
          <w:color w:val="1F2430"/>
          <w:sz w:val="19"/>
          <w:szCs w:val="19"/>
          <w:highlight w:val="yellow"/>
          <w:rtl/>
        </w:rPr>
        <w:t>כפוף לחוק</w:t>
      </w:r>
      <w:r>
        <w:rPr>
          <w:rFonts w:ascii="Arial" w:hAnsi="Arial" w:cs="Arial" w:eastAsia="Arial"/>
          <w:color w:val="1F2430"/>
          <w:sz w:val="19"/>
          <w:szCs w:val="19"/>
          <w:rtl/>
        </w:rPr>
        <w:t>, גם כשהרכוש נכרך כדין לתביעת גירושין (סעיף 3 לחוק השיפוט). לבית הדין "קל יותר" לקבל זאת כשהמקור הוא חוק ולא פסיקה ("דינא דמלכותא דינא"), בניגוד להלכת השיתוף שנכפתה עליו בבבלי (ראו פרק 1).</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החריג: הסכמה </w:t>
      </w:r>
      <w:r>
        <w:rPr>
          <w:rFonts w:ascii="Arial" w:hAnsi="Arial" w:cs="Arial" w:eastAsia="Arial"/>
          <w:b/>
          <w:bCs/>
          <w:color w:val="1F2430"/>
          <w:sz w:val="19"/>
          <w:szCs w:val="19"/>
          <w:rtl/>
        </w:rPr>
        <w:t>מפורשת</w:t>
      </w:r>
      <w:r>
        <w:rPr>
          <w:rFonts w:ascii="Arial" w:hAnsi="Arial" w:cs="Arial" w:eastAsia="Arial"/>
          <w:color w:val="1F2430"/>
          <w:sz w:val="19"/>
          <w:szCs w:val="19"/>
          <w:rtl/>
        </w:rPr>
        <w:t xml:space="preserve"> של שני הצדדים להתדיין לפי הדין הדתי. לא די בהסכמה מהתנהגות. ההסכמה נוגעת לשאלת </w:t>
      </w:r>
      <w:r>
        <w:rPr>
          <w:rFonts w:ascii="Arial" w:hAnsi="Arial" w:cs="Arial" w:eastAsia="Arial"/>
          <w:color w:val="1F2430"/>
          <w:sz w:val="19"/>
          <w:szCs w:val="19"/>
          <w:highlight w:val="yellow"/>
          <w:rtl/>
        </w:rPr>
        <w:t>הדין</w:t>
      </w:r>
      <w:r>
        <w:rPr>
          <w:rFonts w:ascii="Arial" w:hAnsi="Arial" w:cs="Arial" w:eastAsia="Arial"/>
          <w:color w:val="1F2430"/>
          <w:sz w:val="19"/>
          <w:szCs w:val="19"/>
          <w:rtl/>
        </w:rPr>
        <w:t xml:space="preserve"> ולא לסמכות הערכאה.</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כתובה:</w:t>
      </w:r>
      <w:r>
        <w:rPr>
          <w:rFonts w:ascii="Arial" w:hAnsi="Arial" w:cs="Arial" w:eastAsia="Arial"/>
          <w:color w:val="1F2430"/>
          <w:sz w:val="19"/>
          <w:szCs w:val="19"/>
          <w:rtl/>
        </w:rPr>
        <w:t xml:space="preserve"> סעיף 17 קובע שאין בחוק כדי לגרוע מזכויות האישה לפי כתובתה. עם זאת, לפי עקרון בבלי ("אין כפל מבצעים") אישה שקיבלה מחצית ברכוש אינה מקבלת בנוסף את מלוא הכתובה. הפרופסור אישר שאותו רעיון חל גם על איזון משאבים. בפועל היא מקבלת את הגבוה מבין השניים.</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12.12 חלוקת חיסכון פנסיוני</w:t>
      </w:r>
    </w:p>
    <w:p>
      <w:pPr>
        <w:bidi/>
        <w:spacing w:before="0" w:after="100" w:line="300" w:lineRule="auto"/>
        <w:jc w:val="both"/>
      </w:pPr>
      <w:r>
        <w:rPr>
          <w:rFonts w:ascii="Arial" w:hAnsi="Arial" w:cs="Arial" w:eastAsia="Arial"/>
          <w:b/>
          <w:bCs/>
          <w:color w:val="1F2430"/>
          <w:sz w:val="19"/>
          <w:szCs w:val="19"/>
          <w:rtl/>
        </w:rPr>
        <w:t>בהלכת השיתוף:</w:t>
      </w:r>
      <w:r>
        <w:rPr>
          <w:rFonts w:ascii="Arial" w:hAnsi="Arial" w:cs="Arial" w:eastAsia="Arial"/>
          <w:color w:val="1F2430"/>
          <w:sz w:val="19"/>
          <w:szCs w:val="19"/>
          <w:rtl/>
        </w:rPr>
        <w:t xml:space="preserve"> כל מה שצמח משכר עבודה במהלך הנישואין משותף, ובכלל זה זכויות פנסיה (גם הפקדות המעביד) ופיצויי פיטורים (ראו פרק 11, עניין אורון). אבל </w:t>
      </w:r>
      <w:r>
        <w:rPr>
          <w:rFonts w:ascii="Arial" w:hAnsi="Arial" w:cs="Arial" w:eastAsia="Arial"/>
          <w:color w:val="1F2430"/>
          <w:sz w:val="19"/>
          <w:szCs w:val="19"/>
          <w:highlight w:val="yellow"/>
          <w:rtl/>
        </w:rPr>
        <w:t>מתי</w:t>
      </w:r>
      <w:r>
        <w:rPr>
          <w:rFonts w:ascii="Arial" w:hAnsi="Arial" w:cs="Arial" w:eastAsia="Arial"/>
          <w:color w:val="1F2430"/>
          <w:sz w:val="19"/>
          <w:szCs w:val="19"/>
          <w:rtl/>
        </w:rPr>
        <w:t xml:space="preserve"> מחלקים? המחוזי רצה לפרק את החיסכון מיד. משיכה מוקדמת גורמת להפסד ולניכוי של עד </w:t>
      </w:r>
      <w:r>
        <w:rPr>
          <w:rFonts w:ascii="Arial" w:hAnsi="Arial" w:cs="Arial" w:eastAsia="Arial"/>
          <w:color w:val="1F2430"/>
          <w:sz w:val="19"/>
          <w:szCs w:val="19"/>
          <w:highlight w:val="yellow"/>
          <w:rtl/>
        </w:rPr>
        <w:t>35%</w:t>
      </w:r>
      <w:r>
        <w:rPr>
          <w:rFonts w:ascii="Arial" w:hAnsi="Arial" w:cs="Arial" w:eastAsia="Arial"/>
          <w:color w:val="1F2430"/>
          <w:sz w:val="19"/>
          <w:szCs w:val="19"/>
          <w:rtl/>
        </w:rPr>
        <w:t>. העליון קבע שאין לפרק מיד. הזכויות יתחלקו ב</w:t>
      </w:r>
      <w:r>
        <w:rPr>
          <w:rFonts w:ascii="Arial" w:hAnsi="Arial" w:cs="Arial" w:eastAsia="Arial"/>
          <w:color w:val="1F2430"/>
          <w:sz w:val="19"/>
          <w:szCs w:val="19"/>
          <w:highlight w:val="yellow"/>
          <w:rtl/>
        </w:rPr>
        <w:t>מועד שבו ניתן לממשן</w:t>
      </w:r>
      <w:r>
        <w:rPr>
          <w:rFonts w:ascii="Arial" w:hAnsi="Arial" w:cs="Arial" w:eastAsia="Arial"/>
          <w:color w:val="1F2430"/>
          <w:sz w:val="19"/>
          <w:szCs w:val="19"/>
          <w:rtl/>
        </w:rPr>
        <w:t>, ורק לגבי החלק היחסי של תקופת הנישואין.</w:t>
      </w:r>
    </w:p>
    <w:p>
      <w:pPr>
        <w:bidi/>
        <w:spacing w:before="0" w:after="100" w:line="300" w:lineRule="auto"/>
        <w:jc w:val="both"/>
      </w:pPr>
      <w:r>
        <w:rPr>
          <w:rFonts w:ascii="Arial" w:hAnsi="Arial" w:cs="Arial" w:eastAsia="Arial"/>
          <w:b/>
          <w:bCs/>
          <w:color w:val="1F2430"/>
          <w:sz w:val="19"/>
          <w:szCs w:val="19"/>
          <w:rtl/>
        </w:rPr>
        <w:t>בחוק יחסי ממון:</w:t>
      </w:r>
      <w:r>
        <w:rPr>
          <w:rFonts w:ascii="Arial" w:hAnsi="Arial" w:cs="Arial" w:eastAsia="Arial"/>
          <w:color w:val="1F2430"/>
          <w:sz w:val="19"/>
          <w:szCs w:val="19"/>
          <w:rtl/>
        </w:rPr>
        <w:t xml:space="preserve"> סעיף 5(ג) כולל במפורש "זכויות עתידיות לפנסיה, פיצויי פרישה, קרנות השתלמות, קופות תגמולים וחסכונות".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החוק לחלוקת חיסכון פנסיוני בין בני זוג שנפרדו, התשע"ד-2014, סעיף 6(א)</w:t>
            </w:r>
          </w:p>
          <w:p>
            <w:pPr>
              <w:bidi/>
              <w:spacing w:before="0" w:after="60" w:line="300" w:lineRule="auto"/>
              <w:jc w:val="both"/>
            </w:pPr>
            <w:r>
              <w:rPr>
                <w:rFonts w:ascii="Arial" w:hAnsi="Arial" w:cs="Arial" w:eastAsia="Arial"/>
                <w:color w:val="1F2430"/>
                <w:sz w:val="18"/>
                <w:szCs w:val="18"/>
                <w:rtl/>
              </w:rPr>
              <w:t>"על אף האמור בסעיף 25(א) לחוק קופות גמל ובכפוף להוראות סעיף קטן (ה), ניתן פסק דין לחלוקת חיסכון פנסיוני באמצעות צבירת כספים בין עמית ובין בן זוגו לשעבר, ונרשמה הערה לפי סעיף 4, יפתח הגוף המשלם חשבון חדש בקופת הגמל על שמו של בן הזוג לשעבר, ויעביר אליו, במועד ההעברה, סכום כאמור בסעיף קטן (ב) מהיתרה הצבורה של העמית, אלא אם כן בית המשפט הורה לעכב את ההעברה..."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שם, סעיף 6(ב)</w:t>
            </w:r>
          </w:p>
          <w:p>
            <w:pPr>
              <w:bidi/>
              <w:spacing w:before="0" w:after="60" w:line="300" w:lineRule="auto"/>
              <w:jc w:val="both"/>
            </w:pPr>
            <w:r>
              <w:rPr>
                <w:rFonts w:ascii="Arial" w:hAnsi="Arial" w:cs="Arial" w:eastAsia="Arial"/>
                <w:color w:val="1F2430"/>
                <w:sz w:val="18"/>
                <w:szCs w:val="18"/>
                <w:rtl/>
              </w:rPr>
              <w:t>"הסכום שיועבר לחשבון של בן הזוג לשעבר ... יהיה שווה למכפלת השיעור להעברה בסך היתרה הצבורה של העמית במועד הפירוד, ולסכום האמור תיווסף או תיגרע, לפי העניין, התשואה שהשיגה קופת הגמל בשל התקופה שבין מועד הפירוד ובין מועד ההעברה" ("תשואה" – הרווחים וההפסדים לאחר ניכוי דמי ניהול).</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החידוש:</w:t>
      </w:r>
      <w:r>
        <w:rPr>
          <w:rFonts w:ascii="Arial" w:hAnsi="Arial" w:cs="Arial" w:eastAsia="Arial"/>
          <w:color w:val="1F2430"/>
          <w:sz w:val="19"/>
          <w:szCs w:val="19"/>
          <w:rtl/>
        </w:rPr>
        <w:t xml:space="preserve"> "לא שוברים את הקופה". בתנאי שניתן פסק דין לחלוקה ונרשמה הערה לפי סעיף 4, נפתחת </w:t>
      </w:r>
      <w:r>
        <w:rPr>
          <w:rFonts w:ascii="Arial" w:hAnsi="Arial" w:cs="Arial" w:eastAsia="Arial"/>
          <w:color w:val="1F2430"/>
          <w:sz w:val="19"/>
          <w:szCs w:val="19"/>
          <w:highlight w:val="yellow"/>
          <w:rtl/>
        </w:rPr>
        <w:t>קופה נוספת על שם בן הזוג לשעבר</w:t>
      </w:r>
      <w:r>
        <w:rPr>
          <w:rFonts w:ascii="Arial" w:hAnsi="Arial" w:cs="Arial" w:eastAsia="Arial"/>
          <w:color w:val="1F2430"/>
          <w:sz w:val="19"/>
          <w:szCs w:val="19"/>
          <w:rtl/>
        </w:rPr>
        <w:t xml:space="preserve"> ומועבר אליה חלקו: שיעור ההעברה כפול היתרה במועד הפירוד, בתוספת התשואה (או בניכוי ההפסד) עד ההעברה. מתחלק רק מה שנצבר בתקופה המשותפת, לא מה שלפני הנישואין או אחרי הפירוד. את חלקו יממש בן הזוג בתנאים שהקופה מאפשרת.</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12.13 טבלת סיכום: הלכת השיתוף מול איזון המשאבים</w:t>
      </w:r>
    </w:p>
    <w:tbl>
      <w:tblPr>
        <w:tblW w:type="dxa" w:w="10206"/>
        <w:jc w:val="center"/>
        <w:tblLook w:firstColumn="1" w:firstRow="1" w:lastColumn="0" w:lastRow="0" w:noHBand="0" w:noVBand="1" w:val="04A0"/>
        <w:bidiVisual/>
        <w:tblLayout w:type="fixed"/>
      </w:tblPr>
      <w:tblGrid>
        <w:gridCol w:w="1293"/>
        <w:gridCol w:w="4380"/>
        <w:gridCol w:w="4531"/>
      </w:tblGrid>
      <w:tr>
        <w:trPr>
          <w:tblHeader/>
        </w:trPr>
        <w:tc>
          <w:tcPr>
            <w:tcW w:type="dxa" w:w="1293"/>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380"/>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4531"/>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הסדר איזון המשאבים</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על מי</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נישאו לפני 1.1.1974, וידועים בציבור</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נישאו מ-1.1.1974 ואילך (פרק שני, סעיף 14)</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אופי המשטר</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שיתוף לאורך הדרך</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הפרדה (סעיף 4) ושיתוף דחוי</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סוג הזכות</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קניינית (בעלות, קניין שביושר)</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אובליגטורית: זכות לשווי כספי</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תנאים</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אורח חיים תקין ומאמץ משותף</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נישואין שהחוק חל עליהם</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נכסים משפחתיים</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שיתוף מיידי</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שיתוף עד מועד האיזון</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נכסים עסקיים</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שיתוף נדחה למועד הקריטי (שלם)</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נכללים באיזון במועד הקבוע בחוק</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חלוקה</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ככלל חצי מהזכויות המשותפות</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ככלל חצי מהשווי; סטייה לפי סעיף 8</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נכס חיצוני</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יכול להפוך למשותף (טיב הנכס, טיב הקשר, הרמוניה, שיפוצים)</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מוחרג (5(א)(1)), למעט שיתוף ספציפי מכוח הדין הכללי ודבר מה נוסף</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מועד סיום השיתוף</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המוקדם מבין עזיבת הבית והגשת התביעה (לידאי), לפי מועד הקרע</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פקיעת הנישואין, או הקדמה לפי סעיף 5א (וסמכויות סעיף 8)</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צד שלישי</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עלול להתנגש בזכות סמויה (בן צבי)</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הרישום ברור יותר, אבל שיתוף ספציפי עדיין מעורר קושי</w:t>
            </w:r>
          </w:p>
        </w:tc>
      </w:tr>
      <w:tr>
        <w:trPr>
          <w:cantSplit/>
        </w:trPr>
        <w:tc>
          <w:tcPr>
            <w:tcW w:type="dxa" w:w="1293"/>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חובות</w:t>
            </w:r>
          </w:p>
        </w:tc>
        <w:tc>
          <w:tcPr>
            <w:tcW w:type="dxa" w:w="438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תלוי בסוג החוב ובמועד השיתוף</w:t>
            </w:r>
          </w:p>
        </w:tc>
        <w:tc>
          <w:tcPr>
            <w:tcW w:type="dxa" w:w="453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אחריות לחוב של השני רק מכוח הנישואין</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12.14 הערה: תביעות נזיקין נגד מסרבי גט</w:t>
      </w:r>
    </w:p>
    <w:p>
      <w:pPr>
        <w:bidi/>
        <w:spacing w:before="0" w:after="100" w:line="300" w:lineRule="auto"/>
        <w:jc w:val="both"/>
      </w:pPr>
      <w:r>
        <w:rPr>
          <w:rFonts w:ascii="Arial" w:hAnsi="Arial" w:cs="Arial" w:eastAsia="Arial"/>
          <w:color w:val="1F2430"/>
          <w:sz w:val="19"/>
          <w:szCs w:val="19"/>
          <w:rtl/>
        </w:rPr>
        <w:t>סעיף 5א אינו פותר את העגינות עצמה, ולכן ארגוני נשים ייבאו מחו"ל תביעת נזיקין נגד המסרב.</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תמ"ש (י-ם) 19270/03</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אישה חרדית מסורבת גט 12 שנה; כשנתיים קודם לכן חייב בית הדין את הבעל בגט. היא תבעה פיצוי על נזק לא ממוני: בדידות, אובדן הנאות, אובדן סיכוי להינשא ולהביא ילדים, ובידוד בקהילה.</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אין בעיית סמכות (אין זה עניין נישואין וגירושין). העילה: רשלנות לפי סעיף 35 לפקודת הנזיקין, "עוולת סל". הפיצוי ניתן </w:t>
            </w:r>
            <w:r>
              <w:rPr>
                <w:rFonts w:ascii="Arial" w:hAnsi="Arial" w:cs="Arial" w:eastAsia="Arial"/>
                <w:color w:val="1F2430"/>
                <w:sz w:val="18"/>
                <w:szCs w:val="18"/>
                <w:highlight w:val="yellow"/>
                <w:rtl/>
              </w:rPr>
              <w:t>מיום חיוב הגט ועד יום הגשת התביעה</w:t>
            </w:r>
            <w:r>
              <w:rPr>
                <w:rFonts w:ascii="Arial" w:hAnsi="Arial" w:cs="Arial" w:eastAsia="Arial"/>
                <w:color w:val="1F2430"/>
                <w:sz w:val="18"/>
                <w:szCs w:val="18"/>
                <w:rtl/>
              </w:rPr>
              <w:t xml:space="preserve"> בלבד, כדי לא להתערב במלאכת בית הדין: 200,000 ש"ח לשנה, 325,000 ש"ח בסך הכול, ועוד 100,000 ש"ח פיצויים מוגברים.</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בית הדין הבין את "התרגיל" והתנה את סידור הגט בביטול התביעה; בסוף האישה קיבלה גט.</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תיק ערעור 7041-21-1 (בית הדין הרבני הגדול, 3/08)</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בית המשפט לענייני משפחה חייב בעל ב-400,000 ש"ח עד יום התביעה, ועוד 4,000 ש"ח לחודש </w:t>
            </w:r>
            <w:r>
              <w:rPr>
                <w:rFonts w:ascii="Arial" w:hAnsi="Arial" w:cs="Arial" w:eastAsia="Arial"/>
                <w:color w:val="1F2430"/>
                <w:sz w:val="18"/>
                <w:szCs w:val="18"/>
                <w:highlight w:val="yellow"/>
                <w:rtl/>
              </w:rPr>
              <w:t>עד שיינתן הגט</w:t>
            </w:r>
            <w:r>
              <w:rPr>
                <w:rFonts w:ascii="Arial" w:hAnsi="Arial" w:cs="Arial" w:eastAsia="Arial"/>
                <w:color w:val="1F2430"/>
                <w:sz w:val="18"/>
                <w:szCs w:val="18"/>
                <w:rtl/>
              </w:rPr>
              <w:t>. בית הדין קבע שאי אפשר לסדר גט בשל חשש ל"גט מעושה".</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כל התערבות חיצונית לאכיפת גט פוסלת אותו; הטיפול בסרבנות בסמכותו הייחודית של בית הדין, ותביעה שהיא זרז לגט היא "אונס ממון". המלצה להגיש תביעה כזו עלולה להיות </w:t>
            </w:r>
            <w:r>
              <w:rPr>
                <w:rFonts w:ascii="Arial" w:hAnsi="Arial" w:cs="Arial" w:eastAsia="Arial"/>
                <w:color w:val="1F2430"/>
                <w:sz w:val="18"/>
                <w:szCs w:val="18"/>
                <w:highlight w:val="yellow"/>
                <w:rtl/>
              </w:rPr>
              <w:t>רשלנות מקצועית</w:t>
            </w:r>
            <w:r>
              <w:rPr>
                <w:rFonts w:ascii="Arial" w:hAnsi="Arial" w:cs="Arial" w:eastAsia="Arial"/>
                <w:color w:val="1F2430"/>
                <w:sz w:val="18"/>
                <w:szCs w:val="18"/>
                <w:rtl/>
              </w:rPr>
              <w:t>.</w:t>
            </w:r>
          </w:p>
          <w:p>
            <w:pPr>
              <w:bidi/>
              <w:spacing w:before="0" w:after="60" w:line="300" w:lineRule="auto"/>
              <w:jc w:val="both"/>
            </w:pP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הבעיה היא הקישור לגט ("עד שיינתן הגט"). בשטח בית הדין "עוצם עיניים" במידה מסוימת.</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12.15 מלכודות נפוצות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התחולה נקבעת לפי </w:t>
            </w:r>
            <w:r>
              <w:rPr>
                <w:rFonts w:ascii="Arial" w:hAnsi="Arial" w:cs="Arial" w:eastAsia="Arial"/>
                <w:b/>
                <w:bCs/>
                <w:color w:val="1F2430"/>
                <w:sz w:val="18"/>
                <w:szCs w:val="18"/>
                <w:rtl/>
              </w:rPr>
              <w:t>מועד הנישואין</w:t>
            </w:r>
            <w:r>
              <w:rPr>
                <w:rFonts w:ascii="Arial" w:hAnsi="Arial" w:cs="Arial" w:eastAsia="Arial"/>
                <w:color w:val="1F2430"/>
                <w:sz w:val="18"/>
                <w:szCs w:val="18"/>
                <w:rtl/>
              </w:rPr>
              <w:t>, לא לפי מועד הגירושין.</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הזכות </w:t>
            </w:r>
            <w:r>
              <w:rPr>
                <w:rFonts w:ascii="Arial" w:hAnsi="Arial" w:cs="Arial" w:eastAsia="Arial"/>
                <w:b/>
                <w:bCs/>
                <w:color w:val="1F2430"/>
                <w:sz w:val="18"/>
                <w:szCs w:val="18"/>
                <w:rtl/>
              </w:rPr>
              <w:t>אובליגטורית ודחויה</w:t>
            </w:r>
            <w:r>
              <w:rPr>
                <w:rFonts w:ascii="Arial" w:hAnsi="Arial" w:cs="Arial" w:eastAsia="Arial"/>
                <w:color w:val="1F2430"/>
                <w:sz w:val="18"/>
                <w:szCs w:val="18"/>
                <w:rtl/>
              </w:rPr>
              <w:t>: מחצית מהשווי, לא "חצי דירה".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נכס חיצוני יכול להתחלק (שיתוף ספציפי, </w:t>
            </w:r>
            <w:r>
              <w:rPr>
                <w:rFonts w:ascii="Arial" w:hAnsi="Arial" w:cs="Arial" w:eastAsia="Arial"/>
                <w:b/>
                <w:bCs/>
                <w:color w:val="1F2430"/>
                <w:sz w:val="18"/>
                <w:szCs w:val="18"/>
                <w:rtl/>
              </w:rPr>
              <w:t>דבר מה נוסף</w:t>
            </w:r>
            <w:r>
              <w:rPr>
                <w:rFonts w:ascii="Arial" w:hAnsi="Arial" w:cs="Arial" w:eastAsia="Arial"/>
                <w:color w:val="1F2430"/>
                <w:sz w:val="18"/>
                <w:szCs w:val="18"/>
                <w:rtl/>
              </w:rPr>
              <w:t>), אבל אחרי 1974 טוענים דין כללי ולא הלכת שיתוף (אבו רומי).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בגידה אינה נסיבה מיוחדת ואינה קובעת לבדה את מועד הקרע.</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חלוף שנה אינו מחלק אוטומטית: צריך בקשה ותנאי מסעיף 5א.</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בית הדין הרבני מחויב בחוק (13(ב)), אלא בהסכמה מפורשת לדין הדתי.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סעיף 8 אינו חל על ידועים בציבור. הסכמה בכתב לפי 5(א)(3) אינה דורשת אישור שופט.</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שורה תחתונה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נישאו מ-1.1.1974: </w:t>
            </w:r>
            <w:r>
              <w:rPr>
                <w:rFonts w:ascii="Arial" w:hAnsi="Arial" w:cs="Arial" w:eastAsia="Arial"/>
                <w:b/>
                <w:bCs/>
                <w:color w:val="1F2430"/>
                <w:sz w:val="18"/>
                <w:szCs w:val="18"/>
                <w:rtl/>
              </w:rPr>
              <w:t>הפרדה</w:t>
            </w:r>
            <w:r>
              <w:rPr>
                <w:rFonts w:ascii="Arial" w:hAnsi="Arial" w:cs="Arial" w:eastAsia="Arial"/>
                <w:color w:val="1F2430"/>
                <w:sz w:val="18"/>
                <w:szCs w:val="18"/>
                <w:rtl/>
              </w:rPr>
              <w:t xml:space="preserve"> לאורך הנישואין (ס' 4), </w:t>
            </w:r>
            <w:r>
              <w:rPr>
                <w:rFonts w:ascii="Arial" w:hAnsi="Arial" w:cs="Arial" w:eastAsia="Arial"/>
                <w:b/>
                <w:bCs/>
                <w:color w:val="1F2430"/>
                <w:sz w:val="18"/>
                <w:szCs w:val="18"/>
                <w:rtl/>
              </w:rPr>
              <w:t>איזון אובליגטורי</w:t>
            </w:r>
            <w:r>
              <w:rPr>
                <w:rFonts w:ascii="Arial" w:hAnsi="Arial" w:cs="Arial" w:eastAsia="Arial"/>
                <w:color w:val="1F2430"/>
                <w:sz w:val="18"/>
                <w:szCs w:val="18"/>
                <w:rtl/>
              </w:rPr>
              <w:t xml:space="preserve"> בסופם (ס' 5), כולל פנסיה וחסכונות (5(ג)), בלי נכסים חיצוניים, גמלאות ונכסים שהוחרגו בכתב.</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חישוב נטו ומחצית ההפרש (ס' 6); הברחה מנוטרלת (ס' 7); סטייה מחצי-חצי רק בנסיבות מיוחדות (8(2)): בגידה לא, ניסיון רצח ואלימות כן.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נכס חיצוני: שיתוף ספציפי מכוח הדין הכללי (יעקובי, אבו רומי, 10734/06) רק עם "דבר מה נוסף" (1398/11); בגידה מאוחרת אינה שוללת שיתוף שהתגבש (4602/13).</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5א (2008): איזון לפני הגט. סעיף 13(ב): גם בית הדין כפוף. חוק 2014: חשבון פנסיה נפרד לבן הזוג לשעבר.</w:t>
            </w:r>
          </w:p>
        </w:tc>
      </w:tr>
    </w:tbl>
    <w:p>
      <w:pPr>
        <w:bidi/>
        <w:spacing w:after="0" w:before="0" w:line="12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2C3E70"/>
            <w:tcBorders>
              <w:top w:val="single" w:sz="4" w:space="0" w:color="2C3E70"/>
              <w:left w:val="single" w:sz="4" w:space="0" w:color="2C3E70"/>
              <w:bottom w:val="single" w:sz="4" w:space="0" w:color="2C3E70"/>
              <w:right w:val="single" w:sz="4" w:space="0" w:color="2C3E7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13</w:t>
            </w:r>
          </w:p>
          <w:p>
            <w:pPr>
              <w:bidi/>
              <w:spacing w:before="0" w:after="0" w:line="264" w:lineRule="auto"/>
              <w:outlineLvl w:val="0"/>
            </w:pPr>
            <w:r>
              <w:rPr>
                <w:rFonts w:ascii="Arial" w:hAnsi="Arial" w:cs="Arial" w:eastAsia="Arial"/>
                <w:b/>
                <w:bCs/>
                <w:color w:val="FFFFFF"/>
                <w:sz w:val="42"/>
                <w:szCs w:val="42"/>
                <w:rtl/>
              </w:rPr>
              <w:t>הסכמי ממון ונספח ירושה על פי דין</w:t>
            </w:r>
          </w:p>
        </w:tc>
      </w:tr>
    </w:tbl>
    <w:p>
      <w:pPr>
        <w:bidi/>
        <w:spacing w:after="0" w:before="0" w:line="20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13.1 מבוא: למה הסכם ממון הוא חוזה מיוחד</w:t>
      </w:r>
    </w:p>
    <w:p>
      <w:pPr>
        <w:bidi/>
        <w:spacing w:before="0" w:after="100" w:line="300" w:lineRule="auto"/>
        <w:jc w:val="both"/>
      </w:pPr>
      <w:r>
        <w:rPr>
          <w:rFonts w:ascii="Arial" w:hAnsi="Arial" w:cs="Arial" w:eastAsia="Arial"/>
          <w:color w:val="1F2430"/>
          <w:sz w:val="19"/>
          <w:szCs w:val="19"/>
          <w:rtl/>
        </w:rPr>
        <w:t xml:space="preserve">דיני המשפחה גוברים לא פעם על תחומי משפט אחרים. בדיני החוזים חל עיקרון חופש החוזים: הסכם בין זרים תקף גם בעל פה ובלי אישור של איש. לעומת זאת, חוק יחסי ממון בין בני זוג, תשל"ג-1973, קובע שהסכם בין בני זוג נשואים המסדיר את יחסי הממון ביניהם חייב להיות </w:t>
      </w:r>
      <w:r>
        <w:rPr>
          <w:rFonts w:ascii="Arial" w:hAnsi="Arial" w:cs="Arial" w:eastAsia="Arial"/>
          <w:b/>
          <w:bCs/>
          <w:color w:val="1F2430"/>
          <w:sz w:val="19"/>
          <w:szCs w:val="19"/>
          <w:rtl/>
        </w:rPr>
        <w:t>בכתב</w:t>
      </w:r>
      <w:r>
        <w:rPr>
          <w:rFonts w:ascii="Arial" w:hAnsi="Arial" w:cs="Arial" w:eastAsia="Arial"/>
          <w:color w:val="1F2430"/>
          <w:sz w:val="19"/>
          <w:szCs w:val="19"/>
          <w:rtl/>
        </w:rPr>
        <w:t xml:space="preserve"> ולקבל </w:t>
      </w:r>
      <w:r>
        <w:rPr>
          <w:rFonts w:ascii="Arial" w:hAnsi="Arial" w:cs="Arial" w:eastAsia="Arial"/>
          <w:b/>
          <w:bCs/>
          <w:color w:val="1F2430"/>
          <w:sz w:val="19"/>
          <w:szCs w:val="19"/>
          <w:rtl/>
        </w:rPr>
        <w:t>אישור</w:t>
      </w:r>
      <w:r>
        <w:rPr>
          <w:rFonts w:ascii="Arial" w:hAnsi="Arial" w:cs="Arial" w:eastAsia="Arial"/>
          <w:color w:val="1F2430"/>
          <w:sz w:val="19"/>
          <w:szCs w:val="19"/>
          <w:rtl/>
        </w:rPr>
        <w:t xml:space="preserve"> של גורם מוסמך. בלי אישור </w:t>
      </w:r>
      <w:r>
        <w:rPr>
          <w:rFonts w:ascii="Arial" w:hAnsi="Arial" w:cs="Arial" w:eastAsia="Arial"/>
          <w:color w:val="1F2430"/>
          <w:sz w:val="19"/>
          <w:szCs w:val="19"/>
          <w:highlight w:val="yellow"/>
          <w:rtl/>
        </w:rPr>
        <w:t>אין לו תוקף</w:t>
      </w:r>
      <w:r>
        <w:rPr>
          <w:rFonts w:ascii="Arial" w:hAnsi="Arial" w:cs="Arial" w:eastAsia="Arial"/>
          <w:color w:val="1F2430"/>
          <w:sz w:val="19"/>
          <w:szCs w:val="19"/>
          <w:rtl/>
        </w:rPr>
        <w:t>. הרציונל: היחסים בין בני זוג עדינים ומורכבים, ומדובר בחיים שלמים של רכוש. המחוקק רצה לוודא גמירות דעת, ולמנוע ניצול של החלש בידי החזק וטענות מאוחרות של אי הבנה או אילוץ.</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הסכם ממון</w:t>
            </w:r>
          </w:p>
          <w:p>
            <w:pPr>
              <w:bidi/>
              <w:spacing w:before="0" w:after="60" w:line="300" w:lineRule="auto"/>
              <w:jc w:val="both"/>
            </w:pPr>
            <w:r>
              <w:rPr>
                <w:rFonts w:ascii="Arial" w:hAnsi="Arial" w:cs="Arial" w:eastAsia="Arial"/>
                <w:color w:val="1F2430"/>
                <w:sz w:val="18"/>
                <w:szCs w:val="18"/>
                <w:rtl/>
              </w:rPr>
              <w:t>הסכם בין בני זוג נשואים (או לקראת נישואין) המסדיר את יחסי הממון ביניהם. לפי הפסיקה זהו הסכם ה</w:t>
            </w:r>
            <w:r>
              <w:rPr>
                <w:rFonts w:ascii="Arial" w:hAnsi="Arial" w:cs="Arial" w:eastAsia="Arial"/>
                <w:color w:val="1F2430"/>
                <w:sz w:val="18"/>
                <w:szCs w:val="18"/>
                <w:highlight w:val="yellow"/>
                <w:rtl/>
              </w:rPr>
              <w:t>צופה פני גירושין או פני מוות</w:t>
            </w:r>
            <w:r>
              <w:rPr>
                <w:rFonts w:ascii="Arial" w:hAnsi="Arial" w:cs="Arial" w:eastAsia="Arial"/>
                <w:color w:val="1F2430"/>
                <w:sz w:val="18"/>
                <w:szCs w:val="18"/>
                <w:rtl/>
              </w:rPr>
              <w:t>. הוא טעון כתב (סעיף 1) ואישור (סעיף 2). אם לא נערך הסכם, חל הסדר ברירת המחדל: הלכת השיתוף או איזון המשאבים, לפי מועד הנישואין.</w:t>
            </w:r>
          </w:p>
        </w:tc>
      </w:tr>
    </w:tbl>
    <w:p>
      <w:pPr>
        <w:bidi/>
        <w:spacing w:after="0" w:before="0" w:line="120" w:lineRule="exact"/>
      </w:pPr>
      <w:r>
        <w:rPr>
          <w:sz w:val="2"/>
        </w:rPr>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"חזון ומציאות"</w:t>
      </w:r>
    </w:p>
    <w:p>
      <w:pPr>
        <w:bidi/>
        <w:spacing w:before="0" w:after="100" w:line="300" w:lineRule="auto"/>
        <w:jc w:val="both"/>
      </w:pPr>
      <w:r>
        <w:rPr>
          <w:rFonts w:ascii="Arial" w:hAnsi="Arial" w:cs="Arial" w:eastAsia="Arial"/>
          <w:color w:val="1F2430"/>
          <w:sz w:val="19"/>
          <w:szCs w:val="19"/>
          <w:rtl/>
        </w:rPr>
        <w:t>בתמ"ש 37181/97 העיד השופט גרניט, שאישר מאות הסכמי ממון בבית המשפט לענייני משפחה, ש</w:t>
      </w:r>
      <w:r>
        <w:rPr>
          <w:rFonts w:ascii="Arial" w:hAnsi="Arial" w:cs="Arial" w:eastAsia="Arial"/>
          <w:color w:val="1F2430"/>
          <w:sz w:val="19"/>
          <w:szCs w:val="19"/>
          <w:highlight w:val="yellow"/>
          <w:rtl/>
        </w:rPr>
        <w:t>רוב רובם הם חלק מהסכם גירושין</w:t>
      </w:r>
      <w:r>
        <w:rPr>
          <w:rFonts w:ascii="Arial" w:hAnsi="Arial" w:cs="Arial" w:eastAsia="Arial"/>
          <w:color w:val="1F2430"/>
          <w:sz w:val="19"/>
          <w:szCs w:val="19"/>
          <w:rtl/>
        </w:rPr>
        <w:t>. רק מיעוט שבמיעוט מהזוגות עורכים הסכם במהלך הנישואין בלי מניע זר. אלה המניעים הזרים שמנה:</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1. </w:t>
      </w:r>
      <w:r>
        <w:tab/>
      </w:r>
      <w:r>
        <w:rPr>
          <w:rFonts w:ascii="Arial" w:hAnsi="Arial" w:cs="Arial" w:eastAsia="Arial"/>
          <w:b/>
          <w:bCs/>
          <w:color w:val="1F2430"/>
          <w:sz w:val="19"/>
          <w:szCs w:val="19"/>
          <w:rtl/>
        </w:rPr>
        <w:t>הברחת נכסים מנושים</w:t>
      </w:r>
      <w:r>
        <w:rPr>
          <w:rFonts w:ascii="Arial" w:hAnsi="Arial" w:cs="Arial" w:eastAsia="Arial"/>
          <w:color w:val="1F2430"/>
          <w:sz w:val="19"/>
          <w:szCs w:val="19"/>
          <w:rtl/>
        </w:rPr>
        <w:t xml:space="preserve"> — העברת רכוש לבן הזוג כדי שנושים לא יגיעו אליו. זו אינה תכלית ההסכם.</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2. </w:t>
      </w:r>
      <w:r>
        <w:tab/>
      </w:r>
      <w:r>
        <w:rPr>
          <w:rFonts w:ascii="Arial" w:hAnsi="Arial" w:cs="Arial" w:eastAsia="Arial"/>
          <w:b/>
          <w:bCs/>
          <w:color w:val="1F2430"/>
          <w:sz w:val="19"/>
          <w:szCs w:val="19"/>
          <w:rtl/>
        </w:rPr>
        <w:t>בגידה</w:t>
      </w:r>
      <w:r>
        <w:rPr>
          <w:rFonts w:ascii="Arial" w:hAnsi="Arial" w:cs="Arial" w:eastAsia="Arial"/>
          <w:color w:val="1F2430"/>
          <w:sz w:val="19"/>
          <w:szCs w:val="19"/>
          <w:rtl/>
        </w:rPr>
        <w:t xml:space="preserve"> — בן זוג שנתפס בבגידה ורוצה בשלום בית מוכן לחתום על הסכם שמתגמל את בן הזוג השני ביותר מחצי.</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3. </w:t>
      </w:r>
      <w:r>
        <w:tab/>
      </w:r>
      <w:r>
        <w:rPr>
          <w:rFonts w:ascii="Arial" w:hAnsi="Arial" w:cs="Arial" w:eastAsia="Arial"/>
          <w:b/>
          <w:bCs/>
          <w:color w:val="1F2430"/>
          <w:sz w:val="19"/>
          <w:szCs w:val="19"/>
          <w:rtl/>
        </w:rPr>
        <w:t>נישואין שניים</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color w:val="1F2430"/>
          <w:sz w:val="19"/>
          <w:szCs w:val="19"/>
          <w:rtl/>
        </w:rPr>
        <w:t xml:space="preserve">השופט שמגר (פרשת קנובלר) הסביר שהוראות החוק </w:t>
      </w:r>
      <w:r>
        <w:rPr>
          <w:rFonts w:ascii="Arial" w:hAnsi="Arial" w:cs="Arial" w:eastAsia="Arial"/>
          <w:b/>
          <w:bCs/>
          <w:color w:val="1F2430"/>
          <w:sz w:val="19"/>
          <w:szCs w:val="19"/>
          <w:rtl/>
        </w:rPr>
        <w:t>דיספוזיטיביות</w:t>
      </w:r>
      <w:r>
        <w:rPr>
          <w:rFonts w:ascii="Arial" w:hAnsi="Arial" w:cs="Arial" w:eastAsia="Arial"/>
          <w:color w:val="1F2430"/>
          <w:sz w:val="19"/>
          <w:szCs w:val="19"/>
          <w:rtl/>
        </w:rPr>
        <w:t>: המחוקק רצה שבני זוג יסטו מהן בהסכמים. אבל "מספר בני הזוג העורכים הסכם ממון הוא מועט ביותר. הקושי הרגשי הכרוך בכך הוא עצום, ואין לבוא אל בני הזוג בטענות... על כך שלא ראו את הנולד". לכן בתי המשפט אינם רואים בהיעדר הסכם מחדל שבני הזוג צריכים לשלם עליו.</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13.2 על מי חלים סעיפים 1–2: סעיף 14 ומועד עריכת ההסכם</w:t>
      </w:r>
    </w:p>
    <w:p>
      <w:pPr>
        <w:bidi/>
        <w:spacing w:before="0" w:after="100" w:line="300" w:lineRule="auto"/>
        <w:jc w:val="both"/>
      </w:pPr>
      <w:r>
        <w:rPr>
          <w:rFonts w:ascii="Arial" w:hAnsi="Arial" w:cs="Arial" w:eastAsia="Arial"/>
          <w:color w:val="1F2430"/>
          <w:sz w:val="19"/>
          <w:szCs w:val="19"/>
          <w:rtl/>
        </w:rPr>
        <w:t xml:space="preserve">החוק בנוי משני פרקים: </w:t>
      </w:r>
      <w:r>
        <w:rPr>
          <w:rFonts w:ascii="Arial" w:hAnsi="Arial" w:cs="Arial" w:eastAsia="Arial"/>
          <w:b/>
          <w:bCs/>
          <w:color w:val="1F2430"/>
          <w:sz w:val="19"/>
          <w:szCs w:val="19"/>
          <w:rtl/>
        </w:rPr>
        <w:t>פרק ראשון</w:t>
      </w:r>
      <w:r>
        <w:rPr>
          <w:rFonts w:ascii="Arial" w:hAnsi="Arial" w:cs="Arial" w:eastAsia="Arial"/>
          <w:color w:val="1F2430"/>
          <w:sz w:val="19"/>
          <w:szCs w:val="19"/>
          <w:rtl/>
        </w:rPr>
        <w:t xml:space="preserve"> — הסכמי ממון (סעיפים 1–2); </w:t>
      </w:r>
      <w:r>
        <w:rPr>
          <w:rFonts w:ascii="Arial" w:hAnsi="Arial" w:cs="Arial" w:eastAsia="Arial"/>
          <w:b/>
          <w:bCs/>
          <w:color w:val="1F2430"/>
          <w:sz w:val="19"/>
          <w:szCs w:val="19"/>
          <w:rtl/>
        </w:rPr>
        <w:t>פרק שני</w:t>
      </w:r>
      <w:r>
        <w:rPr>
          <w:rFonts w:ascii="Arial" w:hAnsi="Arial" w:cs="Arial" w:eastAsia="Arial"/>
          <w:color w:val="1F2430"/>
          <w:sz w:val="19"/>
          <w:szCs w:val="19"/>
          <w:rtl/>
        </w:rPr>
        <w:t xml:space="preserve"> — הסדר איזון המשאבים (סעיף 3 ואילך).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14 (הוראות מעבר)</w:t>
            </w:r>
          </w:p>
          <w:p>
            <w:pPr>
              <w:bidi/>
              <w:spacing w:before="0" w:after="60" w:line="300" w:lineRule="auto"/>
              <w:jc w:val="both"/>
            </w:pPr>
            <w:r>
              <w:rPr>
                <w:rFonts w:ascii="Arial" w:hAnsi="Arial" w:cs="Arial" w:eastAsia="Arial"/>
                <w:color w:val="1F2430"/>
                <w:sz w:val="18"/>
                <w:szCs w:val="18"/>
                <w:rtl/>
              </w:rPr>
              <w:t>"סעיף 3 ושאר הוראות הפרק השני לא יחולו על בני זוג שנישאו זה לזה לפני תחילת חוק זה."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הסעיף מחריג רק את הפרק השני. מכאן ש</w:t>
      </w:r>
      <w:r>
        <w:rPr>
          <w:rFonts w:ascii="Arial" w:hAnsi="Arial" w:cs="Arial" w:eastAsia="Arial"/>
          <w:color w:val="1F2430"/>
          <w:sz w:val="19"/>
          <w:szCs w:val="19"/>
          <w:highlight w:val="yellow"/>
          <w:rtl/>
        </w:rPr>
        <w:t>סעיפים 1–2 חלים גם על מי שנישא לפני 1.1.1974</w:t>
      </w:r>
      <w:r>
        <w:rPr>
          <w:rFonts w:ascii="Arial" w:hAnsi="Arial" w:cs="Arial" w:eastAsia="Arial"/>
          <w:color w:val="1F2430"/>
          <w:sz w:val="19"/>
          <w:szCs w:val="19"/>
          <w:rtl/>
        </w:rPr>
        <w:t>. זוג שנישא ב-1970 כפוף להלכת השיתוף, אבל אם יערוך הסכם ממון ב-1985, עליו לעמוד בדרישות החוק. לפני החוק חלו דיני החוזים הרגילים, והסכם ממון אפשר היה לערוך אפילו בלחיצת ידיים, בעל פה. הקושי היה ראייתי בלבד.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השאלה הקובעת</w:t>
            </w:r>
          </w:p>
          <w:p>
            <w:pPr>
              <w:bidi/>
              <w:spacing w:before="0" w:after="60" w:line="300" w:lineRule="auto"/>
              <w:jc w:val="both"/>
            </w:pPr>
            <w:r>
              <w:rPr>
                <w:rFonts w:ascii="Arial" w:hAnsi="Arial" w:cs="Arial" w:eastAsia="Arial"/>
                <w:color w:val="1F2430"/>
                <w:sz w:val="18"/>
                <w:szCs w:val="18"/>
                <w:highlight w:val="yellow"/>
                <w:rtl/>
              </w:rPr>
              <w:t>מתי נערך ההסכם — לא מתי נישאו</w:t>
            </w:r>
            <w:r>
              <w:rPr>
                <w:rFonts w:ascii="Arial" w:hAnsi="Arial" w:cs="Arial" w:eastAsia="Arial"/>
                <w:color w:val="1F2430"/>
                <w:sz w:val="18"/>
                <w:szCs w:val="18"/>
                <w:rtl/>
              </w:rPr>
              <w:t>. אחרי 1.1.1974 כל זוג נשוי שעורך הסכם ממון חייב בכתב ובאישור. הסכם שנערך לפני 1974 לא נזקק לאישור.</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2396"/>
        <w:gridCol w:w="4639"/>
        <w:gridCol w:w="3170"/>
      </w:tblGrid>
      <w:tr>
        <w:trPr>
          <w:tblHeader/>
        </w:trPr>
        <w:tc>
          <w:tcPr>
            <w:tcW w:type="dxa" w:w="239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מועד הנישואין ומועד ההסכם</w:t>
            </w:r>
          </w:p>
        </w:tc>
        <w:tc>
          <w:tcPr>
            <w:tcW w:type="dxa" w:w="4639"/>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תנאי התוקף</w:t>
            </w:r>
          </w:p>
        </w:tc>
        <w:tc>
          <w:tcPr>
            <w:tcW w:type="dxa" w:w="3170"/>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אם ההסכם לא תקף — מה חל?</w:t>
            </w:r>
          </w:p>
        </w:tc>
      </w:tr>
      <w:tr>
        <w:trPr>
          <w:cantSplit/>
        </w:trPr>
        <w:tc>
          <w:tcPr>
            <w:tcW w:type="dxa" w:w="239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נישאו לפני 1974, הסכם לפני 1974</w:t>
            </w:r>
          </w:p>
        </w:tc>
        <w:tc>
          <w:tcPr>
            <w:tcW w:type="dxa" w:w="4639"/>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דיני החוזים, גם בעל פה</w:t>
            </w:r>
          </w:p>
        </w:tc>
        <w:tc>
          <w:tcPr>
            <w:tcW w:type="dxa" w:w="3170"/>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הלכת השיתוף</w:t>
            </w:r>
          </w:p>
        </w:tc>
      </w:tr>
      <w:tr>
        <w:trPr>
          <w:cantSplit/>
        </w:trPr>
        <w:tc>
          <w:tcPr>
            <w:tcW w:type="dxa" w:w="239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נישאו לפני 1974, הסכם אחרי 1974</w:t>
            </w:r>
          </w:p>
        </w:tc>
        <w:tc>
          <w:tcPr>
            <w:tcW w:type="dxa" w:w="4639"/>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חוק יחסי ממון: כתב + אישור</w:t>
            </w:r>
          </w:p>
        </w:tc>
        <w:tc>
          <w:tcPr>
            <w:tcW w:type="dxa" w:w="3170"/>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הלכת השיתוף</w:t>
            </w:r>
          </w:p>
        </w:tc>
      </w:tr>
      <w:tr>
        <w:trPr>
          <w:cantSplit/>
        </w:trPr>
        <w:tc>
          <w:tcPr>
            <w:tcW w:type="dxa" w:w="239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נישאו אחרי 1974, הסכם אחרי 1974</w:t>
            </w:r>
          </w:p>
        </w:tc>
        <w:tc>
          <w:tcPr>
            <w:tcW w:type="dxa" w:w="4639"/>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חוק יחסי ממון: כתב + אישור</w:t>
            </w:r>
          </w:p>
        </w:tc>
        <w:tc>
          <w:tcPr>
            <w:tcW w:type="dxa" w:w="3170"/>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איזון המשאבים (וגם הדין הכללי)</w:t>
            </w:r>
          </w:p>
        </w:tc>
      </w:tr>
      <w:tr>
        <w:trPr>
          <w:cantSplit/>
        </w:trPr>
        <w:tc>
          <w:tcPr>
            <w:tcW w:type="dxa" w:w="239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ידועים בציבור, בכל מועד</w:t>
            </w:r>
          </w:p>
        </w:tc>
        <w:tc>
          <w:tcPr>
            <w:tcW w:type="dxa" w:w="4639"/>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דיני החוזים; אפשר לאשר לפי סעיף 3(ג) לחוק בית המשפט לענייני משפחה</w:t>
            </w:r>
          </w:p>
        </w:tc>
        <w:tc>
          <w:tcPr>
            <w:tcW w:type="dxa" w:w="3170"/>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הלכת השיתוף (על הידוע בציבור להוכיח יותר)</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13.3 סעיף 1: דרישת הכתב ומהו "הסכם ממון"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1</w:t>
            </w:r>
          </w:p>
          <w:p>
            <w:pPr>
              <w:bidi/>
              <w:spacing w:before="0" w:after="60" w:line="300" w:lineRule="auto"/>
              <w:jc w:val="both"/>
            </w:pPr>
            <w:r>
              <w:rPr>
                <w:rFonts w:ascii="Arial" w:hAnsi="Arial" w:cs="Arial" w:eastAsia="Arial"/>
                <w:color w:val="1F2430"/>
                <w:sz w:val="18"/>
                <w:szCs w:val="18"/>
                <w:rtl/>
              </w:rPr>
              <w:t>"הסכם בין בני זוג המסדיר יחסי ממון שביניהם (להלן – הסכם ממון), ושינוי של הסכם כזה, יהיו בכתב."</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"בני זוג"</w:t>
      </w:r>
      <w:r>
        <w:rPr>
          <w:rFonts w:ascii="Arial" w:hAnsi="Arial" w:cs="Arial" w:eastAsia="Arial"/>
          <w:color w:val="1F2430"/>
          <w:sz w:val="19"/>
          <w:szCs w:val="19"/>
          <w:rtl/>
        </w:rPr>
        <w:t xml:space="preserve"> — הפסיקה פירשה: </w:t>
      </w:r>
      <w:r>
        <w:rPr>
          <w:rFonts w:ascii="Arial" w:hAnsi="Arial" w:cs="Arial" w:eastAsia="Arial"/>
          <w:color w:val="1F2430"/>
          <w:sz w:val="19"/>
          <w:szCs w:val="19"/>
          <w:highlight w:val="yellow"/>
          <w:rtl/>
        </w:rPr>
        <w:t>נשואים בלבד</w:t>
      </w:r>
      <w:r>
        <w:rPr>
          <w:rFonts w:ascii="Arial" w:hAnsi="Arial" w:cs="Arial" w:eastAsia="Arial"/>
          <w:color w:val="1F2430"/>
          <w:sz w:val="19"/>
          <w:szCs w:val="19"/>
          <w:rtl/>
        </w:rPr>
        <w:t>, לא ידועים בציבור. הסיבה היא שסעיף 5 מדבר על גירושין.</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"בכתב"</w:t>
      </w:r>
      <w:r>
        <w:rPr>
          <w:rFonts w:ascii="Arial" w:hAnsi="Arial" w:cs="Arial" w:eastAsia="Arial"/>
          <w:color w:val="1F2430"/>
          <w:sz w:val="19"/>
          <w:szCs w:val="19"/>
          <w:rtl/>
        </w:rPr>
        <w:t xml:space="preserve"> — דרישה חריגה. בעסקאות רגילות היא קיימת רק בהוראות מיוחדות, כמו עסקאות מקרקעין. הכתב מעיד על גמירות דעת.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"ושינוי של הסכם כזה"</w:t>
      </w:r>
      <w:r>
        <w:rPr>
          <w:rFonts w:ascii="Arial" w:hAnsi="Arial" w:cs="Arial" w:eastAsia="Arial"/>
          <w:color w:val="1F2430"/>
          <w:sz w:val="19"/>
          <w:szCs w:val="19"/>
          <w:rtl/>
        </w:rPr>
        <w:t xml:space="preserve"> — גם שינוי טעון כתב, ולפי סעיף 2(א) גם אישור.</w:t>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מבחן ההיקף או מבחן התכלית?</w:t>
      </w:r>
    </w:p>
    <w:p>
      <w:pPr>
        <w:bidi/>
        <w:spacing w:before="0" w:after="100" w:line="300" w:lineRule="auto"/>
        <w:jc w:val="both"/>
      </w:pPr>
      <w:r>
        <w:rPr>
          <w:rFonts w:ascii="Arial" w:hAnsi="Arial" w:cs="Arial" w:eastAsia="Arial"/>
          <w:color w:val="1F2430"/>
          <w:sz w:val="19"/>
          <w:szCs w:val="19"/>
          <w:rtl/>
        </w:rPr>
        <w:t>הנוסח רחב מאוד. נניח שבעל מעביר לאשתו 100,000 ש"ח "כי יש לך תוכניות חיסכון טובות". זו פעולה משפטית בין שתי יחידות כלכליות נפרדות. אם היא "הסכם ממון", היא בטלה בלי אישור שופט. מכאן הצורך במבחן תוחם.</w:t>
      </w:r>
    </w:p>
    <w:tbl>
      <w:tblPr>
        <w:tblW w:type="dxa" w:w="10206"/>
        <w:jc w:val="center"/>
        <w:tblLook w:firstColumn="1" w:firstRow="1" w:lastColumn="0" w:lastRow="0" w:noHBand="0" w:noVBand="1" w:val="04A0"/>
        <w:bidiVisual/>
        <w:tblLayout w:type="fixed"/>
      </w:tblPr>
      <w:tblGrid>
        <w:gridCol w:w="1233"/>
        <w:gridCol w:w="2951"/>
        <w:gridCol w:w="4786"/>
        <w:gridCol w:w="1233"/>
      </w:tblGrid>
      <w:tr>
        <w:trPr>
          <w:tblHeader/>
        </w:trPr>
        <w:tc>
          <w:tcPr>
            <w:tcW w:type="dxa" w:w="1233"/>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המבחן</w:t>
            </w:r>
          </w:p>
        </w:tc>
        <w:tc>
          <w:tcPr>
            <w:tcW w:type="dxa" w:w="2952"/>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מקורו</w:t>
            </w:r>
          </w:p>
        </w:tc>
        <w:tc>
          <w:tcPr>
            <w:tcW w:type="dxa" w:w="4786"/>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תוכנו</w:t>
            </w:r>
          </w:p>
        </w:tc>
        <w:tc>
          <w:tcPr>
            <w:tcW w:type="dxa" w:w="1233"/>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מעמדו</w:t>
            </w:r>
          </w:p>
        </w:tc>
      </w:tr>
      <w:tr>
        <w:trPr>
          <w:cantSplit/>
        </w:trPr>
        <w:tc>
          <w:tcPr>
            <w:tcW w:type="dxa" w:w="123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מבחן ההיקף</w:t>
            </w:r>
          </w:p>
        </w:tc>
        <w:tc>
          <w:tcPr>
            <w:tcW w:type="dxa" w:w="2952"/>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רוזן-צבי (האקדמיה)</w:t>
            </w:r>
          </w:p>
        </w:tc>
        <w:tc>
          <w:tcPr>
            <w:tcW w:type="dxa" w:w="4786"/>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הסדר כולל של כלל הרכוש לעתיד הוא הסכם ממון; פעולה בודדת אינה</w:t>
            </w:r>
          </w:p>
        </w:tc>
        <w:tc>
          <w:tcPr>
            <w:tcW w:type="dxa" w:w="123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התקבל</w:t>
            </w:r>
          </w:p>
        </w:tc>
      </w:tr>
      <w:tr>
        <w:trPr>
          <w:cantSplit/>
        </w:trPr>
        <w:tc>
          <w:tcPr>
            <w:tcW w:type="dxa" w:w="123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מבחן התכלית</w:t>
            </w:r>
          </w:p>
        </w:tc>
        <w:tc>
          <w:tcPr>
            <w:tcW w:type="dxa" w:w="2952"/>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השופטת בן-פורת, ע"א 169/83 שי (שרעבי)</w:t>
            </w:r>
          </w:p>
        </w:tc>
        <w:tc>
          <w:tcPr>
            <w:tcW w:type="dxa" w:w="4786"/>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 xml:space="preserve">ההסכם </w:t>
            </w:r>
            <w:r>
              <w:rPr>
                <w:rFonts w:ascii="Arial" w:hAnsi="Arial" w:cs="Arial" w:eastAsia="Arial"/>
                <w:color w:val="1F2430"/>
                <w:sz w:val="17"/>
                <w:szCs w:val="17"/>
                <w:highlight w:val="yellow"/>
                <w:rtl/>
              </w:rPr>
              <w:t>צופה פני גירושין או מוות</w:t>
            </w:r>
            <w:r>
              <w:rPr>
                <w:rFonts w:ascii="Arial" w:hAnsi="Arial" w:cs="Arial" w:eastAsia="Arial"/>
                <w:color w:val="1F2430"/>
                <w:sz w:val="17"/>
                <w:szCs w:val="17"/>
                <w:rtl/>
              </w:rPr>
              <w:t>? לא משנה מספר הנכסים</w:t>
            </w:r>
          </w:p>
        </w:tc>
        <w:tc>
          <w:tcPr>
            <w:tcW w:type="dxa" w:w="123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ההלכה המחייבת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169/83 שי (שרעבי)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נישאו ב-1976. כשלוש שנים אחר כך, בעקבות שיפוצים, סיכמו בכתב ובלי אישור שהבעל יעביר לאישה מחצית מזכויותיו בדירה. נקבע שאם יסתכסכו — ימכרו את הבית ויתחלקו בתמורה, ואם ימות אחד מהם — הבעלות תעבור לנותר בחיים. הבעל התחרט. המחוזי דחה את בקשת האישה לאכוף את ההסכם משום שלא אושר. האישה טענה שמדובר במתנה ולא בהסכם ממון, שכן בני הזוג טרם התגרשו.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מבחן התכלית: אם ההסכם צופה פני גירושין או מוות, הוא הסכם ממון, ובלי אישור אין לו תוקף. ההסכם כאן צפה פני סכסוך ומוות, ולכן הוא בטל.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ההגדרה המחייבת של "הסכם ממון". בני זוג שטעו ולא אישרו הסכם כזה — "אכלו אותה".</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יישום מבחן התכלית</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 xml:space="preserve">הפקדה חודשית קבועה לקופה משותפת: </w:t>
            </w:r>
            <w:r>
              <w:rPr>
                <w:rFonts w:ascii="Arial" w:hAnsi="Arial" w:cs="Arial" w:eastAsia="Arial"/>
                <w:color w:val="1F2430"/>
                <w:sz w:val="18"/>
                <w:szCs w:val="18"/>
                <w:highlight w:val="yellow"/>
                <w:rtl/>
              </w:rPr>
              <w:t>אינה הסכם ממון</w:t>
            </w:r>
            <w:r>
              <w:rPr>
                <w:rFonts w:ascii="Arial" w:hAnsi="Arial" w:cs="Arial" w:eastAsia="Arial"/>
                <w:color w:val="1F2430"/>
                <w:sz w:val="18"/>
                <w:szCs w:val="18"/>
                <w:rtl/>
              </w:rPr>
              <w:t>, כי אין בה צפייה לעתיד. לא נדרש אישור.</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העברה חד פעמית של 100,000 ש"ח: אין בה התייחסות לגירושין או למוות, ולכן אינה הסכם ממון.</w:t>
            </w:r>
          </w:p>
          <w:p>
            <w:pPr>
              <w:bidi/>
              <w:tabs>
                <w:tab w:val="left" w:pos="311"/>
              </w:tabs>
              <w:spacing w:before="0" w:after="40" w:line="288" w:lineRule="auto"/>
              <w:ind w:right="311" w:hanging="255"/>
            </w:pPr>
            <w:r>
              <w:rPr>
                <w:rFonts w:ascii="Arial" w:hAnsi="Arial" w:cs="Arial" w:eastAsia="Arial"/>
                <w:b/>
                <w:bCs/>
                <w:color w:val="178F8F"/>
                <w:sz w:val="14"/>
                <w:szCs w:val="14"/>
                <w:rtl/>
              </w:rPr>
              <w:t xml:space="preserve">● </w:t>
            </w:r>
            <w:r>
              <w:tab/>
            </w:r>
            <w:r>
              <w:rPr>
                <w:rFonts w:ascii="Arial" w:hAnsi="Arial" w:cs="Arial" w:eastAsia="Arial"/>
                <w:color w:val="1F2430"/>
                <w:sz w:val="18"/>
                <w:szCs w:val="18"/>
                <w:rtl/>
              </w:rPr>
              <w:t>נכתב שנכס מסוים "לא ייכלל בחלוקה": אם אושר — הסכם ממון תקף. אם לא אושר — ייתכן שעדיין יחול סעיף 5(א)(3), והנכס יצא מהאיזון (ראו 13.5).</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תמ"ש (ת"א) 12453/05 ג.א. נ' ג.א. (פרשת ה-BMW)</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הבעל העניק לאשתו ליום הולדתה רכב BMW עם פתק: "...מצהיר בזאת שהרכב הוא רכושך הפרטי </w:t>
            </w:r>
            <w:r>
              <w:rPr>
                <w:rFonts w:ascii="Arial" w:hAnsi="Arial" w:cs="Arial" w:eastAsia="Arial"/>
                <w:color w:val="1F2430"/>
                <w:sz w:val="18"/>
                <w:szCs w:val="18"/>
                <w:highlight w:val="yellow"/>
                <w:rtl/>
              </w:rPr>
              <w:t>ואינו נכלל במניין הרכוש המשותף</w:t>
            </w:r>
            <w:r>
              <w:rPr>
                <w:rFonts w:ascii="Arial" w:hAnsi="Arial" w:cs="Arial" w:eastAsia="Arial"/>
                <w:color w:val="1F2430"/>
                <w:sz w:val="18"/>
                <w:szCs w:val="18"/>
                <w:rtl/>
              </w:rPr>
              <w:t xml:space="preserve"> לצורך כל עניין שהוא". בגירושין טען שהרכב נקנה ממשכורתו המשותפת ולכן מתחלק. היא טענה שקיבלה מתנה.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אין בחוק הוראה שמוציאה מתנה מגדר "הסכם בין בני זוג". המילים "אינו נכלל ברכוש המשותף" צופות פני גירושין, ולכן מדובר בהסכם ממון. ההסכם לא אושר, ולכאורה הוא בטל. בלי המילים האלה הייתה זו מתנה רגילה. אולם השופטת החילה </w:t>
            </w:r>
            <w:r>
              <w:rPr>
                <w:rFonts w:ascii="Arial" w:hAnsi="Arial" w:cs="Arial" w:eastAsia="Arial"/>
                <w:b/>
                <w:bCs/>
                <w:color w:val="1F2430"/>
                <w:sz w:val="18"/>
                <w:szCs w:val="18"/>
                <w:rtl/>
              </w:rPr>
              <w:t>חריג תום הלב והמניעות</w:t>
            </w:r>
            <w:r>
              <w:rPr>
                <w:rFonts w:ascii="Arial" w:hAnsi="Arial" w:cs="Arial" w:eastAsia="Arial"/>
                <w:color w:val="1F2430"/>
                <w:sz w:val="18"/>
                <w:szCs w:val="18"/>
                <w:rtl/>
              </w:rPr>
              <w:t xml:space="preserve"> (ע"א 486/87 אבידור): חובת תום הלב מוגברת בין בני זוג, ולכן הבעל </w:t>
            </w:r>
            <w:r>
              <w:rPr>
                <w:rFonts w:ascii="Arial" w:hAnsi="Arial" w:cs="Arial" w:eastAsia="Arial"/>
                <w:color w:val="1F2430"/>
                <w:sz w:val="18"/>
                <w:szCs w:val="18"/>
                <w:highlight w:val="yellow"/>
                <w:rtl/>
              </w:rPr>
              <w:t>מושתק מלטעון</w:t>
            </w:r>
            <w:r>
              <w:rPr>
                <w:rFonts w:ascii="Arial" w:hAnsi="Arial" w:cs="Arial" w:eastAsia="Arial"/>
                <w:color w:val="1F2430"/>
                <w:sz w:val="18"/>
                <w:szCs w:val="18"/>
                <w:rtl/>
              </w:rPr>
              <w:t xml:space="preserve"> לזכויות ברכב.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משפטית הבעל צדק, אבל תום הלב "השתיק" אותו. זהו חריג; הכלל נשאר שהסכם ממון לא מאושר בטל.</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13.4 סעיף 2: האישור — מי, מתי ומה נבדק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2(א)–(ב)</w:t>
            </w:r>
          </w:p>
          <w:p>
            <w:pPr>
              <w:bidi/>
              <w:spacing w:before="0" w:after="60" w:line="300" w:lineRule="auto"/>
              <w:jc w:val="both"/>
            </w:pPr>
            <w:r>
              <w:rPr>
                <w:rFonts w:ascii="Arial" w:hAnsi="Arial" w:cs="Arial" w:eastAsia="Arial"/>
                <w:color w:val="1F2430"/>
                <w:sz w:val="18"/>
                <w:szCs w:val="18"/>
                <w:rtl/>
              </w:rPr>
              <w:t xml:space="preserve">"(א) הסכם ממון טעון אישור בית המשפט לעניני משפחה או בית הדין הדתי שלו סמכות השיפוט בענייני נישואין וגירושין של בני הזוג, וכן טעון שינוי של הסכם כזה אישור כאמור. (ב) האישור לא יינתן אלא לאחר שנוכח בית המשפט או בית הדין שבני הזוג עשו את ההסכם או את השינוי </w:t>
            </w:r>
            <w:r>
              <w:rPr>
                <w:rFonts w:ascii="Arial" w:hAnsi="Arial" w:cs="Arial" w:eastAsia="Arial"/>
                <w:color w:val="1F2430"/>
                <w:sz w:val="18"/>
                <w:szCs w:val="18"/>
                <w:highlight w:val="yellow"/>
                <w:rtl/>
              </w:rPr>
              <w:t>בהסכמה חפשית ובהבינם את משמעותו ואת תוצאותיו</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2(ג), 2(ג1), 2(ד)</w:t>
            </w:r>
          </w:p>
          <w:p>
            <w:pPr>
              <w:bidi/>
              <w:spacing w:before="0" w:after="60" w:line="300" w:lineRule="auto"/>
              <w:jc w:val="both"/>
            </w:pPr>
            <w:r>
              <w:rPr>
                <w:rFonts w:ascii="Arial" w:hAnsi="Arial" w:cs="Arial" w:eastAsia="Arial"/>
                <w:color w:val="1F2430"/>
                <w:sz w:val="18"/>
                <w:szCs w:val="18"/>
                <w:rtl/>
              </w:rPr>
              <w:t>"(ג) בהסכם ממון שנכרת לפני הנישואין או בשעת עריכתם יכול אימות רושם הנישואין לבוא במקום אישור בית המשפט או בית הדין. (ג1) הסכם ממון שנכרת לפני הנישואין יכול שיאומת בידי נוטריון... ובלבד שהנוטריון נוכח שבני הזוג... עשו את ההסכם בהסכמה חופשית ובהבינם את משמעותו ותוצאותיו. (ד) הסכם בין בני הזוג שאושר בפסק דין להתרת נישואין על ידי בית הדין, דינו כדין הסכם ממון שאושר לפי סעיף זה."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"התרת נישואין" כוללת גירושין, ביטול נישואין, הכרזה שהנישואין בטלים מעיקרם, ופירוד לפי דין דתי שאינו מאפשר גירושין.</w:t>
      </w:r>
    </w:p>
    <w:tbl>
      <w:tblPr>
        <w:tblW w:type="dxa" w:w="10206"/>
        <w:jc w:val="center"/>
        <w:tblLook w:firstColumn="1" w:firstRow="1" w:lastColumn="0" w:lastRow="0" w:noHBand="0" w:noVBand="1" w:val="04A0"/>
        <w:bidiVisual/>
        <w:tblLayout w:type="fixed"/>
      </w:tblPr>
      <w:tblGrid>
        <w:gridCol w:w="3247"/>
        <w:gridCol w:w="6958"/>
      </w:tblGrid>
      <w:tr>
        <w:trPr>
          <w:tblHeader/>
        </w:trPr>
        <w:tc>
          <w:tcPr>
            <w:tcW w:type="dxa" w:w="324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מועד עריכת ההסכם</w:t>
            </w:r>
          </w:p>
        </w:tc>
        <w:tc>
          <w:tcPr>
            <w:tcW w:type="dxa" w:w="6958"/>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 רשאי לאשר</w:t>
            </w:r>
          </w:p>
        </w:tc>
      </w:tr>
      <w:tr>
        <w:trPr>
          <w:cantSplit/>
        </w:trPr>
        <w:tc>
          <w:tcPr>
            <w:tcW w:type="dxa" w:w="324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לפני הנישואין או בשעת עריכתם</w:t>
            </w:r>
          </w:p>
        </w:tc>
        <w:tc>
          <w:tcPr>
            <w:tcW w:type="dxa" w:w="6958"/>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ארבעה</w:t>
            </w:r>
            <w:r>
              <w:rPr>
                <w:rFonts w:ascii="Arial" w:hAnsi="Arial" w:cs="Arial" w:eastAsia="Arial"/>
                <w:color w:val="1F2430"/>
                <w:sz w:val="17"/>
                <w:szCs w:val="17"/>
                <w:rtl/>
              </w:rPr>
              <w:t>: בית משפט לענייני משפחה, בית דין דתי, רושם נישואין, נוטריון (די באחד)</w:t>
            </w:r>
          </w:p>
        </w:tc>
      </w:tr>
      <w:tr>
        <w:trPr>
          <w:cantSplit/>
        </w:trPr>
        <w:tc>
          <w:tcPr>
            <w:tcW w:type="dxa" w:w="324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במהלך הנישואין</w:t>
            </w:r>
          </w:p>
        </w:tc>
        <w:tc>
          <w:tcPr>
            <w:tcW w:type="dxa" w:w="6958"/>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highlight w:val="yellow"/>
                <w:rtl/>
              </w:rPr>
              <w:t>שניים</w:t>
            </w:r>
            <w:r>
              <w:rPr>
                <w:rFonts w:ascii="Arial" w:hAnsi="Arial" w:cs="Arial" w:eastAsia="Arial"/>
                <w:color w:val="1F2430"/>
                <w:sz w:val="17"/>
                <w:szCs w:val="17"/>
                <w:rtl/>
              </w:rPr>
              <w:t>: בית משפט לענייני משפחה, בית דין דתי</w:t>
            </w:r>
          </w:p>
        </w:tc>
      </w:tr>
      <w:tr>
        <w:trPr>
          <w:cantSplit/>
        </w:trPr>
        <w:tc>
          <w:tcPr>
            <w:tcW w:type="dxa" w:w="324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כחלק מהסכם גירושין</w:t>
            </w:r>
          </w:p>
        </w:tc>
        <w:tc>
          <w:tcPr>
            <w:tcW w:type="dxa" w:w="6958"/>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שניים</w:t>
            </w:r>
            <w:r>
              <w:rPr>
                <w:rFonts w:ascii="Arial" w:hAnsi="Arial" w:cs="Arial" w:eastAsia="Arial"/>
                <w:color w:val="1F2430"/>
                <w:sz w:val="17"/>
                <w:szCs w:val="17"/>
                <w:rtl/>
              </w:rPr>
              <w:t>: בית משפט לענייני משפחה, בית דין (סעיף 2(ד))</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מדוע ההבחנה?</w:t>
      </w:r>
      <w:r>
        <w:rPr>
          <w:rFonts w:ascii="Arial" w:hAnsi="Arial" w:cs="Arial" w:eastAsia="Arial"/>
          <w:color w:val="1F2430"/>
          <w:sz w:val="19"/>
          <w:szCs w:val="19"/>
          <w:rtl/>
        </w:rPr>
        <w:t xml:space="preserve"> אחרי הנישואין בני הזוג חיים יחד באינטימיות, ואיננו יודעים מה מתרחש ביניהם: אולי אלימות, אולי סחיטה. לכן החוק אינו סומך כאן על נוטריון או רושם, ודורש ערכאה שיפוטית.</w:t>
      </w:r>
    </w:p>
    <w:p>
      <w:pPr>
        <w:bidi/>
        <w:spacing w:before="0" w:after="100" w:line="300" w:lineRule="auto"/>
        <w:jc w:val="both"/>
      </w:pPr>
      <w:r>
        <w:rPr>
          <w:rFonts w:ascii="Arial" w:hAnsi="Arial" w:cs="Arial" w:eastAsia="Arial"/>
          <w:b/>
          <w:bCs/>
          <w:color w:val="1F2430"/>
          <w:sz w:val="19"/>
          <w:szCs w:val="19"/>
          <w:rtl/>
        </w:rPr>
        <w:t>רושם הנישואין</w:t>
      </w:r>
      <w:r>
        <w:rPr>
          <w:rFonts w:ascii="Arial" w:hAnsi="Arial" w:cs="Arial" w:eastAsia="Arial"/>
          <w:color w:val="1F2430"/>
          <w:sz w:val="19"/>
          <w:szCs w:val="19"/>
          <w:rtl/>
        </w:rPr>
        <w:t xml:space="preserve"> הוא בפועל הרבנות. המטרה הייתה לחסוך פנייה לשופט לפני החתונה, אבל רוב הרבנויות שולחות לבית המשפט, כך שהסעיף </w:t>
      </w:r>
      <w:r>
        <w:rPr>
          <w:rFonts w:ascii="Arial" w:hAnsi="Arial" w:cs="Arial" w:eastAsia="Arial"/>
          <w:color w:val="1F2430"/>
          <w:sz w:val="19"/>
          <w:szCs w:val="19"/>
          <w:highlight w:val="yellow"/>
          <w:rtl/>
        </w:rPr>
        <w:t>כמעט לא שמיש</w:t>
      </w:r>
      <w:r>
        <w:rPr>
          <w:rFonts w:ascii="Arial" w:hAnsi="Arial" w:cs="Arial" w:eastAsia="Arial"/>
          <w:color w:val="1F2430"/>
          <w:sz w:val="19"/>
          <w:szCs w:val="19"/>
          <w:rtl/>
        </w:rPr>
        <w:t xml:space="preserve">. לכן נוסף </w:t>
      </w:r>
      <w:r>
        <w:rPr>
          <w:rFonts w:ascii="Arial" w:hAnsi="Arial" w:cs="Arial" w:eastAsia="Arial"/>
          <w:b/>
          <w:bCs/>
          <w:color w:val="1F2430"/>
          <w:sz w:val="19"/>
          <w:szCs w:val="19"/>
          <w:rtl/>
        </w:rPr>
        <w:t>סעיף 2(ג1)</w:t>
      </w:r>
      <w:r>
        <w:rPr>
          <w:rFonts w:ascii="Arial" w:hAnsi="Arial" w:cs="Arial" w:eastAsia="Arial"/>
          <w:color w:val="1F2430"/>
          <w:sz w:val="19"/>
          <w:szCs w:val="19"/>
          <w:rtl/>
        </w:rPr>
        <w:t xml:space="preserve"> שהסמיך נוטריון. בהצעת החוק נכתב במפורש שרושמי הנישואין אינם עושים את מלאכתם.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w:t>
            </w:r>
          </w:p>
          <w:p>
            <w:pPr>
              <w:bidi/>
              <w:spacing w:before="0" w:after="60" w:line="300" w:lineRule="auto"/>
              <w:jc w:val="both"/>
            </w:pPr>
            <w:r>
              <w:rPr>
                <w:rFonts w:ascii="Arial" w:hAnsi="Arial" w:cs="Arial" w:eastAsia="Arial"/>
                <w:color w:val="1F2430"/>
                <w:sz w:val="18"/>
                <w:szCs w:val="18"/>
                <w:rtl/>
              </w:rPr>
              <w:t xml:space="preserve">נוטריון ורושם נישואין מאשרים </w:t>
            </w:r>
            <w:r>
              <w:rPr>
                <w:rFonts w:ascii="Arial" w:hAnsi="Arial" w:cs="Arial" w:eastAsia="Arial"/>
                <w:color w:val="1F2430"/>
                <w:sz w:val="18"/>
                <w:szCs w:val="18"/>
                <w:highlight w:val="yellow"/>
                <w:rtl/>
              </w:rPr>
              <w:t>רק הסכם שנכרת לפני הנישואין או בשעתם</w:t>
            </w:r>
            <w:r>
              <w:rPr>
                <w:rFonts w:ascii="Arial" w:hAnsi="Arial" w:cs="Arial" w:eastAsia="Arial"/>
                <w:color w:val="1F2430"/>
                <w:sz w:val="18"/>
                <w:szCs w:val="18"/>
                <w:rtl/>
              </w:rPr>
              <w:t>. הסכם או שינוי שנעשו אחרי החתונה טעונים אישור בית משפט או בית דין.</w:t>
            </w:r>
          </w:p>
        </w:tc>
      </w:tr>
    </w:tbl>
    <w:p>
      <w:pPr>
        <w:bidi/>
        <w:spacing w:after="0" w:before="0" w:line="120" w:lineRule="exact"/>
      </w:pPr>
      <w:r>
        <w:rPr>
          <w:sz w:val="2"/>
        </w:rPr>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מה השופט בודק — ע"א מונק</w:t>
      </w:r>
    </w:p>
    <w:p>
      <w:pPr>
        <w:bidi/>
        <w:spacing w:before="0" w:after="100" w:line="300" w:lineRule="auto"/>
        <w:jc w:val="both"/>
      </w:pPr>
      <w:r>
        <w:rPr>
          <w:rFonts w:ascii="Arial" w:hAnsi="Arial" w:cs="Arial" w:eastAsia="Arial"/>
          <w:color w:val="1F2430"/>
          <w:sz w:val="19"/>
          <w:szCs w:val="19"/>
          <w:rtl/>
        </w:rPr>
        <w:t xml:space="preserve">במציאות השופט אינו עובר עם הצדדים על כל סעיף. הוא בוחן את ההסכם "מלמעלה" ומתרשם שהם מבינים. לעיתים הוא מעיר שההסכם מקפח, ושולח אותם לחשוב שוב או להתייעץ עם עו"ד. אבל אם הם חוזרים ומתעקשים, </w:t>
      </w:r>
      <w:r>
        <w:rPr>
          <w:rFonts w:ascii="Arial" w:hAnsi="Arial" w:cs="Arial" w:eastAsia="Arial"/>
          <w:color w:val="1F2430"/>
          <w:sz w:val="19"/>
          <w:szCs w:val="19"/>
          <w:highlight w:val="yellow"/>
          <w:rtl/>
        </w:rPr>
        <w:t>אינו יכול לסרב לאשר רק משום שההסכם נראה לו לא הוגן</w:t>
      </w:r>
      <w:r>
        <w:rPr>
          <w:rFonts w:ascii="Arial" w:hAnsi="Arial" w:cs="Arial" w:eastAsia="Arial"/>
          <w:color w:val="1F2430"/>
          <w:sz w:val="19"/>
          <w:szCs w:val="19"/>
          <w:rtl/>
        </w:rPr>
        <w:t>. אולי חתונתם תלויה בכך.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4/80 מונק</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פסק הדין המנחה בשאלת משמעות האישור לפי סעיף 2(ב).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"לפנינו חוק מיוחד שיש בו משום תוספת על דיני החוזים הכלליים... בגלל היחסים המיוחדים, העדינים והמורכבים... קבע המחוקק כי אין תוקף להסכם ממון ביניהם אלא אם כן משתכנעת הערכאה השיפוטית שההסכם נעשה מתוך רצון חופשי ללא לחץ, ושני הצדדים הבינו בדיוק על מה מדובר, ומה התוצאות האפשריות של חתימתם".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מכאן שמי שמבקש לבטל הסכם מאושר, או תנאי בו, נושא ב</w:t>
            </w:r>
            <w:r>
              <w:rPr>
                <w:rFonts w:ascii="Arial" w:hAnsi="Arial" w:cs="Arial" w:eastAsia="Arial"/>
                <w:color w:val="1F2430"/>
                <w:sz w:val="18"/>
                <w:szCs w:val="18"/>
                <w:highlight w:val="yellow"/>
                <w:rtl/>
              </w:rPr>
              <w:t>נטל ראיה גבוה במיוחד</w:t>
            </w:r>
            <w:r>
              <w:rPr>
                <w:rFonts w:ascii="Arial" w:hAnsi="Arial" w:cs="Arial" w:eastAsia="Arial"/>
                <w:color w:val="1F2430"/>
                <w:sz w:val="18"/>
                <w:szCs w:val="18"/>
                <w:rtl/>
              </w:rPr>
              <w:t>. האישור משיג שני דברים: בדיקה שההסכם ברור לשני הצדדים, והפיכתו ל"ברזלי" אחרי שהשופט אישר אותו.</w:t>
            </w:r>
          </w:p>
        </w:tc>
      </w:tr>
    </w:tbl>
    <w:p>
      <w:pPr>
        <w:bidi/>
        <w:spacing w:after="0" w:before="0" w:line="120" w:lineRule="exact"/>
      </w:pPr>
      <w:r>
        <w:rPr>
          <w:sz w:val="2"/>
        </w:rPr>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אישור לעומת תוקף של פסק 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בית המשפט לענייני משפחה, סעיף 3(ג)</w:t>
            </w:r>
          </w:p>
          <w:p>
            <w:pPr>
              <w:bidi/>
              <w:spacing w:before="0" w:after="60" w:line="300" w:lineRule="auto"/>
              <w:jc w:val="both"/>
            </w:pPr>
            <w:r>
              <w:rPr>
                <w:rFonts w:ascii="Arial" w:hAnsi="Arial" w:cs="Arial" w:eastAsia="Arial"/>
                <w:color w:val="1F2430"/>
                <w:sz w:val="18"/>
                <w:szCs w:val="18"/>
                <w:rtl/>
              </w:rPr>
              <w:t xml:space="preserve">"כל ענין שלגביו נתונה לבית המשפט לעניני משפחה סמכות לפי חוק זה, גם אישור הסכם בקשר אליו במשמע, </w:t>
            </w:r>
            <w:r>
              <w:rPr>
                <w:rFonts w:ascii="Arial" w:hAnsi="Arial" w:cs="Arial" w:eastAsia="Arial"/>
                <w:color w:val="1F2430"/>
                <w:sz w:val="18"/>
                <w:szCs w:val="18"/>
                <w:highlight w:val="yellow"/>
                <w:rtl/>
              </w:rPr>
              <w:t>אף אם אינה תלויה ועומדת אותה שעה תובענה לגביו</w:t>
            </w:r>
            <w:r>
              <w:rPr>
                <w:rFonts w:ascii="Arial" w:hAnsi="Arial" w:cs="Arial" w:eastAsia="Arial"/>
                <w:color w:val="1F2430"/>
                <w:sz w:val="18"/>
                <w:szCs w:val="18"/>
                <w:rtl/>
              </w:rPr>
              <w:t>, ובית המשפט יהיה רשאי ליתן להסכם תוקף של פסק דין."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אין צורך בתביעה</w:t>
      </w:r>
      <w:r>
        <w:rPr>
          <w:rFonts w:ascii="Arial" w:hAnsi="Arial" w:cs="Arial" w:eastAsia="Arial"/>
          <w:color w:val="1F2430"/>
          <w:sz w:val="19"/>
          <w:szCs w:val="19"/>
          <w:rtl/>
        </w:rPr>
        <w:t>: אפשר לפנות ישירות בבקשה לאישור הסכם. זה מאפיין ייחודי (ראו פרק 5). גם בחוק להסדר התדיינויות בסכסוכי משפחה, "בקשה לאישור הסכם" מוחרגת מהגדרת "תובענה".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אישור ≠ פסק דין</w:t>
      </w:r>
      <w:r>
        <w:rPr>
          <w:rFonts w:ascii="Arial" w:hAnsi="Arial" w:cs="Arial" w:eastAsia="Arial"/>
          <w:color w:val="1F2430"/>
          <w:sz w:val="19"/>
          <w:szCs w:val="19"/>
          <w:rtl/>
        </w:rPr>
        <w:t xml:space="preserve">: אישור רק מקנה תוקף להסכם. רק כשניתן </w:t>
      </w:r>
      <w:r>
        <w:rPr>
          <w:rFonts w:ascii="Arial" w:hAnsi="Arial" w:cs="Arial" w:eastAsia="Arial"/>
          <w:color w:val="1F2430"/>
          <w:sz w:val="19"/>
          <w:szCs w:val="19"/>
          <w:highlight w:val="yellow"/>
          <w:rtl/>
        </w:rPr>
        <w:t>תוקף של פסק דין</w:t>
      </w:r>
      <w:r>
        <w:rPr>
          <w:rFonts w:ascii="Arial" w:hAnsi="Arial" w:cs="Arial" w:eastAsia="Arial"/>
          <w:color w:val="1F2430"/>
          <w:sz w:val="19"/>
          <w:szCs w:val="19"/>
          <w:rtl/>
        </w:rPr>
        <w:t xml:space="preserve"> אפשר לאכוף את ההסכם בהוצאה לפועל.</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640/82 כהן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כהן וגרושה ערכו טקס פרטי וביקשו לאשר הסכם לפי חוק יחסי ממון. בית המשפט דרש הוכחה שהם נשואים, ובמרשם הוא רשום רווק והיא גרושה. בינתיים פנו לבית הדין הרבני, שקבע כי לא יוכלו להינשא לאחרים בלי גט, כלומר שהם </w:t>
            </w:r>
            <w:r>
              <w:rPr>
                <w:rFonts w:ascii="Arial" w:hAnsi="Arial" w:cs="Arial" w:eastAsia="Arial"/>
                <w:color w:val="1F2430"/>
                <w:sz w:val="18"/>
                <w:szCs w:val="18"/>
                <w:highlight w:val="yellow"/>
                <w:rtl/>
              </w:rPr>
              <w:t>נשואים מספק</w:t>
            </w:r>
            <w:r>
              <w:rPr>
                <w:rFonts w:ascii="Arial" w:hAnsi="Arial" w:cs="Arial" w:eastAsia="Arial"/>
                <w:color w:val="1F2430"/>
                <w:sz w:val="18"/>
                <w:szCs w:val="18"/>
                <w:rtl/>
              </w:rPr>
              <w:t xml:space="preserve">. עם קביעה זו חזרו לעליון וביקשו את האישור. </w:t>
            </w:r>
            <w:r>
              <w:rPr>
                <w:rFonts w:ascii="Arial" w:hAnsi="Arial" w:cs="Arial" w:eastAsia="Arial"/>
                <w:b/>
                <w:bCs/>
                <w:color w:val="1F2430"/>
                <w:sz w:val="18"/>
                <w:szCs w:val="18"/>
                <w:rtl/>
              </w:rPr>
              <w:t>הלכה וחשיבות:</w:t>
            </w:r>
            <w:r>
              <w:rPr>
                <w:rFonts w:ascii="Arial" w:hAnsi="Arial" w:cs="Arial" w:eastAsia="Arial"/>
                <w:color w:val="1F2430"/>
                <w:sz w:val="18"/>
                <w:szCs w:val="18"/>
                <w:rtl/>
              </w:rPr>
              <w:t xml:space="preserve"> אישור לפי חוק יחסי ממון ניתן לנשואים בלבד, והכרה בנישואין (ולו מספק) פותחת לו את הדרך. לנישואין פרטיים ראו פרק 8.</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13.5 החריג: סעיף 5(א)(3) — הסכמה בכתב שנכס לא יאוזן</w:t>
      </w:r>
    </w:p>
    <w:p>
      <w:pPr>
        <w:bidi/>
        <w:spacing w:before="0" w:after="100" w:line="300" w:lineRule="auto"/>
        <w:jc w:val="both"/>
      </w:pPr>
      <w:r>
        <w:rPr>
          <w:rFonts w:ascii="Arial" w:hAnsi="Arial" w:cs="Arial" w:eastAsia="Arial"/>
          <w:color w:val="1F2430"/>
          <w:sz w:val="19"/>
          <w:szCs w:val="19"/>
          <w:rtl/>
        </w:rPr>
        <w:t xml:space="preserve">סעיף 5(א) מעניק לכל בן זוג מחצית משווי כלל הנכסים, </w:t>
      </w:r>
      <w:r>
        <w:rPr>
          <w:rFonts w:ascii="Arial" w:hAnsi="Arial" w:cs="Arial" w:eastAsia="Arial"/>
          <w:color w:val="1F2430"/>
          <w:sz w:val="19"/>
          <w:szCs w:val="19"/>
          <w:highlight w:val="yellow"/>
          <w:rtl/>
        </w:rPr>
        <w:t>למעט</w:t>
      </w:r>
      <w:r>
        <w:rPr>
          <w:rFonts w:ascii="Arial" w:hAnsi="Arial" w:cs="Arial" w:eastAsia="Arial"/>
          <w:color w:val="1F2430"/>
          <w:sz w:val="19"/>
          <w:szCs w:val="19"/>
          <w:rtl/>
        </w:rPr>
        <w:t xml:space="preserve">, בין השאר, "(3) נכסים שבני הזוג הסכימו בכתב ששוויים לא יאוזן ביניהם". הסכמה כזו צופה פני גירושין, אבל הסעיף דורש </w:t>
      </w:r>
      <w:r>
        <w:rPr>
          <w:rFonts w:ascii="Arial" w:hAnsi="Arial" w:cs="Arial" w:eastAsia="Arial"/>
          <w:color w:val="1F2430"/>
          <w:sz w:val="19"/>
          <w:szCs w:val="19"/>
          <w:highlight w:val="yellow"/>
          <w:rtl/>
        </w:rPr>
        <w:t>כתב בלבד, לא אישור</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10605/02 יפה גמליאל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נישאו ב-1987. ב-1990 נרכשה דירה, שמומנה בחלקה בידי משפחת הבעל ונרשמה על שם שניהם, כנראה לבקשת הבנק לצורך המשכנתא שהבעל שילם. יומיים אחר כך חתמו, בלי אישור, שאם יסתכסכו יעברו כל הזכויות לבעל. הבעל תבע גירושין וכרך רכוש. בית הדין הרבני קבע שההסכם לא אושר ולכן אינו הסכם ממון, אבל ראה בו מתנה לאישה שהיא מוכנה לוותר עליה אם ייפרדו. כך, בדיני מתנה דתיים, החזיר את הדירה לבעל.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השופטת חיות: אין להסכם תוקף כהסכם ממון, ובית הדין אינו רשאי להחיל דין דתי ברכוש. אבל לפי סעיפים 3(א) ו-5(א)(3) יש </w:t>
            </w:r>
            <w:r>
              <w:rPr>
                <w:rFonts w:ascii="Arial" w:hAnsi="Arial" w:cs="Arial" w:eastAsia="Arial"/>
                <w:color w:val="1F2430"/>
                <w:sz w:val="18"/>
                <w:szCs w:val="18"/>
                <w:highlight w:val="yellow"/>
                <w:rtl/>
              </w:rPr>
              <w:t>הסכמה בכתב שהדירה לא תאוזן</w:t>
            </w:r>
            <w:r>
              <w:rPr>
                <w:rFonts w:ascii="Arial" w:hAnsi="Arial" w:cs="Arial" w:eastAsia="Arial"/>
                <w:color w:val="1F2430"/>
                <w:sz w:val="18"/>
                <w:szCs w:val="18"/>
                <w:rtl/>
              </w:rPr>
              <w:t xml:space="preserve">, והוראה מפורשת בחוק מכשירה אותה גם בלי אישור. הדירה כולה לבעל, אף שבטאבו היא רשומה חצי-חצי.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ההסכם </w:t>
            </w:r>
            <w:r>
              <w:rPr>
                <w:rFonts w:ascii="Arial" w:hAnsi="Arial" w:cs="Arial" w:eastAsia="Arial"/>
                <w:color w:val="1F2430"/>
                <w:sz w:val="18"/>
                <w:szCs w:val="18"/>
                <w:highlight w:val="yellow"/>
                <w:rtl/>
              </w:rPr>
              <w:t>גובר על הרישום בטאבו</w:t>
            </w:r>
            <w:r>
              <w:rPr>
                <w:rFonts w:ascii="Arial" w:hAnsi="Arial" w:cs="Arial" w:eastAsia="Arial"/>
                <w:color w:val="1F2430"/>
                <w:sz w:val="18"/>
                <w:szCs w:val="18"/>
                <w:rtl/>
              </w:rPr>
              <w:t xml:space="preserve"> ומתגבר על רישום פיקטיבי (משיקולי מס, משכנתא, הורים שרושמים חצי-חצי). כדי שנכס לא יאוזן — די בכתב.</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צד שלישי שמסתמך על הטאבו אינו מוגן, ואין חובה לרשום הערת אזהרה על הסכם כזה. העצה: להחתים את שני בני הזוג על כל עסקה.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סתירה פנימית בחוק</w:t>
            </w:r>
          </w:p>
          <w:p>
            <w:pPr>
              <w:bidi/>
              <w:spacing w:before="0" w:after="60" w:line="300" w:lineRule="auto"/>
              <w:jc w:val="both"/>
            </w:pPr>
            <w:r>
              <w:rPr>
                <w:rFonts w:ascii="Arial" w:hAnsi="Arial" w:cs="Arial" w:eastAsia="Arial"/>
                <w:color w:val="1F2430"/>
                <w:sz w:val="18"/>
                <w:szCs w:val="18"/>
                <w:rtl/>
              </w:rPr>
              <w:t xml:space="preserve">לשאלת סטודנט כיצד סעיף 5(א)(3), שאינו דורש אישור, מתיישב עם סעיפים 1–2, השיב הפרופ': "צודק, אכן בעיה, ראה יפה גמליאל וכן מאמרי בנושא". לפי מה שנלמד בקורס: יש מתח מובנה בחוק, וההלכה (גמליאל) היא שהסכמה בכתב שנכס לא יאוזן </w:t>
            </w:r>
            <w:r>
              <w:rPr>
                <w:rFonts w:ascii="Arial" w:hAnsi="Arial" w:cs="Arial" w:eastAsia="Arial"/>
                <w:color w:val="1F2430"/>
                <w:sz w:val="18"/>
                <w:szCs w:val="18"/>
                <w:highlight w:val="yellow"/>
                <w:rtl/>
              </w:rPr>
              <w:t>תקפה גם בלי אישור</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הסכם לא מאושר והתנהגות.</w:t>
      </w:r>
      <w:r>
        <w:rPr>
          <w:rFonts w:ascii="Arial" w:hAnsi="Arial" w:cs="Arial" w:eastAsia="Arial"/>
          <w:color w:val="1F2430"/>
          <w:sz w:val="19"/>
          <w:szCs w:val="19"/>
          <w:rtl/>
        </w:rPr>
        <w:t xml:space="preserve"> בפס"ד אלמונית נ' פלוני (שיתוף ספציפי, ראו פרק 12) העיר </w:t>
      </w:r>
      <w:r>
        <w:rPr>
          <w:rFonts w:ascii="Arial" w:hAnsi="Arial" w:cs="Arial" w:eastAsia="Arial"/>
          <w:b/>
          <w:bCs/>
          <w:color w:val="1F2430"/>
          <w:sz w:val="19"/>
          <w:szCs w:val="19"/>
          <w:rtl/>
        </w:rPr>
        <w:t>השופט עמית</w:t>
      </w:r>
      <w:r>
        <w:rPr>
          <w:rFonts w:ascii="Arial" w:hAnsi="Arial" w:cs="Arial" w:eastAsia="Arial"/>
          <w:color w:val="1F2430"/>
          <w:sz w:val="19"/>
          <w:szCs w:val="19"/>
          <w:rtl/>
        </w:rPr>
        <w:t xml:space="preserve"> שכאשר הסכם ממון לא אושר, התנהגות בני הזוג עשויה ללמד על כוונת שיתוף ספציפית למרות המסמך. לדוגמה, נכתב שדירת הבעל תישאר שלו, אבל הם השקיעו בה ושיפצו אותה יחד. </w:t>
      </w:r>
      <w:r>
        <w:rPr>
          <w:rFonts w:ascii="Arial" w:hAnsi="Arial" w:cs="Arial" w:eastAsia="Arial"/>
          <w:color w:val="1F2430"/>
          <w:sz w:val="19"/>
          <w:szCs w:val="19"/>
          <w:highlight w:val="yellow"/>
          <w:rtl/>
        </w:rPr>
        <w:t>הסכם מאושר כדין הוא בעל משקל חזק</w:t>
      </w:r>
      <w:r>
        <w:rPr>
          <w:rFonts w:ascii="Arial" w:hAnsi="Arial" w:cs="Arial" w:eastAsia="Arial"/>
          <w:color w:val="1F2430"/>
          <w:sz w:val="19"/>
          <w:szCs w:val="19"/>
          <w:rtl/>
        </w:rPr>
        <w:t>, ולא כל השקעה מבטלת אותו. ובכל זאת, מי שרוצה להגן על נכס צריך הסכם ברור ומאושר, ו</w:t>
      </w:r>
      <w:r>
        <w:rPr>
          <w:rFonts w:ascii="Arial" w:hAnsi="Arial" w:cs="Arial" w:eastAsia="Arial"/>
          <w:color w:val="1F2430"/>
          <w:sz w:val="19"/>
          <w:szCs w:val="19"/>
          <w:highlight w:val="yellow"/>
          <w:rtl/>
        </w:rPr>
        <w:t>להתנהל בפועל</w:t>
      </w:r>
      <w:r>
        <w:rPr>
          <w:rFonts w:ascii="Arial" w:hAnsi="Arial" w:cs="Arial" w:eastAsia="Arial"/>
          <w:color w:val="1F2430"/>
          <w:sz w:val="19"/>
          <w:szCs w:val="19"/>
          <w:rtl/>
        </w:rPr>
        <w:t xml:space="preserve"> לפי ההפרדה.</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13.6 תוכן ותכלית: מה עושים בהסכם ממון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יחסי ממון, סעיף 3(א)</w:t>
            </w:r>
          </w:p>
          <w:p>
            <w:pPr>
              <w:bidi/>
              <w:spacing w:before="0" w:after="60" w:line="300" w:lineRule="auto"/>
              <w:jc w:val="both"/>
            </w:pPr>
            <w:r>
              <w:rPr>
                <w:rFonts w:ascii="Arial" w:hAnsi="Arial" w:cs="Arial" w:eastAsia="Arial"/>
                <w:color w:val="1F2430"/>
                <w:sz w:val="18"/>
                <w:szCs w:val="18"/>
                <w:rtl/>
              </w:rPr>
              <w:t>"לא עשו בני הזוג הסכם ממון, ואם עשו – במידה שההסכם אינו קובע אחרת, יראום כמסכימים להסדר איזון המשאבים לפי פרק זה, ויראו הסדר זה כמוסכם בהסכם ממון בעל תוקף שנתמלאו בו הוראות סעיף 2."</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איזון המשאבים הוא אפוא מעין "הסכם ממון סטטוטורי". הוא חל על מי שנישא אחרי 1.1.1974 בכל מה שההסכם אינו מסדיר אחרת. בהסכם עצמו בני הזוג רשאים לקבוע כל הסדר שירצו. הסכם ממון יכול לעשות שני דברים:</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1. </w:t>
      </w:r>
      <w:r>
        <w:tab/>
      </w:r>
      <w:r>
        <w:rPr>
          <w:rFonts w:ascii="Arial" w:hAnsi="Arial" w:cs="Arial" w:eastAsia="Arial"/>
          <w:b/>
          <w:bCs/>
          <w:color w:val="1F2430"/>
          <w:sz w:val="19"/>
          <w:szCs w:val="19"/>
          <w:rtl/>
        </w:rPr>
        <w:t>להשאיר נכס חיצוני בחוץ</w:t>
      </w:r>
      <w:r>
        <w:rPr>
          <w:rFonts w:ascii="Arial" w:hAnsi="Arial" w:cs="Arial" w:eastAsia="Arial"/>
          <w:color w:val="1F2430"/>
          <w:sz w:val="19"/>
          <w:szCs w:val="19"/>
          <w:rtl/>
        </w:rPr>
        <w:t>, גם אם היחסים טובים. רוב ההסכמים עוסקים בזה, ולעיתים קרובות ההורים הם שדוחפים לכך.</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2. </w:t>
      </w:r>
      <w:r>
        <w:tab/>
      </w:r>
      <w:r>
        <w:rPr>
          <w:rFonts w:ascii="Arial" w:hAnsi="Arial" w:cs="Arial" w:eastAsia="Arial"/>
          <w:b/>
          <w:bCs/>
          <w:color w:val="1F2430"/>
          <w:sz w:val="19"/>
          <w:szCs w:val="19"/>
          <w:rtl/>
        </w:rPr>
        <w:t>להשאיר נכסים פנימיים בחוץ</w:t>
      </w:r>
      <w:r>
        <w:rPr>
          <w:rFonts w:ascii="Arial" w:hAnsi="Arial" w:cs="Arial" w:eastAsia="Arial"/>
          <w:color w:val="1F2430"/>
          <w:sz w:val="19"/>
          <w:szCs w:val="19"/>
          <w:rtl/>
        </w:rPr>
        <w:t>, למשל משכורות נפרדות. זה מקובל יותר אצל ידועים בציבור.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הדרך היחידה להוציא נכס פנימי</w:t>
            </w:r>
          </w:p>
          <w:p>
            <w:pPr>
              <w:bidi/>
              <w:spacing w:before="0" w:after="60" w:line="300" w:lineRule="auto"/>
              <w:jc w:val="both"/>
            </w:pPr>
            <w:r>
              <w:rPr>
                <w:rFonts w:ascii="Arial" w:hAnsi="Arial" w:cs="Arial" w:eastAsia="Arial"/>
                <w:color w:val="1F2430"/>
                <w:sz w:val="18"/>
                <w:szCs w:val="18"/>
                <w:rtl/>
              </w:rPr>
              <w:t xml:space="preserve">בהלכת השיתוף אפשר לחרוג מהשיתוף </w:t>
            </w:r>
            <w:r>
              <w:rPr>
                <w:rFonts w:ascii="Arial" w:hAnsi="Arial" w:cs="Arial" w:eastAsia="Arial"/>
                <w:color w:val="1F2430"/>
                <w:sz w:val="18"/>
                <w:szCs w:val="18"/>
                <w:highlight w:val="yellow"/>
                <w:rtl/>
              </w:rPr>
              <w:t>רק בהסכם מפורש, לא משתמע</w:t>
            </w:r>
            <w:r>
              <w:rPr>
                <w:rFonts w:ascii="Arial" w:hAnsi="Arial" w:cs="Arial" w:eastAsia="Arial"/>
                <w:color w:val="1F2430"/>
                <w:sz w:val="18"/>
                <w:szCs w:val="18"/>
                <w:rtl/>
              </w:rPr>
              <w:t xml:space="preserve">. חשבון נפרד, הסתרת נכס או רישום על שם אחד אינם מועילים. </w:t>
            </w:r>
            <w:r>
              <w:rPr>
                <w:rFonts w:ascii="Arial" w:hAnsi="Arial" w:cs="Arial" w:eastAsia="Arial"/>
                <w:b/>
                <w:bCs/>
                <w:color w:val="1F2430"/>
                <w:sz w:val="18"/>
                <w:szCs w:val="18"/>
                <w:rtl/>
              </w:rPr>
              <w:t>הפרדה בהתנהגות מועילה רק בנכס חיצוני</w:t>
            </w:r>
            <w:r>
              <w:rPr>
                <w:rFonts w:ascii="Arial" w:hAnsi="Arial" w:cs="Arial" w:eastAsia="Arial"/>
                <w:color w:val="1F2430"/>
                <w:sz w:val="18"/>
                <w:szCs w:val="18"/>
                <w:rtl/>
              </w:rPr>
              <w:t xml:space="preserve">, למשל לא לגור בדירה שהתקבלה בירושה ולשפץ אותה מכספי השכירות. נכס </w:t>
            </w:r>
            <w:r>
              <w:rPr>
                <w:rFonts w:ascii="Arial" w:hAnsi="Arial" w:cs="Arial" w:eastAsia="Arial"/>
                <w:b/>
                <w:bCs/>
                <w:color w:val="1F2430"/>
                <w:sz w:val="18"/>
                <w:szCs w:val="18"/>
                <w:rtl/>
              </w:rPr>
              <w:t>פנימי</w:t>
            </w:r>
            <w:r>
              <w:rPr>
                <w:rFonts w:ascii="Arial" w:hAnsi="Arial" w:cs="Arial" w:eastAsia="Arial"/>
                <w:color w:val="1F2430"/>
                <w:sz w:val="18"/>
                <w:szCs w:val="18"/>
                <w:rtl/>
              </w:rPr>
              <w:t xml:space="preserve"> (משכורת, כושר השתכרות) מוציאים </w:t>
            </w:r>
            <w:r>
              <w:rPr>
                <w:rFonts w:ascii="Arial" w:hAnsi="Arial" w:cs="Arial" w:eastAsia="Arial"/>
                <w:color w:val="1F2430"/>
                <w:sz w:val="18"/>
                <w:szCs w:val="18"/>
                <w:highlight w:val="yellow"/>
                <w:rtl/>
              </w:rPr>
              <w:t>רק בהסכם ממון</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מכירת הדירה החיצונית</w:t>
            </w:r>
          </w:p>
          <w:p>
            <w:pPr>
              <w:bidi/>
              <w:spacing w:before="0" w:after="60" w:line="300" w:lineRule="auto"/>
              <w:jc w:val="both"/>
            </w:pPr>
            <w:r>
              <w:rPr>
                <w:rFonts w:ascii="Arial" w:hAnsi="Arial" w:cs="Arial" w:eastAsia="Arial"/>
                <w:color w:val="1F2430"/>
                <w:sz w:val="18"/>
                <w:szCs w:val="18"/>
                <w:rtl/>
              </w:rPr>
              <w:t xml:space="preserve">לבעל הייתה דירה (M1) מלפני הנישואין, ונחתם הסכם ממון. כשהמשפחה גדלה, הוא מכר את הדירה ובני הזוג קנו יחד דירה גדולה (M2) במשכנתא ובכספי המכירה. ייתכן ששווי M1 יהפוך משותף, ואם M2 רשומה על שם שניהם, היא ודאי של שניהם, כאילו נתן מתנה. </w:t>
            </w:r>
            <w:r>
              <w:rPr>
                <w:rFonts w:ascii="Arial" w:hAnsi="Arial" w:cs="Arial" w:eastAsia="Arial"/>
                <w:color w:val="1F2430"/>
                <w:sz w:val="18"/>
                <w:szCs w:val="18"/>
                <w:highlight w:val="yellow"/>
                <w:rtl/>
              </w:rPr>
              <w:t>אלא אם נכתב במפורש</w:t>
            </w:r>
            <w:r>
              <w:rPr>
                <w:rFonts w:ascii="Arial" w:hAnsi="Arial" w:cs="Arial" w:eastAsia="Arial"/>
                <w:color w:val="1F2430"/>
                <w:sz w:val="18"/>
                <w:szCs w:val="18"/>
                <w:rtl/>
              </w:rPr>
              <w:t xml:space="preserve"> שגם אחרי מכירה התמורה תישאר חיצונית.</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האם הסכם לשמירת נכס חיצוני מיותר?</w:t>
      </w:r>
      <w:r>
        <w:rPr>
          <w:rFonts w:ascii="Arial" w:hAnsi="Arial" w:cs="Arial" w:eastAsia="Arial"/>
          <w:color w:val="1F2430"/>
          <w:sz w:val="19"/>
          <w:szCs w:val="19"/>
          <w:rtl/>
        </w:rPr>
        <w:t xml:space="preserve"> לכאורה סעיף 5(א)(1) כבר מוציא מהאיזון נכסים מלפני הנישואין, מתנות וירושות. אבל הפסיקה הכירה בשיתוף ספציפי בנכס חיצוני מכוח הדין הכללי ("דבר מה נוסף"; פרקים 11–12), ולכן להסכם יש שוב חשיבות.</w:t>
      </w:r>
    </w:p>
    <w:p>
      <w:pPr>
        <w:bidi/>
        <w:spacing w:before="0" w:after="100" w:line="300" w:lineRule="auto"/>
        <w:jc w:val="both"/>
      </w:pPr>
      <w:r>
        <w:rPr>
          <w:rFonts w:ascii="Arial" w:hAnsi="Arial" w:cs="Arial" w:eastAsia="Arial"/>
          <w:b/>
          <w:bCs/>
          <w:color w:val="1F2430"/>
          <w:sz w:val="19"/>
          <w:szCs w:val="19"/>
          <w:rtl/>
        </w:rPr>
        <w:t>מזונות — לכתוב במפורש.</w:t>
      </w:r>
      <w:r>
        <w:rPr>
          <w:rFonts w:ascii="Arial" w:hAnsi="Arial" w:cs="Arial" w:eastAsia="Arial"/>
          <w:color w:val="1F2430"/>
          <w:sz w:val="19"/>
          <w:szCs w:val="19"/>
          <w:rtl/>
        </w:rPr>
        <w:t xml:space="preserve"> לפי הלכת פלונית (ברק), בין בני זוג בנישואין אזרחיים קיים חוזה משתמע למזונות (ראו פרק 8). הדרך לצאת ממנו היא </w:t>
      </w:r>
      <w:r>
        <w:rPr>
          <w:rFonts w:ascii="Arial" w:hAnsi="Arial" w:cs="Arial" w:eastAsia="Arial"/>
          <w:color w:val="1F2430"/>
          <w:sz w:val="19"/>
          <w:szCs w:val="19"/>
          <w:highlight w:val="yellow"/>
          <w:rtl/>
        </w:rPr>
        <w:t>הסכם ממון מפורש</w:t>
      </w:r>
      <w:r>
        <w:rPr>
          <w:rFonts w:ascii="Arial" w:hAnsi="Arial" w:cs="Arial" w:eastAsia="Arial"/>
          <w:color w:val="1F2430"/>
          <w:sz w:val="19"/>
          <w:szCs w:val="19"/>
          <w:rtl/>
        </w:rPr>
        <w:t xml:space="preserve"> שאושר בידי שופט. עורכי דין נוטים לעסוק רק בהפרדה רכושית, אבל </w:t>
      </w:r>
      <w:r>
        <w:rPr>
          <w:rFonts w:ascii="Arial" w:hAnsi="Arial" w:cs="Arial" w:eastAsia="Arial"/>
          <w:color w:val="1F2430"/>
          <w:sz w:val="19"/>
          <w:szCs w:val="19"/>
          <w:highlight w:val="yellow"/>
          <w:rtl/>
        </w:rPr>
        <w:t>הסכם שאינו מזכיר מזונות במפורש אינו מספיק</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הסכם וסמכות.</w:t>
      </w:r>
      <w:r>
        <w:rPr>
          <w:rFonts w:ascii="Arial" w:hAnsi="Arial" w:cs="Arial" w:eastAsia="Arial"/>
          <w:color w:val="1F2430"/>
          <w:sz w:val="19"/>
          <w:szCs w:val="19"/>
          <w:rtl/>
        </w:rPr>
        <w:t xml:space="preserve"> האם אפשר לקבוע בחתונה שכל סכסוך יתברר בבית הדין הרבני? לפי תשובת הפרופ', זה אפשרי אך לא רצוי, ובעיקר </w:t>
      </w:r>
      <w:r>
        <w:rPr>
          <w:rFonts w:ascii="Arial" w:hAnsi="Arial" w:cs="Arial" w:eastAsia="Arial"/>
          <w:color w:val="1F2430"/>
          <w:sz w:val="19"/>
          <w:szCs w:val="19"/>
          <w:highlight w:val="yellow"/>
          <w:rtl/>
        </w:rPr>
        <w:t>אי אפשר לחסום אדם מלפנות לבית המשפט</w:t>
      </w:r>
      <w:r>
        <w:rPr>
          <w:rFonts w:ascii="Arial" w:hAnsi="Arial" w:cs="Arial" w:eastAsia="Arial"/>
          <w:color w:val="1F2430"/>
          <w:sz w:val="19"/>
          <w:szCs w:val="19"/>
          <w:rtl/>
        </w:rPr>
        <w:t>. הסכמה כזו לא תמנע מבן הזוג השני להקדים ולפנות לבית המשפט (סעיף 9 ובג"ץ 9539/00 איתן — ראו פרק 4).</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13.7 ביטול הסכם ממון מאושר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ע"א 5409/92 פגס</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האישה ביקשה לבטל הסכם גירושין (שהוא גם הסכם ממון) שאושר, ושבו ויתרה על כל רכושה. לטענתה חתמה בעקבות אלימות. הבעל טען שהכירה גבר אחר ולחצה להתגרש. המחוזי דחה.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נבחנו עילות דיני החוזים. </w:t>
            </w:r>
            <w:r>
              <w:rPr>
                <w:rFonts w:ascii="Arial" w:hAnsi="Arial" w:cs="Arial" w:eastAsia="Arial"/>
                <w:b/>
                <w:bCs/>
                <w:color w:val="1F2430"/>
                <w:sz w:val="18"/>
                <w:szCs w:val="18"/>
                <w:rtl/>
              </w:rPr>
              <w:t>כפייה</w:t>
            </w:r>
            <w:r>
              <w:rPr>
                <w:rFonts w:ascii="Arial" w:hAnsi="Arial" w:cs="Arial" w:eastAsia="Arial"/>
                <w:color w:val="1F2430"/>
                <w:sz w:val="18"/>
                <w:szCs w:val="18"/>
                <w:rtl/>
              </w:rPr>
              <w:t xml:space="preserve"> — סעיף 17 לחוק החוזים (חלק כללי): כפייה בכוח או באיום. </w:t>
            </w:r>
            <w:r>
              <w:rPr>
                <w:rFonts w:ascii="Arial" w:hAnsi="Arial" w:cs="Arial" w:eastAsia="Arial"/>
                <w:b/>
                <w:bCs/>
                <w:color w:val="1F2430"/>
                <w:sz w:val="18"/>
                <w:szCs w:val="18"/>
                <w:rtl/>
              </w:rPr>
              <w:t>עושק</w:t>
            </w:r>
            <w:r>
              <w:rPr>
                <w:rFonts w:ascii="Arial" w:hAnsi="Arial" w:cs="Arial" w:eastAsia="Arial"/>
                <w:color w:val="1F2430"/>
                <w:sz w:val="18"/>
                <w:szCs w:val="18"/>
                <w:rtl/>
              </w:rPr>
              <w:t xml:space="preserve"> — סעיף 18: ניצול מצוקה או חולשה, ותנאים גרועים במידה בלתי סבירה מן המקובל. לעושק יש תנאי </w:t>
            </w:r>
            <w:r>
              <w:rPr>
                <w:rFonts w:ascii="Arial" w:hAnsi="Arial" w:cs="Arial" w:eastAsia="Arial"/>
                <w:b/>
                <w:bCs/>
                <w:color w:val="1F2430"/>
                <w:sz w:val="18"/>
                <w:szCs w:val="18"/>
                <w:rtl/>
              </w:rPr>
              <w:t>אובייקטיבי</w:t>
            </w:r>
            <w:r>
              <w:rPr>
                <w:rFonts w:ascii="Arial" w:hAnsi="Arial" w:cs="Arial" w:eastAsia="Arial"/>
                <w:color w:val="1F2430"/>
                <w:sz w:val="18"/>
                <w:szCs w:val="18"/>
                <w:rtl/>
              </w:rPr>
              <w:t xml:space="preserve"> (החוזה אכן גרוע) ותנאי </w:t>
            </w:r>
            <w:r>
              <w:rPr>
                <w:rFonts w:ascii="Arial" w:hAnsi="Arial" w:cs="Arial" w:eastAsia="Arial"/>
                <w:b/>
                <w:bCs/>
                <w:color w:val="1F2430"/>
                <w:sz w:val="18"/>
                <w:szCs w:val="18"/>
                <w:rtl/>
              </w:rPr>
              <w:t>סובייקטיבי</w:t>
            </w:r>
            <w:r>
              <w:rPr>
                <w:rFonts w:ascii="Arial" w:hAnsi="Arial" w:cs="Arial" w:eastAsia="Arial"/>
                <w:color w:val="1F2430"/>
                <w:sz w:val="18"/>
                <w:szCs w:val="18"/>
                <w:rtl/>
              </w:rPr>
              <w:t xml:space="preserve"> (מצוקה). כאן התקיים רק התנאי האובייקטיבי: האישה, מורה למתמטיקה, לא הייתה במצוקה. נוסף לכך יש </w:t>
            </w:r>
            <w:r>
              <w:rPr>
                <w:rFonts w:ascii="Arial" w:hAnsi="Arial" w:cs="Arial" w:eastAsia="Arial"/>
                <w:color w:val="1F2430"/>
                <w:sz w:val="18"/>
                <w:szCs w:val="18"/>
                <w:highlight w:val="yellow"/>
                <w:rtl/>
              </w:rPr>
              <w:t>אינטרס ציבורי ביציבות ההתקשרויות</w:t>
            </w:r>
            <w:r>
              <w:rPr>
                <w:rFonts w:ascii="Arial" w:hAnsi="Arial" w:cs="Arial" w:eastAsia="Arial"/>
                <w:color w:val="1F2430"/>
                <w:sz w:val="18"/>
                <w:szCs w:val="18"/>
                <w:rtl/>
              </w:rPr>
              <w:t xml:space="preserve">.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הסכם מאושר קשה מאוד לבטל: נטל גבוה (מונק) ועילות חוזיות מחמירות.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האישור גם </w:t>
      </w:r>
      <w:r>
        <w:rPr>
          <w:rFonts w:ascii="Arial" w:hAnsi="Arial" w:cs="Arial" w:eastAsia="Arial"/>
          <w:color w:val="1F2430"/>
          <w:sz w:val="19"/>
          <w:szCs w:val="19"/>
          <w:highlight w:val="yellow"/>
          <w:rtl/>
        </w:rPr>
        <w:t>נותן עוצמה להסכם</w:t>
      </w:r>
      <w:r>
        <w:rPr>
          <w:rFonts w:ascii="Arial" w:hAnsi="Arial" w:cs="Arial" w:eastAsia="Arial"/>
          <w:color w:val="1F2430"/>
          <w:sz w:val="19"/>
          <w:szCs w:val="19"/>
          <w:rtl/>
        </w:rPr>
        <w:t>. לכן גם ידועים בציבור, שאינם חייבים באישור, ירצו לעיתים לאשר. מי ירצה בכך? מי שההסכם לטובתו.</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13.8 הסכמי ממון בין ידועים בציבור</w:t>
      </w:r>
    </w:p>
    <w:p>
      <w:pPr>
        <w:bidi/>
        <w:spacing w:before="0" w:after="100" w:line="300" w:lineRule="auto"/>
        <w:jc w:val="both"/>
      </w:pPr>
      <w:r>
        <w:rPr>
          <w:rFonts w:ascii="Arial" w:hAnsi="Arial" w:cs="Arial" w:eastAsia="Arial"/>
          <w:color w:val="1F2430"/>
          <w:sz w:val="19"/>
          <w:szCs w:val="19"/>
          <w:rtl/>
        </w:rPr>
        <w:t xml:space="preserve">חוק יחסי ממון </w:t>
      </w:r>
      <w:r>
        <w:rPr>
          <w:rFonts w:ascii="Arial" w:hAnsi="Arial" w:cs="Arial" w:eastAsia="Arial"/>
          <w:color w:val="1F2430"/>
          <w:sz w:val="19"/>
          <w:szCs w:val="19"/>
          <w:highlight w:val="yellow"/>
          <w:rtl/>
        </w:rPr>
        <w:t>אינו חל על ידועים בציבור</w:t>
      </w:r>
      <w:r>
        <w:rPr>
          <w:rFonts w:ascii="Arial" w:hAnsi="Arial" w:cs="Arial" w:eastAsia="Arial"/>
          <w:color w:val="1F2430"/>
          <w:sz w:val="19"/>
          <w:szCs w:val="19"/>
          <w:rtl/>
        </w:rPr>
        <w:t>. לכן:</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חלים דיני החוזים הרגילים. אין חובת אישור, וההסכם תקף בלי אף אחד מהגורמים המאשרים.</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תשובת הפרופ'</w:t>
      </w:r>
      <w:r>
        <w:rPr>
          <w:rFonts w:ascii="Arial" w:hAnsi="Arial" w:cs="Arial" w:eastAsia="Arial"/>
          <w:color w:val="1F2430"/>
          <w:sz w:val="19"/>
          <w:szCs w:val="19"/>
          <w:rtl/>
        </w:rPr>
        <w:t xml:space="preserve"> לשאלה אם צריך עו"ד או נוטריון: </w:t>
      </w:r>
      <w:r>
        <w:rPr>
          <w:rFonts w:ascii="Arial" w:hAnsi="Arial" w:cs="Arial" w:eastAsia="Arial"/>
          <w:color w:val="1F2430"/>
          <w:sz w:val="19"/>
          <w:szCs w:val="19"/>
          <w:highlight w:val="yellow"/>
          <w:rtl/>
        </w:rPr>
        <w:t>"מספיק לחתום בבית"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הם </w:t>
      </w:r>
      <w:r>
        <w:rPr>
          <w:rFonts w:ascii="Arial" w:hAnsi="Arial" w:cs="Arial" w:eastAsia="Arial"/>
          <w:b/>
          <w:bCs/>
          <w:color w:val="1F2430"/>
          <w:sz w:val="19"/>
          <w:szCs w:val="19"/>
          <w:rtl/>
        </w:rPr>
        <w:t>רשאים</w:t>
      </w:r>
      <w:r>
        <w:rPr>
          <w:rFonts w:ascii="Arial" w:hAnsi="Arial" w:cs="Arial" w:eastAsia="Arial"/>
          <w:color w:val="1F2430"/>
          <w:sz w:val="19"/>
          <w:szCs w:val="19"/>
          <w:rtl/>
        </w:rPr>
        <w:t xml:space="preserve"> לאשר את ההסכם לפי סעיף 3(ג) לחוק בית המשפט לענייני משפחה. חוק זה חל עליהם, כי "בן משפחה" בסעיף 1 שלו כולל "הידועה בציבור כאשתו".</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שינוי</w:t>
      </w:r>
      <w:r>
        <w:rPr>
          <w:rFonts w:ascii="Arial" w:hAnsi="Arial" w:cs="Arial" w:eastAsia="Arial"/>
          <w:color w:val="1F2430"/>
          <w:sz w:val="19"/>
          <w:szCs w:val="19"/>
          <w:rtl/>
        </w:rPr>
        <w:t xml:space="preserve"> של הסכם שאושר אינו טעון אישור חדש. האישור המקורי ניתן למעלה מן הצורך.</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גבולות ההסכם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בר נאור</w:t>
            </w:r>
            <w:r>
              <w:rPr>
                <w:rFonts w:ascii="Arial" w:hAnsi="Arial" w:cs="Arial" w:eastAsia="Arial"/>
                <w:color w:val="1F2430"/>
                <w:sz w:val="18"/>
                <w:szCs w:val="18"/>
                <w:rtl/>
              </w:rPr>
              <w:t xml:space="preserve"> (ע"א 7021/93): בני זוג כתבו בהסכם ש"אין בכוונתם ליצור מצב משפטי של ידועים בציבור". אחרי מות הגבר תבעה האישה מזונות מן העיזבון (סעיף 57(ג) לחוק הירושה). העליון: "לא ניתן לשלול מראש בהסכמה מסקנה משפטית העולה מעובדות מוכחות".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b/>
                <w:bCs/>
                <w:color w:val="1F2430"/>
                <w:sz w:val="18"/>
                <w:szCs w:val="18"/>
                <w:rtl/>
              </w:rPr>
              <w:t>תמ"ש 51940/98</w:t>
            </w:r>
            <w:r>
              <w:rPr>
                <w:rFonts w:ascii="Arial" w:hAnsi="Arial" w:cs="Arial" w:eastAsia="Arial"/>
                <w:color w:val="1F2430"/>
                <w:sz w:val="18"/>
                <w:szCs w:val="18"/>
                <w:rtl/>
              </w:rPr>
              <w:t xml:space="preserve"> (השופט שוחט): אחרי 20 שנה, ולמרות הסכם שבו נכתב שהאישה "חברה בלבד", קיבלה מזונות ומחצית הרכוש. הנימוקים: ההסדר שיקף ניצול של צד אחד, והחיים בפועל לא תאמו את ההסכם.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לפי פתרון שאלות החזרה, הסכם של ידועים בציבור לוותר על מזונות </w:t>
            </w:r>
            <w:r>
              <w:rPr>
                <w:rFonts w:ascii="Arial" w:hAnsi="Arial" w:cs="Arial" w:eastAsia="Arial"/>
                <w:color w:val="1F2430"/>
                <w:sz w:val="18"/>
                <w:szCs w:val="18"/>
                <w:highlight w:val="yellow"/>
                <w:rtl/>
              </w:rPr>
              <w:t>אינו מועיל לגבי מזונות מן העיזבון</w:t>
            </w:r>
            <w:r>
              <w:rPr>
                <w:rFonts w:ascii="Arial" w:hAnsi="Arial" w:cs="Arial" w:eastAsia="Arial"/>
                <w:color w:val="1F2430"/>
                <w:sz w:val="18"/>
                <w:szCs w:val="18"/>
                <w:rtl/>
              </w:rPr>
              <w:t xml:space="preserve"> אם לא נערכה צוואה תואמת. ראו פרק 8.</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13.9 הסכם ממון וחוק הירושה</w:t>
      </w:r>
    </w:p>
    <w:p>
      <w:pPr>
        <w:bidi/>
        <w:spacing w:before="0" w:after="100" w:line="300" w:lineRule="auto"/>
        <w:jc w:val="both"/>
      </w:pPr>
      <w:r>
        <w:rPr>
          <w:rFonts w:ascii="Arial" w:hAnsi="Arial" w:cs="Arial" w:eastAsia="Arial"/>
          <w:b/>
          <w:bCs/>
          <w:color w:val="1F2430"/>
          <w:sz w:val="19"/>
          <w:szCs w:val="19"/>
          <w:rtl/>
        </w:rPr>
        <w:t>סעיף 8 לחוק הירושה</w:t>
      </w:r>
      <w:r>
        <w:rPr>
          <w:rFonts w:ascii="Arial" w:hAnsi="Arial" w:cs="Arial" w:eastAsia="Arial"/>
          <w:color w:val="1F2430"/>
          <w:sz w:val="19"/>
          <w:szCs w:val="19"/>
          <w:rtl/>
        </w:rPr>
        <w:t xml:space="preserve">, תשכ"ה-1965, </w:t>
      </w:r>
      <w:r>
        <w:rPr>
          <w:rFonts w:ascii="Arial" w:hAnsi="Arial" w:cs="Arial" w:eastAsia="Arial"/>
          <w:color w:val="1F2430"/>
          <w:sz w:val="19"/>
          <w:szCs w:val="19"/>
          <w:highlight w:val="yellow"/>
          <w:rtl/>
        </w:rPr>
        <w:t>מבטל הסכמים ומתנות שתחולתם לאחר המוות</w:t>
      </w:r>
      <w:r>
        <w:rPr>
          <w:rFonts w:ascii="Arial" w:hAnsi="Arial" w:cs="Arial" w:eastAsia="Arial"/>
          <w:color w:val="1F2430"/>
          <w:sz w:val="19"/>
          <w:szCs w:val="19"/>
          <w:rtl/>
        </w:rPr>
        <w:t xml:space="preserve">, אלא אם נעשו בצוואה. נניח שאדם כותב, אפילו אצל עו"ד, "העט תהיה של פלוני לאחר מותי". ההסכם בטל. מתנה שתינתן "בעוד חודש" תקפה גם אם הנותן נפטר בינתיים. </w:t>
      </w:r>
      <w:r>
        <w:rPr>
          <w:rFonts w:ascii="Arial" w:hAnsi="Arial" w:cs="Arial" w:eastAsia="Arial"/>
          <w:b/>
          <w:bCs/>
          <w:color w:val="1F2430"/>
          <w:sz w:val="19"/>
          <w:szCs w:val="19"/>
          <w:rtl/>
        </w:rPr>
        <w:t>הרציונל: הגנה על הנותן מפני עצמו.</w:t>
      </w:r>
      <w:r>
        <w:rPr>
          <w:rFonts w:ascii="Arial" w:hAnsi="Arial" w:cs="Arial" w:eastAsia="Arial"/>
          <w:color w:val="1F2430"/>
          <w:sz w:val="19"/>
          <w:szCs w:val="19"/>
          <w:rtl/>
        </w:rPr>
        <w:t xml:space="preserve"> את הצוואה אפשר לשנות עד הרגע האחרון, ואילו הסכם אי אפשר. אדם אינו יודע מה יהיו ימיו וצרכיו, ולעיתים מבטיח מתוך התרגשות רגעית.</w:t>
      </w:r>
    </w:p>
    <w:p>
      <w:pPr>
        <w:bidi/>
        <w:spacing w:before="0" w:after="100" w:line="300" w:lineRule="auto"/>
        <w:jc w:val="both"/>
      </w:pPr>
      <w:r>
        <w:rPr>
          <w:rFonts w:ascii="Arial" w:hAnsi="Arial" w:cs="Arial" w:eastAsia="Arial"/>
          <w:b/>
          <w:bCs/>
          <w:color w:val="1F2430"/>
          <w:sz w:val="19"/>
          <w:szCs w:val="19"/>
          <w:rtl/>
        </w:rPr>
        <w:t>ההתנגשות:</w:t>
      </w:r>
      <w:r>
        <w:rPr>
          <w:rFonts w:ascii="Arial" w:hAnsi="Arial" w:cs="Arial" w:eastAsia="Arial"/>
          <w:color w:val="1F2430"/>
          <w:sz w:val="19"/>
          <w:szCs w:val="19"/>
          <w:rtl/>
        </w:rPr>
        <w:t xml:space="preserve"> מה דינו של הסכם ממון שקובע "אם נתגרש — כך; ואם נמות — כך"? יש שופטים שאינם מאשרים שורה כזו ומורים להסדיר אותה בצוואה. ומה דינה של צוואה מאוחרת שסותרת את ההסכם?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עז' (מחוזי) 289/97 עיזבון אחירם</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בהסכם גירושין שאושר בבית הדין הרבני התחייב הבעל לשלם לאישה מזונות כל חייה, </w:t>
            </w:r>
            <w:r>
              <w:rPr>
                <w:rFonts w:ascii="Arial" w:hAnsi="Arial" w:cs="Arial" w:eastAsia="Arial"/>
                <w:color w:val="1F2430"/>
                <w:sz w:val="18"/>
                <w:szCs w:val="18"/>
                <w:highlight w:val="yellow"/>
                <w:rtl/>
              </w:rPr>
              <w:t>גם מעיזבונו</w:t>
            </w:r>
            <w:r>
              <w:rPr>
                <w:rFonts w:ascii="Arial" w:hAnsi="Arial" w:cs="Arial" w:eastAsia="Arial"/>
                <w:color w:val="1F2430"/>
                <w:sz w:val="18"/>
                <w:szCs w:val="18"/>
                <w:rtl/>
              </w:rPr>
              <w:t xml:space="preserve">, אלא אם תינשא. אחר כך כתב צוואה שהתנתה את המזונות בטיפול בבת המאומצת ובאירוחה. הוא נפטר, והאישה התנגדה לצוואה.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הסכם גירושין שהוא הסכם ממון (סעיף 2(ד)) </w:t>
            </w:r>
            <w:r>
              <w:rPr>
                <w:rFonts w:ascii="Arial" w:hAnsi="Arial" w:cs="Arial" w:eastAsia="Arial"/>
                <w:color w:val="1F2430"/>
                <w:sz w:val="18"/>
                <w:szCs w:val="18"/>
                <w:highlight w:val="yellow"/>
                <w:rtl/>
              </w:rPr>
              <w:t>גובר על צוואה מאוחרת</w:t>
            </w:r>
            <w:r>
              <w:rPr>
                <w:rFonts w:ascii="Arial" w:hAnsi="Arial" w:cs="Arial" w:eastAsia="Arial"/>
                <w:color w:val="1F2430"/>
                <w:sz w:val="18"/>
                <w:szCs w:val="18"/>
                <w:rtl/>
              </w:rPr>
              <w:t xml:space="preserve">. שלושה טעמים: (1) חוק יחסי ממון (1973) מאוחר לחוק הירושה (1965) ולכן מוגן מפני סעיף 8; (2) מדיניות: לעודד הסכמים בעתות משבר בלי חשש שצוואה תהפוך אותם ל"נזילים"; (3) סעיף 104 לחוק הירושה עם הסיפא של סעיף 11(ג).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מייצג את האסכולה ש</w:t>
            </w:r>
            <w:r>
              <w:rPr>
                <w:rFonts w:ascii="Arial" w:hAnsi="Arial" w:cs="Arial" w:eastAsia="Arial"/>
                <w:color w:val="1F2430"/>
                <w:sz w:val="18"/>
                <w:szCs w:val="18"/>
                <w:highlight w:val="yellow"/>
                <w:rtl/>
              </w:rPr>
              <w:t>הסכם ממון רשאי לכלול הוראות שתחולתן לאחר המוות</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1297"/>
        <w:gridCol w:w="5345"/>
        <w:gridCol w:w="3563"/>
      </w:tblGrid>
      <w:tr>
        <w:trPr>
          <w:tblHeader/>
        </w:trPr>
        <w:tc>
          <w:tcPr>
            <w:tcW w:type="dxa" w:w="129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אסכולה</w:t>
            </w:r>
          </w:p>
        </w:tc>
        <w:tc>
          <w:tcPr>
            <w:tcW w:type="dxa" w:w="5344"/>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עמדה</w:t>
            </w:r>
          </w:p>
        </w:tc>
        <w:tc>
          <w:tcPr>
            <w:tcW w:type="dxa" w:w="3563"/>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תוצאה</w:t>
            </w:r>
          </w:p>
        </w:tc>
      </w:tr>
      <w:tr>
        <w:trPr>
          <w:cantSplit/>
        </w:trPr>
        <w:tc>
          <w:tcPr>
            <w:tcW w:type="dxa" w:w="129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ראשונה (אחירם)</w:t>
            </w:r>
          </w:p>
        </w:tc>
        <w:tc>
          <w:tcPr>
            <w:tcW w:type="dxa" w:w="534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הסכם ממון רשאי לכלול הוראות הורשתיות</w:t>
            </w:r>
          </w:p>
        </w:tc>
        <w:tc>
          <w:tcPr>
            <w:tcW w:type="dxa" w:w="356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ההוראות תקפות וגוברות גם על צוואה מאוחרת</w:t>
            </w:r>
          </w:p>
        </w:tc>
      </w:tr>
      <w:tr>
        <w:trPr>
          <w:cantSplit/>
        </w:trPr>
        <w:tc>
          <w:tcPr>
            <w:tcW w:type="dxa" w:w="129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שנייה</w:t>
            </w:r>
          </w:p>
        </w:tc>
        <w:tc>
          <w:tcPr>
            <w:tcW w:type="dxa" w:w="534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הסכם ממון אינו שונה מהסכם מתנה; סעיף 8 מבטל כל הוראה לאחר המוות</w:t>
            </w:r>
          </w:p>
        </w:tc>
        <w:tc>
          <w:tcPr>
            <w:tcW w:type="dxa" w:w="356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ההוראות בטלות, ואין התנגשות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בע"מ 7468/11 פלוני (הסכם ממון מול ירושה)</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אחרי מות אמם ויתרו הילדים על חלקם לטובת אביהם, והוא נעשה היורש היחיד, כולל הדירה. כשנה אחר כך נישא בנישואין אזרחיים, ובני הזוג חתמו על הסכם ממון </w:t>
            </w:r>
            <w:r>
              <w:rPr>
                <w:rFonts w:ascii="Arial" w:hAnsi="Arial" w:cs="Arial" w:eastAsia="Arial"/>
                <w:color w:val="1F2430"/>
                <w:sz w:val="18"/>
                <w:szCs w:val="18"/>
                <w:highlight w:val="yellow"/>
                <w:rtl/>
              </w:rPr>
              <w:t>שלא אושר</w:t>
            </w:r>
            <w:r>
              <w:rPr>
                <w:rFonts w:ascii="Arial" w:hAnsi="Arial" w:cs="Arial" w:eastAsia="Arial"/>
                <w:color w:val="1F2430"/>
                <w:sz w:val="18"/>
                <w:szCs w:val="18"/>
                <w:rtl/>
              </w:rPr>
              <w:t xml:space="preserve">, שלפיו לאישה לא תהיה זכות בדירה. הוא נפטר </w:t>
            </w:r>
            <w:r>
              <w:rPr>
                <w:rFonts w:ascii="Arial" w:hAnsi="Arial" w:cs="Arial" w:eastAsia="Arial"/>
                <w:color w:val="1F2430"/>
                <w:sz w:val="18"/>
                <w:szCs w:val="18"/>
                <w:highlight w:val="yellow"/>
                <w:rtl/>
              </w:rPr>
              <w:t>בלי צוואה</w:t>
            </w:r>
            <w:r>
              <w:rPr>
                <w:rFonts w:ascii="Arial" w:hAnsi="Arial" w:cs="Arial" w:eastAsia="Arial"/>
                <w:color w:val="1F2430"/>
                <w:sz w:val="18"/>
                <w:szCs w:val="18"/>
                <w:rtl/>
              </w:rPr>
              <w:t xml:space="preserve">. האישה תבעה מחצית העיזבון, והילדים התנגדו בטענה שההסכם מונע זאת.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בית המשפט לענייני משפחה הפריד בין שלבים. </w:t>
            </w:r>
            <w:r>
              <w:rPr>
                <w:rFonts w:ascii="Arial" w:hAnsi="Arial" w:cs="Arial" w:eastAsia="Arial"/>
                <w:b/>
                <w:bCs/>
                <w:color w:val="1F2430"/>
                <w:sz w:val="18"/>
                <w:szCs w:val="18"/>
                <w:rtl/>
              </w:rPr>
              <w:t>בשלב דיני המשפחה</w:t>
            </w:r>
            <w:r>
              <w:rPr>
                <w:rFonts w:ascii="Arial" w:hAnsi="Arial" w:cs="Arial" w:eastAsia="Arial"/>
                <w:color w:val="1F2430"/>
                <w:sz w:val="18"/>
                <w:szCs w:val="18"/>
                <w:rtl/>
              </w:rPr>
              <w:t xml:space="preserve">: אין הסכם תקף, ולכן חל איזון המשאבים. אבל לפי סעיף 5(א)(3) ההסכמה בכתב שהדירה לא תאוזן מכובדת, ולאישה אין זכות בדירה מכוח החיים המשותפים. </w:t>
            </w:r>
            <w:r>
              <w:rPr>
                <w:rFonts w:ascii="Arial" w:hAnsi="Arial" w:cs="Arial" w:eastAsia="Arial"/>
                <w:b/>
                <w:bCs/>
                <w:color w:val="1F2430"/>
                <w:sz w:val="18"/>
                <w:szCs w:val="18"/>
                <w:rtl/>
              </w:rPr>
              <w:t>בשלב הירושה</w:t>
            </w:r>
            <w:r>
              <w:rPr>
                <w:rFonts w:ascii="Arial" w:hAnsi="Arial" w:cs="Arial" w:eastAsia="Arial"/>
                <w:color w:val="1F2430"/>
                <w:sz w:val="18"/>
                <w:szCs w:val="18"/>
                <w:rtl/>
              </w:rPr>
              <w:t xml:space="preserve">: ההסכם אינו צוואה. הפסיקה שלפיה הסכם ממון גובר על חוק הירושה חלה רק על </w:t>
            </w:r>
            <w:r>
              <w:rPr>
                <w:rFonts w:ascii="Arial" w:hAnsi="Arial" w:cs="Arial" w:eastAsia="Arial"/>
                <w:color w:val="1F2430"/>
                <w:sz w:val="18"/>
                <w:szCs w:val="18"/>
                <w:highlight w:val="yellow"/>
                <w:rtl/>
              </w:rPr>
              <w:t>הסכם שאושר כדין</w:t>
            </w:r>
            <w:r>
              <w:rPr>
                <w:rFonts w:ascii="Arial" w:hAnsi="Arial" w:cs="Arial" w:eastAsia="Arial"/>
                <w:color w:val="1F2430"/>
                <w:sz w:val="18"/>
                <w:szCs w:val="18"/>
                <w:rtl/>
              </w:rPr>
              <w:t xml:space="preserve">. לכן האישה יורשת </w:t>
            </w:r>
            <w:r>
              <w:rPr>
                <w:rFonts w:ascii="Arial" w:hAnsi="Arial" w:cs="Arial" w:eastAsia="Arial"/>
                <w:color w:val="1F2430"/>
                <w:sz w:val="18"/>
                <w:szCs w:val="18"/>
                <w:highlight w:val="yellow"/>
                <w:rtl/>
              </w:rPr>
              <w:t>מחצית העיזבון, כולל מחצית הדירה</w:t>
            </w:r>
            <w:r>
              <w:rPr>
                <w:rFonts w:ascii="Arial" w:hAnsi="Arial" w:cs="Arial" w:eastAsia="Arial"/>
                <w:color w:val="1F2430"/>
                <w:sz w:val="18"/>
                <w:szCs w:val="18"/>
                <w:rtl/>
              </w:rPr>
              <w:t xml:space="preserve">. הערעור למחוזי נדחה. המחוזי הוסיף: </w:t>
            </w:r>
            <w:r>
              <w:rPr>
                <w:rFonts w:ascii="Arial" w:hAnsi="Arial" w:cs="Arial" w:eastAsia="Arial"/>
                <w:color w:val="1F2430"/>
                <w:sz w:val="18"/>
                <w:szCs w:val="18"/>
                <w:highlight w:val="yellow"/>
                <w:rtl/>
              </w:rPr>
              <w:t>הסכם ממון אינו יכול להדיר יורש</w:t>
            </w:r>
            <w:r>
              <w:rPr>
                <w:rFonts w:ascii="Arial" w:hAnsi="Arial" w:cs="Arial" w:eastAsia="Arial"/>
                <w:color w:val="1F2430"/>
                <w:sz w:val="18"/>
                <w:szCs w:val="18"/>
                <w:rtl/>
              </w:rPr>
              <w:t xml:space="preserve">. הדרך לצוות מוגבלת לצורות הצוואה שבחוק, והוראה שמהותה הסכם על ירושה היא עסקה אסורה לפי סעיף 8. בכך אימץ את האסכולה השנייה.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אילו רצה המנוח למנוע זאת, היה עליו לערוך צוואה. משלא עשה כן, חלים סעיפים 10–11 לחוק הירושה. השופט קרא להגביר את המודעות: </w:t>
            </w:r>
            <w:r>
              <w:rPr>
                <w:rFonts w:ascii="Arial" w:hAnsi="Arial" w:cs="Arial" w:eastAsia="Arial"/>
                <w:color w:val="1F2430"/>
                <w:sz w:val="18"/>
                <w:szCs w:val="18"/>
                <w:highlight w:val="yellow"/>
                <w:rtl/>
              </w:rPr>
              <w:t>מי שעורך הסכם ממון צריך לערוך גם צוואה</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הסכם ש"הדירה תישאר של הבעל" — ומה קורה במוות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לא אושר</w:t>
            </w:r>
            <w:r>
              <w:rPr>
                <w:rFonts w:ascii="Arial" w:hAnsi="Arial" w:cs="Arial" w:eastAsia="Arial"/>
                <w:color w:val="1F2430"/>
                <w:sz w:val="18"/>
                <w:szCs w:val="18"/>
                <w:rtl/>
              </w:rPr>
              <w:t>: לפי כל הגישות אין לו תוקף לאחר המוות, והאישה יורשת כדין (ב-7468/11: מחצית).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אושר</w:t>
            </w:r>
            <w:r>
              <w:rPr>
                <w:rFonts w:ascii="Arial" w:hAnsi="Arial" w:cs="Arial" w:eastAsia="Arial"/>
                <w:color w:val="1F2430"/>
                <w:sz w:val="18"/>
                <w:szCs w:val="18"/>
                <w:rtl/>
              </w:rPr>
              <w:t>: לפי אחירם — הוראה צוואתית תקפה, והאישה אינה מקבלת מהדירה. לפי האסכולה השנייה — ההוראה בטלה, והאישה מקבלת 50%.</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בפועל</w:t>
            </w:r>
            <w:r>
              <w:rPr>
                <w:rFonts w:ascii="Arial" w:hAnsi="Arial" w:cs="Arial" w:eastAsia="Arial"/>
                <w:color w:val="1F2430"/>
                <w:sz w:val="18"/>
                <w:szCs w:val="18"/>
                <w:rtl/>
              </w:rPr>
              <w:t>: הסכם ממון + צוואה תואמת.</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13.10 מלכודות וטיפים</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 נפוצות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"מתנה אינה צריכה אישור": רק אם אינה צופה פני גירושין או מוות (BMW).</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"מי שנישא לפני 1974 פטור": סעיפים 1–2 חלים עליו אם ערך את ההסכם אחרי 1974.</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"נוטריון מאשר כל הסכם": רק הסכם שנכרת לפני הנישואין.</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"שופט יסרב לאשר הסכם מקפח": רשאי להעיר, לא לסרב למי שמבין ומסכים בחופשיות.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"אישור = פסק דין": לאכיפה בהוצאה לפועל דרוש תוקף של פסק דין.</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"בלי אישור — תמיד בטל": יש חריגים: סעיף 5(א)(3) (גמליאל), ותום לב ומניעות (BMW).</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"ידועים בציבור חייבים לאשר": מספיק לחתום בבית.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סדר ניתוח במבחן</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1. </w:t>
            </w:r>
            <w:r>
              <w:tab/>
            </w:r>
            <w:r>
              <w:rPr>
                <w:rFonts w:ascii="Arial" w:hAnsi="Arial" w:cs="Arial" w:eastAsia="Arial"/>
                <w:color w:val="1F2430"/>
                <w:sz w:val="18"/>
                <w:szCs w:val="18"/>
                <w:rtl/>
              </w:rPr>
              <w:t>נשואים (חוק יחסי ממון) או ידועים בציבור (דיני חוזים)?</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2. </w:t>
            </w:r>
            <w:r>
              <w:tab/>
            </w:r>
            <w:r>
              <w:rPr>
                <w:rFonts w:ascii="Arial" w:hAnsi="Arial" w:cs="Arial" w:eastAsia="Arial"/>
                <w:color w:val="1F2430"/>
                <w:sz w:val="18"/>
                <w:szCs w:val="18"/>
                <w:rtl/>
              </w:rPr>
              <w:t>מועד ההסכם: לפני 1974 — דיני חוזים; אחרי — סעיפים 1–2.</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3. </w:t>
            </w:r>
            <w:r>
              <w:tab/>
            </w:r>
            <w:r>
              <w:rPr>
                <w:rFonts w:ascii="Arial" w:hAnsi="Arial" w:cs="Arial" w:eastAsia="Arial"/>
                <w:color w:val="1F2430"/>
                <w:sz w:val="18"/>
                <w:szCs w:val="18"/>
                <w:rtl/>
              </w:rPr>
              <w:t>האם זה הסכם ממון? מבחן התכלית (שרעבי).</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4. </w:t>
            </w:r>
            <w:r>
              <w:tab/>
            </w:r>
            <w:r>
              <w:rPr>
                <w:rFonts w:ascii="Arial" w:hAnsi="Arial" w:cs="Arial" w:eastAsia="Arial"/>
                <w:color w:val="1F2430"/>
                <w:sz w:val="18"/>
                <w:szCs w:val="18"/>
                <w:rtl/>
              </w:rPr>
              <w:t>כתב? אישור? בידי מי (לפני הנישואין 4 גורמים, אחריהם 2)?</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5. </w:t>
            </w:r>
            <w:r>
              <w:tab/>
            </w:r>
            <w:r>
              <w:rPr>
                <w:rFonts w:ascii="Arial" w:hAnsi="Arial" w:cs="Arial" w:eastAsia="Arial"/>
                <w:color w:val="1F2430"/>
                <w:sz w:val="18"/>
                <w:szCs w:val="18"/>
                <w:rtl/>
              </w:rPr>
              <w:t>אין אישור: סעיף 5(א)(3)? מניעות?</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6. </w:t>
            </w:r>
            <w:r>
              <w:tab/>
            </w:r>
            <w:r>
              <w:rPr>
                <w:rFonts w:ascii="Arial" w:hAnsi="Arial" w:cs="Arial" w:eastAsia="Arial"/>
                <w:color w:val="1F2430"/>
                <w:sz w:val="18"/>
                <w:szCs w:val="18"/>
                <w:rtl/>
              </w:rPr>
              <w:t>יש אישור ומבקשים לבטל: מונק ופגס.</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7. </w:t>
            </w:r>
            <w:r>
              <w:tab/>
            </w:r>
            <w:r>
              <w:rPr>
                <w:rFonts w:ascii="Arial" w:hAnsi="Arial" w:cs="Arial" w:eastAsia="Arial"/>
                <w:color w:val="1F2430"/>
                <w:sz w:val="18"/>
                <w:szCs w:val="18"/>
                <w:rtl/>
              </w:rPr>
              <w:t>הוראה לאחר המוות: סעיף 8, האסכולות, אחירם ו-7468/11.</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נספח: ירושה על פי דין</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היקף הנושא בקורס</w:t>
            </w:r>
          </w:p>
          <w:p>
            <w:pPr>
              <w:bidi/>
              <w:spacing w:before="0" w:after="60" w:line="300" w:lineRule="auto"/>
              <w:jc w:val="both"/>
            </w:pPr>
            <w:r>
              <w:rPr>
                <w:rFonts w:ascii="Arial" w:hAnsi="Arial" w:cs="Arial" w:eastAsia="Arial"/>
                <w:color w:val="1F2430"/>
                <w:sz w:val="18"/>
                <w:szCs w:val="18"/>
                <w:rtl/>
              </w:rPr>
              <w:t xml:space="preserve">לשאלה אם יילמדו ענייני ירושה, השיב הפרופ': </w:t>
            </w:r>
            <w:r>
              <w:rPr>
                <w:rFonts w:ascii="Arial" w:hAnsi="Arial" w:cs="Arial" w:eastAsia="Arial"/>
                <w:color w:val="1F2430"/>
                <w:sz w:val="18"/>
                <w:szCs w:val="18"/>
                <w:highlight w:val="yellow"/>
                <w:rtl/>
              </w:rPr>
              <w:t>"לא נספיק"</w:t>
            </w:r>
            <w:r>
              <w:rPr>
                <w:rFonts w:ascii="Arial" w:hAnsi="Arial" w:cs="Arial" w:eastAsia="Arial"/>
                <w:color w:val="1F2430"/>
                <w:sz w:val="18"/>
                <w:szCs w:val="18"/>
                <w:rtl/>
              </w:rPr>
              <w:t>. הנספח מובא להשלמת התמונה ולנקודות המגע עם דיני המשפחה, כפי שהופיעו בחומרי הקורס. ייתכן שלא ייבחן כנושא עצמאי. כדאי לשלוט בעיקר בסעיפים 155, 55, 8 ו-11.</w:t>
            </w:r>
          </w:p>
        </w:tc>
      </w:tr>
    </w:tbl>
    <w:p>
      <w:pPr>
        <w:bidi/>
        <w:spacing w:after="0" w:before="0" w:line="120" w:lineRule="exact"/>
      </w:pPr>
      <w:r>
        <w:rPr>
          <w:sz w:val="2"/>
        </w:rPr>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מעמד הירושה ומי דן בה</w:t>
      </w:r>
    </w:p>
    <w:p>
      <w:pPr>
        <w:bidi/>
        <w:spacing w:before="0" w:after="100" w:line="300" w:lineRule="auto"/>
        <w:jc w:val="both"/>
      </w:pPr>
      <w:r>
        <w:rPr>
          <w:rFonts w:ascii="Arial" w:hAnsi="Arial" w:cs="Arial" w:eastAsia="Arial"/>
          <w:color w:val="1F2430"/>
          <w:sz w:val="19"/>
          <w:szCs w:val="19"/>
          <w:rtl/>
        </w:rPr>
        <w:t xml:space="preserve">עם קום המדינה הירושה הייתה חלק מ"ענייני המעמד האישי" (סימן 51 לדבר המלך): חל עליה דין דתי, ואפשר היה לדון בה בשתי הערכאות. חוק הירושה (1965) </w:t>
      </w:r>
      <w:r>
        <w:rPr>
          <w:rFonts w:ascii="Arial" w:hAnsi="Arial" w:cs="Arial" w:eastAsia="Arial"/>
          <w:color w:val="1F2430"/>
          <w:sz w:val="19"/>
          <w:szCs w:val="19"/>
          <w:highlight w:val="yellow"/>
          <w:rtl/>
        </w:rPr>
        <w:t>הוציא אותה מענייני המעמד האישי</w:t>
      </w:r>
      <w:r>
        <w:rPr>
          <w:rFonts w:ascii="Arial" w:hAnsi="Arial" w:cs="Arial" w:eastAsia="Arial"/>
          <w:color w:val="1F2430"/>
          <w:sz w:val="19"/>
          <w:szCs w:val="19"/>
          <w:rtl/>
        </w:rPr>
        <w:t xml:space="preserve">, ומאז חל עליה </w:t>
      </w:r>
      <w:r>
        <w:rPr>
          <w:rFonts w:ascii="Arial" w:hAnsi="Arial" w:cs="Arial" w:eastAsia="Arial"/>
          <w:b/>
          <w:bCs/>
          <w:color w:val="1F2430"/>
          <w:sz w:val="19"/>
          <w:szCs w:val="19"/>
          <w:rtl/>
        </w:rPr>
        <w:t>דין טריטוריאלי אזרחי</w:t>
      </w:r>
      <w:r>
        <w:rPr>
          <w:rFonts w:ascii="Arial" w:hAnsi="Arial" w:cs="Arial" w:eastAsia="Arial"/>
          <w:color w:val="1F2430"/>
          <w:sz w:val="19"/>
          <w:szCs w:val="19"/>
          <w:rtl/>
        </w:rPr>
        <w:t>, ובו שוויון בין בנים לבנות. אין עוד חלוקה לפי דין תורה, שבו הבכור נוטל פי שניים ובנות אינן יורשות.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הירושה, סעיף 155 (כפי שנלמד)</w:t>
            </w:r>
          </w:p>
          <w:p>
            <w:pPr>
              <w:bidi/>
              <w:spacing w:before="0" w:after="60" w:line="300" w:lineRule="auto"/>
              <w:jc w:val="both"/>
            </w:pPr>
            <w:r>
              <w:rPr>
                <w:rFonts w:ascii="Arial" w:hAnsi="Arial" w:cs="Arial" w:eastAsia="Arial"/>
                <w:color w:val="1F2430"/>
                <w:sz w:val="18"/>
                <w:szCs w:val="18"/>
                <w:rtl/>
              </w:rPr>
              <w:t xml:space="preserve">בית דין דתי ידון בענייני ירושה רק אם </w:t>
            </w:r>
            <w:r>
              <w:rPr>
                <w:rFonts w:ascii="Arial" w:hAnsi="Arial" w:cs="Arial" w:eastAsia="Arial"/>
                <w:color w:val="1F2430"/>
                <w:sz w:val="18"/>
                <w:szCs w:val="18"/>
                <w:highlight w:val="yellow"/>
                <w:rtl/>
              </w:rPr>
              <w:t>כל הצדדים הנוגעים בדבר הסכימו לכך במפורש</w:t>
            </w:r>
            <w:r>
              <w:rPr>
                <w:rFonts w:ascii="Arial" w:hAnsi="Arial" w:cs="Arial" w:eastAsia="Arial"/>
                <w:color w:val="1F2430"/>
                <w:sz w:val="18"/>
                <w:szCs w:val="18"/>
                <w:rtl/>
              </w:rPr>
              <w:t>. די בהתנגדות של יורש אחד כדי למנוע את הדיון.</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סעיף 9 לחוק שיפוט בתי דין רבניים מזכיר גם הוא את "פקודת הירושה" בין הנושאים שנדונים בבית הדין בהסכמת כל הצדדים (פרקים 1, 4). שתי הערות דיוניות: בחוק להסדר התדיינויות, "יחסי ממון" </w:t>
      </w:r>
      <w:r>
        <w:rPr>
          <w:rFonts w:ascii="Arial" w:hAnsi="Arial" w:cs="Arial" w:eastAsia="Arial"/>
          <w:color w:val="1F2430"/>
          <w:sz w:val="19"/>
          <w:szCs w:val="19"/>
          <w:highlight w:val="yellow"/>
          <w:rtl/>
        </w:rPr>
        <w:t>אינם כוללים תובענה בענייני ירושה</w:t>
      </w:r>
      <w:r>
        <w:rPr>
          <w:rFonts w:ascii="Arial" w:hAnsi="Arial" w:cs="Arial" w:eastAsia="Arial"/>
          <w:color w:val="1F2430"/>
          <w:sz w:val="19"/>
          <w:szCs w:val="19"/>
          <w:rtl/>
        </w:rPr>
        <w:t xml:space="preserve">; ולפי סעיף 68(ה) לחוק בתי המשפט, ענייני משפחה נדונים בדלתיים סגורות, </w:t>
      </w:r>
      <w:r>
        <w:rPr>
          <w:rFonts w:ascii="Arial" w:hAnsi="Arial" w:cs="Arial" w:eastAsia="Arial"/>
          <w:color w:val="1F2430"/>
          <w:sz w:val="19"/>
          <w:szCs w:val="19"/>
          <w:highlight w:val="yellow"/>
          <w:rtl/>
        </w:rPr>
        <w:t>למעט תובענות לפי חוק הירושה שעילתן אינה סכסוך בתוך המשפחה</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שני שלבים במוות</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1. </w:t>
      </w:r>
      <w:r>
        <w:tab/>
      </w:r>
      <w:r>
        <w:rPr>
          <w:rFonts w:ascii="Arial" w:hAnsi="Arial" w:cs="Arial" w:eastAsia="Arial"/>
          <w:b/>
          <w:bCs/>
          <w:color w:val="1F2430"/>
          <w:sz w:val="19"/>
          <w:szCs w:val="19"/>
          <w:rtl/>
        </w:rPr>
        <w:t>דיני משפחה</w:t>
      </w:r>
      <w:r>
        <w:rPr>
          <w:rFonts w:ascii="Arial" w:hAnsi="Arial" w:cs="Arial" w:eastAsia="Arial"/>
          <w:color w:val="1F2430"/>
          <w:sz w:val="19"/>
          <w:szCs w:val="19"/>
          <w:rtl/>
        </w:rPr>
        <w:t xml:space="preserve"> (איזון או שיתוף): מה שייך לנפטר ומה לבן הזוג. כאן בן הזוג מופיע כשותף.</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2. </w:t>
      </w:r>
      <w:r>
        <w:tab/>
      </w:r>
      <w:r>
        <w:rPr>
          <w:rFonts w:ascii="Arial" w:hAnsi="Arial" w:cs="Arial" w:eastAsia="Arial"/>
          <w:b/>
          <w:bCs/>
          <w:color w:val="1F2430"/>
          <w:sz w:val="19"/>
          <w:szCs w:val="19"/>
          <w:rtl/>
        </w:rPr>
        <w:t>דיני ירושה</w:t>
      </w:r>
      <w:r>
        <w:rPr>
          <w:rFonts w:ascii="Arial" w:hAnsi="Arial" w:cs="Arial" w:eastAsia="Arial"/>
          <w:color w:val="1F2430"/>
          <w:sz w:val="19"/>
          <w:szCs w:val="19"/>
          <w:rtl/>
        </w:rPr>
        <w:t xml:space="preserve">: חלוקת העיזבון. כאן בן הזוג מופיע </w:t>
      </w:r>
      <w:r>
        <w:rPr>
          <w:rFonts w:ascii="Arial" w:hAnsi="Arial" w:cs="Arial" w:eastAsia="Arial"/>
          <w:color w:val="1F2430"/>
          <w:sz w:val="19"/>
          <w:szCs w:val="19"/>
          <w:highlight w:val="yellow"/>
          <w:rtl/>
        </w:rPr>
        <w:t>פעם שנייה, כיורש</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מדוע 75%?</w:t>
            </w:r>
          </w:p>
          <w:p>
            <w:pPr>
              <w:bidi/>
              <w:spacing w:before="0" w:after="60" w:line="300" w:lineRule="auto"/>
              <w:jc w:val="both"/>
            </w:pPr>
            <w:r>
              <w:rPr>
                <w:rFonts w:ascii="Arial" w:hAnsi="Arial" w:cs="Arial" w:eastAsia="Arial"/>
                <w:color w:val="1F2430"/>
                <w:sz w:val="18"/>
                <w:szCs w:val="18"/>
                <w:rtl/>
              </w:rPr>
              <w:t xml:space="preserve">אין הסכם ממון ואין צוואה, ויש ילדים. בדירה שנצברה במאמץ משותף בן הזוג מקבל 50% מכוח דיני המשפחה, ומהחצי השני (העיזבון) הוא יורש מחצית (סעיף 11(א)(1)). בסך הכול </w:t>
            </w:r>
            <w:r>
              <w:rPr>
                <w:rFonts w:ascii="Arial" w:hAnsi="Arial" w:cs="Arial" w:eastAsia="Arial"/>
                <w:color w:val="1F2430"/>
                <w:sz w:val="18"/>
                <w:szCs w:val="18"/>
                <w:highlight w:val="yellow"/>
                <w:rtl/>
              </w:rPr>
              <w:t>75%</w:t>
            </w:r>
            <w:r>
              <w:rPr>
                <w:rFonts w:ascii="Arial" w:hAnsi="Arial" w:cs="Arial" w:eastAsia="Arial"/>
                <w:color w:val="1F2430"/>
                <w:sz w:val="18"/>
                <w:szCs w:val="18"/>
                <w:rtl/>
              </w:rPr>
              <w:t>. אם הדירה הוחרגה מהאיזון (כמו ב-7468/11), העיזבון כולל את כולה ובן הזוג יורש 50%. בירושה, בניגוד לאיזון, יורשים גם נכסים חיצוניים.</w:t>
            </w:r>
          </w:p>
        </w:tc>
      </w:tr>
    </w:tbl>
    <w:p>
      <w:pPr>
        <w:bidi/>
        <w:spacing w:after="0" w:before="0" w:line="120" w:lineRule="exact"/>
      </w:pPr>
      <w:r>
        <w:rPr>
          <w:sz w:val="2"/>
        </w:rPr>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היורשים על פי דין: סעיפים 10, 12, 13, 14</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הירושה, סעיף 10</w:t>
            </w:r>
          </w:p>
          <w:p>
            <w:pPr>
              <w:bidi/>
              <w:spacing w:before="0" w:after="60" w:line="300" w:lineRule="auto"/>
              <w:jc w:val="both"/>
            </w:pPr>
            <w:r>
              <w:rPr>
                <w:rFonts w:ascii="Arial" w:hAnsi="Arial" w:cs="Arial" w:eastAsia="Arial"/>
                <w:color w:val="1F2430"/>
                <w:sz w:val="18"/>
                <w:szCs w:val="18"/>
                <w:rtl/>
              </w:rPr>
              <w:t>"יורשים על פי דין הם: (1) מי שהיה במות המוריש בן זוגו; (2) ילדי המוריש וצאצאיהם, הוריו וצאצאיהם, הורי הוריו וצאצאיהם (בחוק זה – קרוב המוריש)."</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2211"/>
        <w:gridCol w:w="7994"/>
      </w:tblGrid>
      <w:tr>
        <w:trPr>
          <w:tblHeader/>
        </w:trPr>
        <w:tc>
          <w:tcPr>
            <w:tcW w:type="dxa" w:w="2211"/>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מעגל (פרנטלה)</w:t>
            </w:r>
          </w:p>
        </w:tc>
        <w:tc>
          <w:tcPr>
            <w:tcW w:type="dxa" w:w="7994"/>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 נמצא בו</w:t>
            </w:r>
          </w:p>
        </w:tc>
      </w:tr>
      <w:tr>
        <w:trPr>
          <w:cantSplit/>
        </w:trPr>
        <w:tc>
          <w:tcPr>
            <w:tcW w:type="dxa" w:w="2211"/>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ראשון</w:t>
            </w:r>
          </w:p>
        </w:tc>
        <w:tc>
          <w:tcPr>
            <w:tcW w:type="dxa" w:w="799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ילדי המוריש וצאצאיהם</w:t>
            </w:r>
          </w:p>
        </w:tc>
      </w:tr>
      <w:tr>
        <w:trPr>
          <w:cantSplit/>
        </w:trPr>
        <w:tc>
          <w:tcPr>
            <w:tcW w:type="dxa" w:w="2211"/>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שני</w:t>
            </w:r>
          </w:p>
        </w:tc>
        <w:tc>
          <w:tcPr>
            <w:tcW w:type="dxa" w:w="799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הורי המוריש וצאצאיהם (כולל אחים)</w:t>
            </w:r>
          </w:p>
        </w:tc>
      </w:tr>
      <w:tr>
        <w:trPr>
          <w:cantSplit/>
        </w:trPr>
        <w:tc>
          <w:tcPr>
            <w:tcW w:type="dxa" w:w="2211"/>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שלישי</w:t>
            </w:r>
          </w:p>
        </w:tc>
        <w:tc>
          <w:tcPr>
            <w:tcW w:type="dxa" w:w="799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הורי ההורים (ארבעה) וצאצאיהם (דודים, בני דודים)</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אם לא נמצא איש — </w:t>
      </w:r>
      <w:r>
        <w:rPr>
          <w:rFonts w:ascii="Arial" w:hAnsi="Arial" w:cs="Arial" w:eastAsia="Arial"/>
          <w:color w:val="1F2430"/>
          <w:sz w:val="19"/>
          <w:szCs w:val="19"/>
          <w:highlight w:val="yellow"/>
          <w:rtl/>
        </w:rPr>
        <w:t>המדינה יורשת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12</w:t>
      </w:r>
      <w:r>
        <w:rPr>
          <w:rFonts w:ascii="Arial" w:hAnsi="Arial" w:cs="Arial" w:eastAsia="Arial"/>
          <w:color w:val="1F2430"/>
          <w:sz w:val="19"/>
          <w:szCs w:val="19"/>
          <w:rtl/>
        </w:rPr>
        <w:t>: "ילדי המוריש קודמים להוריו, הוריו קודמים להורי הוריו". הקרובים אינם "גוש", ו</w:t>
      </w:r>
      <w:r>
        <w:rPr>
          <w:rFonts w:ascii="Arial" w:hAnsi="Arial" w:cs="Arial" w:eastAsia="Arial"/>
          <w:color w:val="1F2430"/>
          <w:sz w:val="19"/>
          <w:szCs w:val="19"/>
          <w:highlight w:val="yellow"/>
          <w:rtl/>
        </w:rPr>
        <w:t>לא עוברים למעגל הבא לפני שסוגרים את הקודם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13</w:t>
      </w:r>
      <w:r>
        <w:rPr>
          <w:rFonts w:ascii="Arial" w:hAnsi="Arial" w:cs="Arial" w:eastAsia="Arial"/>
          <w:color w:val="1F2430"/>
          <w:sz w:val="19"/>
          <w:szCs w:val="19"/>
          <w:rtl/>
        </w:rPr>
        <w:t xml:space="preserve">: בתוך המעגל חולקים </w:t>
      </w:r>
      <w:r>
        <w:rPr>
          <w:rFonts w:ascii="Arial" w:hAnsi="Arial" w:cs="Arial" w:eastAsia="Arial"/>
          <w:color w:val="1F2430"/>
          <w:sz w:val="19"/>
          <w:szCs w:val="19"/>
          <w:highlight w:val="yellow"/>
          <w:rtl/>
        </w:rPr>
        <w:t>בשווה</w:t>
      </w:r>
      <w:r>
        <w:rPr>
          <w:rFonts w:ascii="Arial" w:hAnsi="Arial" w:cs="Arial" w:eastAsia="Arial"/>
          <w:color w:val="1F2430"/>
          <w:sz w:val="19"/>
          <w:szCs w:val="19"/>
          <w:rtl/>
        </w:rPr>
        <w:t xml:space="preserve"> (שלושה ילדים — שליש לכל אחד).</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14 (חליפיו של יורש)</w:t>
      </w:r>
      <w:r>
        <w:rPr>
          <w:rFonts w:ascii="Arial" w:hAnsi="Arial" w:cs="Arial" w:eastAsia="Arial"/>
          <w:color w:val="1F2430"/>
          <w:sz w:val="19"/>
          <w:szCs w:val="19"/>
          <w:rtl/>
        </w:rPr>
        <w:t>: ילד של המוריש שמת לפניו — ילדיו יורשים במקומו וחולקים בשווה. כך גם לגבי צאצאי כל קרוב, בכפוף לסייג שבסעיף 14(א) כשהמוריש הניח בן זוג וגם הורים או הורי הורים.</w:t>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זכות בן הזוג: סעיף 11</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הירושה, סעיף 11(א)</w:t>
            </w:r>
          </w:p>
          <w:p>
            <w:pPr>
              <w:bidi/>
              <w:spacing w:before="0" w:after="60" w:line="300" w:lineRule="auto"/>
              <w:jc w:val="both"/>
            </w:pPr>
            <w:r>
              <w:rPr>
                <w:rFonts w:ascii="Arial" w:hAnsi="Arial" w:cs="Arial" w:eastAsia="Arial"/>
                <w:color w:val="1F2430"/>
                <w:sz w:val="18"/>
                <w:szCs w:val="18"/>
                <w:rtl/>
              </w:rPr>
              <w:t xml:space="preserve">"בן-זוגו של המוריש נוטל את </w:t>
            </w:r>
            <w:r>
              <w:rPr>
                <w:rFonts w:ascii="Arial" w:hAnsi="Arial" w:cs="Arial" w:eastAsia="Arial"/>
                <w:color w:val="1F2430"/>
                <w:sz w:val="18"/>
                <w:szCs w:val="18"/>
                <w:highlight w:val="yellow"/>
                <w:rtl/>
              </w:rPr>
              <w:t>המיטלטלין, כולל מכונית נוסעים</w:t>
            </w:r>
            <w:r>
              <w:rPr>
                <w:rFonts w:ascii="Arial" w:hAnsi="Arial" w:cs="Arial" w:eastAsia="Arial"/>
                <w:color w:val="1F2430"/>
                <w:sz w:val="18"/>
                <w:szCs w:val="18"/>
                <w:rtl/>
              </w:rPr>
              <w:t xml:space="preserve">, השייכים, לפי המקובל ולפי הנסיבות, למשק הבית המשותף, ונוטל משאר העזבון – (1) אם הניח המוריש ילדים או צאצאיהם או הורים – </w:t>
            </w:r>
            <w:r>
              <w:rPr>
                <w:rFonts w:ascii="Arial" w:hAnsi="Arial" w:cs="Arial" w:eastAsia="Arial"/>
                <w:color w:val="1F2430"/>
                <w:sz w:val="18"/>
                <w:szCs w:val="18"/>
                <w:highlight w:val="yellow"/>
                <w:rtl/>
              </w:rPr>
              <w:t>חצי</w:t>
            </w:r>
            <w:r>
              <w:rPr>
                <w:rFonts w:ascii="Arial" w:hAnsi="Arial" w:cs="Arial" w:eastAsia="Arial"/>
                <w:color w:val="1F2430"/>
                <w:sz w:val="18"/>
                <w:szCs w:val="18"/>
                <w:rtl/>
              </w:rPr>
              <w:t xml:space="preserve">; (2) אם הניח המוריש אחים או צאצאיהם או הורי הורים – </w:t>
            </w:r>
            <w:r>
              <w:rPr>
                <w:rFonts w:ascii="Arial" w:hAnsi="Arial" w:cs="Arial" w:eastAsia="Arial"/>
                <w:color w:val="1F2430"/>
                <w:sz w:val="18"/>
                <w:szCs w:val="18"/>
                <w:highlight w:val="yellow"/>
                <w:rtl/>
              </w:rPr>
              <w:t>שני שלישים</w:t>
            </w:r>
            <w:r>
              <w:rPr>
                <w:rFonts w:ascii="Arial" w:hAnsi="Arial" w:cs="Arial" w:eastAsia="Arial"/>
                <w:color w:val="1F2430"/>
                <w:sz w:val="18"/>
                <w:szCs w:val="18"/>
                <w:rtl/>
              </w:rPr>
              <w:t xml:space="preserve">, ובלבד שאם ערב מותו של המוריש היה בן הזוג נשוי לו </w:t>
            </w:r>
            <w:r>
              <w:rPr>
                <w:rFonts w:ascii="Arial" w:hAnsi="Arial" w:cs="Arial" w:eastAsia="Arial"/>
                <w:color w:val="1F2430"/>
                <w:sz w:val="18"/>
                <w:szCs w:val="18"/>
                <w:highlight w:val="yellow"/>
                <w:rtl/>
              </w:rPr>
              <w:t>שלוש שנים או יותר</w:t>
            </w:r>
            <w:r>
              <w:rPr>
                <w:rFonts w:ascii="Arial" w:hAnsi="Arial" w:cs="Arial" w:eastAsia="Arial"/>
                <w:color w:val="1F2430"/>
                <w:sz w:val="18"/>
                <w:szCs w:val="18"/>
                <w:rtl/>
              </w:rPr>
              <w:t xml:space="preserve"> וגר עמו אותה שעה בדירה הכלולה... בעזבון, יטול בן-הזוג את כל חלקו של המוריש בדירה האמורה, ושני שלישים מהנותר משאר העזבון."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המיטלטלין</w:t>
      </w:r>
      <w:r>
        <w:rPr>
          <w:rFonts w:ascii="Arial" w:hAnsi="Arial" w:cs="Arial" w:eastAsia="Arial"/>
          <w:color w:val="1F2430"/>
          <w:sz w:val="19"/>
          <w:szCs w:val="19"/>
          <w:rtl/>
        </w:rPr>
        <w:t xml:space="preserve"> הם "שכבת בסיס" שמאפשרת לבן הזוג להמשיך לחיות בלי להיות שותף של הצאצאים בכל רהיט. הבית עצמו אינו בכלל זה.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11(ב)</w:t>
      </w:r>
      <w:r>
        <w:rPr>
          <w:rFonts w:ascii="Arial" w:hAnsi="Arial" w:cs="Arial" w:eastAsia="Arial"/>
          <w:color w:val="1F2430"/>
          <w:sz w:val="19"/>
          <w:szCs w:val="19"/>
          <w:rtl/>
        </w:rPr>
        <w:t xml:space="preserve">: אם לא הניח המוריש קרוב מהמנויים — </w:t>
      </w:r>
      <w:r>
        <w:rPr>
          <w:rFonts w:ascii="Arial" w:hAnsi="Arial" w:cs="Arial" w:eastAsia="Arial"/>
          <w:color w:val="1F2430"/>
          <w:sz w:val="19"/>
          <w:szCs w:val="19"/>
          <w:highlight w:val="yellow"/>
          <w:rtl/>
        </w:rPr>
        <w:t>בן הזוג יורש הכול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הדירה כולה</w:t>
      </w:r>
      <w:r>
        <w:rPr>
          <w:rFonts w:ascii="Arial" w:hAnsi="Arial" w:cs="Arial" w:eastAsia="Arial"/>
          <w:color w:val="1F2430"/>
          <w:sz w:val="19"/>
          <w:szCs w:val="19"/>
          <w:rtl/>
        </w:rPr>
        <w:t xml:space="preserve"> ניתנת לבן הזוג </w:t>
      </w:r>
      <w:r>
        <w:rPr>
          <w:rFonts w:ascii="Arial" w:hAnsi="Arial" w:cs="Arial" w:eastAsia="Arial"/>
          <w:color w:val="1F2430"/>
          <w:sz w:val="19"/>
          <w:szCs w:val="19"/>
          <w:highlight w:val="yellow"/>
          <w:rtl/>
        </w:rPr>
        <w:t>רק במצב של 11(א)(2)</w:t>
      </w:r>
      <w:r>
        <w:rPr>
          <w:rFonts w:ascii="Arial" w:hAnsi="Arial" w:cs="Arial" w:eastAsia="Arial"/>
          <w:color w:val="1F2430"/>
          <w:sz w:val="19"/>
          <w:szCs w:val="19"/>
          <w:rtl/>
        </w:rPr>
        <w:t>: שלוש שנות נישואין ומגורים משותפים בדירה.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"בן זוג"</w:t>
      </w:r>
      <w:r>
        <w:rPr>
          <w:rFonts w:ascii="Arial" w:hAnsi="Arial" w:cs="Arial" w:eastAsia="Arial"/>
          <w:color w:val="1F2430"/>
          <w:sz w:val="19"/>
          <w:szCs w:val="19"/>
          <w:rtl/>
        </w:rPr>
        <w:t xml:space="preserve"> כאן = נשוי בלבד, כולל נישואין מעורבים וחד-מיניים. ידוע בציבור יורש מכוח סעיף 55.</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אין קשר למאמץ משותף או להתנהגות</w:t>
      </w:r>
      <w:r>
        <w:rPr>
          <w:rFonts w:ascii="Arial" w:hAnsi="Arial" w:cs="Arial" w:eastAsia="Arial"/>
          <w:color w:val="1F2430"/>
          <w:sz w:val="19"/>
          <w:szCs w:val="19"/>
          <w:rtl/>
        </w:rPr>
        <w:t xml:space="preserve">: בן הזוג יורש </w:t>
      </w:r>
      <w:r>
        <w:rPr>
          <w:rFonts w:ascii="Arial" w:hAnsi="Arial" w:cs="Arial" w:eastAsia="Arial"/>
          <w:color w:val="1F2430"/>
          <w:sz w:val="19"/>
          <w:szCs w:val="19"/>
          <w:highlight w:val="yellow"/>
          <w:rtl/>
        </w:rPr>
        <w:t>גם אחרי יום נישואין אחד</w:t>
      </w:r>
      <w:r>
        <w:rPr>
          <w:rFonts w:ascii="Arial" w:hAnsi="Arial" w:cs="Arial" w:eastAsia="Arial"/>
          <w:color w:val="1F2430"/>
          <w:sz w:val="19"/>
          <w:szCs w:val="19"/>
          <w:rtl/>
        </w:rPr>
        <w:t>. גם בעל שחויב בגט יורש את אשתו (וכך גם להפך), ואף בני זוג בפירוד או בהליכי גירושין.</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11(ג)</w:t>
      </w:r>
      <w:r>
        <w:rPr>
          <w:rFonts w:ascii="Arial" w:hAnsi="Arial" w:cs="Arial" w:eastAsia="Arial"/>
          <w:color w:val="1F2430"/>
          <w:sz w:val="19"/>
          <w:szCs w:val="19"/>
          <w:rtl/>
        </w:rPr>
        <w:t xml:space="preserve"> מתאם בין זכויות בן הזוג מכוח דיני המשפחה לבין חלקו בירושה.</w:t>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ידועים בציבור: סעיף 55 ("מעין צוואה")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הירושה, סעיף 55</w:t>
            </w:r>
          </w:p>
          <w:p>
            <w:pPr>
              <w:bidi/>
              <w:spacing w:before="0" w:after="60" w:line="300" w:lineRule="auto"/>
              <w:jc w:val="both"/>
            </w:pPr>
            <w:r>
              <w:rPr>
                <w:rFonts w:ascii="Arial" w:hAnsi="Arial" w:cs="Arial" w:eastAsia="Arial"/>
                <w:color w:val="1F2430"/>
                <w:sz w:val="18"/>
                <w:szCs w:val="18"/>
                <w:rtl/>
              </w:rPr>
              <w:t>"איש ואשה החיים חיי משפחה במשק בית משותף אך אינם נשואים זה לזה, ומת אחד מהם ובשעת מותו אף אחד מהם לא היה נשוי לאדם אחר, רואים את הנשאר בחיים כאילו המוריש ציווה לו מה שהנשאר בחיים היה מקבל בירושה על-פי דין אילו היו נשואים זה לזה, והוא כשאין הוראה אחרת, מפורשת או משתמעת, בצוואה שהשאיר המוריש."</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תנאים מצטברים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חיי משפחה</w:t>
      </w:r>
      <w:r>
        <w:rPr>
          <w:rFonts w:ascii="Arial" w:hAnsi="Arial" w:cs="Arial" w:eastAsia="Arial"/>
          <w:color w:val="1F2430"/>
          <w:sz w:val="19"/>
          <w:szCs w:val="19"/>
          <w:rtl/>
        </w:rPr>
        <w:t xml:space="preserve"> (קשר זוגי קבוע, חיי אישות) ו</w:t>
      </w:r>
      <w:r>
        <w:rPr>
          <w:rFonts w:ascii="Arial" w:hAnsi="Arial" w:cs="Arial" w:eastAsia="Arial"/>
          <w:color w:val="1F2430"/>
          <w:sz w:val="19"/>
          <w:szCs w:val="19"/>
          <w:highlight w:val="yellow"/>
          <w:rtl/>
        </w:rPr>
        <w:t>משק בית משותף</w:t>
      </w:r>
      <w:r>
        <w:rPr>
          <w:rFonts w:ascii="Arial" w:hAnsi="Arial" w:cs="Arial" w:eastAsia="Arial"/>
          <w:color w:val="1F2430"/>
          <w:sz w:val="19"/>
          <w:szCs w:val="19"/>
          <w:rtl/>
        </w:rPr>
        <w:t xml:space="preserve"> (לא דירת שותפים או מטפלת).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"לא היה נשוי לאדם אחר"</w:t>
      </w:r>
      <w:r>
        <w:rPr>
          <w:rFonts w:ascii="Arial" w:hAnsi="Arial" w:cs="Arial" w:eastAsia="Arial"/>
          <w:color w:val="1F2430"/>
          <w:sz w:val="19"/>
          <w:szCs w:val="19"/>
          <w:rtl/>
        </w:rPr>
        <w:t>: הגנה על בן הזוג "על הנייר". לפי החומר, התוספת נולדה בעקבות פרשת פסלר.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"כאילו ציווה"</w:t>
      </w:r>
      <w:r>
        <w:rPr>
          <w:rFonts w:ascii="Arial" w:hAnsi="Arial" w:cs="Arial" w:eastAsia="Arial"/>
          <w:color w:val="1F2430"/>
          <w:sz w:val="19"/>
          <w:szCs w:val="19"/>
          <w:rtl/>
        </w:rPr>
        <w:t>: הידוע בציבור יורש כמו נשוי. הניסוח העקיף והכותרת "מעין צוואה" נבעו מהתנגדות חברי כנסת דתיים לעיגון זכויות לזוגות שלא נישאו. זו הייתה ההגדרה החקוקה הראשונה של ידועים בציבור, והפסיקה אימצה אותה.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הזכות נסוגה מפני </w:t>
      </w:r>
      <w:r>
        <w:rPr>
          <w:rFonts w:ascii="Arial" w:hAnsi="Arial" w:cs="Arial" w:eastAsia="Arial"/>
          <w:color w:val="1F2430"/>
          <w:sz w:val="19"/>
          <w:szCs w:val="19"/>
          <w:highlight w:val="yellow"/>
          <w:rtl/>
        </w:rPr>
        <w:t>צוואה</w:t>
      </w:r>
      <w:r>
        <w:rPr>
          <w:rFonts w:ascii="Arial" w:hAnsi="Arial" w:cs="Arial" w:eastAsia="Arial"/>
          <w:color w:val="1F2430"/>
          <w:sz w:val="19"/>
          <w:szCs w:val="19"/>
          <w:rtl/>
        </w:rPr>
        <w:t xml:space="preserve"> שמורה אחרת. </w:t>
      </w:r>
      <w:r>
        <w:rPr>
          <w:rFonts w:ascii="Arial" w:hAnsi="Arial" w:cs="Arial" w:eastAsia="Arial"/>
          <w:b/>
          <w:bCs/>
          <w:color w:val="1F2430"/>
          <w:sz w:val="19"/>
          <w:szCs w:val="19"/>
          <w:rtl/>
        </w:rPr>
        <w:t>סעיף 57(ג)</w:t>
      </w:r>
      <w:r>
        <w:rPr>
          <w:rFonts w:ascii="Arial" w:hAnsi="Arial" w:cs="Arial" w:eastAsia="Arial"/>
          <w:color w:val="1F2430"/>
          <w:sz w:val="19"/>
          <w:szCs w:val="19"/>
          <w:rtl/>
        </w:rPr>
        <w:t>: ידוע בציבור זכאי גם למזונות מן העיזבון.</w:t>
      </w:r>
    </w:p>
    <w:p>
      <w:pPr>
        <w:keepNext/>
        <w:bidi/>
        <w:spacing w:before="160" w:after="60" w:line="300" w:lineRule="auto"/>
      </w:pPr>
      <w:r>
        <w:rPr>
          <w:rFonts w:ascii="Arial" w:hAnsi="Arial" w:cs="Arial" w:eastAsia="Arial"/>
          <w:color w:val="2C3E70"/>
          <w:sz w:val="22"/>
          <w:szCs w:val="22"/>
          <w:rtl/>
        </w:rPr>
        <w:t xml:space="preserve">▌ </w:t>
      </w:r>
      <w:r>
        <w:rPr>
          <w:rFonts w:ascii="Arial" w:hAnsi="Arial" w:cs="Arial" w:eastAsia="Arial"/>
          <w:b/>
          <w:bCs/>
          <w:color w:val="2C3E70"/>
          <w:sz w:val="22"/>
          <w:szCs w:val="22"/>
          <w:rtl/>
        </w:rPr>
        <w:t>ארבע צורות צוואה</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1. </w:t>
      </w:r>
      <w:r>
        <w:tab/>
      </w:r>
      <w:r>
        <w:rPr>
          <w:rFonts w:ascii="Arial" w:hAnsi="Arial" w:cs="Arial" w:eastAsia="Arial"/>
          <w:b/>
          <w:bCs/>
          <w:color w:val="1F2430"/>
          <w:sz w:val="19"/>
          <w:szCs w:val="19"/>
          <w:rtl/>
        </w:rPr>
        <w:t>בכתב יד</w:t>
      </w:r>
      <w:r>
        <w:rPr>
          <w:rFonts w:ascii="Arial" w:hAnsi="Arial" w:cs="Arial" w:eastAsia="Arial"/>
          <w:color w:val="1F2430"/>
          <w:sz w:val="19"/>
          <w:szCs w:val="19"/>
          <w:rtl/>
        </w:rPr>
        <w:t>, עם תאריך וחתימה. אינה דורשת עדים או שופט.</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2. </w:t>
      </w:r>
      <w:r>
        <w:tab/>
      </w:r>
      <w:r>
        <w:rPr>
          <w:rFonts w:ascii="Arial" w:hAnsi="Arial" w:cs="Arial" w:eastAsia="Arial"/>
          <w:b/>
          <w:bCs/>
          <w:color w:val="1F2430"/>
          <w:sz w:val="19"/>
          <w:szCs w:val="19"/>
          <w:rtl/>
        </w:rPr>
        <w:t>בעדים</w:t>
      </w:r>
      <w:r>
        <w:rPr>
          <w:rFonts w:ascii="Arial" w:hAnsi="Arial" w:cs="Arial" w:eastAsia="Arial"/>
          <w:color w:val="1F2430"/>
          <w:sz w:val="19"/>
          <w:szCs w:val="19"/>
          <w:rtl/>
        </w:rPr>
        <w:t>, בדרך כלל אצל עו"ד.</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3. </w:t>
      </w:r>
      <w:r>
        <w:tab/>
      </w:r>
      <w:r>
        <w:rPr>
          <w:rFonts w:ascii="Arial" w:hAnsi="Arial" w:cs="Arial" w:eastAsia="Arial"/>
          <w:b/>
          <w:bCs/>
          <w:color w:val="1F2430"/>
          <w:sz w:val="19"/>
          <w:szCs w:val="19"/>
          <w:rtl/>
        </w:rPr>
        <w:t>בפני רשות</w:t>
      </w:r>
      <w:r>
        <w:rPr>
          <w:rFonts w:ascii="Arial" w:hAnsi="Arial" w:cs="Arial" w:eastAsia="Arial"/>
          <w:color w:val="1F2430"/>
          <w:sz w:val="19"/>
          <w:szCs w:val="19"/>
          <w:rtl/>
        </w:rPr>
        <w:t>: רשם לענייני ירושה או שופט.</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4. </w:t>
      </w:r>
      <w:r>
        <w:tab/>
      </w:r>
      <w:r>
        <w:rPr>
          <w:rFonts w:ascii="Arial" w:hAnsi="Arial" w:cs="Arial" w:eastAsia="Arial"/>
          <w:b/>
          <w:bCs/>
          <w:color w:val="1F2430"/>
          <w:sz w:val="19"/>
          <w:szCs w:val="19"/>
          <w:rtl/>
        </w:rPr>
        <w:t>בעל פה</w:t>
      </w:r>
      <w:r>
        <w:rPr>
          <w:rFonts w:ascii="Arial" w:hAnsi="Arial" w:cs="Arial" w:eastAsia="Arial"/>
          <w:color w:val="1F2430"/>
          <w:sz w:val="19"/>
          <w:szCs w:val="19"/>
          <w:rtl/>
        </w:rPr>
        <w:t>, לפני המוות (שכיב מרע).</w:t>
      </w:r>
    </w:p>
    <w:p>
      <w:pPr>
        <w:bidi/>
        <w:spacing w:before="0" w:after="100" w:line="300" w:lineRule="auto"/>
        <w:jc w:val="both"/>
      </w:pPr>
      <w:r>
        <w:rPr>
          <w:rFonts w:ascii="Arial" w:hAnsi="Arial" w:cs="Arial" w:eastAsia="Arial"/>
          <w:color w:val="1F2430"/>
          <w:sz w:val="19"/>
          <w:szCs w:val="19"/>
          <w:rtl/>
        </w:rPr>
        <w:t>הפרוצדורה מלמדת על כוונה אמיתית ומשאירה אפשרות לחזור בך. זה ההבדל מהסכם או מתנה לאחר המוות, שבטלים לפי סעיף 8.</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סיכום הפרק</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סעיף 1</w:t>
            </w:r>
            <w:r>
              <w:rPr>
                <w:rFonts w:ascii="Arial" w:hAnsi="Arial" w:cs="Arial" w:eastAsia="Arial"/>
                <w:color w:val="1F2430"/>
                <w:sz w:val="18"/>
                <w:szCs w:val="18"/>
                <w:rtl/>
              </w:rPr>
              <w:t xml:space="preserve">: הסכם ממון ושינויו — </w:t>
            </w:r>
            <w:r>
              <w:rPr>
                <w:rFonts w:ascii="Arial" w:hAnsi="Arial" w:cs="Arial" w:eastAsia="Arial"/>
                <w:color w:val="1F2430"/>
                <w:sz w:val="18"/>
                <w:szCs w:val="18"/>
                <w:highlight w:val="yellow"/>
                <w:rtl/>
              </w:rPr>
              <w:t>בכתב</w:t>
            </w:r>
            <w:r>
              <w:rPr>
                <w:rFonts w:ascii="Arial" w:hAnsi="Arial" w:cs="Arial" w:eastAsia="Arial"/>
                <w:color w:val="1F2430"/>
                <w:sz w:val="18"/>
                <w:szCs w:val="18"/>
                <w:rtl/>
              </w:rPr>
              <w:t>. "בני זוג" = נשואים.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סעיף 2</w:t>
            </w:r>
            <w:r>
              <w:rPr>
                <w:rFonts w:ascii="Arial" w:hAnsi="Arial" w:cs="Arial" w:eastAsia="Arial"/>
                <w:color w:val="1F2430"/>
                <w:sz w:val="18"/>
                <w:szCs w:val="18"/>
                <w:rtl/>
              </w:rPr>
              <w:t>: לפני הנישואין 4 מאשרים (בית משפט, בית דין, רושם, נוטריון). במהלכם ובגירושין 2. התנאי: "הסכמה חפשית והבנת משמעותו ותוצאותיו".</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סעיף 14</w:t>
            </w:r>
            <w:r>
              <w:rPr>
                <w:rFonts w:ascii="Arial" w:hAnsi="Arial" w:cs="Arial" w:eastAsia="Arial"/>
                <w:color w:val="1F2430"/>
                <w:sz w:val="18"/>
                <w:szCs w:val="18"/>
                <w:rtl/>
              </w:rPr>
              <w:t>: הפרק הראשון חל גם על מי שנישא לפני 1974. קובע מועד ההסכם.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שרעבי</w:t>
            </w:r>
            <w:r>
              <w:rPr>
                <w:rFonts w:ascii="Arial" w:hAnsi="Arial" w:cs="Arial" w:eastAsia="Arial"/>
                <w:color w:val="1F2430"/>
                <w:sz w:val="18"/>
                <w:szCs w:val="18"/>
                <w:rtl/>
              </w:rPr>
              <w:t xml:space="preserve">: מבחן התכלית. </w:t>
            </w:r>
            <w:r>
              <w:rPr>
                <w:rFonts w:ascii="Arial" w:hAnsi="Arial" w:cs="Arial" w:eastAsia="Arial"/>
                <w:b/>
                <w:bCs/>
                <w:color w:val="1F2430"/>
                <w:sz w:val="18"/>
                <w:szCs w:val="18"/>
                <w:rtl/>
              </w:rPr>
              <w:t>BMW</w:t>
            </w:r>
            <w:r>
              <w:rPr>
                <w:rFonts w:ascii="Arial" w:hAnsi="Arial" w:cs="Arial" w:eastAsia="Arial"/>
                <w:color w:val="1F2430"/>
                <w:sz w:val="18"/>
                <w:szCs w:val="18"/>
                <w:rtl/>
              </w:rPr>
              <w:t>: מתנה שצופה גירושין היא הסכם ממון, עם חריג תום לב (אבידור).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גמליאל</w:t>
            </w:r>
            <w:r>
              <w:rPr>
                <w:rFonts w:ascii="Arial" w:hAnsi="Arial" w:cs="Arial" w:eastAsia="Arial"/>
                <w:color w:val="1F2430"/>
                <w:sz w:val="18"/>
                <w:szCs w:val="18"/>
                <w:rtl/>
              </w:rPr>
              <w:t>: סעיף 5(א)(3) — כתב בלי אישור, גובר על הטאבו. הפרופ': "אכן בעיה".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מונק</w:t>
            </w:r>
            <w:r>
              <w:rPr>
                <w:rFonts w:ascii="Arial" w:hAnsi="Arial" w:cs="Arial" w:eastAsia="Arial"/>
                <w:color w:val="1F2430"/>
                <w:sz w:val="18"/>
                <w:szCs w:val="18"/>
                <w:rtl/>
              </w:rPr>
              <w:t xml:space="preserve">: תכלית האישור ונטל גבוה לביטול. </w:t>
            </w:r>
            <w:r>
              <w:rPr>
                <w:rFonts w:ascii="Arial" w:hAnsi="Arial" w:cs="Arial" w:eastAsia="Arial"/>
                <w:b/>
                <w:bCs/>
                <w:color w:val="1F2430"/>
                <w:sz w:val="18"/>
                <w:szCs w:val="18"/>
                <w:rtl/>
              </w:rPr>
              <w:t>פגס</w:t>
            </w:r>
            <w:r>
              <w:rPr>
                <w:rFonts w:ascii="Arial" w:hAnsi="Arial" w:cs="Arial" w:eastAsia="Arial"/>
                <w:color w:val="1F2430"/>
                <w:sz w:val="18"/>
                <w:szCs w:val="18"/>
                <w:rtl/>
              </w:rPr>
              <w:t>: כפייה (17), עושק (18), יציבות.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3(ג)</w:t>
            </w:r>
            <w:r>
              <w:rPr>
                <w:rFonts w:ascii="Arial" w:hAnsi="Arial" w:cs="Arial" w:eastAsia="Arial"/>
                <w:color w:val="1F2430"/>
                <w:sz w:val="18"/>
                <w:szCs w:val="18"/>
                <w:rtl/>
              </w:rPr>
              <w:t>: אישור בלי תביעה; תוקף של פסק דין לפי שיקול דעת.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ידועים בציבור</w:t>
            </w:r>
            <w:r>
              <w:rPr>
                <w:rFonts w:ascii="Arial" w:hAnsi="Arial" w:cs="Arial" w:eastAsia="Arial"/>
                <w:color w:val="1F2430"/>
                <w:sz w:val="18"/>
                <w:szCs w:val="18"/>
                <w:rtl/>
              </w:rPr>
              <w:t>: "מספיק לחתום בבית"; רשאים לאשר.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סעיף 8 לחוק הירושה</w:t>
            </w:r>
            <w:r>
              <w:rPr>
                <w:rFonts w:ascii="Arial" w:hAnsi="Arial" w:cs="Arial" w:eastAsia="Arial"/>
                <w:color w:val="1F2430"/>
                <w:sz w:val="18"/>
                <w:szCs w:val="18"/>
                <w:rtl/>
              </w:rPr>
              <w:t>: אחירם (הסכם מאושר גובר על צוואה) מול 7468/11 (הסכם אינו צוואה; לא מאושר אינו שולל ירושה). הסכם + צוואה.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b/>
                <w:bCs/>
                <w:color w:val="1F2430"/>
                <w:sz w:val="18"/>
                <w:szCs w:val="18"/>
                <w:rtl/>
              </w:rPr>
              <w:t>ירושה ("לא נספיק")</w:t>
            </w:r>
            <w:r>
              <w:rPr>
                <w:rFonts w:ascii="Arial" w:hAnsi="Arial" w:cs="Arial" w:eastAsia="Arial"/>
                <w:color w:val="1F2430"/>
                <w:sz w:val="18"/>
                <w:szCs w:val="18"/>
                <w:rtl/>
              </w:rPr>
              <w:t>: סעיף 155; סעיפים 10, 12, 13, 14; סעיף 11 (מיטלטלין + חצי או שני שלישים + דירה); סעיף 55; 57(ג).</w:t>
            </w:r>
          </w:p>
        </w:tc>
      </w:tr>
    </w:tbl>
    <w:p>
      <w:pPr>
        <w:bidi/>
        <w:spacing w:after="0" w:before="0" w:line="120" w:lineRule="exact"/>
      </w:pPr>
      <w:r>
        <w:rPr>
          <w:sz w:val="2"/>
        </w:rPr>
      </w:r>
    </w:p>
    <w:sectPr w:rsidR="00FC693F" w:rsidRPr="0006063C" w:rsidSect="00034616">
      <w:footerReference w:type="first" r:id="rId9"/>
      <w:headerReference w:type="first" r:id="rId10"/>
      <w:footerReference w:type="default" r:id="rId11"/>
      <w:headerReference w:type="default" r:id="rId12"/>
      <w:pgSz w:w="11906" w:h="16838"/>
      <w:pgMar w:top="907" w:right="850" w:bottom="907" w:left="850" w:header="397" w:footer="397"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rial" w:hAnsi="Arial" w:cs="Arial" w:eastAsia="Arial"/>
        <w:b/>
        <w:bCs/>
        <w:color w:val="1E3A8A"/>
        <w:sz w:val="17"/>
        <w:szCs w:val="17"/>
        <w:rtl/>
      </w:rPr>
      <w:t>הוכן ע״י אילן פרץ</w:t>
    </w:r>
    <w:r>
      <w:rPr>
        <w:rFonts w:ascii="Arial" w:hAnsi="Arial" w:cs="Arial" w:eastAsia="Arial"/>
        <w:color w:val="6B7280"/>
        <w:sz w:val="17"/>
        <w:szCs w:val="17"/>
        <w:rtl/>
      </w:rPr>
      <w:t xml:space="preserve">   ·   דיני משפחה · הסיכום המקיף   ·   עמוד </w:t>
    </w:r>
    <w:r>
      <w:rPr>
        <w:rFonts w:ascii="Arial" w:hAnsi="Arial" w:cs="Arial" w:eastAsia="Arial"/>
        <w:color w:val="6B7280"/>
        <w:sz w:val="17"/>
        <w:szCs w:val="17"/>
        <w:rtl/>
      </w:rPr>
      <w:fldChar w:fldCharType="begin"/>
    </w:r>
    <w:r>
      <w:rPr>
        <w:rFonts w:ascii="Arial" w:hAnsi="Arial" w:cs="Arial" w:eastAsia="Arial"/>
        <w:color w:val="6B7280"/>
        <w:sz w:val="17"/>
        <w:szCs w:val="17"/>
        <w:rtl/>
      </w:rPr>
      <w:instrText xml:space="preserve">PAGE</w:instrText>
    </w:r>
    <w:r>
      <w:rPr>
        <w:rFonts w:ascii="Arial" w:hAnsi="Arial" w:cs="Arial" w:eastAsia="Arial"/>
        <w:color w:val="6B7280"/>
        <w:sz w:val="17"/>
        <w:szCs w:val="17"/>
        <w:rtl/>
      </w:rPr>
      <w:fldChar w:fldCharType="separate"/>
    </w:r>
    <w:r>
      <w:rPr>
        <w:rFonts w:ascii="Arial" w:hAnsi="Arial" w:cs="Arial" w:eastAsia="Arial"/>
        <w:color w:val="6B7280"/>
        <w:sz w:val="17"/>
        <w:szCs w:val="17"/>
        <w:rtl/>
      </w:rPr>
      <w:t>1</w:t>
    </w:r>
    <w:r>
      <w:rPr>
        <w:rFonts w:ascii="Arial" w:hAnsi="Arial" w:cs="Arial" w:eastAsia="Arial"/>
        <w:color w:val="6B7280"/>
        <w:sz w:val="17"/>
        <w:szCs w:val="17"/>
        <w:rtl/>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Bdr>
        <w:bottom w:val="single" w:sz="18" w:space="1" w:color="1E3A8A"/>
      </w:pBdr>
    </w:pPr>
    <w:r>
      <w:rPr>
        <w:rFonts w:ascii="Arial" w:hAnsi="Arial" w:cs="Arial" w:eastAsia="Arial"/>
        <w:color w:val="9CA3AF"/>
        <w:sz w:val="16"/>
        <w:szCs w:val="16"/>
        <w:rtl/>
      </w:rPr>
      <w:t>דיני משפחה · הסיכום המקיף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1"/>
      <w:rtl/>
      <w:lang w:val="he-IL"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דיני משפחה — הסיכום המקיף</dc:title>
  <dc:subject/>
  <dc:creator>אילן פרץ</dc:creator>
  <cp:keywords/>
  <dc:description>generated by python-docx</dc:description>
  <cp:lastModifiedBy/>
  <cp:revision>1</cp:revision>
  <dcterms:created xsi:type="dcterms:W3CDTF">2013-12-23T23:15:00Z</dcterms:created>
  <dcterms:modified xsi:type="dcterms:W3CDTF">2013-12-23T23:15:00Z</dcterms:modified>
  <cp:category/>
</cp:coreProperties>
</file>