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1-</w:t>
        <w:br w:type="textWrapping"/>
      </w:r>
      <w:r w:rsidDel="00000000" w:rsidR="00000000" w:rsidRPr="00000000">
        <w:rPr>
          <w:sz w:val="24"/>
          <w:szCs w:val="24"/>
          <w:rtl w:val="0"/>
        </w:rPr>
        <w:t xml:space="preserve">By analyzing the queries, we aimed to represent them in a structured format that would allow efficient and relevant information retrieval from a repository of biological documents. For this purpose, we chose to use the 3WH format, which decomposes each query into four components: Who/What, Where, Why, and How. This format provides a clear and organized description of the queries and is well suited for research questions in biology and the life sciences, including those addressed in this assignment.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Who/What component defines the main subject of the query, such as a gene, protein, biological process, or experimental model. The Where component specifies the location or context in which the process occurs, for example at the cellular or molecular level, within a specific genomic region, a particular neural structure, or within a defined study population. The Why component describes the goal of the search, such as understanding a biological mechanism, examining relationships between variables, or obtaining background information. The How component explains how the process occurs or which research methods are used, such as biological mechanisms, molecular interactions, or case-control studies.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We chose the 3WH format instead of the PICO format, which is commonly used in clinical research. PICO is designed for questions involving a clearly defined population, clinical intervention, comparison, and outcome, and is mainly suited for quantitative clinical investigations. However, most of the queries in this assignment are not clinical in nature. They focus on basic biological processes, gene expression, protein interactions, and cellular or molecular mechanisms, for which the PICO components are not always clearly defined.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In contrast, the 3WH format is more flexible and better suited to the nature of the queries in this task. It allows for a straightforward representation of the query topic, its context, the purpose of the search, and the way the process is studied. Additionally, splitting queries according to the 3WH format increases the number of relevant terms within each query, which is especially important for an inverted index–based search engine, where term matching directly affects retrieval performance.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Overall, using the 3WH format enables better characterization of query intent, supports the extraction of relevant terms, and improves matching with complex biological documents. Therefore, it provides a solid foundation for the subsequent stages of query and document processing in the construction of the search engine.</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left"/>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3WH- format</w:t>
        <w:br w:type="textWrapping"/>
      </w:r>
    </w:p>
    <w:tbl>
      <w:tblPr>
        <w:tblStyle w:val="Table1"/>
        <w:tblW w:w="110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45"/>
        <w:gridCol w:w="2325"/>
        <w:gridCol w:w="2265"/>
        <w:gridCol w:w="2445"/>
        <w:tblGridChange w:id="0">
          <w:tblGrid>
            <w:gridCol w:w="1860"/>
            <w:gridCol w:w="2145"/>
            <w:gridCol w:w="2325"/>
            <w:gridCol w:w="226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Who/What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Query 2-</w:t>
            </w:r>
            <w:r w:rsidDel="00000000" w:rsidR="00000000" w:rsidRPr="00000000">
              <w:rPr>
                <w:rtl w:val="0"/>
              </w:rPr>
              <w:br w:type="textWrapping"/>
              <w:t xml:space="preserve">Generating transgenic mice.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Transgenic mice and the specific genes of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 specific genomic location for single-copy insertion.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To establish reliable protocols for precise genetic engineering in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Utilizing specialized laboratory protocols for generating transgenic models.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Query 7-</w:t>
            </w:r>
            <w:r w:rsidDel="00000000" w:rsidR="00000000" w:rsidRPr="00000000">
              <w:rPr>
                <w:rtl w:val="0"/>
              </w:rPr>
              <w:br w:type="textWrapping"/>
              <w:t xml:space="preserve">DNA repair and oxidative stress.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DNA repair pathways and oxidative stress factors.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At the molecular and cellular level where DNA damage occurs.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To determine the correlation between oxidative stress levels and the efficiency of DNA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Investigating how oxidative stress actively affects or inhibits repair mechanisms.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Query 16-</w:t>
            </w:r>
            <w:r w:rsidDel="00000000" w:rsidR="00000000" w:rsidRPr="00000000">
              <w:rPr>
                <w:rtl w:val="0"/>
              </w:rPr>
              <w:br w:type="textWrapping"/>
              <w:t xml:space="preserve">AAA proteins.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The AAA protein family and their interactions with lipids or DNA.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Binding sites within the cell membrane or nucleus.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To determine the functional importance and biological impact of these protein interactions.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Mediating physical interactions that lead to specific functional outcomes.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Query 36-</w:t>
            </w:r>
          </w:p>
          <w:p w:rsidR="00000000" w:rsidDel="00000000" w:rsidP="00000000" w:rsidRDefault="00000000" w:rsidRPr="00000000" w14:paraId="0000001F">
            <w:pPr>
              <w:rPr/>
            </w:pPr>
            <w:r w:rsidDel="00000000" w:rsidR="00000000" w:rsidRPr="00000000">
              <w:rPr>
                <w:rtl w:val="0"/>
              </w:rPr>
              <w:t xml:space="preserve">RAB3A.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The RAB3A gene and its associated expression profile.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Synaptic structures involved in learning and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To gain background information on a gene identified via expression profiling.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Through its mechanistic role in synaptic plasticity. </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Query 38-</w:t>
            </w:r>
          </w:p>
          <w:p w:rsidR="00000000" w:rsidDel="00000000" w:rsidP="00000000" w:rsidRDefault="00000000" w:rsidRPr="00000000" w14:paraId="00000025">
            <w:pPr>
              <w:rPr/>
            </w:pPr>
            <w:r w:rsidDel="00000000" w:rsidR="00000000" w:rsidRPr="00000000">
              <w:rPr>
                <w:rtl w:val="0"/>
              </w:rPr>
              <w:t xml:space="preserve">Risk factors for 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Genetic risk factors for stroke (e.g., Apolipoprotein E4, Factor V mutations).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Scottish case-control study and other ethnically distinct populations.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To identify genetic loci associated with an increased risk of stroke.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Conducted through large-scale case-control studies and candidate gene testing.</w:t>
            </w:r>
          </w:p>
        </w:tc>
      </w:tr>
    </w:tbl>
    <w:p w:rsidR="00000000" w:rsidDel="00000000" w:rsidP="00000000" w:rsidRDefault="00000000" w:rsidRPr="00000000" w14:paraId="0000002A">
      <w:pPr>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