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CDC4C" w14:textId="77777777" w:rsidR="00404C63" w:rsidRPr="00210AE1" w:rsidRDefault="00404C63" w:rsidP="00404C63">
      <w:pPr>
        <w:spacing w:before="240" w:line="360" w:lineRule="auto"/>
        <w:jc w:val="center"/>
        <w:rPr>
          <w:rFonts w:ascii="Times New Roman" w:eastAsia="Times New Roman" w:hAnsi="Times New Roman" w:cs="Times New Roman"/>
          <w:b/>
        </w:rPr>
      </w:pPr>
      <w:r w:rsidRPr="00210AE1">
        <w:rPr>
          <w:rFonts w:ascii="Times New Roman" w:eastAsia="Times New Roman" w:hAnsi="Times New Roman" w:cs="Times New Roman"/>
          <w:b/>
        </w:rPr>
        <w:t>T.C.</w:t>
      </w:r>
    </w:p>
    <w:p w14:paraId="024BF275" w14:textId="77777777" w:rsidR="00404C63" w:rsidRPr="00210AE1" w:rsidRDefault="00404C63" w:rsidP="00404C63">
      <w:pPr>
        <w:spacing w:before="240" w:line="360" w:lineRule="auto"/>
        <w:jc w:val="center"/>
        <w:rPr>
          <w:rFonts w:ascii="Times New Roman" w:eastAsia="Times New Roman" w:hAnsi="Times New Roman" w:cs="Times New Roman"/>
          <w:b/>
        </w:rPr>
      </w:pPr>
      <w:r w:rsidRPr="00210AE1">
        <w:rPr>
          <w:rFonts w:ascii="Times New Roman" w:eastAsia="Times New Roman" w:hAnsi="Times New Roman" w:cs="Times New Roman"/>
          <w:b/>
        </w:rPr>
        <w:t>FIRAT ÜNİVERSİTESİ</w:t>
      </w:r>
    </w:p>
    <w:p w14:paraId="36A11160" w14:textId="77777777" w:rsidR="00404C63" w:rsidRPr="00210AE1" w:rsidRDefault="00404C63" w:rsidP="00404C63">
      <w:pPr>
        <w:spacing w:before="240" w:line="360" w:lineRule="auto"/>
        <w:jc w:val="center"/>
        <w:rPr>
          <w:rFonts w:ascii="Times New Roman" w:eastAsia="Times New Roman" w:hAnsi="Times New Roman" w:cs="Times New Roman"/>
          <w:b/>
        </w:rPr>
      </w:pPr>
      <w:r w:rsidRPr="00210AE1">
        <w:rPr>
          <w:rFonts w:ascii="Times New Roman" w:eastAsia="Times New Roman" w:hAnsi="Times New Roman" w:cs="Times New Roman"/>
          <w:b/>
        </w:rPr>
        <w:t>MÜHENDİSLİK FAKÜLTESİ</w:t>
      </w:r>
    </w:p>
    <w:p w14:paraId="04712388" w14:textId="77777777" w:rsidR="00404C63" w:rsidRDefault="00404C63">
      <w:pPr>
        <w:spacing w:before="240" w:line="360" w:lineRule="auto"/>
        <w:jc w:val="center"/>
        <w:rPr>
          <w:rFonts w:ascii="Times New Roman" w:eastAsia="Times New Roman" w:hAnsi="Times New Roman" w:cs="Times New Roman"/>
          <w:b/>
        </w:rPr>
      </w:pPr>
    </w:p>
    <w:p w14:paraId="672A6659" w14:textId="520427A1" w:rsidR="003D5D1F" w:rsidRPr="00210AE1" w:rsidRDefault="00F63C4E">
      <w:pPr>
        <w:spacing w:before="240" w:line="360" w:lineRule="auto"/>
        <w:jc w:val="center"/>
        <w:rPr>
          <w:rFonts w:ascii="Times New Roman" w:eastAsia="Times New Roman" w:hAnsi="Times New Roman" w:cs="Times New Roman"/>
          <w:b/>
        </w:rPr>
      </w:pPr>
      <w:r w:rsidRPr="00210AE1">
        <w:rPr>
          <w:rFonts w:ascii="Times New Roman" w:eastAsia="Times New Roman" w:hAnsi="Times New Roman" w:cs="Times New Roman"/>
          <w:b/>
          <w:noProof/>
          <w:lang w:val="tr-TR" w:eastAsia="tr-TR"/>
        </w:rPr>
        <w:drawing>
          <wp:inline distT="114300" distB="114300" distL="114300" distR="114300" wp14:anchorId="266FC328" wp14:editId="07777777">
            <wp:extent cx="1914525" cy="16240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14525" cy="1624013"/>
                    </a:xfrm>
                    <a:prstGeom prst="rect">
                      <a:avLst/>
                    </a:prstGeom>
                    <a:ln/>
                  </pic:spPr>
                </pic:pic>
              </a:graphicData>
            </a:graphic>
          </wp:inline>
        </w:drawing>
      </w:r>
    </w:p>
    <w:p w14:paraId="0A37501D" w14:textId="7B070504" w:rsidR="003D5D1F" w:rsidRDefault="003D5D1F">
      <w:pPr>
        <w:spacing w:before="240" w:after="240"/>
        <w:rPr>
          <w:b/>
        </w:rPr>
      </w:pPr>
    </w:p>
    <w:p w14:paraId="5758620A" w14:textId="7468F8C3" w:rsidR="00404C63" w:rsidRDefault="00A139FB" w:rsidP="00A139FB">
      <w:pPr>
        <w:tabs>
          <w:tab w:val="left" w:pos="3168"/>
        </w:tabs>
        <w:spacing w:before="240" w:after="240"/>
        <w:rPr>
          <w:b/>
        </w:rPr>
      </w:pPr>
      <w:r>
        <w:rPr>
          <w:b/>
        </w:rPr>
        <w:tab/>
      </w:r>
    </w:p>
    <w:p w14:paraId="02B4C15C" w14:textId="6B6A89B6" w:rsidR="00404C63" w:rsidRPr="00732485" w:rsidRDefault="00404C63">
      <w:pPr>
        <w:spacing w:before="240" w:after="240"/>
        <w:rPr>
          <w:b/>
          <w:sz w:val="30"/>
          <w:szCs w:val="30"/>
        </w:rPr>
      </w:pPr>
    </w:p>
    <w:p w14:paraId="6833CB7C" w14:textId="249C3670" w:rsidR="00404C63" w:rsidRPr="00732485" w:rsidRDefault="00404C63">
      <w:pPr>
        <w:spacing w:before="240" w:after="240"/>
        <w:rPr>
          <w:b/>
          <w:sz w:val="30"/>
          <w:szCs w:val="30"/>
        </w:rPr>
      </w:pPr>
    </w:p>
    <w:p w14:paraId="4D790F49" w14:textId="7C877C72" w:rsidR="00404C63" w:rsidRPr="00C269C3" w:rsidRDefault="00C269C3" w:rsidP="00C269C3">
      <w:pPr>
        <w:spacing w:before="240" w:after="240"/>
        <w:jc w:val="center"/>
        <w:rPr>
          <w:b/>
          <w:sz w:val="30"/>
          <w:szCs w:val="30"/>
        </w:rPr>
      </w:pPr>
      <w:r>
        <w:rPr>
          <w:b/>
          <w:sz w:val="30"/>
          <w:szCs w:val="30"/>
        </w:rPr>
        <w:t xml:space="preserve">Literatüre Dayalı İnme Riski Veri Seti Üzerinde </w:t>
      </w:r>
      <w:proofErr w:type="spellStart"/>
      <w:r>
        <w:rPr>
          <w:b/>
          <w:sz w:val="30"/>
          <w:szCs w:val="30"/>
        </w:rPr>
        <w:t>Keşifsel</w:t>
      </w:r>
      <w:proofErr w:type="spellEnd"/>
      <w:r>
        <w:rPr>
          <w:b/>
          <w:sz w:val="30"/>
          <w:szCs w:val="30"/>
        </w:rPr>
        <w:t xml:space="preserve"> Veri Analizi Raporu</w:t>
      </w:r>
    </w:p>
    <w:p w14:paraId="035705E9" w14:textId="3C8A6681" w:rsidR="00C269C3" w:rsidRDefault="00C269C3" w:rsidP="00404C63">
      <w:pPr>
        <w:spacing w:before="240" w:after="240"/>
        <w:rPr>
          <w:b/>
        </w:rPr>
      </w:pPr>
    </w:p>
    <w:p w14:paraId="248B38CF" w14:textId="0C0F1DCA" w:rsidR="00C269C3" w:rsidRDefault="00C269C3" w:rsidP="00404C63">
      <w:pPr>
        <w:spacing w:before="240" w:after="240"/>
        <w:rPr>
          <w:b/>
        </w:rPr>
      </w:pPr>
    </w:p>
    <w:p w14:paraId="3AF697E3" w14:textId="212DC093" w:rsidR="00C269C3" w:rsidRDefault="00C269C3" w:rsidP="00404C63">
      <w:pPr>
        <w:spacing w:before="240" w:after="240"/>
        <w:rPr>
          <w:b/>
        </w:rPr>
      </w:pPr>
    </w:p>
    <w:p w14:paraId="73418A76" w14:textId="3469C083" w:rsidR="00C269C3" w:rsidRDefault="00C269C3" w:rsidP="00404C63">
      <w:pPr>
        <w:spacing w:before="240" w:after="240"/>
        <w:rPr>
          <w:b/>
        </w:rPr>
      </w:pPr>
    </w:p>
    <w:p w14:paraId="580B2DF1" w14:textId="77777777" w:rsidR="00C269C3" w:rsidRDefault="00C269C3" w:rsidP="00404C63">
      <w:pPr>
        <w:spacing w:before="240" w:after="240"/>
        <w:rPr>
          <w:b/>
        </w:rPr>
      </w:pPr>
    </w:p>
    <w:p w14:paraId="4B928850" w14:textId="06815852" w:rsidR="00C269C3" w:rsidRDefault="00C269C3" w:rsidP="00C269C3">
      <w:pPr>
        <w:spacing w:before="240" w:after="240"/>
        <w:jc w:val="center"/>
        <w:rPr>
          <w:b/>
        </w:rPr>
      </w:pPr>
      <w:r>
        <w:rPr>
          <w:b/>
        </w:rPr>
        <w:t>Zehra İlayda DEMİRCİ</w:t>
      </w:r>
      <w:bookmarkStart w:id="0" w:name="_GoBack"/>
      <w:bookmarkEnd w:id="0"/>
      <w:r w:rsidR="00F63C4E" w:rsidRPr="00210AE1">
        <w:rPr>
          <w:b/>
        </w:rPr>
        <w:t xml:space="preserve"> </w:t>
      </w:r>
    </w:p>
    <w:p w14:paraId="2711A369" w14:textId="77777777" w:rsidR="00C269C3" w:rsidRDefault="00C269C3" w:rsidP="00C269C3">
      <w:pPr>
        <w:spacing w:before="240" w:after="240"/>
        <w:jc w:val="center"/>
        <w:rPr>
          <w:b/>
        </w:rPr>
      </w:pPr>
    </w:p>
    <w:p w14:paraId="21DDB987" w14:textId="52233D85" w:rsidR="00C269C3" w:rsidRDefault="00C269C3" w:rsidP="07A1811E">
      <w:pPr>
        <w:spacing w:before="240" w:after="240"/>
        <w:jc w:val="center"/>
        <w:rPr>
          <w:b/>
        </w:rPr>
      </w:pPr>
    </w:p>
    <w:p w14:paraId="478DD62C" w14:textId="77777777" w:rsidR="00F00DD3" w:rsidRDefault="00F00DD3" w:rsidP="00C269C3">
      <w:pPr>
        <w:spacing w:before="240" w:after="240" w:line="360" w:lineRule="auto"/>
        <w:rPr>
          <w:b/>
          <w:bCs/>
        </w:rPr>
      </w:pPr>
    </w:p>
    <w:p w14:paraId="3EBA1233" w14:textId="361465B0" w:rsidR="003D5D1F" w:rsidRPr="00210AE1" w:rsidRDefault="00F63C4E" w:rsidP="00C269C3">
      <w:pPr>
        <w:spacing w:before="240" w:after="240" w:line="360" w:lineRule="auto"/>
        <w:rPr>
          <w:b/>
        </w:rPr>
      </w:pPr>
      <w:r w:rsidRPr="00404C63">
        <w:rPr>
          <w:b/>
          <w:sz w:val="24"/>
        </w:rPr>
        <w:lastRenderedPageBreak/>
        <w:t>1.GİRİŞ</w:t>
      </w:r>
    </w:p>
    <w:p w14:paraId="00AB0850" w14:textId="3D18C71E" w:rsidR="00C269C3" w:rsidRPr="00C269C3" w:rsidRDefault="00C269C3" w:rsidP="00C269C3">
      <w:pPr>
        <w:spacing w:line="360" w:lineRule="auto"/>
        <w:ind w:firstLine="720"/>
        <w:jc w:val="both"/>
        <w:rPr>
          <w:lang w:val="tr-TR"/>
        </w:rPr>
      </w:pPr>
      <w:r w:rsidRPr="00C269C3">
        <w:rPr>
          <w:bCs/>
          <w:lang w:val="tr-TR"/>
        </w:rPr>
        <w:t>İnme</w:t>
      </w:r>
      <w:r w:rsidRPr="00C269C3">
        <w:rPr>
          <w:lang w:val="tr-TR"/>
        </w:rPr>
        <w:t>, beyne giden kan akışının aniden kesilmesiyle birlikte beyin hücrelerinin hasar görmesi ya da ölmesiyle sonuçlanan ciddi bir sağlık problemidir. Genellikle aniden ortaya çıkar ve zamanında müdahale edilmediğinde kalıcı sağlık sorunlarına yol açabilir.</w:t>
      </w:r>
    </w:p>
    <w:p w14:paraId="3C6A8881" w14:textId="51ADB5E2" w:rsidR="00C269C3" w:rsidRPr="006D1654" w:rsidRDefault="00C269C3" w:rsidP="006D1654">
      <w:pPr>
        <w:spacing w:line="360" w:lineRule="auto"/>
        <w:ind w:firstLine="720"/>
        <w:jc w:val="both"/>
      </w:pPr>
      <w:r w:rsidRPr="00C269C3">
        <w:t xml:space="preserve">Bu çalışmada, inme riskini etkileyebilecek faktörleri anlamak amacıyla </w:t>
      </w:r>
      <w:proofErr w:type="spellStart"/>
      <w:r w:rsidRPr="00C269C3">
        <w:t>Kaggle</w:t>
      </w:r>
      <w:proofErr w:type="spellEnd"/>
      <w:r w:rsidRPr="00C269C3">
        <w:t xml:space="preserve"> üzerinden alınan bir veri seti kullanılmış ve </w:t>
      </w:r>
      <w:proofErr w:type="spellStart"/>
      <w:r w:rsidRPr="00C269C3">
        <w:rPr>
          <w:bCs/>
        </w:rPr>
        <w:t>Keşifsel</w:t>
      </w:r>
      <w:proofErr w:type="spellEnd"/>
      <w:r w:rsidRPr="00C269C3">
        <w:rPr>
          <w:bCs/>
        </w:rPr>
        <w:t xml:space="preserve"> Veri Analizi (</w:t>
      </w:r>
      <w:proofErr w:type="spellStart"/>
      <w:r w:rsidRPr="00C269C3">
        <w:rPr>
          <w:bCs/>
        </w:rPr>
        <w:t>Exploratory</w:t>
      </w:r>
      <w:proofErr w:type="spellEnd"/>
      <w:r w:rsidRPr="00C269C3">
        <w:rPr>
          <w:bCs/>
        </w:rPr>
        <w:t xml:space="preserve"> Data Analysis - EDA)</w:t>
      </w:r>
      <w:r w:rsidRPr="00C269C3">
        <w:t xml:space="preserve"> yapılmıştır. EDA sayesinde, veri setindeki değişkenlerin birbirleriyle olan ilişkileri incelenmiş ve bazı çıkarımlar yapılmıştır.</w:t>
      </w:r>
      <w:r w:rsidR="00D83D2B">
        <w:t xml:space="preserve"> </w:t>
      </w:r>
    </w:p>
    <w:p w14:paraId="460F4BDE" w14:textId="77777777" w:rsidR="000032A2" w:rsidRPr="00210AE1" w:rsidRDefault="000032A2">
      <w:pPr>
        <w:spacing w:line="360" w:lineRule="auto"/>
      </w:pPr>
    </w:p>
    <w:p w14:paraId="43359400" w14:textId="35FA7542" w:rsidR="003D5D1F" w:rsidRPr="00210AE1" w:rsidRDefault="00C269C3">
      <w:pPr>
        <w:spacing w:line="360" w:lineRule="auto"/>
        <w:rPr>
          <w:b/>
        </w:rPr>
      </w:pPr>
      <w:r>
        <w:rPr>
          <w:b/>
        </w:rPr>
        <w:t>1.1</w:t>
      </w:r>
      <w:r w:rsidR="00F63C4E" w:rsidRPr="00210AE1">
        <w:rPr>
          <w:b/>
        </w:rPr>
        <w:t xml:space="preserve"> </w:t>
      </w:r>
      <w:r>
        <w:rPr>
          <w:b/>
        </w:rPr>
        <w:t>Veri Seti Hakkında Genel Bilgi</w:t>
      </w:r>
    </w:p>
    <w:p w14:paraId="7A29799F" w14:textId="73F3C0A7" w:rsidR="002511C3" w:rsidRDefault="00C269C3" w:rsidP="002511C3">
      <w:pPr>
        <w:tabs>
          <w:tab w:val="left" w:pos="5355"/>
        </w:tabs>
        <w:spacing w:line="360" w:lineRule="auto"/>
        <w:jc w:val="both"/>
      </w:pPr>
      <w:r w:rsidRPr="00C269C3">
        <w:rPr>
          <w:lang w:val="en-US"/>
        </w:rPr>
        <w:t xml:space="preserve">Veri </w:t>
      </w:r>
      <w:proofErr w:type="spellStart"/>
      <w:r w:rsidRPr="00C269C3">
        <w:rPr>
          <w:lang w:val="en-US"/>
        </w:rPr>
        <w:t>seti</w:t>
      </w:r>
      <w:proofErr w:type="spellEnd"/>
      <w:r w:rsidRPr="00C269C3">
        <w:rPr>
          <w:lang w:val="en-US"/>
        </w:rPr>
        <w:t xml:space="preserve">, </w:t>
      </w:r>
      <w:proofErr w:type="spellStart"/>
      <w:r w:rsidRPr="00C269C3">
        <w:rPr>
          <w:lang w:val="en-US"/>
        </w:rPr>
        <w:t>inme</w:t>
      </w:r>
      <w:proofErr w:type="spellEnd"/>
      <w:r w:rsidRPr="00C269C3">
        <w:rPr>
          <w:lang w:val="en-US"/>
        </w:rPr>
        <w:t xml:space="preserve"> </w:t>
      </w:r>
      <w:proofErr w:type="spellStart"/>
      <w:r w:rsidRPr="00C269C3">
        <w:rPr>
          <w:lang w:val="en-US"/>
        </w:rPr>
        <w:t>riskini</w:t>
      </w:r>
      <w:proofErr w:type="spellEnd"/>
      <w:r w:rsidRPr="00C269C3">
        <w:rPr>
          <w:lang w:val="en-US"/>
        </w:rPr>
        <w:t xml:space="preserve"> </w:t>
      </w:r>
      <w:proofErr w:type="spellStart"/>
      <w:r w:rsidRPr="00C269C3">
        <w:rPr>
          <w:lang w:val="en-US"/>
        </w:rPr>
        <w:t>tahmin</w:t>
      </w:r>
      <w:proofErr w:type="spellEnd"/>
      <w:r w:rsidRPr="00C269C3">
        <w:rPr>
          <w:lang w:val="en-US"/>
        </w:rPr>
        <w:t xml:space="preserve"> </w:t>
      </w:r>
      <w:proofErr w:type="spellStart"/>
      <w:r w:rsidRPr="00C269C3">
        <w:rPr>
          <w:lang w:val="en-US"/>
        </w:rPr>
        <w:t>etmek</w:t>
      </w:r>
      <w:proofErr w:type="spellEnd"/>
      <w:r w:rsidRPr="00C269C3">
        <w:rPr>
          <w:lang w:val="en-US"/>
        </w:rPr>
        <w:t xml:space="preserve"> </w:t>
      </w:r>
      <w:proofErr w:type="spellStart"/>
      <w:r w:rsidRPr="00C269C3">
        <w:rPr>
          <w:lang w:val="en-US"/>
        </w:rPr>
        <w:t>için</w:t>
      </w:r>
      <w:proofErr w:type="spellEnd"/>
      <w:r w:rsidRPr="00C269C3">
        <w:rPr>
          <w:lang w:val="en-US"/>
        </w:rPr>
        <w:t xml:space="preserve"> </w:t>
      </w:r>
      <w:proofErr w:type="spellStart"/>
      <w:r w:rsidRPr="00C269C3">
        <w:rPr>
          <w:lang w:val="en-US"/>
        </w:rPr>
        <w:t>semptomlar</w:t>
      </w:r>
      <w:proofErr w:type="spellEnd"/>
      <w:r w:rsidRPr="00C269C3">
        <w:rPr>
          <w:lang w:val="en-US"/>
        </w:rPr>
        <w:t xml:space="preserve">, </w:t>
      </w:r>
      <w:proofErr w:type="spellStart"/>
      <w:r w:rsidRPr="00C269C3">
        <w:rPr>
          <w:lang w:val="en-US"/>
        </w:rPr>
        <w:t>demografik</w:t>
      </w:r>
      <w:proofErr w:type="spellEnd"/>
      <w:r w:rsidRPr="00C269C3">
        <w:rPr>
          <w:lang w:val="en-US"/>
        </w:rPr>
        <w:t xml:space="preserve"> </w:t>
      </w:r>
      <w:proofErr w:type="spellStart"/>
      <w:r w:rsidRPr="00C269C3">
        <w:rPr>
          <w:lang w:val="en-US"/>
        </w:rPr>
        <w:t>bilgiler</w:t>
      </w:r>
      <w:proofErr w:type="spellEnd"/>
      <w:r w:rsidRPr="00C269C3">
        <w:rPr>
          <w:lang w:val="en-US"/>
        </w:rPr>
        <w:t xml:space="preserve"> </w:t>
      </w:r>
      <w:proofErr w:type="spellStart"/>
      <w:r w:rsidRPr="00C269C3">
        <w:rPr>
          <w:lang w:val="en-US"/>
        </w:rPr>
        <w:t>ve</w:t>
      </w:r>
      <w:proofErr w:type="spellEnd"/>
      <w:r w:rsidRPr="00C269C3">
        <w:rPr>
          <w:lang w:val="en-US"/>
        </w:rPr>
        <w:t xml:space="preserve"> </w:t>
      </w:r>
      <w:proofErr w:type="spellStart"/>
      <w:r w:rsidRPr="00C269C3">
        <w:rPr>
          <w:lang w:val="en-US"/>
        </w:rPr>
        <w:t>tıbbi</w:t>
      </w:r>
      <w:proofErr w:type="spellEnd"/>
      <w:r w:rsidRPr="00C269C3">
        <w:rPr>
          <w:lang w:val="en-US"/>
        </w:rPr>
        <w:t xml:space="preserve"> </w:t>
      </w:r>
      <w:proofErr w:type="spellStart"/>
      <w:r w:rsidRPr="00C269C3">
        <w:rPr>
          <w:lang w:val="en-US"/>
        </w:rPr>
        <w:t>literatüre</w:t>
      </w:r>
      <w:proofErr w:type="spellEnd"/>
      <w:r w:rsidRPr="00C269C3">
        <w:rPr>
          <w:lang w:val="en-US"/>
        </w:rPr>
        <w:t xml:space="preserve"> </w:t>
      </w:r>
      <w:proofErr w:type="spellStart"/>
      <w:r w:rsidRPr="00C269C3">
        <w:rPr>
          <w:lang w:val="en-US"/>
        </w:rPr>
        <w:t>dayalı</w:t>
      </w:r>
      <w:proofErr w:type="spellEnd"/>
      <w:r w:rsidRPr="00C269C3">
        <w:rPr>
          <w:lang w:val="en-US"/>
        </w:rPr>
        <w:t xml:space="preserve"> risk </w:t>
      </w:r>
      <w:proofErr w:type="spellStart"/>
      <w:r w:rsidRPr="00C269C3">
        <w:rPr>
          <w:lang w:val="en-US"/>
        </w:rPr>
        <w:t>modellerini</w:t>
      </w:r>
      <w:proofErr w:type="spellEnd"/>
      <w:r w:rsidRPr="00C269C3">
        <w:rPr>
          <w:lang w:val="en-US"/>
        </w:rPr>
        <w:t xml:space="preserve"> </w:t>
      </w:r>
      <w:proofErr w:type="spellStart"/>
      <w:r w:rsidRPr="00C269C3">
        <w:rPr>
          <w:lang w:val="en-US"/>
        </w:rPr>
        <w:t>içermektedir</w:t>
      </w:r>
      <w:proofErr w:type="spellEnd"/>
      <w:r w:rsidRPr="00C269C3">
        <w:rPr>
          <w:lang w:val="en-US"/>
        </w:rPr>
        <w:t xml:space="preserve">. </w:t>
      </w:r>
      <w:proofErr w:type="spellStart"/>
      <w:r w:rsidRPr="00C269C3">
        <w:rPr>
          <w:lang w:val="en-US"/>
        </w:rPr>
        <w:t>Çalışmanın</w:t>
      </w:r>
      <w:proofErr w:type="spellEnd"/>
      <w:r w:rsidRPr="00C269C3">
        <w:rPr>
          <w:lang w:val="en-US"/>
        </w:rPr>
        <w:t xml:space="preserve"> </w:t>
      </w:r>
      <w:proofErr w:type="spellStart"/>
      <w:r w:rsidRPr="00C269C3">
        <w:rPr>
          <w:lang w:val="en-US"/>
        </w:rPr>
        <w:t>doğruluğunu</w:t>
      </w:r>
      <w:proofErr w:type="spellEnd"/>
      <w:r w:rsidRPr="00C269C3">
        <w:rPr>
          <w:lang w:val="en-US"/>
        </w:rPr>
        <w:t xml:space="preserve"> </w:t>
      </w:r>
      <w:proofErr w:type="spellStart"/>
      <w:r w:rsidRPr="00C269C3">
        <w:rPr>
          <w:lang w:val="en-US"/>
        </w:rPr>
        <w:t>artırmak</w:t>
      </w:r>
      <w:proofErr w:type="spellEnd"/>
      <w:r w:rsidRPr="00C269C3">
        <w:rPr>
          <w:lang w:val="en-US"/>
        </w:rPr>
        <w:t xml:space="preserve"> </w:t>
      </w:r>
      <w:proofErr w:type="spellStart"/>
      <w:r w:rsidRPr="00C269C3">
        <w:rPr>
          <w:lang w:val="en-US"/>
        </w:rPr>
        <w:t>amacıyla</w:t>
      </w:r>
      <w:proofErr w:type="spellEnd"/>
      <w:r w:rsidRPr="00C269C3">
        <w:rPr>
          <w:lang w:val="en-US"/>
        </w:rPr>
        <w:t xml:space="preserve">, </w:t>
      </w:r>
      <w:proofErr w:type="spellStart"/>
      <w:r w:rsidRPr="00C269C3">
        <w:rPr>
          <w:lang w:val="en-US"/>
        </w:rPr>
        <w:t>yaşa</w:t>
      </w:r>
      <w:proofErr w:type="spellEnd"/>
      <w:r w:rsidRPr="00C269C3">
        <w:rPr>
          <w:lang w:val="en-US"/>
        </w:rPr>
        <w:t xml:space="preserve"> </w:t>
      </w:r>
      <w:proofErr w:type="spellStart"/>
      <w:r w:rsidRPr="00C269C3">
        <w:rPr>
          <w:lang w:val="en-US"/>
        </w:rPr>
        <w:t>bağlı</w:t>
      </w:r>
      <w:proofErr w:type="spellEnd"/>
      <w:r w:rsidRPr="00C269C3">
        <w:rPr>
          <w:lang w:val="en-US"/>
        </w:rPr>
        <w:t xml:space="preserve"> </w:t>
      </w:r>
      <w:proofErr w:type="spellStart"/>
      <w:r w:rsidRPr="00C269C3">
        <w:rPr>
          <w:lang w:val="en-US"/>
        </w:rPr>
        <w:t>semptom</w:t>
      </w:r>
      <w:proofErr w:type="spellEnd"/>
      <w:r w:rsidRPr="00C269C3">
        <w:rPr>
          <w:lang w:val="en-US"/>
        </w:rPr>
        <w:t xml:space="preserve"> </w:t>
      </w:r>
      <w:proofErr w:type="spellStart"/>
      <w:r w:rsidRPr="00C269C3">
        <w:rPr>
          <w:lang w:val="en-US"/>
        </w:rPr>
        <w:t>olasılıkları</w:t>
      </w:r>
      <w:proofErr w:type="spellEnd"/>
      <w:r w:rsidRPr="00C269C3">
        <w:rPr>
          <w:lang w:val="en-US"/>
        </w:rPr>
        <w:t xml:space="preserve">, </w:t>
      </w:r>
      <w:proofErr w:type="spellStart"/>
      <w:r w:rsidRPr="00C269C3">
        <w:rPr>
          <w:lang w:val="en-US"/>
        </w:rPr>
        <w:t>cinsiyete</w:t>
      </w:r>
      <w:proofErr w:type="spellEnd"/>
      <w:r w:rsidRPr="00C269C3">
        <w:rPr>
          <w:lang w:val="en-US"/>
        </w:rPr>
        <w:t xml:space="preserve"> </w:t>
      </w:r>
      <w:proofErr w:type="spellStart"/>
      <w:r w:rsidRPr="00C269C3">
        <w:rPr>
          <w:lang w:val="en-US"/>
        </w:rPr>
        <w:t>özgü</w:t>
      </w:r>
      <w:proofErr w:type="spellEnd"/>
      <w:r w:rsidRPr="00C269C3">
        <w:rPr>
          <w:lang w:val="en-US"/>
        </w:rPr>
        <w:t xml:space="preserve"> risk </w:t>
      </w:r>
      <w:proofErr w:type="spellStart"/>
      <w:r w:rsidRPr="00C269C3">
        <w:rPr>
          <w:lang w:val="en-US"/>
        </w:rPr>
        <w:t>faktörleri</w:t>
      </w:r>
      <w:proofErr w:type="spellEnd"/>
      <w:r w:rsidRPr="00C269C3">
        <w:rPr>
          <w:lang w:val="en-US"/>
        </w:rPr>
        <w:t xml:space="preserve"> </w:t>
      </w:r>
      <w:proofErr w:type="spellStart"/>
      <w:r w:rsidRPr="00C269C3">
        <w:rPr>
          <w:lang w:val="en-US"/>
        </w:rPr>
        <w:t>ve</w:t>
      </w:r>
      <w:proofErr w:type="spellEnd"/>
      <w:r w:rsidRPr="00C269C3">
        <w:rPr>
          <w:lang w:val="en-US"/>
        </w:rPr>
        <w:t xml:space="preserve"> </w:t>
      </w:r>
      <w:proofErr w:type="spellStart"/>
      <w:r w:rsidRPr="00C269C3">
        <w:rPr>
          <w:lang w:val="en-US"/>
        </w:rPr>
        <w:t>tıbbi</w:t>
      </w:r>
      <w:proofErr w:type="spellEnd"/>
      <w:r w:rsidRPr="00C269C3">
        <w:rPr>
          <w:lang w:val="en-US"/>
        </w:rPr>
        <w:t xml:space="preserve"> </w:t>
      </w:r>
      <w:proofErr w:type="spellStart"/>
      <w:r w:rsidRPr="00C269C3">
        <w:rPr>
          <w:lang w:val="en-US"/>
        </w:rPr>
        <w:t>olarak</w:t>
      </w:r>
      <w:proofErr w:type="spellEnd"/>
      <w:r w:rsidRPr="00C269C3">
        <w:rPr>
          <w:lang w:val="en-US"/>
        </w:rPr>
        <w:t xml:space="preserve"> </w:t>
      </w:r>
      <w:proofErr w:type="spellStart"/>
      <w:r w:rsidRPr="00C269C3">
        <w:rPr>
          <w:lang w:val="en-US"/>
        </w:rPr>
        <w:t>doğrulanmış</w:t>
      </w:r>
      <w:proofErr w:type="spellEnd"/>
      <w:r w:rsidRPr="00C269C3">
        <w:rPr>
          <w:lang w:val="en-US"/>
        </w:rPr>
        <w:t xml:space="preserve"> </w:t>
      </w:r>
      <w:proofErr w:type="spellStart"/>
      <w:r w:rsidRPr="00C269C3">
        <w:rPr>
          <w:lang w:val="en-US"/>
        </w:rPr>
        <w:t>özellik</w:t>
      </w:r>
      <w:proofErr w:type="spellEnd"/>
      <w:r w:rsidRPr="00C269C3">
        <w:rPr>
          <w:lang w:val="en-US"/>
        </w:rPr>
        <w:t xml:space="preserve"> </w:t>
      </w:r>
      <w:proofErr w:type="spellStart"/>
      <w:r w:rsidRPr="00C269C3">
        <w:rPr>
          <w:lang w:val="en-US"/>
        </w:rPr>
        <w:t>mühendisliği</w:t>
      </w:r>
      <w:proofErr w:type="spellEnd"/>
      <w:r w:rsidRPr="00C269C3">
        <w:rPr>
          <w:lang w:val="en-US"/>
        </w:rPr>
        <w:t xml:space="preserve"> </w:t>
      </w:r>
      <w:proofErr w:type="spellStart"/>
      <w:r w:rsidRPr="00C269C3">
        <w:rPr>
          <w:lang w:val="en-US"/>
        </w:rPr>
        <w:t>uygulanmıştır</w:t>
      </w:r>
      <w:proofErr w:type="spellEnd"/>
      <w:r w:rsidRPr="00C269C3">
        <w:rPr>
          <w:lang w:val="en-US"/>
        </w:rPr>
        <w:t xml:space="preserve">. </w:t>
      </w:r>
      <w:proofErr w:type="spellStart"/>
      <w:r w:rsidR="002511C3" w:rsidRPr="002511C3">
        <w:rPr>
          <w:lang w:val="en-US"/>
        </w:rPr>
        <w:t>Veri</w:t>
      </w:r>
      <w:proofErr w:type="spellEnd"/>
      <w:r w:rsidR="002511C3" w:rsidRPr="002511C3">
        <w:rPr>
          <w:lang w:val="en-US"/>
        </w:rPr>
        <w:t xml:space="preserve"> </w:t>
      </w:r>
      <w:proofErr w:type="spellStart"/>
      <w:r w:rsidR="002511C3" w:rsidRPr="002511C3">
        <w:rPr>
          <w:lang w:val="en-US"/>
        </w:rPr>
        <w:t>setinde</w:t>
      </w:r>
      <w:proofErr w:type="spellEnd"/>
      <w:r w:rsidR="002511C3" w:rsidRPr="002511C3">
        <w:rPr>
          <w:lang w:val="en-US"/>
        </w:rPr>
        <w:t xml:space="preserve"> 35.000 </w:t>
      </w:r>
      <w:proofErr w:type="spellStart"/>
      <w:r w:rsidR="002511C3" w:rsidRPr="002511C3">
        <w:rPr>
          <w:lang w:val="en-US"/>
        </w:rPr>
        <w:t>kayıt</w:t>
      </w:r>
      <w:proofErr w:type="spellEnd"/>
      <w:r w:rsidR="002511C3" w:rsidRPr="002511C3">
        <w:rPr>
          <w:lang w:val="en-US"/>
        </w:rPr>
        <w:t xml:space="preserve"> </w:t>
      </w:r>
      <w:proofErr w:type="spellStart"/>
      <w:r w:rsidR="002511C3" w:rsidRPr="002511C3">
        <w:rPr>
          <w:lang w:val="en-US"/>
        </w:rPr>
        <w:t>bulunmakta</w:t>
      </w:r>
      <w:proofErr w:type="spellEnd"/>
      <w:r w:rsidR="002511C3" w:rsidRPr="002511C3">
        <w:rPr>
          <w:lang w:val="en-US"/>
        </w:rPr>
        <w:t xml:space="preserve"> </w:t>
      </w:r>
      <w:proofErr w:type="spellStart"/>
      <w:r w:rsidR="002511C3" w:rsidRPr="002511C3">
        <w:rPr>
          <w:lang w:val="en-US"/>
        </w:rPr>
        <w:t>olu</w:t>
      </w:r>
      <w:r w:rsidR="002511C3">
        <w:rPr>
          <w:lang w:val="en-US"/>
        </w:rPr>
        <w:t>p</w:t>
      </w:r>
      <w:proofErr w:type="spellEnd"/>
      <w:r w:rsidR="002511C3">
        <w:rPr>
          <w:lang w:val="en-US"/>
        </w:rPr>
        <w:t xml:space="preserve">, her </w:t>
      </w:r>
      <w:proofErr w:type="spellStart"/>
      <w:r w:rsidR="002511C3">
        <w:rPr>
          <w:lang w:val="en-US"/>
        </w:rPr>
        <w:t>bir</w:t>
      </w:r>
      <w:proofErr w:type="spellEnd"/>
      <w:r w:rsidR="002511C3">
        <w:rPr>
          <w:lang w:val="en-US"/>
        </w:rPr>
        <w:t xml:space="preserve"> </w:t>
      </w:r>
      <w:proofErr w:type="spellStart"/>
      <w:r w:rsidR="002511C3">
        <w:rPr>
          <w:lang w:val="en-US"/>
        </w:rPr>
        <w:t>kayıtta</w:t>
      </w:r>
      <w:proofErr w:type="spellEnd"/>
      <w:r w:rsidR="002511C3">
        <w:rPr>
          <w:lang w:val="en-US"/>
        </w:rPr>
        <w:t xml:space="preserve"> 17 </w:t>
      </w:r>
      <w:proofErr w:type="spellStart"/>
      <w:r w:rsidR="002511C3">
        <w:rPr>
          <w:lang w:val="en-US"/>
        </w:rPr>
        <w:t>özellik</w:t>
      </w:r>
      <w:proofErr w:type="spellEnd"/>
      <w:r w:rsidR="002511C3">
        <w:rPr>
          <w:lang w:val="en-US"/>
        </w:rPr>
        <w:t xml:space="preserve"> </w:t>
      </w:r>
      <w:proofErr w:type="spellStart"/>
      <w:r w:rsidR="002511C3">
        <w:rPr>
          <w:lang w:val="en-US"/>
        </w:rPr>
        <w:t>ve</w:t>
      </w:r>
      <w:proofErr w:type="spellEnd"/>
      <w:r w:rsidR="002511C3" w:rsidRPr="002511C3">
        <w:rPr>
          <w:lang w:val="en-US"/>
        </w:rPr>
        <w:t xml:space="preserve"> 2 </w:t>
      </w:r>
      <w:proofErr w:type="spellStart"/>
      <w:r w:rsidR="002511C3" w:rsidRPr="002511C3">
        <w:rPr>
          <w:lang w:val="en-US"/>
        </w:rPr>
        <w:t>hedef</w:t>
      </w:r>
      <w:proofErr w:type="spellEnd"/>
      <w:r w:rsidR="002511C3" w:rsidRPr="002511C3">
        <w:rPr>
          <w:lang w:val="en-US"/>
        </w:rPr>
        <w:t xml:space="preserve"> </w:t>
      </w:r>
      <w:proofErr w:type="spellStart"/>
      <w:r w:rsidR="002511C3" w:rsidRPr="002511C3">
        <w:rPr>
          <w:lang w:val="en-US"/>
        </w:rPr>
        <w:t>değişken</w:t>
      </w:r>
      <w:proofErr w:type="spellEnd"/>
      <w:r w:rsidR="002511C3" w:rsidRPr="002511C3">
        <w:rPr>
          <w:lang w:val="en-US"/>
        </w:rPr>
        <w:t xml:space="preserve"> </w:t>
      </w:r>
      <w:proofErr w:type="spellStart"/>
      <w:r w:rsidR="002511C3" w:rsidRPr="002511C3">
        <w:rPr>
          <w:lang w:val="en-US"/>
        </w:rPr>
        <w:t>bulunmaktadır</w:t>
      </w:r>
      <w:proofErr w:type="spellEnd"/>
      <w:r w:rsidR="002511C3">
        <w:rPr>
          <w:lang w:val="en-US"/>
        </w:rPr>
        <w:t xml:space="preserve"> </w:t>
      </w:r>
      <w:proofErr w:type="spellStart"/>
      <w:r w:rsidR="002511C3">
        <w:rPr>
          <w:lang w:val="en-US"/>
        </w:rPr>
        <w:t>ayrıca</w:t>
      </w:r>
      <w:proofErr w:type="spellEnd"/>
      <w:r w:rsidR="002511C3">
        <w:rPr>
          <w:lang w:val="en-US"/>
        </w:rPr>
        <w:t xml:space="preserve"> </w:t>
      </w:r>
      <w:r w:rsidR="002511C3">
        <w:t>eksik veri bulunmamaktadır.</w:t>
      </w:r>
    </w:p>
    <w:p w14:paraId="04C43E11" w14:textId="2D13D9A1" w:rsidR="002511C3" w:rsidRPr="002511C3" w:rsidRDefault="002511C3" w:rsidP="002511C3">
      <w:pPr>
        <w:spacing w:line="360" w:lineRule="auto"/>
        <w:ind w:firstLine="720"/>
        <w:jc w:val="both"/>
        <w:rPr>
          <w:lang w:val="tr-TR"/>
        </w:rPr>
      </w:pPr>
    </w:p>
    <w:p w14:paraId="2876AA06" w14:textId="650E18F1" w:rsidR="00A96AD2" w:rsidRDefault="002511C3" w:rsidP="002511C3">
      <w:pPr>
        <w:spacing w:line="360" w:lineRule="auto"/>
        <w:ind w:firstLine="720"/>
        <w:jc w:val="center"/>
      </w:pPr>
      <w:r>
        <w:rPr>
          <w:noProof/>
          <w:lang w:val="tr-TR" w:eastAsia="tr-TR"/>
        </w:rPr>
        <w:drawing>
          <wp:inline distT="0" distB="0" distL="0" distR="0" wp14:anchorId="12ADCE80" wp14:editId="2A0C74EB">
            <wp:extent cx="3742408" cy="3858451"/>
            <wp:effectExtent l="0" t="0" r="0" b="889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kran görüntüsü 2025-04-09 005618.png"/>
                    <pic:cNvPicPr/>
                  </pic:nvPicPr>
                  <pic:blipFill>
                    <a:blip r:embed="rId7">
                      <a:extLst>
                        <a:ext uri="{28A0092B-C50C-407E-A947-70E740481C1C}">
                          <a14:useLocalDpi xmlns:a14="http://schemas.microsoft.com/office/drawing/2010/main" val="0"/>
                        </a:ext>
                      </a:extLst>
                    </a:blip>
                    <a:stretch>
                      <a:fillRect/>
                    </a:stretch>
                  </pic:blipFill>
                  <pic:spPr>
                    <a:xfrm>
                      <a:off x="0" y="0"/>
                      <a:ext cx="3761127" cy="3877750"/>
                    </a:xfrm>
                    <a:prstGeom prst="rect">
                      <a:avLst/>
                    </a:prstGeom>
                  </pic:spPr>
                </pic:pic>
              </a:graphicData>
            </a:graphic>
          </wp:inline>
        </w:drawing>
      </w:r>
    </w:p>
    <w:p w14:paraId="6F70EB8E" w14:textId="77777777" w:rsidR="00D4535F" w:rsidRPr="00A96AD2" w:rsidRDefault="00D4535F" w:rsidP="00C269C3">
      <w:pPr>
        <w:spacing w:line="360" w:lineRule="auto"/>
        <w:ind w:firstLine="720"/>
        <w:jc w:val="both"/>
        <w:rPr>
          <w:b/>
          <w:lang w:val="en-US"/>
        </w:rPr>
      </w:pPr>
    </w:p>
    <w:p w14:paraId="59B150B0" w14:textId="538E073F" w:rsidR="002511C3" w:rsidRDefault="002511C3" w:rsidP="002511C3">
      <w:pPr>
        <w:spacing w:line="360" w:lineRule="auto"/>
        <w:ind w:firstLine="720"/>
        <w:jc w:val="center"/>
      </w:pPr>
      <w:r>
        <w:rPr>
          <w:b/>
        </w:rPr>
        <w:t xml:space="preserve">Şekil </w:t>
      </w:r>
      <w:r w:rsidR="00A96AD2" w:rsidRPr="00A96AD2">
        <w:rPr>
          <w:b/>
        </w:rPr>
        <w:t>1.</w:t>
      </w:r>
      <w:r w:rsidR="00A96AD2">
        <w:t xml:space="preserve"> Veri </w:t>
      </w:r>
      <w:r>
        <w:t>Setinin Özellikleri</w:t>
      </w:r>
    </w:p>
    <w:p w14:paraId="630F6248" w14:textId="7603DC78" w:rsidR="002511C3" w:rsidRDefault="002511C3" w:rsidP="002511C3">
      <w:pPr>
        <w:tabs>
          <w:tab w:val="left" w:pos="5355"/>
        </w:tabs>
        <w:spacing w:line="360" w:lineRule="auto"/>
        <w:jc w:val="both"/>
      </w:pPr>
    </w:p>
    <w:p w14:paraId="0FB78278" w14:textId="1426404A" w:rsidR="003D5D1F" w:rsidRPr="00210AE1" w:rsidRDefault="003D5D1F" w:rsidP="002511C3">
      <w:pPr>
        <w:tabs>
          <w:tab w:val="left" w:pos="5355"/>
        </w:tabs>
        <w:spacing w:line="360" w:lineRule="auto"/>
        <w:jc w:val="both"/>
      </w:pPr>
    </w:p>
    <w:p w14:paraId="7B2883BA" w14:textId="015002EC" w:rsidR="00404C63" w:rsidRPr="00404C63" w:rsidRDefault="002511C3" w:rsidP="07A1811E">
      <w:pPr>
        <w:spacing w:before="240" w:after="240" w:line="360" w:lineRule="auto"/>
        <w:rPr>
          <w:b/>
          <w:bCs/>
          <w:sz w:val="24"/>
        </w:rPr>
      </w:pPr>
      <w:r>
        <w:rPr>
          <w:b/>
          <w:bCs/>
          <w:sz w:val="24"/>
        </w:rPr>
        <w:lastRenderedPageBreak/>
        <w:t xml:space="preserve">2. Keşifsel Veri Analizi </w:t>
      </w:r>
    </w:p>
    <w:p w14:paraId="29BEFAA5" w14:textId="1ADD29AE" w:rsidR="00D93F7F" w:rsidRDefault="00D93F7F" w:rsidP="00D83D2B">
      <w:pPr>
        <w:spacing w:before="240" w:after="240" w:line="360" w:lineRule="auto"/>
        <w:jc w:val="center"/>
        <w:rPr>
          <w:b/>
        </w:rPr>
      </w:pPr>
      <w:r>
        <w:rPr>
          <w:b/>
          <w:noProof/>
          <w:lang w:val="tr-TR" w:eastAsia="tr-TR"/>
        </w:rPr>
        <w:drawing>
          <wp:inline distT="0" distB="0" distL="0" distR="0" wp14:anchorId="3194AD7C" wp14:editId="770C2319">
            <wp:extent cx="4334195" cy="2600325"/>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ya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7322" cy="2620200"/>
                    </a:xfrm>
                    <a:prstGeom prst="rect">
                      <a:avLst/>
                    </a:prstGeom>
                  </pic:spPr>
                </pic:pic>
              </a:graphicData>
            </a:graphic>
          </wp:inline>
        </w:drawing>
      </w:r>
    </w:p>
    <w:p w14:paraId="2C946E36" w14:textId="461332BD" w:rsidR="00A55D8B" w:rsidRDefault="0095564C" w:rsidP="00A55D8B">
      <w:pPr>
        <w:spacing w:before="240" w:after="240" w:line="360" w:lineRule="auto"/>
        <w:jc w:val="center"/>
        <w:rPr>
          <w:iCs/>
        </w:rPr>
      </w:pPr>
      <w:r>
        <w:rPr>
          <w:b/>
        </w:rPr>
        <w:t xml:space="preserve">Şekil 1. </w:t>
      </w:r>
      <w:r>
        <w:rPr>
          <w:iCs/>
        </w:rPr>
        <w:t>Yaş Dağılımı</w:t>
      </w:r>
      <w:r w:rsidR="006D1654">
        <w:rPr>
          <w:iCs/>
        </w:rPr>
        <w:t xml:space="preserve"> Grafiği</w:t>
      </w:r>
    </w:p>
    <w:p w14:paraId="738E7DD3" w14:textId="3810E9DB" w:rsidR="00D83D2B" w:rsidRDefault="00D83D2B" w:rsidP="00D83D2B">
      <w:pPr>
        <w:spacing w:line="360" w:lineRule="auto"/>
        <w:ind w:firstLine="720"/>
        <w:jc w:val="both"/>
        <w:rPr>
          <w:rFonts w:ascii="Times New Roman" w:eastAsia="Times New Roman" w:hAnsi="Times New Roman" w:cs="Times New Roman"/>
          <w:b/>
          <w:bCs/>
          <w:color w:val="1B1C1D"/>
          <w:sz w:val="24"/>
          <w:szCs w:val="24"/>
          <w:bdr w:val="none" w:sz="0" w:space="0" w:color="auto" w:frame="1"/>
          <w:lang w:val="tr-TR" w:eastAsia="tr-TR"/>
        </w:rPr>
      </w:pPr>
      <w:r w:rsidRPr="006D1654">
        <w:rPr>
          <w:bCs/>
          <w:lang w:val="tr-TR"/>
        </w:rPr>
        <w:t xml:space="preserve">Şekil 1'deki yaş dağılımı </w:t>
      </w:r>
      <w:proofErr w:type="spellStart"/>
      <w:r w:rsidRPr="006D1654">
        <w:rPr>
          <w:bCs/>
          <w:lang w:val="tr-TR"/>
        </w:rPr>
        <w:t>histogramı</w:t>
      </w:r>
      <w:proofErr w:type="spellEnd"/>
      <w:r w:rsidRPr="00D83D2B">
        <w:rPr>
          <w:lang w:val="tr-TR"/>
        </w:rPr>
        <w:t>, veri setindeki katılımcıların yaşlarının belirgin bir şekilde 25 ile 50 yaş aralığında kümelendiğini göstermektedir. Bu aralıkta, özellikle 35-40 yaş bandında en yüksek sayıda birey bulunmaktadır. Dağılımın sağa doğru uzayan kuyruğu, ileri yaşlardaki katılımcıların sayısının azaldığını ancak yine de örneklemde temsil edildiklerini işaret etmektedir. Bu durum, inme riski analizinde yaşın önemli bir faktör olabileceği hipotezini destekleyebilir, zira bu yaş aralığı ve sonrası inme vakalarının görülme sıklığının arttığı bilinen bir dönemdir.</w:t>
      </w:r>
      <w:r w:rsidRPr="00D83D2B">
        <w:rPr>
          <w:rFonts w:ascii="Times New Roman" w:eastAsia="Times New Roman" w:hAnsi="Times New Roman" w:cs="Times New Roman"/>
          <w:b/>
          <w:bCs/>
          <w:color w:val="1B1C1D"/>
          <w:sz w:val="24"/>
          <w:szCs w:val="24"/>
          <w:bdr w:val="none" w:sz="0" w:space="0" w:color="auto" w:frame="1"/>
          <w:lang w:val="tr-TR" w:eastAsia="tr-TR"/>
        </w:rPr>
        <w:t xml:space="preserve"> </w:t>
      </w:r>
    </w:p>
    <w:p w14:paraId="7BE84E4C" w14:textId="15796F08" w:rsidR="009B65C9" w:rsidRDefault="009B65C9" w:rsidP="009B65C9">
      <w:pPr>
        <w:spacing w:line="360" w:lineRule="auto"/>
        <w:jc w:val="center"/>
      </w:pPr>
      <w:r w:rsidRPr="009B65C9">
        <w:rPr>
          <w:noProof/>
          <w:lang w:val="tr-TR" w:eastAsia="tr-TR"/>
        </w:rPr>
        <w:drawing>
          <wp:inline distT="0" distB="0" distL="0" distR="0" wp14:anchorId="704577A7" wp14:editId="36DD837C">
            <wp:extent cx="3522662" cy="3009900"/>
            <wp:effectExtent l="0" t="0" r="1905" b="0"/>
            <wp:docPr id="33" name="Resim 33" descr="C:\Users\zehra\OneDrive\Pictures\Ekran Görüntüleri\Ekran görüntüsü 2025-04-09 014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zehra\OneDrive\Pictures\Ekran Görüntüleri\Ekran görüntüsü 2025-04-09 014145.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249"/>
                    <a:stretch/>
                  </pic:blipFill>
                  <pic:spPr bwMode="auto">
                    <a:xfrm>
                      <a:off x="0" y="0"/>
                      <a:ext cx="3572836" cy="3052770"/>
                    </a:xfrm>
                    <a:prstGeom prst="rect">
                      <a:avLst/>
                    </a:prstGeom>
                    <a:noFill/>
                    <a:ln>
                      <a:noFill/>
                    </a:ln>
                    <a:extLst>
                      <a:ext uri="{53640926-AAD7-44D8-BBD7-CCE9431645EC}">
                        <a14:shadowObscured xmlns:a14="http://schemas.microsoft.com/office/drawing/2010/main"/>
                      </a:ext>
                    </a:extLst>
                  </pic:spPr>
                </pic:pic>
              </a:graphicData>
            </a:graphic>
          </wp:inline>
        </w:drawing>
      </w:r>
    </w:p>
    <w:p w14:paraId="13F65B6E" w14:textId="77777777" w:rsidR="009B65C9" w:rsidRDefault="009B65C9" w:rsidP="009B65C9">
      <w:pPr>
        <w:spacing w:before="240" w:after="240" w:line="360" w:lineRule="auto"/>
        <w:jc w:val="center"/>
        <w:rPr>
          <w:iCs/>
        </w:rPr>
      </w:pPr>
      <w:r w:rsidRPr="009B65C9">
        <w:rPr>
          <w:b/>
        </w:rPr>
        <w:t>Şekil 2.</w:t>
      </w:r>
      <w:r w:rsidRPr="009B65C9">
        <w:t xml:space="preserve"> Cinsiyet</w:t>
      </w:r>
      <w:r w:rsidRPr="009B65C9">
        <w:rPr>
          <w:iCs/>
        </w:rPr>
        <w:t xml:space="preserve"> Dağılımı Grafiği</w:t>
      </w:r>
    </w:p>
    <w:p w14:paraId="5A50F43D" w14:textId="57195455" w:rsidR="009B65C9" w:rsidRPr="009B65C9" w:rsidRDefault="009B65C9" w:rsidP="009B65C9">
      <w:pPr>
        <w:spacing w:before="240" w:after="240" w:line="360" w:lineRule="auto"/>
        <w:ind w:firstLine="720"/>
        <w:jc w:val="both"/>
        <w:rPr>
          <w:iCs/>
        </w:rPr>
      </w:pPr>
      <w:r>
        <w:rPr>
          <w:color w:val="1B1C1D"/>
        </w:rPr>
        <w:lastRenderedPageBreak/>
        <w:t>Veri setindeki cinsiyet dağılımı Şekil 2'de gösterilmektedir. Grafik incelendiğinde, kadın (%50.1) ve erkek (%49.9) katılımcı oranlarının birbirine oldukça yakın olduğu görülmektedir. Bu dengeli dağılım, cinsiyet faktörünün analizlerimizde belirgin bir önyargıya neden olma ihtimalini azaltmaktadır.</w:t>
      </w:r>
    </w:p>
    <w:p w14:paraId="6EA5351C" w14:textId="54934465" w:rsidR="009B65C9" w:rsidRPr="00D83D2B" w:rsidRDefault="009B65C9" w:rsidP="009B65C9">
      <w:pPr>
        <w:spacing w:line="360" w:lineRule="auto"/>
        <w:jc w:val="center"/>
      </w:pPr>
    </w:p>
    <w:p w14:paraId="3451FB77" w14:textId="686E2DB4" w:rsidR="00A55D8B" w:rsidRPr="00A55D8B" w:rsidRDefault="00D83D2B" w:rsidP="00D83D2B">
      <w:pPr>
        <w:tabs>
          <w:tab w:val="left" w:pos="3268"/>
        </w:tabs>
        <w:spacing w:before="240" w:after="240" w:line="360" w:lineRule="auto"/>
        <w:jc w:val="center"/>
        <w:rPr>
          <w:iCs/>
        </w:rPr>
      </w:pPr>
      <w:r>
        <w:rPr>
          <w:iCs/>
          <w:noProof/>
          <w:lang w:val="tr-TR" w:eastAsia="tr-TR"/>
        </w:rPr>
        <w:drawing>
          <wp:inline distT="0" distB="0" distL="0" distR="0" wp14:anchorId="65DC3392" wp14:editId="74E91201">
            <wp:extent cx="3687288" cy="2212211"/>
            <wp:effectExtent l="0" t="0" r="889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nsiyo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0691" cy="2238251"/>
                    </a:xfrm>
                    <a:prstGeom prst="rect">
                      <a:avLst/>
                    </a:prstGeom>
                  </pic:spPr>
                </pic:pic>
              </a:graphicData>
            </a:graphic>
          </wp:inline>
        </w:drawing>
      </w:r>
    </w:p>
    <w:p w14:paraId="52565E4F" w14:textId="1250BE93" w:rsidR="00D93F7F" w:rsidRPr="00D83D2B" w:rsidRDefault="009B65C9" w:rsidP="00D83D2B">
      <w:pPr>
        <w:spacing w:before="240" w:after="240" w:line="360" w:lineRule="auto"/>
        <w:jc w:val="center"/>
        <w:rPr>
          <w:iCs/>
        </w:rPr>
      </w:pPr>
      <w:r>
        <w:rPr>
          <w:b/>
        </w:rPr>
        <w:t>Şekil 3</w:t>
      </w:r>
      <w:r w:rsidR="00D83D2B">
        <w:rPr>
          <w:b/>
        </w:rPr>
        <w:t xml:space="preserve">. </w:t>
      </w:r>
      <w:r w:rsidR="00D83D2B" w:rsidRPr="00D83D2B">
        <w:t>Yüksek Tansiyonun İnme İle İlişkisi</w:t>
      </w:r>
      <w:r w:rsidR="006D1654">
        <w:t xml:space="preserve"> Grafiği</w:t>
      </w:r>
    </w:p>
    <w:p w14:paraId="2B0B8FB3" w14:textId="209B6E4B" w:rsidR="00D93F7F" w:rsidRPr="00431500" w:rsidRDefault="009B65C9" w:rsidP="00431500">
      <w:pPr>
        <w:spacing w:line="360" w:lineRule="auto"/>
        <w:ind w:firstLine="720"/>
        <w:jc w:val="both"/>
      </w:pPr>
      <w:r>
        <w:rPr>
          <w:bCs/>
        </w:rPr>
        <w:t>Şekil 3'</w:t>
      </w:r>
      <w:r w:rsidR="00D83D2B" w:rsidRPr="006D1654">
        <w:rPr>
          <w:bCs/>
        </w:rPr>
        <w:t>e baktığımızda</w:t>
      </w:r>
      <w:r w:rsidR="00D83D2B" w:rsidRPr="006D1654">
        <w:t>,</w:t>
      </w:r>
      <w:r w:rsidR="00D83D2B" w:rsidRPr="00D83D2B">
        <w:t xml:space="preserve"> yüksek tansiyonun inme riskiyle olan ilişkisini net bir şekilde görebiliyoruz. İnme geçirmiş bireylerin neredeyse yarısında (%47.6) yüksek tansiyon geçmişi bulunurken, inme geçirmeyenlerde bu oran sadece %12.2 civarında. Bu durum, yüksek tansiyonun inme için önemli bir risk faktörü olabileceğini düşündürüyor. Açıkçası, yüksek tansiyonu olan kişilerin inme geçirme olasılığı, olmayanlara göre çok daha yüksek gibi duruyor. Bu bulgu, analizimizin ilerleyen aşamalarında yüksek tansiyon değişkenine daha fazla odaklanmamız gerektiğini gösteriyor.</w:t>
      </w:r>
    </w:p>
    <w:p w14:paraId="0E3CB02E" w14:textId="77777777" w:rsidR="006D1654" w:rsidRDefault="00D83D2B" w:rsidP="00404C63">
      <w:pPr>
        <w:spacing w:before="240" w:after="240" w:line="360" w:lineRule="auto"/>
        <w:jc w:val="center"/>
        <w:rPr>
          <w:b/>
        </w:rPr>
      </w:pPr>
      <w:r w:rsidRPr="00D83D2B">
        <w:rPr>
          <w:b/>
          <w:noProof/>
          <w:lang w:val="tr-TR" w:eastAsia="tr-TR"/>
        </w:rPr>
        <w:drawing>
          <wp:inline distT="0" distB="0" distL="0" distR="0" wp14:anchorId="2FDF028A" wp14:editId="3D246916">
            <wp:extent cx="3082868" cy="2086172"/>
            <wp:effectExtent l="0" t="0" r="381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452"/>
                    <a:stretch/>
                  </pic:blipFill>
                  <pic:spPr bwMode="auto">
                    <a:xfrm>
                      <a:off x="0" y="0"/>
                      <a:ext cx="3111997" cy="2105884"/>
                    </a:xfrm>
                    <a:prstGeom prst="rect">
                      <a:avLst/>
                    </a:prstGeom>
                    <a:ln>
                      <a:noFill/>
                    </a:ln>
                    <a:extLst>
                      <a:ext uri="{53640926-AAD7-44D8-BBD7-CCE9431645EC}">
                        <a14:shadowObscured xmlns:a14="http://schemas.microsoft.com/office/drawing/2010/main"/>
                      </a:ext>
                    </a:extLst>
                  </pic:spPr>
                </pic:pic>
              </a:graphicData>
            </a:graphic>
          </wp:inline>
        </w:drawing>
      </w:r>
    </w:p>
    <w:p w14:paraId="2D9EDCB1" w14:textId="6C4FBDA9" w:rsidR="003D5D1F" w:rsidRPr="00431500" w:rsidRDefault="00404C63" w:rsidP="00404C63">
      <w:pPr>
        <w:spacing w:before="240" w:after="240" w:line="360" w:lineRule="auto"/>
        <w:jc w:val="center"/>
      </w:pPr>
      <w:r>
        <w:rPr>
          <w:b/>
        </w:rPr>
        <w:t>Şekil</w:t>
      </w:r>
      <w:r w:rsidR="008518D3">
        <w:rPr>
          <w:b/>
        </w:rPr>
        <w:t xml:space="preserve"> </w:t>
      </w:r>
      <w:r w:rsidR="009B65C9">
        <w:rPr>
          <w:b/>
        </w:rPr>
        <w:t>4</w:t>
      </w:r>
      <w:r>
        <w:rPr>
          <w:b/>
        </w:rPr>
        <w:t>.</w:t>
      </w:r>
      <w:r w:rsidR="00431500">
        <w:rPr>
          <w:b/>
        </w:rPr>
        <w:t xml:space="preserve"> </w:t>
      </w:r>
      <w:r w:rsidR="00431500" w:rsidRPr="00431500">
        <w:t>İnme Riski Dağılımı</w:t>
      </w:r>
      <w:r w:rsidR="006D1654">
        <w:t xml:space="preserve"> Grafiği</w:t>
      </w:r>
    </w:p>
    <w:p w14:paraId="2A897960" w14:textId="2665D741" w:rsidR="0096782D" w:rsidRDefault="006D1654" w:rsidP="0096782D">
      <w:pPr>
        <w:spacing w:before="240" w:after="240" w:line="360" w:lineRule="auto"/>
        <w:ind w:firstLine="720"/>
        <w:jc w:val="both"/>
        <w:rPr>
          <w:bCs/>
        </w:rPr>
      </w:pPr>
      <w:r>
        <w:rPr>
          <w:bCs/>
        </w:rPr>
        <w:lastRenderedPageBreak/>
        <w:t>Veri setin</w:t>
      </w:r>
      <w:r w:rsidR="00431500" w:rsidRPr="00431500">
        <w:rPr>
          <w:bCs/>
        </w:rPr>
        <w:t xml:space="preserve">deki inme riski olan ve olmayan bireylerin dağılımına baktığımızda, </w:t>
      </w:r>
      <w:r>
        <w:rPr>
          <w:bCs/>
        </w:rPr>
        <w:t>örneklemi</w:t>
      </w:r>
      <w:r w:rsidR="00431500" w:rsidRPr="00431500">
        <w:rPr>
          <w:bCs/>
        </w:rPr>
        <w:t>n önemli bir kısmının inme riski taşıdığını görüyoruz. Pasta grafiği</w:t>
      </w:r>
      <w:r>
        <w:rPr>
          <w:bCs/>
        </w:rPr>
        <w:t>ne göre, katılımcılar</w:t>
      </w:r>
      <w:r w:rsidR="00431500" w:rsidRPr="00431500">
        <w:rPr>
          <w:bCs/>
        </w:rPr>
        <w:t>ın %63.2'si inme riski altındayken, %36.8'i herhangi bir risk taşıma</w:t>
      </w:r>
      <w:r>
        <w:rPr>
          <w:bCs/>
        </w:rPr>
        <w:t>maktadır. Bu durum, veri setin</w:t>
      </w:r>
      <w:r w:rsidR="00431500" w:rsidRPr="00431500">
        <w:rPr>
          <w:bCs/>
        </w:rPr>
        <w:t>de inme riski olan bireylerin sayısının, olmayanlardan oldukça fazla olduğunu gösteriyor.</w:t>
      </w:r>
      <w:r>
        <w:rPr>
          <w:bCs/>
        </w:rPr>
        <w:t xml:space="preserve"> Bu dengesiz dağılım, modeli</w:t>
      </w:r>
      <w:r w:rsidR="00431500" w:rsidRPr="00431500">
        <w:rPr>
          <w:bCs/>
        </w:rPr>
        <w:t xml:space="preserve"> eğitirken ve değerlendirirken dikkate</w:t>
      </w:r>
      <w:r>
        <w:rPr>
          <w:bCs/>
        </w:rPr>
        <w:t xml:space="preserve"> alınması</w:t>
      </w:r>
      <w:r w:rsidR="00431500" w:rsidRPr="00431500">
        <w:rPr>
          <w:bCs/>
        </w:rPr>
        <w:t xml:space="preserve"> </w:t>
      </w:r>
      <w:r>
        <w:rPr>
          <w:bCs/>
        </w:rPr>
        <w:t>g</w:t>
      </w:r>
      <w:r w:rsidR="00431500" w:rsidRPr="00431500">
        <w:rPr>
          <w:bCs/>
        </w:rPr>
        <w:t>ereken önemli bir nokta olabilir.</w:t>
      </w:r>
    </w:p>
    <w:p w14:paraId="0C3E4F8C" w14:textId="20ABFF7D" w:rsidR="0096782D" w:rsidRDefault="0096782D" w:rsidP="0096782D">
      <w:pPr>
        <w:spacing w:before="240" w:after="240" w:line="360" w:lineRule="auto"/>
        <w:ind w:firstLine="720"/>
        <w:jc w:val="center"/>
        <w:rPr>
          <w:bCs/>
        </w:rPr>
      </w:pPr>
      <w:r>
        <w:rPr>
          <w:bCs/>
          <w:noProof/>
          <w:lang w:val="tr-TR" w:eastAsia="tr-TR"/>
        </w:rPr>
        <w:drawing>
          <wp:inline distT="0" distB="0" distL="0" distR="0" wp14:anchorId="76495225" wp14:editId="6A9CE600">
            <wp:extent cx="4457700" cy="2777812"/>
            <wp:effectExtent l="0" t="0" r="0" b="381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adın2.png"/>
                    <pic:cNvPicPr/>
                  </pic:nvPicPr>
                  <pic:blipFill rotWithShape="1">
                    <a:blip r:embed="rId12" cstate="print">
                      <a:extLst>
                        <a:ext uri="{28A0092B-C50C-407E-A947-70E740481C1C}">
                          <a14:useLocalDpi xmlns:a14="http://schemas.microsoft.com/office/drawing/2010/main" val="0"/>
                        </a:ext>
                      </a:extLst>
                    </a:blip>
                    <a:srcRect t="6523"/>
                    <a:stretch/>
                  </pic:blipFill>
                  <pic:spPr bwMode="auto">
                    <a:xfrm>
                      <a:off x="0" y="0"/>
                      <a:ext cx="4495602" cy="2801431"/>
                    </a:xfrm>
                    <a:prstGeom prst="rect">
                      <a:avLst/>
                    </a:prstGeom>
                    <a:ln>
                      <a:noFill/>
                    </a:ln>
                    <a:extLst>
                      <a:ext uri="{53640926-AAD7-44D8-BBD7-CCE9431645EC}">
                        <a14:shadowObscured xmlns:a14="http://schemas.microsoft.com/office/drawing/2010/main"/>
                      </a:ext>
                    </a:extLst>
                  </pic:spPr>
                </pic:pic>
              </a:graphicData>
            </a:graphic>
          </wp:inline>
        </w:drawing>
      </w:r>
    </w:p>
    <w:p w14:paraId="229EDB86" w14:textId="4FC7FA14" w:rsidR="0096782D" w:rsidRPr="00431500" w:rsidRDefault="009B65C9" w:rsidP="0096782D">
      <w:pPr>
        <w:spacing w:before="240" w:after="240" w:line="360" w:lineRule="auto"/>
        <w:jc w:val="center"/>
      </w:pPr>
      <w:r>
        <w:rPr>
          <w:b/>
        </w:rPr>
        <w:t>Şekil 5</w:t>
      </w:r>
      <w:r w:rsidR="0096782D">
        <w:rPr>
          <w:b/>
        </w:rPr>
        <w:t xml:space="preserve">. </w:t>
      </w:r>
      <w:r w:rsidR="0096782D" w:rsidRPr="0096782D">
        <w:t>Kadınlarda Yaşa Göre İnme Riski Oranı Grafiği</w:t>
      </w:r>
    </w:p>
    <w:p w14:paraId="017526DF" w14:textId="1A8F1A9A" w:rsidR="0096782D" w:rsidRDefault="0096782D" w:rsidP="0096782D">
      <w:pPr>
        <w:spacing w:before="240" w:after="240" w:line="360" w:lineRule="auto"/>
        <w:jc w:val="center"/>
        <w:rPr>
          <w:bCs/>
        </w:rPr>
      </w:pPr>
      <w:r>
        <w:rPr>
          <w:bCs/>
          <w:noProof/>
          <w:lang w:val="tr-TR" w:eastAsia="tr-TR"/>
        </w:rPr>
        <w:drawing>
          <wp:anchor distT="0" distB="0" distL="114300" distR="114300" simplePos="0" relativeHeight="251660288" behindDoc="0" locked="0" layoutInCell="1" allowOverlap="1" wp14:anchorId="322E7DD4" wp14:editId="4ADCA5F6">
            <wp:simplePos x="914400" y="914400"/>
            <wp:positionH relativeFrom="column">
              <wp:align>left</wp:align>
            </wp:positionH>
            <wp:positionV relativeFrom="paragraph">
              <wp:align>top</wp:align>
            </wp:positionV>
            <wp:extent cx="5733415" cy="2655776"/>
            <wp:effectExtent l="0" t="0" r="635" b="0"/>
            <wp:wrapSquare wrapText="bothSides"/>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kek2.png"/>
                    <pic:cNvPicPr/>
                  </pic:nvPicPr>
                  <pic:blipFill rotWithShape="1">
                    <a:blip r:embed="rId13" cstate="print">
                      <a:extLst>
                        <a:ext uri="{28A0092B-C50C-407E-A947-70E740481C1C}">
                          <a14:useLocalDpi xmlns:a14="http://schemas.microsoft.com/office/drawing/2010/main" val="0"/>
                        </a:ext>
                      </a:extLst>
                    </a:blip>
                    <a:srcRect t="7197" b="823"/>
                    <a:stretch/>
                  </pic:blipFill>
                  <pic:spPr bwMode="auto">
                    <a:xfrm>
                      <a:off x="0" y="0"/>
                      <a:ext cx="5733415" cy="2655776"/>
                    </a:xfrm>
                    <a:prstGeom prst="rect">
                      <a:avLst/>
                    </a:prstGeom>
                    <a:ln>
                      <a:noFill/>
                    </a:ln>
                    <a:extLst>
                      <a:ext uri="{53640926-AAD7-44D8-BBD7-CCE9431645EC}">
                        <a14:shadowObscured xmlns:a14="http://schemas.microsoft.com/office/drawing/2010/main"/>
                      </a:ext>
                    </a:extLst>
                  </pic:spPr>
                </pic:pic>
              </a:graphicData>
            </a:graphic>
          </wp:anchor>
        </w:drawing>
      </w:r>
      <w:r>
        <w:rPr>
          <w:bCs/>
        </w:rPr>
        <w:br w:type="textWrapping" w:clear="all"/>
      </w:r>
      <w:r>
        <w:rPr>
          <w:b/>
        </w:rPr>
        <w:t xml:space="preserve">Şekil </w:t>
      </w:r>
      <w:r w:rsidR="009B65C9">
        <w:rPr>
          <w:b/>
        </w:rPr>
        <w:t>6</w:t>
      </w:r>
      <w:r>
        <w:rPr>
          <w:b/>
        </w:rPr>
        <w:t xml:space="preserve">. </w:t>
      </w:r>
      <w:r>
        <w:t>Erkeklerde</w:t>
      </w:r>
      <w:r w:rsidRPr="0096782D">
        <w:t xml:space="preserve"> Yaşa Göre İnme Riski Oranı Grafiği</w:t>
      </w:r>
    </w:p>
    <w:p w14:paraId="40C1D395" w14:textId="011425E2" w:rsidR="0096782D" w:rsidRPr="0096782D" w:rsidRDefault="009B65C9" w:rsidP="0096782D">
      <w:pPr>
        <w:spacing w:before="240" w:after="240" w:line="360" w:lineRule="auto"/>
        <w:ind w:firstLine="720"/>
        <w:jc w:val="both"/>
        <w:rPr>
          <w:lang w:val="tr-TR"/>
        </w:rPr>
      </w:pPr>
      <w:r>
        <w:t>Şekil 5</w:t>
      </w:r>
      <w:r w:rsidR="0096782D" w:rsidRPr="006D1654">
        <w:t xml:space="preserve"> ve Şekil </w:t>
      </w:r>
      <w:r>
        <w:t>6</w:t>
      </w:r>
      <w:r w:rsidR="0096782D" w:rsidRPr="006D1654">
        <w:t xml:space="preserve">, sırasıyla kadın ve erkek katılımcılarda yaş gruplarına göre ortalama inme riski oranlarını göstermektedir. Her iki grafikte de benzer bir eğilim göze çarpmaktadır: </w:t>
      </w:r>
      <w:r w:rsidR="0096782D" w:rsidRPr="006D1654">
        <w:lastRenderedPageBreak/>
        <w:t>yaşın ilerlemesiyle birlikte inme riski belirgin bir şekilde artmaktadır.</w:t>
      </w:r>
      <w:r w:rsidR="0096782D">
        <w:t xml:space="preserve"> </w:t>
      </w:r>
      <w:r w:rsidR="0096782D" w:rsidRPr="0096782D">
        <w:rPr>
          <w:lang w:val="tr-TR"/>
        </w:rPr>
        <w:t>Kadınlarda, genç yaş gruplarında (18-31 yaş aralığı) ortalama inme riski %20'nin altında seyrederken, bu oran 50 yaşından sonra hızla yükselerek 70 yaşın üzerindeki gruplarda %100'e yakın bir seviy</w:t>
      </w:r>
      <w:r w:rsidR="0096782D">
        <w:rPr>
          <w:lang w:val="tr-TR"/>
        </w:rPr>
        <w:t xml:space="preserve">eye ulaşmaktadır. Erkeklerde de </w:t>
      </w:r>
      <w:r w:rsidR="0096782D" w:rsidRPr="0096782D">
        <w:rPr>
          <w:lang w:val="tr-TR"/>
        </w:rPr>
        <w:t>benzer bir artış trendi izlenmektedir. Genç yaşlarda %20 civarında olan ortalama inme riski, 50 yaş sonrasında ivme kazanarak 70 yaş üzerindeki bireylerde yine %100'e yaklaşmaktadır.</w:t>
      </w:r>
    </w:p>
    <w:p w14:paraId="56934FF3" w14:textId="5DD83722" w:rsidR="006D1654" w:rsidRDefault="006D1654" w:rsidP="00E42BBD">
      <w:pPr>
        <w:spacing w:before="240" w:after="240" w:line="360" w:lineRule="auto"/>
        <w:jc w:val="center"/>
      </w:pPr>
      <w:r>
        <w:rPr>
          <w:bCs/>
          <w:noProof/>
          <w:lang w:val="tr-TR" w:eastAsia="tr-TR"/>
        </w:rPr>
        <w:drawing>
          <wp:inline distT="0" distB="0" distL="0" distR="0" wp14:anchorId="137D304C" wp14:editId="77499B50">
            <wp:extent cx="5448300" cy="2724452"/>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asagoretansiyon2.png"/>
                    <pic:cNvPicPr/>
                  </pic:nvPicPr>
                  <pic:blipFill>
                    <a:blip r:embed="rId14">
                      <a:extLst>
                        <a:ext uri="{28A0092B-C50C-407E-A947-70E740481C1C}">
                          <a14:useLocalDpi xmlns:a14="http://schemas.microsoft.com/office/drawing/2010/main" val="0"/>
                        </a:ext>
                      </a:extLst>
                    </a:blip>
                    <a:stretch>
                      <a:fillRect/>
                    </a:stretch>
                  </pic:blipFill>
                  <pic:spPr>
                    <a:xfrm>
                      <a:off x="0" y="0"/>
                      <a:ext cx="5469062" cy="2734834"/>
                    </a:xfrm>
                    <a:prstGeom prst="rect">
                      <a:avLst/>
                    </a:prstGeom>
                  </pic:spPr>
                </pic:pic>
              </a:graphicData>
            </a:graphic>
          </wp:inline>
        </w:drawing>
      </w:r>
      <w:r>
        <w:rPr>
          <w:b/>
        </w:rPr>
        <w:t xml:space="preserve">Şekil </w:t>
      </w:r>
      <w:r w:rsidR="009B65C9">
        <w:rPr>
          <w:b/>
        </w:rPr>
        <w:t>7</w:t>
      </w:r>
      <w:r>
        <w:rPr>
          <w:b/>
        </w:rPr>
        <w:t xml:space="preserve">. </w:t>
      </w:r>
      <w:r>
        <w:t>Yaş ve Hipertansiyon İlişkisi</w:t>
      </w:r>
    </w:p>
    <w:p w14:paraId="01C9B0B1" w14:textId="646664F0" w:rsidR="0096782D" w:rsidRDefault="006D1654" w:rsidP="0096782D">
      <w:pPr>
        <w:spacing w:before="240" w:after="240" w:line="360" w:lineRule="auto"/>
        <w:ind w:firstLine="720"/>
        <w:jc w:val="both"/>
        <w:rPr>
          <w:lang w:val="tr-TR"/>
        </w:rPr>
      </w:pPr>
      <w:r w:rsidRPr="006D1654">
        <w:rPr>
          <w:lang w:val="tr-TR"/>
        </w:rPr>
        <w:t xml:space="preserve">Bu grafikte, yaş gruplarına göre yüksek tansiyon oranları incelenmiştir. Genel olarak yaş ilerledikçe yüksek tansiyon oranının arttığı görülmektedir. Özellikle 52 yaş ve üzerindeki bireylerde oranlar belirgin şekilde yükselmekte, 79 yaş üstü grupta ise %75’e kadar ulaşmaktadır. </w:t>
      </w:r>
    </w:p>
    <w:p w14:paraId="2D00BFB2" w14:textId="702AC59D" w:rsidR="0096782D" w:rsidRPr="0096782D" w:rsidRDefault="00E42BBD" w:rsidP="00E42BBD">
      <w:pPr>
        <w:spacing w:before="240" w:after="240" w:line="360" w:lineRule="auto"/>
        <w:jc w:val="center"/>
        <w:rPr>
          <w:lang w:val="tr-TR"/>
        </w:rPr>
      </w:pPr>
      <w:r>
        <w:rPr>
          <w:noProof/>
          <w:lang w:val="tr-TR" w:eastAsia="tr-TR"/>
        </w:rPr>
        <w:drawing>
          <wp:anchor distT="0" distB="0" distL="114300" distR="114300" simplePos="0" relativeHeight="251661312" behindDoc="0" locked="0" layoutInCell="1" allowOverlap="1" wp14:anchorId="5347F95B" wp14:editId="47387EFA">
            <wp:simplePos x="0" y="0"/>
            <wp:positionH relativeFrom="margin">
              <wp:align>right</wp:align>
            </wp:positionH>
            <wp:positionV relativeFrom="paragraph">
              <wp:posOffset>9525</wp:posOffset>
            </wp:positionV>
            <wp:extent cx="5211145" cy="2390775"/>
            <wp:effectExtent l="0" t="0" r="8890" b="0"/>
            <wp:wrapSquare wrapText="bothSides"/>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alp.png"/>
                    <pic:cNvPicPr/>
                  </pic:nvPicPr>
                  <pic:blipFill rotWithShape="1">
                    <a:blip r:embed="rId15">
                      <a:extLst>
                        <a:ext uri="{28A0092B-C50C-407E-A947-70E740481C1C}">
                          <a14:useLocalDpi xmlns:a14="http://schemas.microsoft.com/office/drawing/2010/main" val="0"/>
                        </a:ext>
                      </a:extLst>
                    </a:blip>
                    <a:srcRect l="166" t="2325" r="-166" b="5927"/>
                    <a:stretch/>
                  </pic:blipFill>
                  <pic:spPr bwMode="auto">
                    <a:xfrm>
                      <a:off x="0" y="0"/>
                      <a:ext cx="5211145" cy="2390775"/>
                    </a:xfrm>
                    <a:prstGeom prst="rect">
                      <a:avLst/>
                    </a:prstGeom>
                    <a:ln>
                      <a:noFill/>
                    </a:ln>
                    <a:extLst>
                      <a:ext uri="{53640926-AAD7-44D8-BBD7-CCE9431645EC}">
                        <a14:shadowObscured xmlns:a14="http://schemas.microsoft.com/office/drawing/2010/main"/>
                      </a:ext>
                    </a:extLst>
                  </pic:spPr>
                </pic:pic>
              </a:graphicData>
            </a:graphic>
          </wp:anchor>
        </w:drawing>
      </w:r>
      <w:r w:rsidR="009B65C9">
        <w:rPr>
          <w:lang w:val="tr-TR"/>
        </w:rPr>
        <w:br w:type="textWrapping" w:clear="all"/>
      </w:r>
      <w:r>
        <w:rPr>
          <w:b/>
          <w:bCs/>
          <w:lang w:val="tr-TR"/>
        </w:rPr>
        <w:t>Şekil 8</w:t>
      </w:r>
      <w:r w:rsidR="0096782D">
        <w:rPr>
          <w:b/>
          <w:bCs/>
          <w:lang w:val="tr-TR"/>
        </w:rPr>
        <w:t>.</w:t>
      </w:r>
      <w:r w:rsidR="0096782D" w:rsidRPr="0096782D">
        <w:rPr>
          <w:b/>
          <w:bCs/>
          <w:lang w:val="tr-TR"/>
        </w:rPr>
        <w:t xml:space="preserve"> </w:t>
      </w:r>
      <w:r w:rsidR="0096782D" w:rsidRPr="0096782D">
        <w:rPr>
          <w:bCs/>
          <w:lang w:val="tr-TR"/>
        </w:rPr>
        <w:t>Düzensiz Kalp Atışının İnme Riskiyle İlişkisi</w:t>
      </w:r>
    </w:p>
    <w:p w14:paraId="10C6DC9E" w14:textId="2D3DF063" w:rsidR="0096782D" w:rsidRPr="0096782D" w:rsidRDefault="0096782D" w:rsidP="00E42BBD">
      <w:pPr>
        <w:spacing w:before="240" w:after="240" w:line="360" w:lineRule="auto"/>
        <w:ind w:firstLine="720"/>
        <w:jc w:val="both"/>
        <w:rPr>
          <w:lang w:val="tr-TR"/>
        </w:rPr>
      </w:pPr>
      <w:r w:rsidRPr="0096782D">
        <w:rPr>
          <w:lang w:val="tr-TR"/>
        </w:rPr>
        <w:lastRenderedPageBreak/>
        <w:t>Grafikler, düzensiz kalp atışının inme riskiyle güçlü bir ilişkisi olduğunu göstermektedir. Düzensiz kalp atışı olan bireylerin yaklaşık %72'si inme riski taşırken, bu oran düzensiz kalp atışı olmayanlarda %33 civarındadır. Bu bulgu, düzens</w:t>
      </w:r>
      <w:r w:rsidR="00EF3676">
        <w:rPr>
          <w:lang w:val="tr-TR"/>
        </w:rPr>
        <w:t xml:space="preserve">iz kalp atışının </w:t>
      </w:r>
      <w:r w:rsidRPr="0096782D">
        <w:rPr>
          <w:lang w:val="tr-TR"/>
        </w:rPr>
        <w:t>bir inme risk</w:t>
      </w:r>
      <w:r w:rsidR="00EF3676">
        <w:rPr>
          <w:lang w:val="tr-TR"/>
        </w:rPr>
        <w:t>i</w:t>
      </w:r>
      <w:r w:rsidRPr="0096782D">
        <w:rPr>
          <w:lang w:val="tr-TR"/>
        </w:rPr>
        <w:t xml:space="preserve"> faktörü olabileceğini düşündürmektedir.</w:t>
      </w:r>
    </w:p>
    <w:p w14:paraId="128855F9" w14:textId="702AA155" w:rsidR="006D1654" w:rsidRDefault="006D1654" w:rsidP="0096782D">
      <w:pPr>
        <w:spacing w:before="240" w:after="240" w:line="360" w:lineRule="auto"/>
        <w:jc w:val="center"/>
      </w:pPr>
      <w:r>
        <w:rPr>
          <w:noProof/>
          <w:lang w:val="tr-TR" w:eastAsia="tr-TR"/>
        </w:rPr>
        <w:drawing>
          <wp:inline distT="0" distB="0" distL="0" distR="0" wp14:anchorId="22B588D0" wp14:editId="05404D2A">
            <wp:extent cx="6171516" cy="3086100"/>
            <wp:effectExtent l="0" t="0" r="127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yasvegögüs2.png"/>
                    <pic:cNvPicPr/>
                  </pic:nvPicPr>
                  <pic:blipFill>
                    <a:blip r:embed="rId16">
                      <a:extLst>
                        <a:ext uri="{28A0092B-C50C-407E-A947-70E740481C1C}">
                          <a14:useLocalDpi xmlns:a14="http://schemas.microsoft.com/office/drawing/2010/main" val="0"/>
                        </a:ext>
                      </a:extLst>
                    </a:blip>
                    <a:stretch>
                      <a:fillRect/>
                    </a:stretch>
                  </pic:blipFill>
                  <pic:spPr>
                    <a:xfrm>
                      <a:off x="0" y="0"/>
                      <a:ext cx="6177673" cy="3089179"/>
                    </a:xfrm>
                    <a:prstGeom prst="rect">
                      <a:avLst/>
                    </a:prstGeom>
                  </pic:spPr>
                </pic:pic>
              </a:graphicData>
            </a:graphic>
          </wp:inline>
        </w:drawing>
      </w:r>
      <w:r w:rsidR="0096782D">
        <w:rPr>
          <w:b/>
        </w:rPr>
        <w:t xml:space="preserve">Şekil </w:t>
      </w:r>
      <w:r w:rsidR="00E42BBD">
        <w:rPr>
          <w:b/>
        </w:rPr>
        <w:t>9</w:t>
      </w:r>
      <w:r w:rsidR="0096782D">
        <w:rPr>
          <w:b/>
        </w:rPr>
        <w:t xml:space="preserve">. </w:t>
      </w:r>
      <w:r w:rsidR="0096782D" w:rsidRPr="0096782D">
        <w:t>Yaşa Göre</w:t>
      </w:r>
      <w:r w:rsidR="0096782D">
        <w:t xml:space="preserve"> Göğüste Rahatsızlık Hissi</w:t>
      </w:r>
      <w:r w:rsidR="0096782D" w:rsidRPr="0096782D">
        <w:t xml:space="preserve"> Oranı Grafiği</w:t>
      </w:r>
    </w:p>
    <w:p w14:paraId="7EB819C3" w14:textId="68105CB2" w:rsidR="008D20B1" w:rsidRPr="008D20B1" w:rsidRDefault="00E42BBD" w:rsidP="008D20B1">
      <w:pPr>
        <w:spacing w:before="240" w:after="240" w:line="360" w:lineRule="auto"/>
        <w:ind w:firstLine="720"/>
        <w:jc w:val="both"/>
        <w:rPr>
          <w:bCs/>
          <w:lang w:val="tr-TR"/>
        </w:rPr>
      </w:pPr>
      <w:r>
        <w:rPr>
          <w:bCs/>
          <w:lang w:val="tr-TR"/>
        </w:rPr>
        <w:t>Şekil 9</w:t>
      </w:r>
      <w:r w:rsidR="008D20B1" w:rsidRPr="008D20B1">
        <w:rPr>
          <w:bCs/>
          <w:lang w:val="tr-TR"/>
        </w:rPr>
        <w:t>'d</w:t>
      </w:r>
      <w:r>
        <w:rPr>
          <w:bCs/>
          <w:lang w:val="tr-TR"/>
        </w:rPr>
        <w:t>a</w:t>
      </w:r>
      <w:r w:rsidR="008D20B1" w:rsidRPr="008D20B1">
        <w:rPr>
          <w:bCs/>
          <w:lang w:val="tr-TR"/>
        </w:rPr>
        <w:t xml:space="preserve">ki grafik, yaş gruplarına göre göğüste rahatsızlık hissi oranını göstermektedir. Elde ettiğimiz verilere göre, yaşın ilerlemesiyle bu oranda belirgin bir artış gözlemlenmektedir. 18-35 yaş aralığında yaklaşık %9 olan göğüste rahatsızlık hissi, 35-52 yaş </w:t>
      </w:r>
      <w:proofErr w:type="gramStart"/>
      <w:r w:rsidR="008D20B1" w:rsidRPr="008D20B1">
        <w:rPr>
          <w:bCs/>
          <w:lang w:val="tr-TR"/>
        </w:rPr>
        <w:t>aralığında</w:t>
      </w:r>
      <w:proofErr w:type="gramEnd"/>
      <w:r w:rsidR="008D20B1" w:rsidRPr="008D20B1">
        <w:rPr>
          <w:bCs/>
          <w:lang w:val="tr-TR"/>
        </w:rPr>
        <w:t xml:space="preserve"> %16'ya, 52-69 yaş aralığında %24'e ve 69 yaş üzeri grupta ise %33'ün üzerine çıkmaktadır.</w:t>
      </w:r>
    </w:p>
    <w:p w14:paraId="769188E8" w14:textId="1B812186" w:rsidR="008D20B1" w:rsidRPr="00CE1499" w:rsidRDefault="008D20B1" w:rsidP="00CE1499">
      <w:pPr>
        <w:spacing w:before="240" w:after="240" w:line="360" w:lineRule="auto"/>
        <w:ind w:firstLine="720"/>
        <w:jc w:val="both"/>
        <w:rPr>
          <w:bCs/>
          <w:lang w:val="tr-TR"/>
        </w:rPr>
      </w:pPr>
      <w:r w:rsidRPr="008D20B1">
        <w:rPr>
          <w:bCs/>
          <w:lang w:val="tr-TR"/>
        </w:rPr>
        <w:t xml:space="preserve">Bu bulgular, Cambridge </w:t>
      </w:r>
      <w:proofErr w:type="spellStart"/>
      <w:r w:rsidRPr="008D20B1">
        <w:rPr>
          <w:bCs/>
          <w:lang w:val="tr-TR"/>
        </w:rPr>
        <w:t>Medicine'in</w:t>
      </w:r>
      <w:proofErr w:type="spellEnd"/>
      <w:r w:rsidRPr="008D20B1">
        <w:rPr>
          <w:bCs/>
          <w:lang w:val="tr-TR"/>
        </w:rPr>
        <w:t xml:space="preserve"> "</w:t>
      </w:r>
      <w:proofErr w:type="spellStart"/>
      <w:r w:rsidRPr="008D20B1">
        <w:rPr>
          <w:bCs/>
          <w:lang w:val="tr-TR"/>
        </w:rPr>
        <w:t>The</w:t>
      </w:r>
      <w:proofErr w:type="spellEnd"/>
      <w:r w:rsidRPr="008D20B1">
        <w:rPr>
          <w:bCs/>
          <w:lang w:val="tr-TR"/>
        </w:rPr>
        <w:t xml:space="preserve"> </w:t>
      </w:r>
      <w:proofErr w:type="spellStart"/>
      <w:r w:rsidRPr="008D20B1">
        <w:rPr>
          <w:bCs/>
          <w:lang w:val="tr-TR"/>
        </w:rPr>
        <w:t>Stroke</w:t>
      </w:r>
      <w:proofErr w:type="spellEnd"/>
      <w:r w:rsidRPr="008D20B1">
        <w:rPr>
          <w:bCs/>
          <w:lang w:val="tr-TR"/>
        </w:rPr>
        <w:t xml:space="preserve"> </w:t>
      </w:r>
      <w:proofErr w:type="spellStart"/>
      <w:r w:rsidRPr="008D20B1">
        <w:rPr>
          <w:bCs/>
          <w:lang w:val="tr-TR"/>
        </w:rPr>
        <w:t>Book</w:t>
      </w:r>
      <w:proofErr w:type="spellEnd"/>
      <w:r w:rsidRPr="008D20B1">
        <w:rPr>
          <w:bCs/>
          <w:lang w:val="tr-TR"/>
        </w:rPr>
        <w:t xml:space="preserve">" kaynağında belirtilen "göğüs ağrısının genç yetişkinlerde nadir olduğu ancak </w:t>
      </w:r>
      <w:proofErr w:type="spellStart"/>
      <w:r w:rsidRPr="008D20B1">
        <w:rPr>
          <w:bCs/>
          <w:lang w:val="tr-TR"/>
        </w:rPr>
        <w:t>ateroskleroz</w:t>
      </w:r>
      <w:proofErr w:type="spellEnd"/>
      <w:r w:rsidRPr="008D20B1">
        <w:rPr>
          <w:bCs/>
          <w:lang w:val="tr-TR"/>
        </w:rPr>
        <w:t xml:space="preserve"> ve koroner arter hastalığı nedeniyle yaşlı </w:t>
      </w:r>
      <w:proofErr w:type="gramStart"/>
      <w:r w:rsidRPr="008D20B1">
        <w:rPr>
          <w:bCs/>
          <w:lang w:val="tr-TR"/>
        </w:rPr>
        <w:t>popülasyonlarda</w:t>
      </w:r>
      <w:proofErr w:type="gramEnd"/>
      <w:r w:rsidRPr="008D20B1">
        <w:rPr>
          <w:bCs/>
          <w:lang w:val="tr-TR"/>
        </w:rPr>
        <w:t xml:space="preserve"> yaygınlaştığı" bilgisiyle paralellik göstermektedir. Veri setimizdeki göğüste rahatsızlık hissi oranının yaşla birlikte artması, bu tıbbi tespiti destekler niteliktedir ve inme riski değerlendirmesinde yaş faktörünün önemini bir kez daha vurgulamaktadır.</w:t>
      </w:r>
    </w:p>
    <w:p w14:paraId="2538CC89" w14:textId="120691C7" w:rsidR="006D1654" w:rsidRDefault="00CE1499" w:rsidP="00E42BBD">
      <w:pPr>
        <w:spacing w:before="240" w:after="240" w:line="360" w:lineRule="auto"/>
        <w:jc w:val="center"/>
        <w:rPr>
          <w:bCs/>
        </w:rPr>
      </w:pPr>
      <w:r>
        <w:rPr>
          <w:bCs/>
          <w:noProof/>
          <w:lang w:val="tr-TR" w:eastAsia="tr-TR"/>
        </w:rPr>
        <w:lastRenderedPageBreak/>
        <w:drawing>
          <wp:inline distT="0" distB="0" distL="0" distR="0" wp14:anchorId="1824C216" wp14:editId="0EC564B1">
            <wp:extent cx="5191507" cy="3114675"/>
            <wp:effectExtent l="0" t="0" r="952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yasinme.png"/>
                    <pic:cNvPicPr/>
                  </pic:nvPicPr>
                  <pic:blipFill>
                    <a:blip r:embed="rId17">
                      <a:extLst>
                        <a:ext uri="{28A0092B-C50C-407E-A947-70E740481C1C}">
                          <a14:useLocalDpi xmlns:a14="http://schemas.microsoft.com/office/drawing/2010/main" val="0"/>
                        </a:ext>
                      </a:extLst>
                    </a:blip>
                    <a:stretch>
                      <a:fillRect/>
                    </a:stretch>
                  </pic:blipFill>
                  <pic:spPr>
                    <a:xfrm>
                      <a:off x="0" y="0"/>
                      <a:ext cx="5220945" cy="3132337"/>
                    </a:xfrm>
                    <a:prstGeom prst="rect">
                      <a:avLst/>
                    </a:prstGeom>
                  </pic:spPr>
                </pic:pic>
              </a:graphicData>
            </a:graphic>
          </wp:inline>
        </w:drawing>
      </w:r>
    </w:p>
    <w:p w14:paraId="7C8BF353" w14:textId="1ED413FE" w:rsidR="00CE1499" w:rsidRDefault="00E42BBD" w:rsidP="00CE1499">
      <w:pPr>
        <w:spacing w:before="240" w:after="240" w:line="360" w:lineRule="auto"/>
        <w:jc w:val="center"/>
      </w:pPr>
      <w:r>
        <w:rPr>
          <w:b/>
        </w:rPr>
        <w:t>Şekil 10</w:t>
      </w:r>
      <w:r w:rsidR="00CE1499">
        <w:rPr>
          <w:b/>
        </w:rPr>
        <w:t xml:space="preserve">. </w:t>
      </w:r>
      <w:r w:rsidR="00CE1499" w:rsidRPr="0096782D">
        <w:t>Yaşa Göre</w:t>
      </w:r>
      <w:r w:rsidR="00CE1499">
        <w:t xml:space="preserve"> Ortalama İnme Riski</w:t>
      </w:r>
    </w:p>
    <w:p w14:paraId="283B21CE" w14:textId="258AAA37" w:rsidR="00CE1499" w:rsidRPr="00CE1499" w:rsidRDefault="00CE1499" w:rsidP="00CE1499">
      <w:pPr>
        <w:spacing w:before="240" w:after="240" w:line="360" w:lineRule="auto"/>
        <w:ind w:firstLine="720"/>
        <w:jc w:val="both"/>
        <w:rPr>
          <w:bCs/>
          <w:lang w:val="tr-TR"/>
        </w:rPr>
      </w:pPr>
      <w:r w:rsidRPr="00CE1499">
        <w:rPr>
          <w:bCs/>
          <w:lang w:val="tr-TR"/>
        </w:rPr>
        <w:t>Grafik, yaşın ilerlemesiyle inme riskinin belirgin şekilde arttığını göstermektedir. Risk, genç yaşlarda düşükken, özellikle 52 yaşından sonra hızlanarak 60 yaş üzerinde %90'ın üzerine çıkmaktadır. Bu doğrusal olmayan artış, "</w:t>
      </w:r>
      <w:proofErr w:type="spellStart"/>
      <w:r w:rsidRPr="00CE1499">
        <w:rPr>
          <w:bCs/>
          <w:lang w:val="tr-TR"/>
        </w:rPr>
        <w:t>Harrison's</w:t>
      </w:r>
      <w:proofErr w:type="spellEnd"/>
      <w:r w:rsidRPr="00CE1499">
        <w:rPr>
          <w:bCs/>
          <w:lang w:val="tr-TR"/>
        </w:rPr>
        <w:t xml:space="preserve"> </w:t>
      </w:r>
      <w:proofErr w:type="spellStart"/>
      <w:r w:rsidRPr="00CE1499">
        <w:rPr>
          <w:bCs/>
          <w:lang w:val="tr-TR"/>
        </w:rPr>
        <w:t>Principles</w:t>
      </w:r>
      <w:proofErr w:type="spellEnd"/>
      <w:r w:rsidRPr="00CE1499">
        <w:rPr>
          <w:bCs/>
          <w:lang w:val="tr-TR"/>
        </w:rPr>
        <w:t xml:space="preserve"> of </w:t>
      </w:r>
      <w:proofErr w:type="spellStart"/>
      <w:r w:rsidRPr="00CE1499">
        <w:rPr>
          <w:bCs/>
          <w:lang w:val="tr-TR"/>
        </w:rPr>
        <w:t>Internal</w:t>
      </w:r>
      <w:proofErr w:type="spellEnd"/>
      <w:r w:rsidRPr="00CE1499">
        <w:rPr>
          <w:bCs/>
          <w:lang w:val="tr-TR"/>
        </w:rPr>
        <w:t xml:space="preserve"> </w:t>
      </w:r>
      <w:proofErr w:type="spellStart"/>
      <w:r w:rsidRPr="00CE1499">
        <w:rPr>
          <w:bCs/>
          <w:lang w:val="tr-TR"/>
        </w:rPr>
        <w:t>Medicine"da</w:t>
      </w:r>
      <w:proofErr w:type="spellEnd"/>
      <w:r w:rsidRPr="00CE1499">
        <w:rPr>
          <w:bCs/>
          <w:lang w:val="tr-TR"/>
        </w:rPr>
        <w:t xml:space="preserve"> belirtilen inme </w:t>
      </w:r>
      <w:proofErr w:type="spellStart"/>
      <w:r w:rsidRPr="00CE1499">
        <w:rPr>
          <w:bCs/>
          <w:lang w:val="tr-TR"/>
        </w:rPr>
        <w:t>insidansının</w:t>
      </w:r>
      <w:proofErr w:type="spellEnd"/>
      <w:r w:rsidRPr="00CE1499">
        <w:rPr>
          <w:bCs/>
          <w:lang w:val="tr-TR"/>
        </w:rPr>
        <w:t xml:space="preserve"> 55 yaş sonrası her on yılda ikiye katlanması tespitiyle ve </w:t>
      </w:r>
      <w:r>
        <w:rPr>
          <w:bCs/>
          <w:lang w:val="tr-TR"/>
        </w:rPr>
        <w:t>model</w:t>
      </w:r>
      <w:r w:rsidRPr="00CE1499">
        <w:rPr>
          <w:bCs/>
          <w:lang w:val="tr-TR"/>
        </w:rPr>
        <w:t>deki sigmoid eğri ile uyumludur. Bu durum, yaşın inme riski tahmininde kritik bir faktör olduğunu güçlü bir şekilde desteklemektedir.</w:t>
      </w:r>
    </w:p>
    <w:p w14:paraId="0405088A" w14:textId="49BA1D81" w:rsidR="008518D3" w:rsidRDefault="008518D3" w:rsidP="00E42BBD">
      <w:pPr>
        <w:spacing w:before="240" w:after="240" w:line="360" w:lineRule="auto"/>
        <w:jc w:val="center"/>
        <w:rPr>
          <w:bCs/>
        </w:rPr>
      </w:pPr>
      <w:r>
        <w:rPr>
          <w:bCs/>
          <w:noProof/>
          <w:lang w:val="tr-TR" w:eastAsia="tr-TR"/>
        </w:rPr>
        <w:drawing>
          <wp:inline distT="0" distB="0" distL="0" distR="0" wp14:anchorId="553793DD" wp14:editId="05528DF5">
            <wp:extent cx="5715000" cy="2838828"/>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kran görüntüsü 2025-04-09 01275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9527" cy="2846044"/>
                    </a:xfrm>
                    <a:prstGeom prst="rect">
                      <a:avLst/>
                    </a:prstGeom>
                  </pic:spPr>
                </pic:pic>
              </a:graphicData>
            </a:graphic>
          </wp:inline>
        </w:drawing>
      </w:r>
    </w:p>
    <w:p w14:paraId="040ABBD4" w14:textId="44FAA1A5" w:rsidR="00CE1499" w:rsidRPr="00CE1499" w:rsidRDefault="00E42BBD" w:rsidP="00CE1499">
      <w:pPr>
        <w:spacing w:before="240" w:after="240" w:line="360" w:lineRule="auto"/>
        <w:jc w:val="center"/>
      </w:pPr>
      <w:r>
        <w:rPr>
          <w:b/>
        </w:rPr>
        <w:t>Şekil 11</w:t>
      </w:r>
      <w:r w:rsidR="00CE1499">
        <w:rPr>
          <w:b/>
        </w:rPr>
        <w:t xml:space="preserve">. </w:t>
      </w:r>
      <w:r w:rsidR="00CE1499" w:rsidRPr="0096782D">
        <w:t xml:space="preserve">Yaşa </w:t>
      </w:r>
      <w:r w:rsidR="00CE1499">
        <w:t xml:space="preserve">ve Cinsiyete </w:t>
      </w:r>
      <w:r w:rsidR="00CE1499" w:rsidRPr="0096782D">
        <w:t>Göre</w:t>
      </w:r>
      <w:r w:rsidR="00CE1499">
        <w:t xml:space="preserve"> Ortalama İnme Riski</w:t>
      </w:r>
    </w:p>
    <w:p w14:paraId="0D3E4AFF" w14:textId="77777777" w:rsidR="00CE1499" w:rsidRPr="00CE1499" w:rsidRDefault="00CE1499" w:rsidP="00CE1499">
      <w:pPr>
        <w:spacing w:before="240" w:after="240" w:line="360" w:lineRule="auto"/>
        <w:ind w:firstLine="720"/>
        <w:jc w:val="both"/>
        <w:rPr>
          <w:bCs/>
          <w:lang w:val="tr-TR"/>
        </w:rPr>
      </w:pPr>
      <w:r w:rsidRPr="00CE1499">
        <w:rPr>
          <w:bCs/>
          <w:lang w:val="tr-TR"/>
        </w:rPr>
        <w:lastRenderedPageBreak/>
        <w:t>Önceki analizlerde yaşın inme riski üzerindeki belirleyici rolü vurgulanmıştı. Şekil 10, bu ilişkiyi cinsiyet faktörüyle birlikte ele almakta ve yaş gruplarına göre kadın ve erkeklerdeki inme oranlarını karşılaştırmaktadır.</w:t>
      </w:r>
    </w:p>
    <w:p w14:paraId="29CFC991" w14:textId="77777777" w:rsidR="00CE1499" w:rsidRPr="00CE1499" w:rsidRDefault="00CE1499" w:rsidP="00CE1499">
      <w:pPr>
        <w:spacing w:before="240" w:after="240" w:line="360" w:lineRule="auto"/>
        <w:ind w:firstLine="720"/>
        <w:jc w:val="both"/>
        <w:rPr>
          <w:bCs/>
          <w:lang w:val="tr-TR"/>
        </w:rPr>
      </w:pPr>
      <w:r w:rsidRPr="00CE1499">
        <w:rPr>
          <w:bCs/>
          <w:lang w:val="tr-TR"/>
        </w:rPr>
        <w:t>Genel eğilim, yaş ilerledikçe her iki cinsiyette de inme oranlarının arttığını göstermektedir. Ancak, 18-50 yaş aralığında erkeklerde inme oranlarının kadınlara kıyasla daha yüksek olduğu dikkat çekmektedir. Örneğin, 41-50 yaş grubunda erkeklerde oran yaklaşık %55 iken, kadınlarda %40 civarındadır.</w:t>
      </w:r>
    </w:p>
    <w:p w14:paraId="23748A9B" w14:textId="77777777" w:rsidR="00CE1499" w:rsidRPr="00CE1499" w:rsidRDefault="00CE1499" w:rsidP="00CE1499">
      <w:pPr>
        <w:spacing w:before="240" w:after="240" w:line="360" w:lineRule="auto"/>
        <w:ind w:firstLine="720"/>
        <w:jc w:val="both"/>
        <w:rPr>
          <w:bCs/>
          <w:lang w:val="tr-TR"/>
        </w:rPr>
      </w:pPr>
      <w:r w:rsidRPr="00CE1499">
        <w:rPr>
          <w:bCs/>
          <w:lang w:val="tr-TR"/>
        </w:rPr>
        <w:t>51 yaş ve üzerindeki gruplarda ise inme oranları her iki cinsiyette de artarak benzer seviyelere ulaşmakta, 61 yaş ve sonrasında %90’ın üzerine çıkmaktadır.</w:t>
      </w:r>
    </w:p>
    <w:p w14:paraId="48F6285C" w14:textId="3C20844B" w:rsidR="00CE1499" w:rsidRDefault="00CE1499" w:rsidP="00CE1499">
      <w:pPr>
        <w:spacing w:before="240" w:after="240" w:line="360" w:lineRule="auto"/>
        <w:ind w:firstLine="720"/>
        <w:jc w:val="both"/>
        <w:rPr>
          <w:bCs/>
          <w:lang w:val="tr-TR"/>
        </w:rPr>
      </w:pPr>
      <w:r w:rsidRPr="00CE1499">
        <w:rPr>
          <w:bCs/>
          <w:lang w:val="tr-TR"/>
        </w:rPr>
        <w:t>Bu</w:t>
      </w:r>
      <w:r w:rsidR="009B65C9">
        <w:rPr>
          <w:bCs/>
          <w:lang w:val="tr-TR"/>
        </w:rPr>
        <w:t xml:space="preserve"> durum</w:t>
      </w:r>
      <w:r w:rsidRPr="00CE1499">
        <w:rPr>
          <w:bCs/>
          <w:lang w:val="tr-TR"/>
        </w:rPr>
        <w:t>, yaşın inme riski için baskın bir değişken olduğunu doğrulamakla birlikte, cinsiyetin özellikle genç ve orta yaş gruplarında önemli bir ayrıştırıcı faktör olabileceğini göstermektedir. Bu nedenle, risk analizlerinde yaş ve cinsiyet faktörlerinin birlikte değerlendirilmesi gerekmektedir.</w:t>
      </w:r>
    </w:p>
    <w:p w14:paraId="46800371" w14:textId="77777777" w:rsidR="009B65C9" w:rsidRPr="00CE1499" w:rsidRDefault="009B65C9" w:rsidP="00CE1499">
      <w:pPr>
        <w:spacing w:before="240" w:after="240" w:line="360" w:lineRule="auto"/>
        <w:ind w:firstLine="720"/>
        <w:jc w:val="both"/>
        <w:rPr>
          <w:bCs/>
          <w:lang w:val="tr-TR"/>
        </w:rPr>
      </w:pPr>
    </w:p>
    <w:p w14:paraId="4C613772" w14:textId="4898E2C3" w:rsidR="008518D3" w:rsidRDefault="008518D3" w:rsidP="00404C63">
      <w:pPr>
        <w:spacing w:before="240" w:after="240" w:line="360" w:lineRule="auto"/>
        <w:jc w:val="both"/>
        <w:rPr>
          <w:bCs/>
        </w:rPr>
      </w:pPr>
    </w:p>
    <w:p w14:paraId="3B26FCFE" w14:textId="77777777" w:rsidR="00AE531C" w:rsidRPr="00210AE1" w:rsidRDefault="00AE531C" w:rsidP="00AE531C">
      <w:pPr>
        <w:spacing w:before="240" w:after="240" w:line="360" w:lineRule="auto"/>
        <w:jc w:val="center"/>
        <w:rPr>
          <w:b/>
        </w:rPr>
      </w:pPr>
    </w:p>
    <w:p w14:paraId="09729135" w14:textId="441DCB43" w:rsidR="00F00DD3" w:rsidRPr="00F00DD3" w:rsidRDefault="00F63C4E" w:rsidP="00F00DD3">
      <w:pPr>
        <w:spacing w:before="240" w:after="240" w:line="360" w:lineRule="auto"/>
        <w:rPr>
          <w:b/>
        </w:rPr>
      </w:pPr>
      <w:r w:rsidRPr="00210AE1">
        <w:rPr>
          <w:b/>
        </w:rPr>
        <w:t>3.SONUÇ</w:t>
      </w:r>
    </w:p>
    <w:p w14:paraId="0B3948BE" w14:textId="21D38E41" w:rsidR="00F00DD3" w:rsidRPr="00F00DD3" w:rsidRDefault="00F00DD3" w:rsidP="00F00DD3">
      <w:pPr>
        <w:spacing w:before="240" w:after="240" w:line="360" w:lineRule="auto"/>
        <w:ind w:firstLine="720"/>
        <w:rPr>
          <w:lang w:val="tr-TR"/>
        </w:rPr>
      </w:pPr>
      <w:r w:rsidRPr="00F00DD3">
        <w:rPr>
          <w:lang w:val="tr-TR"/>
        </w:rPr>
        <w:t xml:space="preserve">Bu </w:t>
      </w:r>
      <w:proofErr w:type="spellStart"/>
      <w:r w:rsidRPr="00F00DD3">
        <w:rPr>
          <w:lang w:val="tr-TR"/>
        </w:rPr>
        <w:t>keşifsel</w:t>
      </w:r>
      <w:proofErr w:type="spellEnd"/>
      <w:r w:rsidRPr="00F00DD3">
        <w:rPr>
          <w:lang w:val="tr-TR"/>
        </w:rPr>
        <w:t xml:space="preserve"> veri analizi (EDA) çalışması, inme riskini etkileyebilecek faktörleri anlamak amacıyla gerçekleştirilmiştir. </w:t>
      </w:r>
      <w:proofErr w:type="spellStart"/>
      <w:r w:rsidRPr="00F00DD3">
        <w:rPr>
          <w:lang w:val="tr-TR"/>
        </w:rPr>
        <w:t>Kaggle</w:t>
      </w:r>
      <w:proofErr w:type="spellEnd"/>
      <w:r w:rsidRPr="00F00DD3">
        <w:rPr>
          <w:lang w:val="tr-TR"/>
        </w:rPr>
        <w:t xml:space="preserve"> üzerinden sağlanan kapsamlı veri seti üzerinde uygulanan EDA teknikleri, inme riskiyle ilişkili önemli eğilimleri ve potansiyel biyolojik belirteçleri ortaya koymuştur.</w:t>
      </w:r>
    </w:p>
    <w:p w14:paraId="2FA85420" w14:textId="77777777" w:rsidR="00F00DD3" w:rsidRPr="00F00DD3" w:rsidRDefault="00F00DD3" w:rsidP="00F00DD3">
      <w:pPr>
        <w:spacing w:before="240" w:after="240" w:line="360" w:lineRule="auto"/>
        <w:ind w:firstLine="720"/>
        <w:rPr>
          <w:lang w:val="tr-TR"/>
        </w:rPr>
      </w:pPr>
      <w:r w:rsidRPr="00F00DD3">
        <w:rPr>
          <w:lang w:val="tr-TR"/>
        </w:rPr>
        <w:t xml:space="preserve">Veri setindeki yaş dağılımı incelendiğinde, örneklemin büyük bir kısmının orta yaş aralığında yoğunlaştığı görülmüştür. Ancak, yaşın ilerlemesiyle inme riskindeki belirgin artış, biyolojik süreçlerle ilişkili yaşlanmanın inme </w:t>
      </w:r>
      <w:proofErr w:type="spellStart"/>
      <w:r w:rsidRPr="00F00DD3">
        <w:rPr>
          <w:lang w:val="tr-TR"/>
        </w:rPr>
        <w:t>patogenezindeki</w:t>
      </w:r>
      <w:proofErr w:type="spellEnd"/>
      <w:r w:rsidRPr="00F00DD3">
        <w:rPr>
          <w:lang w:val="tr-TR"/>
        </w:rPr>
        <w:t xml:space="preserve"> rolünü desteklemektedir. Cinsiyet dağılımının dengeli olması, cinsiyetin genel analizler üzerindeki potansiyel etkisini minimize ederken, yaşa göre risk analizinde genç ve orta yaşlardaki erkeklerdeki hafif yüksek risk oranı, cinsiyet hormonları veya genetik yatkınlık gibi biyolojik farklılıkların etkisini düşündürmektedir.</w:t>
      </w:r>
    </w:p>
    <w:p w14:paraId="67B024D1" w14:textId="77777777" w:rsidR="00F00DD3" w:rsidRPr="00F00DD3" w:rsidRDefault="00F00DD3" w:rsidP="00F00DD3">
      <w:pPr>
        <w:spacing w:before="240" w:after="240" w:line="360" w:lineRule="auto"/>
        <w:ind w:firstLine="720"/>
        <w:rPr>
          <w:lang w:val="tr-TR"/>
        </w:rPr>
      </w:pPr>
      <w:r w:rsidRPr="00F00DD3">
        <w:rPr>
          <w:lang w:val="tr-TR"/>
        </w:rPr>
        <w:t xml:space="preserve">Yüksek tansiyon ve düzensiz kalp atışı gibi mevcut sağlık durumlarının inme riskiyle güçlü </w:t>
      </w:r>
      <w:proofErr w:type="gramStart"/>
      <w:r w:rsidRPr="00F00DD3">
        <w:rPr>
          <w:lang w:val="tr-TR"/>
        </w:rPr>
        <w:t>korelasyonu</w:t>
      </w:r>
      <w:proofErr w:type="gramEnd"/>
      <w:r w:rsidRPr="00F00DD3">
        <w:rPr>
          <w:lang w:val="tr-TR"/>
        </w:rPr>
        <w:t xml:space="preserve">, </w:t>
      </w:r>
      <w:proofErr w:type="spellStart"/>
      <w:r w:rsidRPr="00F00DD3">
        <w:rPr>
          <w:lang w:val="tr-TR"/>
        </w:rPr>
        <w:t>kardiyovasküler</w:t>
      </w:r>
      <w:proofErr w:type="spellEnd"/>
      <w:r w:rsidRPr="00F00DD3">
        <w:rPr>
          <w:lang w:val="tr-TR"/>
        </w:rPr>
        <w:t xml:space="preserve"> sistem sağlığının beyin sağlığı üzerindeki doğrudan </w:t>
      </w:r>
      <w:r w:rsidRPr="00F00DD3">
        <w:rPr>
          <w:lang w:val="tr-TR"/>
        </w:rPr>
        <w:lastRenderedPageBreak/>
        <w:t xml:space="preserve">etkisini vurgulamaktadır. Bu faktörlerin biyolojik mekanizmaları, inme riskini öngörmede önemli biyolojik belirteçler olarak değerlendirilebilir. Yaşla birlikte artan göğüste rahatsızlık hissi oranı ise, </w:t>
      </w:r>
      <w:proofErr w:type="spellStart"/>
      <w:r w:rsidRPr="00F00DD3">
        <w:rPr>
          <w:lang w:val="tr-TR"/>
        </w:rPr>
        <w:t>ateroskleroz</w:t>
      </w:r>
      <w:proofErr w:type="spellEnd"/>
      <w:r w:rsidRPr="00F00DD3">
        <w:rPr>
          <w:lang w:val="tr-TR"/>
        </w:rPr>
        <w:t xml:space="preserve"> gibi yaşa bağlı biyolojik değişikliklerin inme riskini dolaylı olarak etkileyebileceğini düşündürmektedir.</w:t>
      </w:r>
    </w:p>
    <w:p w14:paraId="562C75D1" w14:textId="32F6D1E5" w:rsidR="003D5D1F" w:rsidRPr="00210AE1" w:rsidRDefault="00F00DD3" w:rsidP="00F00DD3">
      <w:pPr>
        <w:spacing w:before="240" w:after="240" w:line="360" w:lineRule="auto"/>
        <w:ind w:firstLine="720"/>
      </w:pPr>
      <w:r w:rsidRPr="00F00DD3">
        <w:rPr>
          <w:lang w:val="tr-TR"/>
        </w:rPr>
        <w:t xml:space="preserve">Sonuç olarak, bu EDA çalışması, demografik faktörlerin yanı sıra temel sağlık göstergelerinin ve yaşa bağlı </w:t>
      </w:r>
      <w:proofErr w:type="gramStart"/>
      <w:r w:rsidRPr="00F00DD3">
        <w:rPr>
          <w:lang w:val="tr-TR"/>
        </w:rPr>
        <w:t>semptomların</w:t>
      </w:r>
      <w:proofErr w:type="gramEnd"/>
      <w:r w:rsidRPr="00F00DD3">
        <w:rPr>
          <w:lang w:val="tr-TR"/>
        </w:rPr>
        <w:t xml:space="preserve"> inme riskiyle anlamlı ilişkiler sergilediğini göstermiştir.</w:t>
      </w:r>
      <w:r w:rsidRPr="00F00DD3">
        <w:t xml:space="preserve"> </w:t>
      </w:r>
      <w:r>
        <w:t>Cinsiyetin de özellikle genç ve orta yaşlarda risk farklılıklarına katkıda bulunabileceği görülmüştür.</w:t>
      </w:r>
      <w:r w:rsidRPr="00F00DD3">
        <w:rPr>
          <w:lang w:val="tr-TR"/>
        </w:rPr>
        <w:t xml:space="preserve"> Elde edilen bu ön bulgular, daha ileri </w:t>
      </w:r>
      <w:proofErr w:type="spellStart"/>
      <w:r w:rsidRPr="00F00DD3">
        <w:rPr>
          <w:lang w:val="tr-TR"/>
        </w:rPr>
        <w:t>biyoinformatik</w:t>
      </w:r>
      <w:proofErr w:type="spellEnd"/>
      <w:r w:rsidRPr="00F00DD3">
        <w:rPr>
          <w:lang w:val="tr-TR"/>
        </w:rPr>
        <w:t xml:space="preserve"> analizleri ve makine öğrenimi modellemeleri için değerli bir temel oluşturmaktadır. </w:t>
      </w:r>
      <w:r>
        <w:t>Elde edilen bu bulgular, inme riskini tahmin etmeye yönelik daha sonraki modelleme çalışmalarına önemli bir girdi sağlayacak ve risk faktörlerinin daha detaylı analiz edilmesinin önemini vurgulayacaktır.</w:t>
      </w:r>
      <w:r w:rsidR="00F63C4E" w:rsidRPr="00210AE1">
        <w:rPr>
          <w:b/>
        </w:rPr>
        <w:t xml:space="preserve"> </w:t>
      </w:r>
    </w:p>
    <w:p w14:paraId="664355AD" w14:textId="77777777" w:rsidR="003D5D1F" w:rsidRPr="00210AE1" w:rsidRDefault="003D5D1F"/>
    <w:sectPr w:rsidR="003D5D1F" w:rsidRPr="00210AE1">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628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341E8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8261C6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9A42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1F"/>
    <w:rsid w:val="000032A2"/>
    <w:rsid w:val="00210AE1"/>
    <w:rsid w:val="002511C3"/>
    <w:rsid w:val="003D5D1F"/>
    <w:rsid w:val="00404C63"/>
    <w:rsid w:val="00431500"/>
    <w:rsid w:val="005E3629"/>
    <w:rsid w:val="006D1654"/>
    <w:rsid w:val="006F5F94"/>
    <w:rsid w:val="00732485"/>
    <w:rsid w:val="008518D3"/>
    <w:rsid w:val="008D20B1"/>
    <w:rsid w:val="0095564C"/>
    <w:rsid w:val="0096782D"/>
    <w:rsid w:val="009B65C9"/>
    <w:rsid w:val="00A139FB"/>
    <w:rsid w:val="00A55D8B"/>
    <w:rsid w:val="00A96AD2"/>
    <w:rsid w:val="00AE531C"/>
    <w:rsid w:val="00BC2FC2"/>
    <w:rsid w:val="00C269C3"/>
    <w:rsid w:val="00CE1499"/>
    <w:rsid w:val="00D4535F"/>
    <w:rsid w:val="00D83D2B"/>
    <w:rsid w:val="00D93F7F"/>
    <w:rsid w:val="00E42BBD"/>
    <w:rsid w:val="00EF3676"/>
    <w:rsid w:val="00F00DD3"/>
    <w:rsid w:val="00F63C4E"/>
    <w:rsid w:val="07A1811E"/>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F2E3"/>
  <w15:docId w15:val="{BFDE9720-4466-43D4-82D9-345EE6F6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styleId="TabloKlavuzu">
    <w:name w:val="Table Grid"/>
    <w:basedOn w:val="NormalTablo"/>
    <w:uiPriority w:val="39"/>
    <w:rsid w:val="00D453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11C3"/>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9B6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9913">
      <w:bodyDiv w:val="1"/>
      <w:marLeft w:val="0"/>
      <w:marRight w:val="0"/>
      <w:marTop w:val="0"/>
      <w:marBottom w:val="0"/>
      <w:divBdr>
        <w:top w:val="none" w:sz="0" w:space="0" w:color="auto"/>
        <w:left w:val="none" w:sz="0" w:space="0" w:color="auto"/>
        <w:bottom w:val="none" w:sz="0" w:space="0" w:color="auto"/>
        <w:right w:val="none" w:sz="0" w:space="0" w:color="auto"/>
      </w:divBdr>
    </w:div>
    <w:div w:id="77946397">
      <w:bodyDiv w:val="1"/>
      <w:marLeft w:val="0"/>
      <w:marRight w:val="0"/>
      <w:marTop w:val="0"/>
      <w:marBottom w:val="0"/>
      <w:divBdr>
        <w:top w:val="none" w:sz="0" w:space="0" w:color="auto"/>
        <w:left w:val="none" w:sz="0" w:space="0" w:color="auto"/>
        <w:bottom w:val="none" w:sz="0" w:space="0" w:color="auto"/>
        <w:right w:val="none" w:sz="0" w:space="0" w:color="auto"/>
      </w:divBdr>
    </w:div>
    <w:div w:id="102657954">
      <w:bodyDiv w:val="1"/>
      <w:marLeft w:val="0"/>
      <w:marRight w:val="0"/>
      <w:marTop w:val="0"/>
      <w:marBottom w:val="0"/>
      <w:divBdr>
        <w:top w:val="none" w:sz="0" w:space="0" w:color="auto"/>
        <w:left w:val="none" w:sz="0" w:space="0" w:color="auto"/>
        <w:bottom w:val="none" w:sz="0" w:space="0" w:color="auto"/>
        <w:right w:val="none" w:sz="0" w:space="0" w:color="auto"/>
      </w:divBdr>
    </w:div>
    <w:div w:id="121384938">
      <w:bodyDiv w:val="1"/>
      <w:marLeft w:val="0"/>
      <w:marRight w:val="0"/>
      <w:marTop w:val="0"/>
      <w:marBottom w:val="0"/>
      <w:divBdr>
        <w:top w:val="none" w:sz="0" w:space="0" w:color="auto"/>
        <w:left w:val="none" w:sz="0" w:space="0" w:color="auto"/>
        <w:bottom w:val="none" w:sz="0" w:space="0" w:color="auto"/>
        <w:right w:val="none" w:sz="0" w:space="0" w:color="auto"/>
      </w:divBdr>
    </w:div>
    <w:div w:id="297882189">
      <w:bodyDiv w:val="1"/>
      <w:marLeft w:val="0"/>
      <w:marRight w:val="0"/>
      <w:marTop w:val="0"/>
      <w:marBottom w:val="0"/>
      <w:divBdr>
        <w:top w:val="none" w:sz="0" w:space="0" w:color="auto"/>
        <w:left w:val="none" w:sz="0" w:space="0" w:color="auto"/>
        <w:bottom w:val="none" w:sz="0" w:space="0" w:color="auto"/>
        <w:right w:val="none" w:sz="0" w:space="0" w:color="auto"/>
      </w:divBdr>
    </w:div>
    <w:div w:id="379129546">
      <w:bodyDiv w:val="1"/>
      <w:marLeft w:val="0"/>
      <w:marRight w:val="0"/>
      <w:marTop w:val="0"/>
      <w:marBottom w:val="0"/>
      <w:divBdr>
        <w:top w:val="none" w:sz="0" w:space="0" w:color="auto"/>
        <w:left w:val="none" w:sz="0" w:space="0" w:color="auto"/>
        <w:bottom w:val="none" w:sz="0" w:space="0" w:color="auto"/>
        <w:right w:val="none" w:sz="0" w:space="0" w:color="auto"/>
      </w:divBdr>
    </w:div>
    <w:div w:id="439227152">
      <w:bodyDiv w:val="1"/>
      <w:marLeft w:val="0"/>
      <w:marRight w:val="0"/>
      <w:marTop w:val="0"/>
      <w:marBottom w:val="0"/>
      <w:divBdr>
        <w:top w:val="none" w:sz="0" w:space="0" w:color="auto"/>
        <w:left w:val="none" w:sz="0" w:space="0" w:color="auto"/>
        <w:bottom w:val="none" w:sz="0" w:space="0" w:color="auto"/>
        <w:right w:val="none" w:sz="0" w:space="0" w:color="auto"/>
      </w:divBdr>
    </w:div>
    <w:div w:id="441919536">
      <w:bodyDiv w:val="1"/>
      <w:marLeft w:val="0"/>
      <w:marRight w:val="0"/>
      <w:marTop w:val="0"/>
      <w:marBottom w:val="0"/>
      <w:divBdr>
        <w:top w:val="none" w:sz="0" w:space="0" w:color="auto"/>
        <w:left w:val="none" w:sz="0" w:space="0" w:color="auto"/>
        <w:bottom w:val="none" w:sz="0" w:space="0" w:color="auto"/>
        <w:right w:val="none" w:sz="0" w:space="0" w:color="auto"/>
      </w:divBdr>
    </w:div>
    <w:div w:id="565532490">
      <w:bodyDiv w:val="1"/>
      <w:marLeft w:val="0"/>
      <w:marRight w:val="0"/>
      <w:marTop w:val="0"/>
      <w:marBottom w:val="0"/>
      <w:divBdr>
        <w:top w:val="none" w:sz="0" w:space="0" w:color="auto"/>
        <w:left w:val="none" w:sz="0" w:space="0" w:color="auto"/>
        <w:bottom w:val="none" w:sz="0" w:space="0" w:color="auto"/>
        <w:right w:val="none" w:sz="0" w:space="0" w:color="auto"/>
      </w:divBdr>
    </w:div>
    <w:div w:id="618534346">
      <w:bodyDiv w:val="1"/>
      <w:marLeft w:val="0"/>
      <w:marRight w:val="0"/>
      <w:marTop w:val="0"/>
      <w:marBottom w:val="0"/>
      <w:divBdr>
        <w:top w:val="none" w:sz="0" w:space="0" w:color="auto"/>
        <w:left w:val="none" w:sz="0" w:space="0" w:color="auto"/>
        <w:bottom w:val="none" w:sz="0" w:space="0" w:color="auto"/>
        <w:right w:val="none" w:sz="0" w:space="0" w:color="auto"/>
      </w:divBdr>
    </w:div>
    <w:div w:id="621573285">
      <w:bodyDiv w:val="1"/>
      <w:marLeft w:val="0"/>
      <w:marRight w:val="0"/>
      <w:marTop w:val="0"/>
      <w:marBottom w:val="0"/>
      <w:divBdr>
        <w:top w:val="none" w:sz="0" w:space="0" w:color="auto"/>
        <w:left w:val="none" w:sz="0" w:space="0" w:color="auto"/>
        <w:bottom w:val="none" w:sz="0" w:space="0" w:color="auto"/>
        <w:right w:val="none" w:sz="0" w:space="0" w:color="auto"/>
      </w:divBdr>
    </w:div>
    <w:div w:id="699941211">
      <w:bodyDiv w:val="1"/>
      <w:marLeft w:val="0"/>
      <w:marRight w:val="0"/>
      <w:marTop w:val="0"/>
      <w:marBottom w:val="0"/>
      <w:divBdr>
        <w:top w:val="none" w:sz="0" w:space="0" w:color="auto"/>
        <w:left w:val="none" w:sz="0" w:space="0" w:color="auto"/>
        <w:bottom w:val="none" w:sz="0" w:space="0" w:color="auto"/>
        <w:right w:val="none" w:sz="0" w:space="0" w:color="auto"/>
      </w:divBdr>
    </w:div>
    <w:div w:id="864290609">
      <w:bodyDiv w:val="1"/>
      <w:marLeft w:val="0"/>
      <w:marRight w:val="0"/>
      <w:marTop w:val="0"/>
      <w:marBottom w:val="0"/>
      <w:divBdr>
        <w:top w:val="none" w:sz="0" w:space="0" w:color="auto"/>
        <w:left w:val="none" w:sz="0" w:space="0" w:color="auto"/>
        <w:bottom w:val="none" w:sz="0" w:space="0" w:color="auto"/>
        <w:right w:val="none" w:sz="0" w:space="0" w:color="auto"/>
      </w:divBdr>
    </w:div>
    <w:div w:id="886332941">
      <w:bodyDiv w:val="1"/>
      <w:marLeft w:val="0"/>
      <w:marRight w:val="0"/>
      <w:marTop w:val="0"/>
      <w:marBottom w:val="0"/>
      <w:divBdr>
        <w:top w:val="none" w:sz="0" w:space="0" w:color="auto"/>
        <w:left w:val="none" w:sz="0" w:space="0" w:color="auto"/>
        <w:bottom w:val="none" w:sz="0" w:space="0" w:color="auto"/>
        <w:right w:val="none" w:sz="0" w:space="0" w:color="auto"/>
      </w:divBdr>
    </w:div>
    <w:div w:id="896939015">
      <w:bodyDiv w:val="1"/>
      <w:marLeft w:val="0"/>
      <w:marRight w:val="0"/>
      <w:marTop w:val="0"/>
      <w:marBottom w:val="0"/>
      <w:divBdr>
        <w:top w:val="none" w:sz="0" w:space="0" w:color="auto"/>
        <w:left w:val="none" w:sz="0" w:space="0" w:color="auto"/>
        <w:bottom w:val="none" w:sz="0" w:space="0" w:color="auto"/>
        <w:right w:val="none" w:sz="0" w:space="0" w:color="auto"/>
      </w:divBdr>
    </w:div>
    <w:div w:id="962659227">
      <w:bodyDiv w:val="1"/>
      <w:marLeft w:val="0"/>
      <w:marRight w:val="0"/>
      <w:marTop w:val="0"/>
      <w:marBottom w:val="0"/>
      <w:divBdr>
        <w:top w:val="none" w:sz="0" w:space="0" w:color="auto"/>
        <w:left w:val="none" w:sz="0" w:space="0" w:color="auto"/>
        <w:bottom w:val="none" w:sz="0" w:space="0" w:color="auto"/>
        <w:right w:val="none" w:sz="0" w:space="0" w:color="auto"/>
      </w:divBdr>
    </w:div>
    <w:div w:id="968165392">
      <w:bodyDiv w:val="1"/>
      <w:marLeft w:val="0"/>
      <w:marRight w:val="0"/>
      <w:marTop w:val="0"/>
      <w:marBottom w:val="0"/>
      <w:divBdr>
        <w:top w:val="none" w:sz="0" w:space="0" w:color="auto"/>
        <w:left w:val="none" w:sz="0" w:space="0" w:color="auto"/>
        <w:bottom w:val="none" w:sz="0" w:space="0" w:color="auto"/>
        <w:right w:val="none" w:sz="0" w:space="0" w:color="auto"/>
      </w:divBdr>
    </w:div>
    <w:div w:id="1003552957">
      <w:bodyDiv w:val="1"/>
      <w:marLeft w:val="0"/>
      <w:marRight w:val="0"/>
      <w:marTop w:val="0"/>
      <w:marBottom w:val="0"/>
      <w:divBdr>
        <w:top w:val="none" w:sz="0" w:space="0" w:color="auto"/>
        <w:left w:val="none" w:sz="0" w:space="0" w:color="auto"/>
        <w:bottom w:val="none" w:sz="0" w:space="0" w:color="auto"/>
        <w:right w:val="none" w:sz="0" w:space="0" w:color="auto"/>
      </w:divBdr>
    </w:div>
    <w:div w:id="1052122047">
      <w:bodyDiv w:val="1"/>
      <w:marLeft w:val="0"/>
      <w:marRight w:val="0"/>
      <w:marTop w:val="0"/>
      <w:marBottom w:val="0"/>
      <w:divBdr>
        <w:top w:val="none" w:sz="0" w:space="0" w:color="auto"/>
        <w:left w:val="none" w:sz="0" w:space="0" w:color="auto"/>
        <w:bottom w:val="none" w:sz="0" w:space="0" w:color="auto"/>
        <w:right w:val="none" w:sz="0" w:space="0" w:color="auto"/>
      </w:divBdr>
    </w:div>
    <w:div w:id="1108234113">
      <w:bodyDiv w:val="1"/>
      <w:marLeft w:val="0"/>
      <w:marRight w:val="0"/>
      <w:marTop w:val="0"/>
      <w:marBottom w:val="0"/>
      <w:divBdr>
        <w:top w:val="none" w:sz="0" w:space="0" w:color="auto"/>
        <w:left w:val="none" w:sz="0" w:space="0" w:color="auto"/>
        <w:bottom w:val="none" w:sz="0" w:space="0" w:color="auto"/>
        <w:right w:val="none" w:sz="0" w:space="0" w:color="auto"/>
      </w:divBdr>
    </w:div>
    <w:div w:id="1136873421">
      <w:bodyDiv w:val="1"/>
      <w:marLeft w:val="0"/>
      <w:marRight w:val="0"/>
      <w:marTop w:val="0"/>
      <w:marBottom w:val="0"/>
      <w:divBdr>
        <w:top w:val="none" w:sz="0" w:space="0" w:color="auto"/>
        <w:left w:val="none" w:sz="0" w:space="0" w:color="auto"/>
        <w:bottom w:val="none" w:sz="0" w:space="0" w:color="auto"/>
        <w:right w:val="none" w:sz="0" w:space="0" w:color="auto"/>
      </w:divBdr>
    </w:div>
    <w:div w:id="1139684884">
      <w:bodyDiv w:val="1"/>
      <w:marLeft w:val="0"/>
      <w:marRight w:val="0"/>
      <w:marTop w:val="0"/>
      <w:marBottom w:val="0"/>
      <w:divBdr>
        <w:top w:val="none" w:sz="0" w:space="0" w:color="auto"/>
        <w:left w:val="none" w:sz="0" w:space="0" w:color="auto"/>
        <w:bottom w:val="none" w:sz="0" w:space="0" w:color="auto"/>
        <w:right w:val="none" w:sz="0" w:space="0" w:color="auto"/>
      </w:divBdr>
    </w:div>
    <w:div w:id="1159543179">
      <w:bodyDiv w:val="1"/>
      <w:marLeft w:val="0"/>
      <w:marRight w:val="0"/>
      <w:marTop w:val="0"/>
      <w:marBottom w:val="0"/>
      <w:divBdr>
        <w:top w:val="none" w:sz="0" w:space="0" w:color="auto"/>
        <w:left w:val="none" w:sz="0" w:space="0" w:color="auto"/>
        <w:bottom w:val="none" w:sz="0" w:space="0" w:color="auto"/>
        <w:right w:val="none" w:sz="0" w:space="0" w:color="auto"/>
      </w:divBdr>
    </w:div>
    <w:div w:id="1169101290">
      <w:bodyDiv w:val="1"/>
      <w:marLeft w:val="0"/>
      <w:marRight w:val="0"/>
      <w:marTop w:val="0"/>
      <w:marBottom w:val="0"/>
      <w:divBdr>
        <w:top w:val="none" w:sz="0" w:space="0" w:color="auto"/>
        <w:left w:val="none" w:sz="0" w:space="0" w:color="auto"/>
        <w:bottom w:val="none" w:sz="0" w:space="0" w:color="auto"/>
        <w:right w:val="none" w:sz="0" w:space="0" w:color="auto"/>
      </w:divBdr>
    </w:div>
    <w:div w:id="1194533263">
      <w:bodyDiv w:val="1"/>
      <w:marLeft w:val="0"/>
      <w:marRight w:val="0"/>
      <w:marTop w:val="0"/>
      <w:marBottom w:val="0"/>
      <w:divBdr>
        <w:top w:val="none" w:sz="0" w:space="0" w:color="auto"/>
        <w:left w:val="none" w:sz="0" w:space="0" w:color="auto"/>
        <w:bottom w:val="none" w:sz="0" w:space="0" w:color="auto"/>
        <w:right w:val="none" w:sz="0" w:space="0" w:color="auto"/>
      </w:divBdr>
    </w:div>
    <w:div w:id="1219827424">
      <w:bodyDiv w:val="1"/>
      <w:marLeft w:val="0"/>
      <w:marRight w:val="0"/>
      <w:marTop w:val="0"/>
      <w:marBottom w:val="0"/>
      <w:divBdr>
        <w:top w:val="none" w:sz="0" w:space="0" w:color="auto"/>
        <w:left w:val="none" w:sz="0" w:space="0" w:color="auto"/>
        <w:bottom w:val="none" w:sz="0" w:space="0" w:color="auto"/>
        <w:right w:val="none" w:sz="0" w:space="0" w:color="auto"/>
      </w:divBdr>
    </w:div>
    <w:div w:id="1255241200">
      <w:bodyDiv w:val="1"/>
      <w:marLeft w:val="0"/>
      <w:marRight w:val="0"/>
      <w:marTop w:val="0"/>
      <w:marBottom w:val="0"/>
      <w:divBdr>
        <w:top w:val="none" w:sz="0" w:space="0" w:color="auto"/>
        <w:left w:val="none" w:sz="0" w:space="0" w:color="auto"/>
        <w:bottom w:val="none" w:sz="0" w:space="0" w:color="auto"/>
        <w:right w:val="none" w:sz="0" w:space="0" w:color="auto"/>
      </w:divBdr>
    </w:div>
    <w:div w:id="1338966985">
      <w:bodyDiv w:val="1"/>
      <w:marLeft w:val="0"/>
      <w:marRight w:val="0"/>
      <w:marTop w:val="0"/>
      <w:marBottom w:val="0"/>
      <w:divBdr>
        <w:top w:val="none" w:sz="0" w:space="0" w:color="auto"/>
        <w:left w:val="none" w:sz="0" w:space="0" w:color="auto"/>
        <w:bottom w:val="none" w:sz="0" w:space="0" w:color="auto"/>
        <w:right w:val="none" w:sz="0" w:space="0" w:color="auto"/>
      </w:divBdr>
    </w:div>
    <w:div w:id="1371033718">
      <w:bodyDiv w:val="1"/>
      <w:marLeft w:val="0"/>
      <w:marRight w:val="0"/>
      <w:marTop w:val="0"/>
      <w:marBottom w:val="0"/>
      <w:divBdr>
        <w:top w:val="none" w:sz="0" w:space="0" w:color="auto"/>
        <w:left w:val="none" w:sz="0" w:space="0" w:color="auto"/>
        <w:bottom w:val="none" w:sz="0" w:space="0" w:color="auto"/>
        <w:right w:val="none" w:sz="0" w:space="0" w:color="auto"/>
      </w:divBdr>
    </w:div>
    <w:div w:id="1372921541">
      <w:bodyDiv w:val="1"/>
      <w:marLeft w:val="0"/>
      <w:marRight w:val="0"/>
      <w:marTop w:val="0"/>
      <w:marBottom w:val="0"/>
      <w:divBdr>
        <w:top w:val="none" w:sz="0" w:space="0" w:color="auto"/>
        <w:left w:val="none" w:sz="0" w:space="0" w:color="auto"/>
        <w:bottom w:val="none" w:sz="0" w:space="0" w:color="auto"/>
        <w:right w:val="none" w:sz="0" w:space="0" w:color="auto"/>
      </w:divBdr>
    </w:div>
    <w:div w:id="1397045574">
      <w:bodyDiv w:val="1"/>
      <w:marLeft w:val="0"/>
      <w:marRight w:val="0"/>
      <w:marTop w:val="0"/>
      <w:marBottom w:val="0"/>
      <w:divBdr>
        <w:top w:val="none" w:sz="0" w:space="0" w:color="auto"/>
        <w:left w:val="none" w:sz="0" w:space="0" w:color="auto"/>
        <w:bottom w:val="none" w:sz="0" w:space="0" w:color="auto"/>
        <w:right w:val="none" w:sz="0" w:space="0" w:color="auto"/>
      </w:divBdr>
    </w:div>
    <w:div w:id="1492795381">
      <w:bodyDiv w:val="1"/>
      <w:marLeft w:val="0"/>
      <w:marRight w:val="0"/>
      <w:marTop w:val="0"/>
      <w:marBottom w:val="0"/>
      <w:divBdr>
        <w:top w:val="none" w:sz="0" w:space="0" w:color="auto"/>
        <w:left w:val="none" w:sz="0" w:space="0" w:color="auto"/>
        <w:bottom w:val="none" w:sz="0" w:space="0" w:color="auto"/>
        <w:right w:val="none" w:sz="0" w:space="0" w:color="auto"/>
      </w:divBdr>
    </w:div>
    <w:div w:id="1494683748">
      <w:bodyDiv w:val="1"/>
      <w:marLeft w:val="0"/>
      <w:marRight w:val="0"/>
      <w:marTop w:val="0"/>
      <w:marBottom w:val="0"/>
      <w:divBdr>
        <w:top w:val="none" w:sz="0" w:space="0" w:color="auto"/>
        <w:left w:val="none" w:sz="0" w:space="0" w:color="auto"/>
        <w:bottom w:val="none" w:sz="0" w:space="0" w:color="auto"/>
        <w:right w:val="none" w:sz="0" w:space="0" w:color="auto"/>
      </w:divBdr>
    </w:div>
    <w:div w:id="1603801918">
      <w:bodyDiv w:val="1"/>
      <w:marLeft w:val="0"/>
      <w:marRight w:val="0"/>
      <w:marTop w:val="0"/>
      <w:marBottom w:val="0"/>
      <w:divBdr>
        <w:top w:val="none" w:sz="0" w:space="0" w:color="auto"/>
        <w:left w:val="none" w:sz="0" w:space="0" w:color="auto"/>
        <w:bottom w:val="none" w:sz="0" w:space="0" w:color="auto"/>
        <w:right w:val="none" w:sz="0" w:space="0" w:color="auto"/>
      </w:divBdr>
    </w:div>
    <w:div w:id="1615138903">
      <w:bodyDiv w:val="1"/>
      <w:marLeft w:val="0"/>
      <w:marRight w:val="0"/>
      <w:marTop w:val="0"/>
      <w:marBottom w:val="0"/>
      <w:divBdr>
        <w:top w:val="none" w:sz="0" w:space="0" w:color="auto"/>
        <w:left w:val="none" w:sz="0" w:space="0" w:color="auto"/>
        <w:bottom w:val="none" w:sz="0" w:space="0" w:color="auto"/>
        <w:right w:val="none" w:sz="0" w:space="0" w:color="auto"/>
      </w:divBdr>
    </w:div>
    <w:div w:id="1683625586">
      <w:bodyDiv w:val="1"/>
      <w:marLeft w:val="0"/>
      <w:marRight w:val="0"/>
      <w:marTop w:val="0"/>
      <w:marBottom w:val="0"/>
      <w:divBdr>
        <w:top w:val="none" w:sz="0" w:space="0" w:color="auto"/>
        <w:left w:val="none" w:sz="0" w:space="0" w:color="auto"/>
        <w:bottom w:val="none" w:sz="0" w:space="0" w:color="auto"/>
        <w:right w:val="none" w:sz="0" w:space="0" w:color="auto"/>
      </w:divBdr>
    </w:div>
    <w:div w:id="1690567568">
      <w:bodyDiv w:val="1"/>
      <w:marLeft w:val="0"/>
      <w:marRight w:val="0"/>
      <w:marTop w:val="0"/>
      <w:marBottom w:val="0"/>
      <w:divBdr>
        <w:top w:val="none" w:sz="0" w:space="0" w:color="auto"/>
        <w:left w:val="none" w:sz="0" w:space="0" w:color="auto"/>
        <w:bottom w:val="none" w:sz="0" w:space="0" w:color="auto"/>
        <w:right w:val="none" w:sz="0" w:space="0" w:color="auto"/>
      </w:divBdr>
    </w:div>
    <w:div w:id="1782844839">
      <w:bodyDiv w:val="1"/>
      <w:marLeft w:val="0"/>
      <w:marRight w:val="0"/>
      <w:marTop w:val="0"/>
      <w:marBottom w:val="0"/>
      <w:divBdr>
        <w:top w:val="none" w:sz="0" w:space="0" w:color="auto"/>
        <w:left w:val="none" w:sz="0" w:space="0" w:color="auto"/>
        <w:bottom w:val="none" w:sz="0" w:space="0" w:color="auto"/>
        <w:right w:val="none" w:sz="0" w:space="0" w:color="auto"/>
      </w:divBdr>
    </w:div>
    <w:div w:id="1797488018">
      <w:bodyDiv w:val="1"/>
      <w:marLeft w:val="0"/>
      <w:marRight w:val="0"/>
      <w:marTop w:val="0"/>
      <w:marBottom w:val="0"/>
      <w:divBdr>
        <w:top w:val="none" w:sz="0" w:space="0" w:color="auto"/>
        <w:left w:val="none" w:sz="0" w:space="0" w:color="auto"/>
        <w:bottom w:val="none" w:sz="0" w:space="0" w:color="auto"/>
        <w:right w:val="none" w:sz="0" w:space="0" w:color="auto"/>
      </w:divBdr>
    </w:div>
    <w:div w:id="1800681945">
      <w:bodyDiv w:val="1"/>
      <w:marLeft w:val="0"/>
      <w:marRight w:val="0"/>
      <w:marTop w:val="0"/>
      <w:marBottom w:val="0"/>
      <w:divBdr>
        <w:top w:val="none" w:sz="0" w:space="0" w:color="auto"/>
        <w:left w:val="none" w:sz="0" w:space="0" w:color="auto"/>
        <w:bottom w:val="none" w:sz="0" w:space="0" w:color="auto"/>
        <w:right w:val="none" w:sz="0" w:space="0" w:color="auto"/>
      </w:divBdr>
    </w:div>
    <w:div w:id="1853103570">
      <w:bodyDiv w:val="1"/>
      <w:marLeft w:val="0"/>
      <w:marRight w:val="0"/>
      <w:marTop w:val="0"/>
      <w:marBottom w:val="0"/>
      <w:divBdr>
        <w:top w:val="none" w:sz="0" w:space="0" w:color="auto"/>
        <w:left w:val="none" w:sz="0" w:space="0" w:color="auto"/>
        <w:bottom w:val="none" w:sz="0" w:space="0" w:color="auto"/>
        <w:right w:val="none" w:sz="0" w:space="0" w:color="auto"/>
      </w:divBdr>
    </w:div>
    <w:div w:id="1904365162">
      <w:bodyDiv w:val="1"/>
      <w:marLeft w:val="0"/>
      <w:marRight w:val="0"/>
      <w:marTop w:val="0"/>
      <w:marBottom w:val="0"/>
      <w:divBdr>
        <w:top w:val="none" w:sz="0" w:space="0" w:color="auto"/>
        <w:left w:val="none" w:sz="0" w:space="0" w:color="auto"/>
        <w:bottom w:val="none" w:sz="0" w:space="0" w:color="auto"/>
        <w:right w:val="none" w:sz="0" w:space="0" w:color="auto"/>
      </w:divBdr>
    </w:div>
    <w:div w:id="1916939807">
      <w:bodyDiv w:val="1"/>
      <w:marLeft w:val="0"/>
      <w:marRight w:val="0"/>
      <w:marTop w:val="0"/>
      <w:marBottom w:val="0"/>
      <w:divBdr>
        <w:top w:val="none" w:sz="0" w:space="0" w:color="auto"/>
        <w:left w:val="none" w:sz="0" w:space="0" w:color="auto"/>
        <w:bottom w:val="none" w:sz="0" w:space="0" w:color="auto"/>
        <w:right w:val="none" w:sz="0" w:space="0" w:color="auto"/>
      </w:divBdr>
    </w:div>
    <w:div w:id="1917550506">
      <w:bodyDiv w:val="1"/>
      <w:marLeft w:val="0"/>
      <w:marRight w:val="0"/>
      <w:marTop w:val="0"/>
      <w:marBottom w:val="0"/>
      <w:divBdr>
        <w:top w:val="none" w:sz="0" w:space="0" w:color="auto"/>
        <w:left w:val="none" w:sz="0" w:space="0" w:color="auto"/>
        <w:bottom w:val="none" w:sz="0" w:space="0" w:color="auto"/>
        <w:right w:val="none" w:sz="0" w:space="0" w:color="auto"/>
      </w:divBdr>
    </w:div>
    <w:div w:id="1931811816">
      <w:bodyDiv w:val="1"/>
      <w:marLeft w:val="0"/>
      <w:marRight w:val="0"/>
      <w:marTop w:val="0"/>
      <w:marBottom w:val="0"/>
      <w:divBdr>
        <w:top w:val="none" w:sz="0" w:space="0" w:color="auto"/>
        <w:left w:val="none" w:sz="0" w:space="0" w:color="auto"/>
        <w:bottom w:val="none" w:sz="0" w:space="0" w:color="auto"/>
        <w:right w:val="none" w:sz="0" w:space="0" w:color="auto"/>
      </w:divBdr>
    </w:div>
    <w:div w:id="1948270833">
      <w:bodyDiv w:val="1"/>
      <w:marLeft w:val="0"/>
      <w:marRight w:val="0"/>
      <w:marTop w:val="0"/>
      <w:marBottom w:val="0"/>
      <w:divBdr>
        <w:top w:val="none" w:sz="0" w:space="0" w:color="auto"/>
        <w:left w:val="none" w:sz="0" w:space="0" w:color="auto"/>
        <w:bottom w:val="none" w:sz="0" w:space="0" w:color="auto"/>
        <w:right w:val="none" w:sz="0" w:space="0" w:color="auto"/>
      </w:divBdr>
    </w:div>
    <w:div w:id="1995796156">
      <w:bodyDiv w:val="1"/>
      <w:marLeft w:val="0"/>
      <w:marRight w:val="0"/>
      <w:marTop w:val="0"/>
      <w:marBottom w:val="0"/>
      <w:divBdr>
        <w:top w:val="none" w:sz="0" w:space="0" w:color="auto"/>
        <w:left w:val="none" w:sz="0" w:space="0" w:color="auto"/>
        <w:bottom w:val="none" w:sz="0" w:space="0" w:color="auto"/>
        <w:right w:val="none" w:sz="0" w:space="0" w:color="auto"/>
      </w:divBdr>
    </w:div>
    <w:div w:id="1998876347">
      <w:bodyDiv w:val="1"/>
      <w:marLeft w:val="0"/>
      <w:marRight w:val="0"/>
      <w:marTop w:val="0"/>
      <w:marBottom w:val="0"/>
      <w:divBdr>
        <w:top w:val="none" w:sz="0" w:space="0" w:color="auto"/>
        <w:left w:val="none" w:sz="0" w:space="0" w:color="auto"/>
        <w:bottom w:val="none" w:sz="0" w:space="0" w:color="auto"/>
        <w:right w:val="none" w:sz="0" w:space="0" w:color="auto"/>
      </w:divBdr>
    </w:div>
    <w:div w:id="2068528701">
      <w:bodyDiv w:val="1"/>
      <w:marLeft w:val="0"/>
      <w:marRight w:val="0"/>
      <w:marTop w:val="0"/>
      <w:marBottom w:val="0"/>
      <w:divBdr>
        <w:top w:val="none" w:sz="0" w:space="0" w:color="auto"/>
        <w:left w:val="none" w:sz="0" w:space="0" w:color="auto"/>
        <w:bottom w:val="none" w:sz="0" w:space="0" w:color="auto"/>
        <w:right w:val="none" w:sz="0" w:space="0" w:color="auto"/>
      </w:divBdr>
    </w:div>
    <w:div w:id="2080133684">
      <w:bodyDiv w:val="1"/>
      <w:marLeft w:val="0"/>
      <w:marRight w:val="0"/>
      <w:marTop w:val="0"/>
      <w:marBottom w:val="0"/>
      <w:divBdr>
        <w:top w:val="none" w:sz="0" w:space="0" w:color="auto"/>
        <w:left w:val="none" w:sz="0" w:space="0" w:color="auto"/>
        <w:bottom w:val="none" w:sz="0" w:space="0" w:color="auto"/>
        <w:right w:val="none" w:sz="0" w:space="0" w:color="auto"/>
      </w:divBdr>
    </w:div>
    <w:div w:id="2091002886">
      <w:bodyDiv w:val="1"/>
      <w:marLeft w:val="0"/>
      <w:marRight w:val="0"/>
      <w:marTop w:val="0"/>
      <w:marBottom w:val="0"/>
      <w:divBdr>
        <w:top w:val="none" w:sz="0" w:space="0" w:color="auto"/>
        <w:left w:val="none" w:sz="0" w:space="0" w:color="auto"/>
        <w:bottom w:val="none" w:sz="0" w:space="0" w:color="auto"/>
        <w:right w:val="none" w:sz="0" w:space="0" w:color="auto"/>
      </w:divBdr>
    </w:div>
    <w:div w:id="2091848648">
      <w:bodyDiv w:val="1"/>
      <w:marLeft w:val="0"/>
      <w:marRight w:val="0"/>
      <w:marTop w:val="0"/>
      <w:marBottom w:val="0"/>
      <w:divBdr>
        <w:top w:val="none" w:sz="0" w:space="0" w:color="auto"/>
        <w:left w:val="none" w:sz="0" w:space="0" w:color="auto"/>
        <w:bottom w:val="none" w:sz="0" w:space="0" w:color="auto"/>
        <w:right w:val="none" w:sz="0" w:space="0" w:color="auto"/>
      </w:divBdr>
    </w:div>
    <w:div w:id="2102330255">
      <w:bodyDiv w:val="1"/>
      <w:marLeft w:val="0"/>
      <w:marRight w:val="0"/>
      <w:marTop w:val="0"/>
      <w:marBottom w:val="0"/>
      <w:divBdr>
        <w:top w:val="none" w:sz="0" w:space="0" w:color="auto"/>
        <w:left w:val="none" w:sz="0" w:space="0" w:color="auto"/>
        <w:bottom w:val="none" w:sz="0" w:space="0" w:color="auto"/>
        <w:right w:val="none" w:sz="0" w:space="0" w:color="auto"/>
      </w:divBdr>
    </w:div>
    <w:div w:id="2108229060">
      <w:bodyDiv w:val="1"/>
      <w:marLeft w:val="0"/>
      <w:marRight w:val="0"/>
      <w:marTop w:val="0"/>
      <w:marBottom w:val="0"/>
      <w:divBdr>
        <w:top w:val="none" w:sz="0" w:space="0" w:color="auto"/>
        <w:left w:val="none" w:sz="0" w:space="0" w:color="auto"/>
        <w:bottom w:val="none" w:sz="0" w:space="0" w:color="auto"/>
        <w:right w:val="none" w:sz="0" w:space="0" w:color="auto"/>
      </w:divBdr>
    </w:div>
    <w:div w:id="213178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AC201-C80D-43C2-A319-C7DF8DE3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1388</Words>
  <Characters>7913</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suhaertugrulcakmak</dc:creator>
  <cp:lastModifiedBy>ZEHRA İLAYDA DEMİRCİ</cp:lastModifiedBy>
  <cp:revision>15</cp:revision>
  <dcterms:created xsi:type="dcterms:W3CDTF">2024-12-30T13:17:00Z</dcterms:created>
  <dcterms:modified xsi:type="dcterms:W3CDTF">2025-08-07T02:41:00Z</dcterms:modified>
</cp:coreProperties>
</file>