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8C8C"/>
          <w:sz w:val="20"/>
          <w:szCs w:val="20"/>
        </w:rPr>
        <w:t xml:space="preserve">SAFETY 4.0 · GÜNCEL KONULAR PROJESİ · HAFTA 4</w:t>
      </w:r>
    </w:p>
    <w:p>
      <w:pPr>
        <w:spacing w:after="60"/>
      </w:pPr>
      <w:r>
        <w:rPr>
          <w:b/>
          <w:bCs/>
          <w:sz w:val="44"/>
          <w:szCs w:val="44"/>
        </w:rPr>
        <w:t xml:space="preserve">Secure Remote Access</w:t>
      </w:r>
    </w:p>
    <w:p>
      <w:pPr>
        <w:spacing w:after="200"/>
      </w:pPr>
      <w:r>
        <w:rPr>
          <w:color w:val="555555"/>
          <w:sz w:val="28"/>
          <w:szCs w:val="28"/>
        </w:rPr>
        <w:t xml:space="preserve">CEOTHERM Homojenizasyon Tesisi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Föy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Çıktı</w:t>
            </w:r>
          </w:p>
        </w:tc>
        <w:tc>
          <w:tcPr>
            <w:tcW w:type="dxa" w:w="3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Makine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Lab 4 · Secure Remote Access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Architecture → EP 02 + EP 06</w:t>
            </w:r>
          </w:p>
        </w:tc>
        <w:tc>
          <w:tcPr>
            <w:tcW w:type="dxa" w:w="3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Fırın + soğutma kabini + biyet transfer arabası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Kavram: </w:t>
      </w:r>
      <w:r>
        <w:t xml:space="preserve">İki katman, ikisi de şart. </w:t>
      </w:r>
      <w:r>
        <w:rPr>
          <w:b/>
          <w:bCs/>
        </w:rPr>
        <w:t xml:space="preserve">Erişim güvenliği</w:t>
      </w:r>
      <w:r>
        <w:t xml:space="preserve"> girişi zorlaştırır (ara nokta, VPN, MFA, kişisel hesap, kayıt, varsayılan kapalı). </w:t>
      </w:r>
      <w:r>
        <w:rPr>
          <w:b/>
          <w:bCs/>
        </w:rPr>
        <w:t xml:space="preserve">Emniyet bağımsızlığı</w:t>
      </w:r>
      <w:r>
        <w:t xml:space="preserve"> ise saldırgan içeri girse bile insanı korur.</w:t>
      </w:r>
    </w:p>
    <w:p>
      <w:pPr>
        <w:spacing w:after="120" w:before="120"/>
      </w:pPr>
      <w:r>
        <w:rPr>
          <w:i/>
          <w:iCs/>
          <w:color w:val="555555"/>
          <w:sz w:val="20"/>
          <w:szCs w:val="20"/>
        </w:rPr>
        <w:t xml:space="preserve">Mevcut durum, bu sınıf tesislerde yaygın olan korunmasız uzak bakım senaryosuna göre yazılmıştır; Ceotherm'in sitesinde uzak erişim yapısı belirtilmemiştir.</w:t>
      </w:r>
    </w:p>
    <w:p>
      <w:pPr>
        <w:pStyle w:val="Heading1"/>
        <w:spacing w:after="160" w:before="300"/>
      </w:pPr>
      <w:r>
        <w:t xml:space="preserve">Görev A – Mevcut → Hedef</w:t>
      </w:r>
    </w:p>
    <w:p>
      <w:pPr>
        <w:spacing w:after="160"/>
        <w:jc w:val="center"/>
      </w:pPr>
      <w:r>
        <w:drawing>
          <wp:inline distT="0" distB="0" distL="0" distR="0">
            <wp:extent cx="59055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40"/>
      </w:pPr>
      <w:r>
        <w:t xml:space="preserve">MEVCUT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Uzak bakım modülü internete doğrudan açık, ara nokta yok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MFA yok, ortak hesap, oturum kaydı yok (varsayım)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Erişim 7/24 açık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Proses PLC ile Safety PLC aynı ağda; emniyet katmanına ağ üzerinden ulaşılabilir</w:t>
      </w:r>
    </w:p>
    <w:p>
      <w:pPr>
        <w:pStyle w:val="Heading2"/>
        <w:keepNext/>
        <w:spacing w:after="100" w:before="240"/>
      </w:pPr>
      <w:r>
        <w:t xml:space="preserve">HEDEF (beş ilke)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rPr>
          <w:tblHeader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İlke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 yapar?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Ara nokta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Erişim yalnızca DMZ'deki jump server üzerinden. PLC'ye doğrudan bağlantı yok, PLC'ler internetten görünmez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VPN + MFA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Şifreli tünel ve çok faktörlü kimlik doğrulama zorunlu. Parola çalınsa bile tek başına yetmez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Kişisel hesap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 kullanıcı kendi hesabıyla girer, en az yetki ilkesi; ortak parola yok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Kayıt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Tüm oturumlar kaydedilir: kim, ne zaman, ne yaptı. Olayda kanıt, CRA bildirimi için gerekli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Varsayılan kapalı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Erişim talep ve onayla, süreli açılır; iş bitince kapanır. 8–11 saatlik proses sırasında uzaktan müdahale ayrıca risklidir</w:t>
            </w:r>
          </w:p>
        </w:tc>
      </w:tr>
    </w:tbl>
    <w:p>
      <w:pPr>
        <w:pStyle w:val="Heading1"/>
        <w:spacing w:after="160" w:before="300"/>
      </w:pPr>
      <w:r>
        <w:t xml:space="preserve">Görev B – Functional safety köprüsü</w:t>
      </w:r>
    </w:p>
    <w:p>
      <w:pPr>
        <w:pStyle w:val="Heading2"/>
        <w:keepNext/>
        <w:spacing w:after="100" w:before="240"/>
      </w:pPr>
      <w:r>
        <w:t xml:space="preserve">1. Saldırgan tüm önlemlere rağmen içeri girerse: emniyet fonksiyonu etkilenir mi? Neden?</w:t>
      </w:r>
    </w:p>
    <w:p>
      <w:pPr>
        <w:spacing w:after="120"/>
      </w:pPr>
      <w:r>
        <w:rPr>
          <w:b/>
          <w:bCs/>
        </w:rPr>
        <w:t xml:space="preserve">Etkilenmemeli. </w:t>
      </w:r>
      <w:r>
        <w:t xml:space="preserve">Emniyet fonksiyonu (SF1 yakma emniyeti, SF2 aşırı sıcaklık, acil stop) kontrol sisteminden ve ağdan bağımsız ayrı bir katmandır. Saldırgan proses PLC'yi ele geçirse bile emniyet devresini ağ üzerinden değiştiremez; makine güvenli duruma geçer ve insan korunur.</w:t>
      </w:r>
    </w:p>
    <w:p>
      <w:pPr>
        <w:spacing w:after="120"/>
      </w:pPr>
      <w:r>
        <w:rPr>
          <w:b/>
          <w:bCs/>
        </w:rPr>
        <w:t xml:space="preserve">Şart: </w:t>
      </w:r>
      <w:r>
        <w:t xml:space="preserve">Bu yalnızca emniyet katmanı gerçekten bağımsızsa doğrudur. Hafta 2'deki C4 conduitinde belirttiğimiz gibi, Safety PLC'ye ağdan yazma kapalı olmalıdır. Aksi halde erişim güvenliği tek başına yeterli olmaz; ikinci katman olmadan ilk katman aşıldığında koruma biter.</w:t>
      </w:r>
    </w:p>
    <w:p>
      <w:pPr>
        <w:pStyle w:val="Heading2"/>
        <w:keepNext/>
        <w:spacing w:after="100" w:before="240"/>
      </w:pPr>
      <w:r>
        <w:t xml:space="preserve">2. Emniyet fonksiyonunun kontrol sisteminden bağımsız çalışması için GEREKSİNİM (çözüm değil)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Emniyet fonksiyonu, proses kontrol sisteminden ve uzak erişim ağından bağımsız çalışmalıdır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Emniyet katmanı ağ üzerinden değiştirilememeli veya devre dışı bırakılamamalıdır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Kontrol sistemi arızalansa ya da ele geçirilse bile emniyet fonksiyonu kendi başına güvenli duruma geçebilmelidir (fail-safe)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Emniyet parametreleri yalnızca yerinde, yetkili kişi tarafından ve kayıt altında değiştirilebilmelidir</w:t>
      </w:r>
    </w:p>
    <w:p>
      <w:pPr>
        <w:spacing w:after="120" w:before="120"/>
      </w:pPr>
      <w:r>
        <w:rPr>
          <w:i/>
          <w:iCs/>
          <w:color w:val="555555"/>
          <w:sz w:val="20"/>
          <w:szCs w:val="20"/>
        </w:rPr>
        <w:t xml:space="preserve">Tarafsızlık notu: Bu föy çözüm tasarlatmaz; gereksinimi tanımlatır. Hangi ürün/mimariyle sağlanacağı firmanın tasarım kararıdır.</w:t>
      </w:r>
    </w:p>
    <w:p>
      <w:pPr>
        <w:spacing w:before="300"/>
      </w:pPr>
      <w:r>
        <w:rPr>
          <w:i/>
          <w:iCs/>
          <w:color w:val="777777"/>
          <w:sz w:val="18"/>
          <w:szCs w:val="18"/>
        </w:rPr>
        <w:t xml:space="preserve">Eğitim çalışmasıdır, resmî denetim değildir. Uzak erişim yapısı ve emniyet mimarisi varsayıma dayanır.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cs="Calibri" w:eastAsia="Calibri" w:hAnsi="Calibri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1A8C8C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a1986196948983bdb5a21836fa5f9eb1f5ed34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2026-10-23T12:40:54.824Z</dcterms:created>
  <dcterms:modified xsi:type="dcterms:W3CDTF">2026-10-23T12:40:54.825Z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