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Anforderungen an die bestehende Perlen-Web-App</w:t>
      </w:r>
    </w:p>
    <w:p>
      <w:pPr>
        <w:jc w:val="center"/>
      </w:pPr>
      <w:r>
        <w:rPr>
          <w:i/>
          <w:color w:val="77716D"/>
        </w:rPr>
        <w:t>Überarbeitete und ergänzte Fassung – Planungsgrundlage für die Weiterentwicklung</w:t>
      </w:r>
    </w:p>
    <w:p>
      <w:r>
        <w:t>Hinweis zur Verbindlichkeit: Dieser Text vereint die ursprünglich genannten Anforderungen mit den später ausdrücklich getroffenen Ergänzungen. Technische Einzelheiten, die nicht als persönliche Entscheidung festgelegt wurden, sollen aus diesen Anforderungen abgeleitet werden. Vorhandener Code ist zuerst zu prüfen; geeignete Funktionen sind wiederzuverwenden.</w:t>
      </w:r>
    </w:p>
    <w:p>
      <w:pPr>
        <w:pStyle w:val="Heading1"/>
      </w:pPr>
      <w:r>
        <w:t>Ziel und Vorgehensweise</w:t>
      </w:r>
    </w:p>
    <w:p>
      <w:pPr>
        <w:pStyle w:val="ListBullet"/>
      </w:pPr>
      <w:r>
        <w:t>Die bestehende HTML-Datei soll zu einer funktionierenden, intuitiv bedienbaren Web-App weiterentwickelt werden.</w:t>
      </w:r>
    </w:p>
    <w:p>
      <w:pPr>
        <w:pStyle w:val="ListBullet"/>
      </w:pPr>
      <w:r>
        <w:t>Bestehendes Design, vorhandene Funktionen, gespeicherte Daten, eindeutige IDs sowie Import und Export bleiben erhalten, soweit Erweiterungen keine kompatible Ergänzung erfordern.</w:t>
      </w:r>
    </w:p>
    <w:p>
      <w:pPr>
        <w:pStyle w:val="ListBullet"/>
      </w:pPr>
      <w:r>
        <w:t>Zuerst vorhandenen Code und Datenmodell prüfen. Geeignete Implementierungen wiederverwenden und nur notwendige Änderungen vornehmen.</w:t>
      </w:r>
    </w:p>
    <w:p>
      <w:pPr>
        <w:pStyle w:val="ListBullet"/>
      </w:pPr>
      <w:r>
        <w:t>Keine unnötigen Designänderungen, Zusatzfunktionen oder parallelen Datenbestände einführen.</w:t>
      </w:r>
    </w:p>
    <w:p>
      <w:pPr>
        <w:pStyle w:val="ListBullet"/>
      </w:pPr>
      <w:r>
        <w:t>Nach der Umsetzung kurz dokumentieren, welche Anforderungen umgesetzt wurden, welche teilweise umgesetzt sind und welche noch fehlen.</w:t>
      </w:r>
    </w:p>
    <w:p>
      <w:pPr>
        <w:pStyle w:val="Heading1"/>
      </w:pPr>
      <w:r>
        <w:t>1. Foto- und Farbanalyse</w:t>
      </w:r>
    </w:p>
    <w:p>
      <w:pPr>
        <w:pStyle w:val="ListBullet"/>
      </w:pPr>
      <w:r>
        <w:t>Fotos direkt aufnehmen oder aus der Mediathek auswählen können.</w:t>
      </w:r>
    </w:p>
    <w:p>
      <w:pPr>
        <w:pStyle w:val="ListBullet"/>
      </w:pPr>
      <w:r>
        <w:t>Sowohl Perlen in Fächern einer Aufbewahrungsbox als auch einzelne Dosen und mehrere nebeneinanderstehende Dosen analysieren können.</w:t>
      </w:r>
    </w:p>
    <w:p>
      <w:pPr>
        <w:pStyle w:val="ListBullet"/>
      </w:pPr>
      <w:r>
        <w:t>Das Raster muss sich an die tatsächliche Anordnung anpassen lassen; Anzahl und Größe der Rasterfelder dürfen nicht fest auf eine einzige Boxgröße beschränkt sein.</w:t>
      </w:r>
    </w:p>
    <w:p>
      <w:pPr>
        <w:pStyle w:val="ListBullet"/>
      </w:pPr>
      <w:r>
        <w:t>Die tatsächliche Grundfarbe möglichst robust bestimmen: relevanten Perlenbereich analysieren und ausreichend geeignete Pixel berücksichtigen.</w:t>
      </w:r>
    </w:p>
    <w:p>
      <w:pPr>
        <w:pStyle w:val="ListBullet"/>
      </w:pPr>
      <w:r>
        <w:t>Glanz, Reflexionen, Schatten und Überbelichtung möglichst erkennen beziehungsweise bei der Farbmessung reduzieren. Unsichere Ergebnisse sichtbar kennzeichnen.</w:t>
      </w:r>
    </w:p>
    <w:p>
      <w:pPr>
        <w:pStyle w:val="ListBullet"/>
      </w:pPr>
      <w:r>
        <w:t>Farbe und Oberflächeneffekte getrennt behandeln. Oberfläche, Material, Transparenz und Hintergrund können die sichtbare Messung beeinflussen, beweisen aber nicht allein eine bestimmte tatsächliche Farbe.</w:t>
      </w:r>
    </w:p>
    <w:p>
      <w:pPr>
        <w:pStyle w:val="ListBullet"/>
      </w:pPr>
      <w:r>
        <w:t>Für den Farbvergleich CIELAB und ΔE00 verwenden. Gemessene Farbe getrennt von Referenzfarbcode speichern; gemessene Farben als HEX, RGB und CIELAB ablegen.</w:t>
      </w:r>
    </w:p>
    <w:p>
      <w:pPr>
        <w:pStyle w:val="ListBullet"/>
      </w:pPr>
      <w:r>
        <w:t>Die vorhandenen Fotos wurden nach Angaben der Nutzerin unter vergleichbaren Aufnahmebedingungen erstellt: gleicher weißer Schreibtisch, dieselben zwei Stablampen, dieselbe Kamera, derselbe Winkel und dasselbe Licht. Diese Information darf als gemeinsamer Aufnahme-Kontext genutzt werden; sie garantiert dennoch nicht, dass Reflexionen und Schatten bei jeder Perle identisch sind.</w:t>
      </w:r>
    </w:p>
    <w:p>
      <w:pPr>
        <w:pStyle w:val="ListBullet"/>
      </w:pPr>
      <w:r>
        <w:t>Bei Dosenfotos Eingabefelder für die Anzahl sichtbarer kleiner und großer Dosen bereitstellen. Große Dosen einzeln markieren oder auswählen können. Eine ausdrückliche Auswahl „Keine großen Dosen vorhanden“ anbieten.</w:t>
      </w:r>
    </w:p>
    <w:p>
      <w:pPr>
        <w:pStyle w:val="ListBullet"/>
      </w:pPr>
      <w:r>
        <w:t>Die Dose, der eine analysierte Perle zugeordnet wird, muss eindeutig feststehen. Erkannte Perlen und Eigenschaften mit dieser Zuordnung speichern.</w:t>
      </w:r>
    </w:p>
    <w:p>
      <w:pPr>
        <w:pStyle w:val="ListBullet"/>
      </w:pPr>
      <w:r>
        <w:t>Die Farbanalyse soll zunächst mehrere plausible Referenzfarbton-Kandidaten mit ihren Messwerten und Vergleichsabständen erfassen können. Die Kandidaten sind zunächst Vorschläge und nicht automatisch endgültig bestätigt.</w:t>
      </w:r>
    </w:p>
    <w:p>
      <w:pPr>
        <w:pStyle w:val="ListBullet"/>
      </w:pPr>
      <w:r>
        <w:t>Im Tab „Bestand“ ergänzte Eigenschaften können für eine erneute Bewertung der Farbkandidaten herangezogen werden. Die App soll dabei keine pauschalen Farbkorrekturen allein aus Oberfläche oder Material ableiten.</w:t>
      </w:r>
    </w:p>
    <w:p>
      <w:pPr>
        <w:pStyle w:val="ListBullet"/>
      </w:pPr>
      <w:r>
        <w:t>Wenn die Datenlage ausreichend eindeutig ist, kann die App den wahrscheinlichsten Referenzton vorschlagen oder zuordnen. Bleiben mehrere Kandidaten ähnlich plausibel, müssen Alternativen und die Unsicherheit sichtbar bleiben; eine Bestätigung oder Korrektur durch die Nutzerin muss möglich sein.</w:t>
      </w:r>
    </w:p>
    <w:p>
      <w:pPr>
        <w:pStyle w:val="ListBullet"/>
      </w:pPr>
      <w:r>
        <w:t>Bestätigte oder korrigierte Farbzuordnungen dürfen als zusätzliche Beispieldaten für spätere Vorschläge verwendet werden, ohne aus einzelnen Fällen unbegründete allgemeine Regeln abzuleiten.</w:t>
      </w:r>
    </w:p>
    <w:p>
      <w:pPr>
        <w:pStyle w:val="ListBullet"/>
      </w:pPr>
      <w:r>
        <w:t>Vorhandene Referenzfarben und Funktionen erhalten, sofern sie nicht mit dem aktualisierten Farbsystem kollidieren. Änderungen an der Referenztabelle dürfen nicht durch einzelne Fotoanalysen automatisch ausgelöst werden.</w:t>
      </w:r>
    </w:p>
    <w:p>
      <w:pPr>
        <w:pStyle w:val="Heading1"/>
      </w:pPr>
      <w:r>
        <w:t>2. Aktualisiertes Farbreferenzsystem</w:t>
      </w:r>
    </w:p>
    <w:p>
      <w:pPr>
        <w:pStyle w:val="ListBullet"/>
      </w:pPr>
      <w:r>
        <w:t>Die frühere starre Begrenzung auf exakt 13 Grundfarben und 56 Referenztöne wird aufgehoben. Das Farbsystem soll eine größere Auswahl unterstützen und so aufgebaut sein, dass Grundfarben, Farbgruppen und Referenztöne später ohne grundlegenden Umbau ergänzt oder angepasst werden können.</w:t>
      </w:r>
    </w:p>
    <w:p>
      <w:pPr>
        <w:pStyle w:val="ListBullet"/>
      </w:pPr>
      <w:r>
        <w:t>Die zuvor besprochene Größenordnung von 23 Grundfarben/Farbgruppen und 126 Referenztönen ist lediglich ein möglicher Ausgangsvorschlag und noch keine endgültig bestätigte, verbindliche Anzahl. Die konkrete Farbpalette soll vor der Implementierung anhand typischer realer Perlenfarben sinnvoll festgelegt werden.</w:t>
      </w:r>
    </w:p>
    <w:p>
      <w:pPr>
        <w:pStyle w:val="ListBullet"/>
      </w:pPr>
      <w:r>
        <w:t>Jeder gespeicherte Referenzton besitzt eine eindeutige, stabile ID, eine zugehörige Grundfarbe, eine Farbgruppe und einen festen HEX-Referenzwert.</w:t>
      </w:r>
    </w:p>
    <w:p>
      <w:pPr>
        <w:pStyle w:val="ListBullet"/>
      </w:pPr>
      <w:r>
        <w:t>Farb-Hierarchie verwenden: Grundfarbe → Farbgruppe → Referenzfarbton → Farbcode. Beispielhafte Struktur: Grün → Mint → Referenzton 01 → GRN-MIN-01. Das konkrete Namensschema soll konsistent und erweiterbar sein.</w:t>
      </w:r>
    </w:p>
    <w:p>
      <w:pPr>
        <w:pStyle w:val="ListBullet"/>
      </w:pPr>
      <w:r>
        <w:t>Farbcode anhand des Vergleichs des gemessenen CIELAB-Werts mit den festen Referenzwerten und ΔE00 bestimmen. Referenzwerte bleiben unverändert, bis die Referenztabelle ausdrücklich administrativ geändert wird.</w:t>
      </w:r>
    </w:p>
    <w:p>
      <w:pPr>
        <w:pStyle w:val="ListBullet"/>
      </w:pPr>
      <w:r>
        <w:t>Gemessene Perlenfarbe und ausgewählter Referenzfarbton bleiben getrennte Datenfelder. Eine spätere Korrektur des Referenztons darf den ursprünglichen Messwert nicht überschreiben.</w:t>
      </w:r>
    </w:p>
    <w:p>
      <w:pPr>
        <w:pStyle w:val="ListBullet"/>
      </w:pPr>
      <w:r>
        <w:t>Das System soll nahe Farbtöne unterscheiden können, ohne eine unrealistische Genauigkeit vorzutäuschen. Kandidaten, ΔE00-Abstände, Zuordnungsstatus und gegebenenfalls Konfidenz sollen nachvollziehbar bleiben.</w:t>
      </w:r>
    </w:p>
    <w:p>
      <w:pPr>
        <w:pStyle w:val="ListBullet"/>
      </w:pPr>
      <w:r>
        <w:t>Die Farbreferenzpalette soll die in der Sammlung vorkommende Vielfalt unterschiedlicher Perlenarten berücksichtigen, darunter matte, glänzende, transparente, opake, irisierende, metallische und perlmuttartige Varianten. Oberflächeneffekte sind Eigenschaften und keine Ersatz-Grundfarben.</w:t>
      </w:r>
    </w:p>
    <w:p>
      <w:pPr>
        <w:pStyle w:val="Heading1"/>
      </w:pPr>
      <w:r>
        <w:t>3. Box-Foto und Raster</w:t>
      </w:r>
    </w:p>
    <w:p>
      <w:pPr>
        <w:pStyle w:val="ListBullet"/>
      </w:pPr>
      <w:r>
        <w:t>Beim Fotografieren oder Importieren eines Boxfotos eine beliebige Anzahl von Fächern mit unterschiedlichen Rastergrößen unterstützen.</w:t>
      </w:r>
    </w:p>
    <w:p>
      <w:pPr>
        <w:pStyle w:val="ListBullet"/>
      </w:pPr>
      <w:r>
        <w:t>Raster anpassbar machen; Eckpunkte und bei Bedarf Rasterlinien müssen verschoben werden können, um die Fächer an das Foto anzupassen.</w:t>
      </w:r>
    </w:p>
    <w:p>
      <w:pPr>
        <w:pStyle w:val="ListBullet"/>
      </w:pPr>
      <w:r>
        <w:t>Button „Raster-Ausrichtung fertig“ bereitstellen, um die Ausrichtung abzuschließen und das Raster zu fixieren.</w:t>
      </w:r>
    </w:p>
    <w:p>
      <w:pPr>
        <w:pStyle w:val="ListBullet"/>
      </w:pPr>
      <w:r>
        <w:t>Nach dem Fixieren muss Scrollen möglich sein, ohne das Raster versehentlich zu verschieben.</w:t>
      </w:r>
    </w:p>
    <w:p>
      <w:pPr>
        <w:pStyle w:val="ListBullet"/>
      </w:pPr>
      <w:r>
        <w:t>Raster und Zuordnung müssen auch bei nebeneinanderstehenden Dosen funktionieren. Dosen dürfen einzeln markiert beziehungsweise als separate Bereiche zugeordnet werden.</w:t>
      </w:r>
    </w:p>
    <w:p>
      <w:pPr>
        <w:pStyle w:val="Heading1"/>
      </w:pPr>
      <w:r>
        <w:t>4. Box-, Dosen- und Fachzuordnung</w:t>
      </w:r>
    </w:p>
    <w:p>
      <w:pPr>
        <w:pStyle w:val="ListBullet"/>
      </w:pPr>
      <w:r>
        <w:t>Erkannte Perlen dem passenden Lagerort zuordnen können.</w:t>
      </w:r>
    </w:p>
    <w:p>
      <w:pPr>
        <w:pStyle w:val="ListBullet"/>
      </w:pPr>
      <w:r>
        <w:t>Normale Aufbewahrungsboxen, deren einzelne Fächer sowie kleine und große Dosen als eigenständige Lagerorte unterstützen.</w:t>
      </w:r>
    </w:p>
    <w:p>
      <w:pPr>
        <w:pStyle w:val="ListBullet"/>
      </w:pPr>
      <w:r>
        <w:t>Boxen dürfen unterschiedliche Fachzahlen haben. Keine einheitliche feste Fachzahl für alle Boxen voraussetzen.</w:t>
      </w:r>
    </w:p>
    <w:p>
      <w:pPr>
        <w:pStyle w:val="ListBullet"/>
      </w:pPr>
      <w:r>
        <w:t>Dosen können Perlen enthalten und unabhängig voneinander verschoben werden. Ein Dosenturm ist keine Voraussetzung; eine optionale Turmverwaltung darf nur ergänzend vorgesehen werden.</w:t>
      </w:r>
    </w:p>
    <w:p>
      <w:pPr>
        <w:pStyle w:val="ListBullet"/>
      </w:pPr>
      <w:r>
        <w:t>Dosen, Boxen und Fächer hinzufügen, umbenennen, umordnen und – soweit der Lagerorttyp es vorsieht – einander zuordnen können.</w:t>
      </w:r>
    </w:p>
    <w:p>
      <w:pPr>
        <w:pStyle w:val="ListBullet"/>
      </w:pPr>
      <w:r>
        <w:t>Jede Perle besitzt eine dauerhafte, eindeutige ID, die bei Änderungen, Verschiebungen und Sortierungen erhalten bleibt.</w:t>
      </w:r>
    </w:p>
    <w:p>
      <w:pPr>
        <w:pStyle w:val="ListBullet"/>
      </w:pPr>
      <w:r>
        <w:t>Bei Verschiebungen die aktuelle Lagerortzuordnung aktualisieren und, soweit verfügbar, den ursprünglichen Lagerort nachvollziehbar halten. Doppelte oder veraltete Zuordnungen vermeiden.</w:t>
      </w:r>
    </w:p>
    <w:p>
      <w:pPr>
        <w:pStyle w:val="ListBullet"/>
      </w:pPr>
      <w:r>
        <w:t>Eine flexible Lagerstruktur verwenden, die keine festen Anzahlen von Boxen, Fächern oder Dosen voraussetzt.</w:t>
      </w:r>
    </w:p>
    <w:p>
      <w:pPr>
        <w:pStyle w:val="Heading1"/>
      </w:pPr>
      <w:r>
        <w:t>5. Bestand verwalten</w:t>
      </w:r>
    </w:p>
    <w:p>
      <w:pPr>
        <w:pStyle w:val="ListBullet"/>
      </w:pPr>
      <w:r>
        <w:t>Einzelne, mehrere oder alle Perlen auswählen und per Mehrfachbearbeitung (Bulk Edit) bearbeiten können.</w:t>
      </w:r>
    </w:p>
    <w:p>
      <w:pPr>
        <w:pStyle w:val="ListBullet"/>
      </w:pPr>
      <w:r>
        <w:t>Mehrfachauswahl per Maus und Tastatur am Computer sowie auf dem iPad mit Magic Keyboard Folio unterstützen, einschließlich Bereichsauswahl mit Shift.</w:t>
      </w:r>
    </w:p>
    <w:p>
      <w:pPr>
        <w:pStyle w:val="ListBullet"/>
      </w:pPr>
      <w:r>
        <w:t>Perlen auch mit unvollständigen Eigenschaften speichern können; fehlende Angaben später ergänzen.</w:t>
      </w:r>
    </w:p>
    <w:p>
      <w:pPr>
        <w:pStyle w:val="ListBullet"/>
      </w:pPr>
      <w:r>
        <w:t>Bestand über Suche, Filter und Sortierung verwalten.</w:t>
      </w:r>
    </w:p>
    <w:p>
      <w:pPr>
        <w:pStyle w:val="ListBullet"/>
      </w:pPr>
      <w:r>
        <w:t>Vorgegebene Oberfläche: Glänzend, Glatt, Facettiert, Matt, Satin, Perlmutt.</w:t>
      </w:r>
    </w:p>
    <w:p>
      <w:pPr>
        <w:pStyle w:val="ListBullet"/>
      </w:pPr>
      <w:r>
        <w:t>Vorgegebener Effekt: Crackle, Opak, Marmoriert, Inneneinzug, Silbereinzug, Perlmutt, Transparent, Irisierend, Metallic, Lustre, Glänzend.</w:t>
      </w:r>
    </w:p>
    <w:p>
      <w:pPr>
        <w:pStyle w:val="ListBullet"/>
      </w:pPr>
      <w:r>
        <w:t>Vorgegebene Größe: 2, 3, 4, 5, 6, 7, 8, 10 mm.</w:t>
      </w:r>
    </w:p>
    <w:p>
      <w:pPr>
        <w:pStyle w:val="ListBullet"/>
      </w:pPr>
      <w:r>
        <w:t>Vorgegebene Form: Rund, Rocailles, Bicone, Rondell.</w:t>
      </w:r>
    </w:p>
    <w:p>
      <w:pPr>
        <w:pStyle w:val="ListBullet"/>
      </w:pPr>
      <w:r>
        <w:t>Vorgegebenes Material: Plastik, Glas, Kristallglas.</w:t>
      </w:r>
    </w:p>
    <w:p>
      <w:pPr>
        <w:pStyle w:val="ListBullet"/>
      </w:pPr>
      <w:r>
        <w:t>Vorgegebene Transparenz: Transparent, Opak, Transluzent, Kristallklar.</w:t>
      </w:r>
    </w:p>
    <w:p>
      <w:pPr>
        <w:pStyle w:val="ListBullet"/>
      </w:pPr>
      <w:r>
        <w:t>Bestandserfassung unterstützt Stückzahl und Gewicht. Einheit flexibel je nach Perlenart; schnelle Eingabe und Details bei Bedarf anbieten.</w:t>
      </w:r>
    </w:p>
    <w:p>
      <w:pPr>
        <w:pStyle w:val="ListBullet"/>
      </w:pPr>
      <w:r>
        <w:t>Fotoanalyse, Bestand, Duplikaterkennung und Sortierung greifen auf dieselben gespeicherten Perlendaten zu.</w:t>
      </w:r>
    </w:p>
    <w:p>
      <w:pPr>
        <w:pStyle w:val="Heading1"/>
      </w:pPr>
      <w:r>
        <w:t>6. Tab „Duplikate“</w:t>
      </w:r>
    </w:p>
    <w:p>
      <w:pPr>
        <w:pStyle w:val="ListBullet"/>
      </w:pPr>
      <w:r>
        <w:t>Den vorhandenen beziehungsweise vorgesehenen Tab „Duplikate“ zur Prüfung möglicher doppelter Einträge verwenden.</w:t>
      </w:r>
    </w:p>
    <w:p>
      <w:pPr>
        <w:pStyle w:val="ListBullet"/>
      </w:pPr>
      <w:r>
        <w:t>Mögliche Duplikate vorschlagen, nicht ungefragt automatisch zusammenführen.</w:t>
      </w:r>
    </w:p>
    <w:p>
      <w:pPr>
        <w:pStyle w:val="ListBullet"/>
      </w:pPr>
      <w:r>
        <w:t>Die Nutzerin kann bestätigen, dass Einträge Duplikate sind und zusammengeführt werden sollen, oder ausdrücklich festlegen, dass es keine Duplikate sind.</w:t>
      </w:r>
    </w:p>
    <w:p>
      <w:pPr>
        <w:pStyle w:val="ListBullet"/>
      </w:pPr>
      <w:r>
        <w:t>Ähnliche Farbe oder ähnliche Eigenschaften allein reichen nicht als Beweis für ein Duplikat. Unterschiedliche Perlenarten, Größen, Effekte, Materialien, Mengen oder Lagerorte müssen berücksichtigt werden.</w:t>
      </w:r>
    </w:p>
    <w:p>
      <w:pPr>
        <w:pStyle w:val="ListBullet"/>
      </w:pPr>
      <w:r>
        <w:t>Beim Zusammenführen eindeutige IDs, Eigenschaften, Mengen und Lagerortzuordnungen konsistent behandeln. Vorhandene Daten dürfen nicht stillschweigend verloren gehen.</w:t>
      </w:r>
    </w:p>
    <w:p>
      <w:pPr>
        <w:pStyle w:val="Heading1"/>
      </w:pPr>
      <w:r>
        <w:t>7. Boxen und Dosen sortieren und planen</w:t>
      </w:r>
    </w:p>
    <w:p>
      <w:pPr>
        <w:pStyle w:val="ListBullet"/>
      </w:pPr>
      <w:r>
        <w:t>Bestehenden Tab „Sortieren“ erweitern und dieselbe Perlendatenbank wie der Bestand verwenden; keine getrennte Sortierdatenbank anlegen.</w:t>
      </w:r>
    </w:p>
    <w:p>
      <w:pPr>
        <w:pStyle w:val="ListBullet"/>
      </w:pPr>
      <w:r>
        <w:t>Sortierkriterien anbieten: Oberfläche, Größe, Farbe, Farbgruppe, Effekt und Perlenart; zusätzlich Grundfarbe, Referenzfarbton, Helligkeit, Form, Material und Transparenz.</w:t>
      </w:r>
    </w:p>
    <w:p>
      <w:pPr>
        <w:pStyle w:val="ListBullet"/>
      </w:pPr>
      <w:r>
        <w:t>Kriterien aktivieren, deaktivieren und priorisieren können. Nicht ausgewählte Kriterien dürfen die Sortierreihenfolge nicht beeinflussen; Eigenschaften gezielt ein- und ausschließen können.</w:t>
      </w:r>
    </w:p>
    <w:p>
      <w:pPr>
        <w:pStyle w:val="ListBullet"/>
      </w:pPr>
      <w:r>
        <w:t>Drei Modi anbieten: „Selbst sortieren“, „App sortiert“ und „Kombiniert“.</w:t>
      </w:r>
    </w:p>
    <w:p>
      <w:pPr>
        <w:pStyle w:val="ListBullet"/>
      </w:pPr>
      <w:r>
        <w:t>Modus „Selbst sortieren“: zuerst Zielbox oder Ziellagerort vorbereiten; darunter passende Liste des verfügbaren Bestands anzeigen. Perlen einzeln oder mehrfach in Fächer oder Dosen verschieben können.</w:t>
      </w:r>
    </w:p>
    <w:p>
      <w:pPr>
        <w:pStyle w:val="ListBullet"/>
      </w:pPr>
      <w:r>
        <w:t>Modus „App sortiert“: Vorschläge anhand ausgewählter Kriterien erstellen, zum Beispiel Farbgruppen, Farbverläufe oder harmonische Box. Übernahme nur nach Bestätigung.</w:t>
      </w:r>
    </w:p>
    <w:p>
      <w:pPr>
        <w:pStyle w:val="ListBullet"/>
      </w:pPr>
      <w:r>
        <w:t>Modus „Kombiniert“: eigene Regeln mit Optimierung der App verbinden; Vorschlag bleibt bearbeitbar.</w:t>
      </w:r>
    </w:p>
    <w:p>
      <w:pPr>
        <w:pStyle w:val="ListBullet"/>
      </w:pPr>
      <w:r>
        <w:t>Startfarbe auswählbar machen und festlegen lassen, ob sie verbindlich ist oder die App eine passendere Startfarbe vorschlagen darf.</w:t>
      </w:r>
    </w:p>
    <w:p>
      <w:pPr>
        <w:pStyle w:val="ListBullet"/>
      </w:pPr>
      <w:r>
        <w:t>Ergänzungsfarben und optional einen Farbübergang vorschlagen; Ergänzungen erst nach Bestätigung übernehmen.</w:t>
      </w:r>
    </w:p>
    <w:p>
      <w:pPr>
        <w:pStyle w:val="ListBullet"/>
      </w:pPr>
      <w:r>
        <w:t>Neben normalen Perlenboxen auch passende Dosen und Dosenboxen als Sortier- und Lagerlösungen vorschlagen.</w:t>
      </w:r>
    </w:p>
    <w:p>
      <w:pPr>
        <w:pStyle w:val="ListBullet"/>
      </w:pPr>
      <w:r>
        <w:t>Bei Dosen- und Boxvorschlägen berücksichtigen: ausgewählte Sortierkriterien, gewünschte Startfarbe, verfügbare kleine und große Dosen, freie Plätze in vorhandenen Aufbewahrungsboxen sowie bereits vorhandene Perlen und deren Lagerorte.</w:t>
      </w:r>
    </w:p>
    <w:p>
      <w:pPr>
        <w:pStyle w:val="ListBullet"/>
      </w:pPr>
      <w:r>
        <w:t>Dosen als Lagerlösung bevorzugen, wenn sie für die ausgewählten Perlen sinnvoll sind. Beispiel: Bei rosa Perlen zuerst prüfen, ob sie in eine oder mehrere verfügbare Dosen passen, bevor eine normale Perlenbox vorgeschlagen wird. Eine normale Box darf empfohlen werden, wenn sie besser geeignet ist.</w:t>
      </w:r>
    </w:p>
    <w:p>
      <w:pPr>
        <w:pStyle w:val="ListBullet"/>
      </w:pPr>
      <w:r>
        <w:t>Jeder Sortiervorschlag zeigt den vorgesehenen Lagerort und die verwendeten Sortierkriterien klar an. Die Nutzerin entscheidet über die Übernahme; keine Anwendung ohne Bestätigung.</w:t>
      </w:r>
    </w:p>
    <w:p>
      <w:pPr>
        <w:pStyle w:val="ListBullet"/>
      </w:pPr>
      <w:r>
        <w:t>Kompatibilitätssystem für Oberfläche, Effekt und weitere ausgewählte Kriterien einführen.</w:t>
      </w:r>
    </w:p>
    <w:p>
      <w:pPr>
        <w:pStyle w:val="ListBullet"/>
      </w:pPr>
      <w:r>
        <w:t>Unpassende Perlen in separater Gruppe oder als alternative Box-/Dosenlösung vorschlagen; konkreten Warnungsgrund sichtbar machen.</w:t>
      </w:r>
    </w:p>
    <w:p>
      <w:pPr>
        <w:pStyle w:val="ListBullet"/>
      </w:pPr>
      <w:r>
        <w:t>Warnungen dürfen manuelle Sortierung nicht blockieren. Nach manueller Sortierung Regelverstöße anzeigen; Warnungen dürfen ignoriert werden und die Prüfung muss sich nach Änderungen aktualisieren.</w:t>
      </w:r>
    </w:p>
    <w:p>
      <w:pPr>
        <w:pStyle w:val="ListBullet"/>
      </w:pPr>
      <w:r>
        <w:t>Verwendetes Sortierschema und aktive Kriterien sichtbar machen.</w:t>
      </w:r>
    </w:p>
    <w:p>
      <w:pPr>
        <w:pStyle w:val="ListBullet"/>
      </w:pPr>
      <w:r>
        <w:t>Zielboxen visuell darstellen; beim Anklicken einer Perle ID und relevante Sortierwerte anzeigen.</w:t>
      </w:r>
    </w:p>
    <w:p>
      <w:pPr>
        <w:pStyle w:val="ListBullet"/>
      </w:pPr>
      <w:r>
        <w:t>Perlen innerhalb eines Vorschlags verschieben, entfernen oder ersetzen können.</w:t>
      </w:r>
    </w:p>
    <w:p>
      <w:pPr>
        <w:pStyle w:val="ListBullet"/>
      </w:pPr>
      <w:r>
        <w:t>Beim Wechsel zwischen Sortiermodi Einstellungen erhalten.</w:t>
      </w:r>
    </w:p>
    <w:p>
      <w:pPr>
        <w:pStyle w:val="Heading1"/>
      </w:pPr>
      <w:r>
        <w:t>8. Dosen und Aufbewahrungsboxen</w:t>
      </w:r>
    </w:p>
    <w:p>
      <w:pPr>
        <w:pStyle w:val="ListBullet"/>
      </w:pPr>
      <w:r>
        <w:t>Kleine und große Dosen als eigenständige Lagerorte führen; Dosen können Perlen enthalten und unabhängig voneinander verschoben werden.</w:t>
      </w:r>
    </w:p>
    <w:p>
      <w:pPr>
        <w:pStyle w:val="ListBullet"/>
      </w:pPr>
      <w:r>
        <w:t>Vorhandene Aufbewahrungsboxen mit unterschiedlichen Fachzahlen berücksichtigen.</w:t>
      </w:r>
    </w:p>
    <w:p>
      <w:pPr>
        <w:pStyle w:val="ListBullet"/>
      </w:pPr>
      <w:r>
        <w:t>Freie und belegte Fächer bei Lager- und Sortiervorschlägen berücksichtigen.</w:t>
      </w:r>
    </w:p>
    <w:p>
      <w:pPr>
        <w:pStyle w:val="ListBullet"/>
      </w:pPr>
      <w:r>
        <w:t>Dosen, Boxen und Fächer hinzufügen, umordnen und – soweit der jeweilige Lagerorttyp dies vorsieht – einander zuordnen können.</w:t>
      </w:r>
    </w:p>
    <w:p>
      <w:pPr>
        <w:pStyle w:val="ListBullet"/>
      </w:pPr>
      <w:r>
        <w:t>Datenmodell darf weder voraussetzen, dass Dosen zu Türmen verbunden sind, noch dass jede Aufbewahrungsbox dieselbe Fachzahl besitzt.</w:t>
      </w:r>
    </w:p>
    <w:p>
      <w:pPr>
        <w:pStyle w:val="ListBullet"/>
      </w:pPr>
      <w:r>
        <w:t>Änderungen müssen die aktuelle Lagerortzuordnung zuverlässig aktualisieren und die nachvollziehbare Historie erhalten.</w:t>
      </w:r>
    </w:p>
    <w:p>
      <w:pPr>
        <w:pStyle w:val="Heading1"/>
      </w:pPr>
      <w:r>
        <w:t>9. Einheitliche Datenverwaltung, Import und Export</w:t>
      </w:r>
    </w:p>
    <w:p>
      <w:pPr>
        <w:pStyle w:val="ListBullet"/>
      </w:pPr>
      <w:r>
        <w:t>Fotoanalyse, Bestand, Duplikaterkennung und Sortierung verwenden dieselben gespeicherten Perlendaten; parallele oder voneinander abweichende Datenbestände vermeiden.</w:t>
      </w:r>
    </w:p>
    <w:p>
      <w:pPr>
        <w:pStyle w:val="ListBullet"/>
      </w:pPr>
      <w:r>
        <w:t>Änderungen an Farbe, Eigenschaften, Box, Fach oder Dose überall übernehmen, wo diese Daten angezeigt oder verwendet werden.</w:t>
      </w:r>
    </w:p>
    <w:p>
      <w:pPr>
        <w:pStyle w:val="ListBullet"/>
      </w:pPr>
      <w:r>
        <w:t>Beim Verschieben oder Entfernen alle betroffenen Lagerortzuordnungen sowie den ursprünglichen Lagerort berücksichtigen, soweit dieser gespeichert ist.</w:t>
      </w:r>
    </w:p>
    <w:p>
      <w:pPr>
        <w:pStyle w:val="ListBullet"/>
      </w:pPr>
      <w:r>
        <w:t>Keine doppelten Perlen oder widersprüchlichen Lagerortzuordnungen entstehen lassen.</w:t>
      </w:r>
    </w:p>
    <w:p>
      <w:pPr>
        <w:pStyle w:val="ListBullet"/>
      </w:pPr>
      <w:r>
        <w:t>Suche, Filter, Eigenschaften, Farbanalyse sowie Import und Export funktionsfähig halten und neue Lagerorttypen berücksichtigen.</w:t>
      </w:r>
    </w:p>
    <w:p>
      <w:pPr>
        <w:pStyle w:val="ListBullet"/>
      </w:pPr>
      <w:r>
        <w:t>Bestehende Daten, eindeutige IDs und Import-/Exportformate erhalten, soweit notwendige Erweiterungen keine kompatible Ergänzung erfordern.</w:t>
      </w:r>
    </w:p>
    <w:p>
      <w:pPr>
        <w:pStyle w:val="ListBullet"/>
      </w:pPr>
      <w:r>
        <w:t>Vor Änderungen an Datenformaten eine kompatible Migration vorsehen. Vorhandene Backups sollen weiterhin sicher importiert werden können oder nachvollziehbar migriert werden.</w:t>
      </w:r>
    </w:p>
    <w:p>
      <w:pPr>
        <w:pStyle w:val="Heading1"/>
      </w:pPr>
      <w:r>
        <w:t>10. Technische Umsetzung und Qualitätssicherung</w:t>
      </w:r>
    </w:p>
    <w:p>
      <w:pPr>
        <w:pStyle w:val="ListBullet"/>
      </w:pPr>
      <w:r>
        <w:t>Vor der Implementierung vorhandenen Code, Funktionen und Datenmodell prüfen. Bestehende geeignete Implementierungen wiederverwenden.</w:t>
      </w:r>
    </w:p>
    <w:p>
      <w:pPr>
        <w:pStyle w:val="ListBullet"/>
      </w:pPr>
      <w:r>
        <w:t>Keine unnötigen Designänderungen, Zusatzfunktionen oder parallelen Datenbestände einführen.</w:t>
      </w:r>
    </w:p>
    <w:p>
      <w:pPr>
        <w:pStyle w:val="ListBullet"/>
      </w:pPr>
      <w:r>
        <w:t>Bestehendes Design und alle vorhandenen Funktionen erhalten, sofern sie nicht ausdrücklich durch Anforderungen erweitert oder angepasst werden müssen.</w:t>
      </w:r>
    </w:p>
    <w:p>
      <w:pPr>
        <w:pStyle w:val="ListBullet"/>
      </w:pPr>
      <w:r>
        <w:t>Zusammenhängende, wartbare und einfach bedienbare Implementierung sicherstellen.</w:t>
      </w:r>
    </w:p>
    <w:p>
      <w:pPr>
        <w:pStyle w:val="ListBullet"/>
      </w:pPr>
      <w:r>
        <w:t>Schwerpunkt auf zuverlässiger Farbanalyse, konsistenten Daten und intuitiver Bedienung legen.</w:t>
      </w:r>
    </w:p>
    <w:p>
      <w:pPr>
        <w:pStyle w:val="ListBullet"/>
      </w:pPr>
      <w:r>
        <w:t>Änderungen schrittweise intern prüfen, insbesondere IDs, Datenmigration, Lagerortwechsel, Duplikat-Zusammenführung, Sortiervorschau, Import und Export.</w:t>
      </w:r>
    </w:p>
    <w:p>
      <w:pPr>
        <w:pStyle w:val="ListBullet"/>
      </w:pPr>
      <w:r>
        <w:t>Nach der Umsetzung kurz aufführen, welche Anforderungen umgesetzt wurden und welche noch fehlen.</w:t>
      </w:r>
    </w:p>
    <w:p>
      <w:pPr>
        <w:pStyle w:val="Heading1"/>
      </w:pPr>
      <w:r>
        <w:t>11. Ergänzungen aus der gemeinsamen Planung</w:t>
      </w:r>
    </w:p>
    <w:p>
      <w:pPr>
        <w:pStyle w:val="ListBullet"/>
      </w:pPr>
      <w:r>
        <w:t>Die Lagerstruktur soll flexibel sein. Die Nutzerin muss vor der Umsetzung keine endgültigen Anzahlen von Boxen, Fächern oder Dosen festlegen.</w:t>
      </w:r>
    </w:p>
    <w:p>
      <w:pPr>
        <w:pStyle w:val="ListBullet"/>
      </w:pPr>
      <w:r>
        <w:t>Die Farbpalette darf größer als die ursprünglich genannten 13 Grundfarben und 56 Referenztöne sein. Eine konkrete endgültige Anzahl ist noch nicht verbindlich entschieden; das Datenmodell muss Erweiterungen unterstützen.</w:t>
      </w:r>
    </w:p>
    <w:p>
      <w:pPr>
        <w:pStyle w:val="ListBullet"/>
      </w:pPr>
      <w:r>
        <w:t>Die vorhandenen Fotos wurden unter vergleichbaren Bedingungen aufgenommen. Diese Information soll für konsistente Vergleiche genutzt werden, ohne Perlenoberfläche, Transparenz, Schatten oder Dosenreflexionen zu ignorieren.</w:t>
      </w:r>
    </w:p>
    <w:p>
      <w:pPr>
        <w:pStyle w:val="ListBullet"/>
      </w:pPr>
      <w:r>
        <w:t>Die Fotoanalyse darf zunächst mehrere plausible Farb-Kandidaten speichern. Nach Ergänzung der Eigenschaften im Bestand sollen Kandidaten erneut bewertet werden. Eine bestätigte Referenzfarbe bleibt von der gemessenen Farbe getrennt.</w:t>
      </w:r>
    </w:p>
    <w:p>
      <w:pPr>
        <w:pStyle w:val="ListBullet"/>
      </w:pPr>
      <w:r>
        <w:t>Die Oberfläche, der Effekt, die Form, die Transparenz und das Material können die Interpretation eines Bildes unterstützen, sind aber kein alleiniger Beweis für die tatsächliche Grundfarbe.</w:t>
      </w:r>
    </w:p>
    <w:p>
      <w:pPr>
        <w:pStyle w:val="ListBullet"/>
      </w:pPr>
      <w:r>
        <w:t>Die Nutzerin möchte Lovable-Credits möglichst schonen. Entscheidungen sollen soweit möglich vorab in der Planung geklärt und Änderungen in gut vorbereiteten, zusammenhängenden Prompts gebündelt werden. Ein einzelner Prompt kann dennoch keine fehlerfreie Umsetzung garantieren.</w:t>
      </w:r>
    </w:p>
    <w:p>
      <w:pPr>
        <w:pStyle w:val="Heading1"/>
      </w:pPr>
      <w:r>
        <w:t>12. Noch nicht endgültig festgelegte Details</w:t>
      </w:r>
    </w:p>
    <w:p>
      <w:pPr>
        <w:pStyle w:val="ListBullet"/>
      </w:pPr>
      <w:r>
        <w:t>Die endgültige Anzahl und vollständige Liste der Grundfarben, Farbgruppen und Referenztöne ist noch festzulegen. Die zuvor diskutierten 23/126 sind nicht als endgültige Entscheidung zu behandeln.</w:t>
      </w:r>
    </w:p>
    <w:p>
      <w:pPr>
        <w:pStyle w:val="ListBullet"/>
      </w:pPr>
      <w:r>
        <w:t>Technische Einzelheiten, die nicht ausdrücklich als persönliche Präferenz festgelegt wurden, sollen anhand der Anforderungen und des vorhandenen Codes sinnvoll entschieden werden; Rückfragen nur bei tatsächlich unvermeidbaren Produktentscheidungen.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232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353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916B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7353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