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262B" w:val="clear"/>
          </w:tcPr>
          <w:p>
            <w:pPr>
              <w:spacing w:before="4241"/>
            </w:pPr>
          </w:p>
          <w:p>
            <w:pPr>
              <w:pBdr>
                <w:bottom w:val="single" w:color="9E2B25" w:sz="6" w:space="8"/>
              </w:pBdr>
              <w:spacing w:after="500"/>
              <w:ind w:left="1200" w:right="800"/>
            </w:pPr>
            <w:r>
              <w:rPr>
                <w:rFonts w:ascii="Arial" w:hAnsi="Arial"/>
                <w:color w:val="9E2B25"/>
                <w:spacing w:val="40"/>
                <w:sz w:val="18"/>
                <w:szCs w:val="18"/>
              </w:rPr>
              <w:t xml:space="preserve">S  U  P  P  L  Y     S  H  O  C  K     S  C  E  N  A  R  I  O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hAnsi="Arial"/>
                <w:b/>
                <w:bCs/>
                <w:color w:val="FFFFFF"/>
                <w:sz w:val="80"/>
                <w:szCs w:val="80"/>
              </w:rPr>
              <w:t xml:space="preserve">Шок-сценарий: крах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hAnsi="Arial"/>
                <w:b/>
                <w:bCs/>
                <w:color w:val="FFFFFF"/>
                <w:sz w:val="80"/>
                <w:szCs w:val="80"/>
              </w:rPr>
              <w:t xml:space="preserve">российского экспорта</w:t>
            </w:r>
          </w:p>
          <w:p>
            <w:pPr>
              <w:spacing w:after="800"/>
              <w:ind w:left="1200" w:right="800"/>
            </w:pPr>
            <w:r>
              <w:rPr>
                <w:rFonts w:ascii="Arial" w:hAnsi="Arial"/>
                <w:color w:val="C8C8CE"/>
                <w:sz w:val="24"/>
                <w:szCs w:val="24"/>
              </w:rPr>
              <w:t xml:space="preserve">Что будет с ценами, если экспортные отрасли России выведены из строя, и какие компании выигрывают от таких шоков</w:t>
            </w:r>
          </w:p>
          <w:p>
            <w:pPr>
              <w:pBdr>
                <w:left w:val="single" w:color="9E2B25" w:sz="8" w:space="12"/>
              </w:pBdr>
              <w:spacing w:after="80"/>
              <w:ind w:left="1400" w:right="800"/>
            </w:pPr>
            <w:r>
              <w:rPr>
                <w:rFonts w:ascii="Arial" w:hAnsi="Arial"/>
                <w:color w:val="9A9AA2"/>
                <w:sz w:val="22"/>
                <w:szCs w:val="22"/>
              </w:rPr>
              <w:t xml:space="preserve">Сценарно-аналитический отчёт (стресс-тест рынков)</w:t>
            </w:r>
          </w:p>
          <w:p>
            <w:pPr>
              <w:pBdr>
                <w:left w:val="single" w:color="9E2B25" w:sz="8" w:space="12"/>
              </w:pBdr>
              <w:spacing w:after="80"/>
              <w:ind w:left="1400" w:right="800"/>
            </w:pPr>
            <w:r>
              <w:rPr>
                <w:rFonts w:ascii="Arial" w:hAnsi="Arial"/>
                <w:color w:val="9A9AA2"/>
                <w:sz w:val="22"/>
                <w:szCs w:val="22"/>
              </w:rPr>
              <w:t xml:space="preserve">Уран · Палладий · Калий · Зерно · Нефть · Газ · Оборона</w:t>
            </w:r>
          </w:p>
          <w:p>
            <w:pPr>
              <w:pBdr>
                <w:left w:val="single" w:color="9E2B25" w:sz="8" w:space="12"/>
              </w:pBdr>
              <w:spacing w:after="80"/>
              <w:ind w:left="1400" w:right="800"/>
            </w:pPr>
            <w:r>
              <w:rPr>
                <w:rFonts w:ascii="Arial" w:hAnsi="Arial"/>
                <w:color w:val="9A9AA2"/>
                <w:sz w:val="22"/>
                <w:szCs w:val="22"/>
              </w:rPr>
              <w:t xml:space="preserve">Состояние на 14 октября 2026 года · не инвестиционная рекомендация</w:t>
            </w:r>
          </w:p>
          <w:p>
            <w:pPr>
              <w:spacing w:before="4241"/>
            </w:pPr>
          </w:p>
          <w:p>
            <w:pPr>
              <w:pBdr>
                <w:top w:val="single" w:color="9E2B25" w:sz="2" w:space="8"/>
              </w:pBdr>
              <w:spacing w:before="200"/>
              <w:ind w:left="1200" w:right="800"/>
            </w:pPr>
            <w:r>
              <w:rPr>
                <w:rFonts w:ascii="Arial" w:hAnsi="Arial"/>
                <w:color w:val="6E6E76"/>
                <w:sz w:val="16"/>
                <w:szCs w:val="16"/>
              </w:rPr>
              <w:t xml:space="preserve">Сценарная справка</w:t>
            </w:r>
            <w:r>
              <w:rPr>
                <w:rFonts w:ascii="Arial" w:hAnsi="Arial"/>
              </w:rPr>
              <w:t xml:space="preserve">                                        </w:t>
            </w:r>
            <w:r>
              <w:rPr>
                <w:rFonts w:ascii="Arial" w:hAnsi="Arial"/>
                <w:color w:val="6E6E76"/>
                <w:sz w:val="16"/>
                <w:szCs w:val="16"/>
              </w:rPr>
              <w:t xml:space="preserve">Октябрь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Arial" w:hAnsi="Arial"/>
          <w:b/>
          <w:bCs/>
          <w:color w:val="26262B"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Резюме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Рамка, этика и ограничения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3. Реалистичность: что Украина может, а что нет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4. Что уже в ценах (октябрь 2026)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4.1. Наглядное сопоставление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5. Поотраслевая механика шока и бенефициары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5.1. Обогащение урана — самый чистый сценарий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5.2. Палладий: сильнейший шок, главная ловушка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5.3. Калийные удобрения: образцовый кейс 2022 года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5.4. Пшеница и продовольственная цепочка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5.5. Подсолнечное масло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5.6. Титан для авиации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5.7. Нефть и нефтепродукты плюс танкеры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5.8. Газ: TTF и СПГ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5.9. Уголь, никель, алюминий, алмазы — умеренные эффекты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5.10. Оборонные — единственный «вечный» бенефициар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6. Сводная таблица сценария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7. Главный урок 2022 года: спайк против структуры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8. Архитектура позиций (образовательная рамка)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9. Практические ограничения для резидента Беларуси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10. Выводы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11. Источники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hAnsi="Times New Roman"/>
          <w:i/>
          <w:iCs/>
          <w:color w:val="888888"/>
          <w:sz w:val="18"/>
          <w:szCs w:val="18"/>
        </w:rPr>
        <w:t xml:space="preserve">Примечание: оглавление построено на кодах полей. После редактирования документа обновите его: щёлкните по оглавлению правой кнопкой мыши и выберите «Обновить поле».</w:t>
      </w:r>
    </w:p>
    <w:p>
      <w:r>
        <w:br w:type="page"/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keepNext/>
        <w:spacing w:after="180" w:before="400" w:line="312"/>
      </w:pPr>
      <w:bookmarkStart w:id="100000" w:name="_Toc100000"/>
      <w:r>
        <w:rPr>
          <w:rFonts w:ascii="Arial" w:hAnsi="Arial"/>
          <w:b/>
          <w:bCs/>
          <w:color w:val="26262B"/>
          <w:sz w:val="32"/>
          <w:szCs w:val="32"/>
        </w:rPr>
        <w:t xml:space="preserve">1. Резюме</w:t>
      </w:r>
      <w:bookmarkEnd w:id="100000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Вопрос отчёта: что произойдёт с мировыми ценами, если экспортные отрасли России из первого отчёта — обогащение урана, палладий, калий, пшеница, титан, нефть, газ — будут в теории выведены из строя, и какие публичные компании исторически и структурно выигрывают от таких шоков предложения.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Мультипликаторы известны — 2022 год их уже показал. </w:t>
      </w:r>
      <w:r>
        <w:rPr>
          <w:rFonts w:ascii="Times New Roman" w:hAnsi="Times New Roman"/>
          <w:color w:val="000000"/>
          <w:sz w:val="24"/>
          <w:szCs w:val="24"/>
        </w:rPr>
        <w:t xml:space="preserve">Частичный шок (санкции без физического разрушения) дал: пшеница ×2 (рекорд 12,94 доллара за бушель), калий ×4 (около 1 100 долларов за тонну в Бразилии), палладий плюс 50% (исторический максимум 3 440 долларов за унцию), газ TTF ×5 (339 евро за МВт·ч). Полное физическое устранение поставщика даёт более сильные и долгие шоки: обогащение (SWU) ×3–5, калий ×2,5–3,5 от текущих уровней, Brent 150–200 долларов, TTF 170–250 евро.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Часть сценария уже в ценах октября 2026 года. </w:t>
      </w:r>
      <w:r>
        <w:rPr>
          <w:rFonts w:ascii="Times New Roman" w:hAnsi="Times New Roman"/>
          <w:color w:val="000000"/>
          <w:sz w:val="24"/>
          <w:szCs w:val="24"/>
        </w:rPr>
        <w:t xml:space="preserve">Brent стоит около 107–125 долларов (максимум с 2022 года), газ TTF — около 85 евро (высший уровень с декабря 2022-го), пшеница плюс 40% за 2026 год, палладий плюс 81% за 2025-й, уран около 90 долларов за фунт, SWU около 200 долларов против 50 до 2022-го. Рынок уже торгуемо покупает обострение — лёгких денег «до ударов» на бирже нет.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Урок 2022 года: спайки возвращаются, структуры остаются. </w:t>
      </w:r>
      <w:r>
        <w:rPr>
          <w:rFonts w:ascii="Times New Roman" w:hAnsi="Times New Roman"/>
          <w:color w:val="000000"/>
          <w:sz w:val="24"/>
          <w:szCs w:val="24"/>
        </w:rPr>
        <w:t xml:space="preserve">Палладий с пика 3 440 долларов упал до 813 (минус 76%), калий минус 75%, пшеница минус 61%, TTF минус 90%. А структурные бенефициары удержали и приумножили: SWU ×4 и держится, Centrus вырос с 10 долларов до двухсот с лишним, Rheinmetall — примерно в двадцать раз с 2022 года. Выигрывает тот, кто покупает структурный сдвиг, а не панику.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«Заработать перед ударами» легально нельзя — и не нужно. </w:t>
      </w:r>
      <w:r>
        <w:rPr>
          <w:rFonts w:ascii="Times New Roman" w:hAnsi="Times New Roman"/>
          <w:color w:val="000000"/>
          <w:sz w:val="24"/>
          <w:szCs w:val="24"/>
        </w:rPr>
        <w:t xml:space="preserve">Точных ударов не предсказывает никто; сделки на основе внутренней информации о готовящихся атаках — уголовный инсайд в США и ЕС. Легальная альтернатива — позиционирование на вероятностях: хедж через опционы «вне денег» на бенефициарах и структурные позиции на долгие тренды (обогащение, переоснащение Европы, СПГ).</w:t>
      </w:r>
    </w:p>
    <w:p>
      <w:pPr>
        <w:pBdr>
          <w:left w:val="single" w:color="9E2B25" w:sz="10" w:space="12"/>
        </w:pBdr>
        <w:spacing w:after="140" w:before="100" w:line="312"/>
        <w:ind w:left="500" w:right="500"/>
        <w:jc w:val="both"/>
      </w:pPr>
      <w:r>
        <w:rPr>
          <w:rFonts w:ascii="Times New Roman" w:hAnsi="Times New Roman"/>
          <w:i/>
          <w:iCs/>
          <w:color w:val="3A3A3A"/>
          <w:sz w:val="23"/>
          <w:szCs w:val="23"/>
        </w:rPr>
        <w:t xml:space="preserve">Этот отчёт — образовательный стресс-тест рынков, а не индивидуальная инвестиционная рекомендация. Все упомянутые бумаги — иллюстрация отраслевой экспозиции, а не совет покупать.</w:t>
      </w:r>
      <w:r>
        <w:rPr>
          <w:rFonts w:ascii="Times New Roman" w:hAnsi="Times New Roman"/>
          <w:color w:val="505050"/>
          <w:sz w:val="21"/>
          <w:szCs w:val="21"/>
        </w:rPr>
        <w:t xml:space="preserve">  дисклеймер</w:t>
      </w:r>
    </w:p>
    <w:p>
      <w:pPr>
        <w:pStyle w:val="Heading1"/>
        <w:keepNext/>
        <w:spacing w:after="180" w:before="400" w:line="312"/>
      </w:pPr>
      <w:bookmarkStart w:id="100001" w:name="_Toc100001"/>
      <w:r>
        <w:rPr>
          <w:rFonts w:ascii="Arial" w:hAnsi="Arial"/>
          <w:b/>
          <w:bCs/>
          <w:color w:val="26262B"/>
          <w:sz w:val="32"/>
          <w:szCs w:val="32"/>
        </w:rPr>
        <w:t xml:space="preserve">2. Рамка, этика и ограничения</w:t>
      </w:r>
      <w:bookmarkEnd w:id="100001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Теоретичность. </w:t>
      </w:r>
      <w:r>
        <w:rPr>
          <w:rFonts w:ascii="Times New Roman" w:hAnsi="Times New Roman"/>
          <w:color w:val="000000"/>
          <w:sz w:val="24"/>
          <w:szCs w:val="24"/>
        </w:rPr>
        <w:t xml:space="preserve">Сценарий «все отрасли уничтожены» — предельный стресс-тест. География не позволяет уничтожить обогащение урана (Ангарск — тысячи километров от фронта) или калийные комбинаты (Урал, Пермь). Реалистичный сценарий — удары по НПЗ, портам, терминалам и железнодорожной погрузке (это уже происходит с 2024 года) и их эскалация; экстремальный — полное прекращение экспорта (блокада, тотальный санкционный режим покупателей).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Инсайд и этика. </w:t>
      </w:r>
      <w:r>
        <w:rPr>
          <w:rFonts w:ascii="Times New Roman" w:hAnsi="Times New Roman"/>
          <w:color w:val="000000"/>
          <w:sz w:val="24"/>
          <w:szCs w:val="24"/>
        </w:rPr>
        <w:t xml:space="preserve">Фраза «купить перед ударами» легально реализуема только как ставка на вероятность, доступную всем участникам рынка. Торговля на основе непубличной информации о готовящихся конкретных атаках — инсайд с уголовной ответственностью в США, ЕС и Великобритании. Отчёт не даёт и не может давать тайминга — только карту бенефициаров и ценовую механику.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Не инвестсовет. </w:t>
      </w:r>
      <w:r>
        <w:rPr>
          <w:rFonts w:ascii="Times New Roman" w:hAnsi="Times New Roman"/>
          <w:color w:val="000000"/>
          <w:sz w:val="24"/>
          <w:szCs w:val="24"/>
        </w:rPr>
        <w:t xml:space="preserve">Рынки 2026 года перегреты по обороне (профит-тейкинг с апреля 2026-го), большинство опционов сгорает, плечо убивает. Решения — на свой риск, в идеале с лицензированным консультантом.</w:t>
      </w:r>
    </w:p>
    <w:p>
      <w:pPr>
        <w:pStyle w:val="Heading1"/>
        <w:keepNext/>
        <w:spacing w:after="180" w:before="400" w:line="312"/>
      </w:pPr>
      <w:bookmarkStart w:id="100002" w:name="_Toc100002"/>
      <w:r>
        <w:rPr>
          <w:rFonts w:ascii="Arial" w:hAnsi="Arial"/>
          <w:b/>
          <w:bCs/>
          <w:color w:val="26262B"/>
          <w:sz w:val="32"/>
          <w:szCs w:val="32"/>
        </w:rPr>
        <w:t xml:space="preserve">3. Реалистичность: что Украина может, а что нет</w:t>
      </w:r>
      <w:bookmarkEnd w:id="100002"/>
    </w:p>
    <w:p>
      <w:pPr>
        <w:keepNext/>
        <w:spacing w:after="80" w:before="200" w:line="312"/>
      </w:pPr>
      <w:r>
        <w:rPr>
          <w:rFonts w:ascii="Arial" w:hAnsi="Arial"/>
          <w:b/>
          <w:bCs/>
          <w:color w:val="26262B"/>
          <w:sz w:val="21"/>
          <w:szCs w:val="21"/>
        </w:rPr>
        <w:t xml:space="preserve">Таблица 1. Уязвимость отраслей к физическому воздействию</w:t>
      </w:r>
    </w:p>
    <w:tbl>
      <w:tblPr>
        <w:tblW w:type="pct" w:w="5000"/>
        <w:tblBorders>
          <w:top w:val="single" w:color="9E2B25" w:sz="4"/>
          <w:left w:val="none" w:color="FFFFFF" w:sz="0"/>
          <w:bottom w:val="single" w:color="9E2B25" w:sz="4"/>
          <w:right w:val="none" w:color="FFFFFF" w:sz="0"/>
          <w:insideH w:val="single" w:color="D9C4C2" w:sz="2"/>
          <w:insideV w:val="none" w:color="FFFFFF" w:sz="0"/>
        </w:tblBorders>
      </w:tblPr>
      <w:tblGrid>
        <w:gridCol w:w="2461"/>
        <w:gridCol w:w="2636"/>
        <w:gridCol w:w="3691"/>
      </w:tblGrid>
      <w:tr>
        <w:trPr>
          <w:cantSplit/>
          <w:tblHeader/>
        </w:trPr>
        <w:tc>
          <w:tcPr>
            <w:tcW w:type="pct" w:w="1400"/>
            <w:shd w:fill="9E2B2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1"/>
                <w:szCs w:val="21"/>
              </w:rPr>
              <w:t xml:space="preserve">Цель</w:t>
            </w:r>
          </w:p>
        </w:tc>
        <w:tc>
          <w:tcPr>
            <w:tcW w:type="pct" w:w="1500"/>
            <w:shd w:fill="9E2B2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1"/>
                <w:szCs w:val="21"/>
              </w:rPr>
              <w:t xml:space="preserve">Реализуемо ударами?</w:t>
            </w:r>
          </w:p>
        </w:tc>
        <w:tc>
          <w:tcPr>
            <w:tcW w:type="pct" w:w="2100"/>
            <w:shd w:fill="9E2B2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1"/>
                <w:szCs w:val="21"/>
              </w:rPr>
              <w:t xml:space="preserve">Факт 2024–2026</w:t>
            </w:r>
          </w:p>
        </w:tc>
      </w:tr>
      <w:tr>
        <w:trPr>
          <w:cantSplit/>
        </w:trPr>
        <w:tc>
          <w:tcPr>
            <w:tcW w:type="pct" w:w="14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НПЗ и нефтепереработка</w:t>
            </w:r>
          </w:p>
        </w:tc>
        <w:tc>
          <w:tcPr>
            <w:tcW w:type="pct" w:w="15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да — уязвимы, восстановление занимает месяцы</w:t>
            </w:r>
          </w:p>
        </w:tc>
        <w:tc>
          <w:tcPr>
            <w:tcW w:type="pct" w:w="21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массовые атаки дронов 2025 заставляли РФ вводить запреты на экспорт бензина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Экспортные порты и терминалы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да (Новороссийск, Приморск)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атаки на Новороссийск в 2025; страховые премии фрахта уже закладывают риск</w:t>
            </w:r>
          </w:p>
        </w:tc>
      </w:tr>
      <w:tr>
        <w:trPr>
          <w:cantSplit/>
        </w:trPr>
        <w:tc>
          <w:tcPr>
            <w:tcW w:type="pct" w:w="14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СПГ-терминалы</w:t>
            </w:r>
          </w:p>
        </w:tc>
        <w:tc>
          <w:tcPr>
            <w:tcW w:type="pct" w:w="15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частично</w:t>
            </w:r>
          </w:p>
        </w:tc>
        <w:tc>
          <w:tcPr>
            <w:tcW w:type="pct" w:w="21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устойчивых выводов нет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Обогащение урана (Сибирь)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практически нет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глубинный тыл</w:t>
            </w:r>
          </w:p>
        </w:tc>
      </w:tr>
      <w:tr>
        <w:trPr>
          <w:cantSplit/>
        </w:trPr>
        <w:tc>
          <w:tcPr>
            <w:tcW w:type="pct" w:w="14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Калийные комбинаты (Урал)</w:t>
            </w:r>
          </w:p>
        </w:tc>
        <w:tc>
          <w:tcPr>
            <w:tcW w:type="pct" w:w="15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практически нет</w:t>
            </w:r>
          </w:p>
        </w:tc>
        <w:tc>
          <w:tcPr>
            <w:tcW w:type="pct" w:w="21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глубинный тыл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Зерновой экспорт (порты, ЖД)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да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морской коридор чувствителен к ударам</w:t>
            </w:r>
          </w:p>
        </w:tc>
      </w:tr>
      <w:tr>
        <w:trPr>
          <w:cantSplit/>
        </w:trPr>
        <w:tc>
          <w:tcPr>
            <w:tcW w:type="pct" w:w="14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Алмазы (Якутия)</w:t>
            </w:r>
          </w:p>
        </w:tc>
        <w:tc>
          <w:tcPr>
            <w:tcW w:type="pct" w:w="15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нет</w:t>
            </w:r>
          </w:p>
        </w:tc>
        <w:tc>
          <w:tcPr>
            <w:tcW w:type="pct" w:w="21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Вывод: полный вариант сценария — гипотетический; реалистичный — «нефть и нефтепродукты плюс логистика», и он уже частично отработан рынком.</w:t>
      </w:r>
    </w:p>
    <w:p>
      <w:pPr>
        <w:pStyle w:val="Heading1"/>
        <w:keepNext/>
        <w:spacing w:after="180" w:before="400" w:line="312"/>
      </w:pPr>
      <w:bookmarkStart w:id="100003" w:name="_Toc100003"/>
      <w:r>
        <w:rPr>
          <w:rFonts w:ascii="Arial" w:hAnsi="Arial"/>
          <w:b/>
          <w:bCs/>
          <w:color w:val="26262B"/>
          <w:sz w:val="32"/>
          <w:szCs w:val="32"/>
        </w:rPr>
        <w:t xml:space="preserve">4. Что уже в ценах (октябрь 2026)</w:t>
      </w:r>
      <w:bookmarkEnd w:id="100003"/>
    </w:p>
    <w:p>
      <w:pPr>
        <w:keepNext/>
        <w:spacing w:after="80" w:before="200" w:line="312"/>
      </w:pPr>
      <w:r>
        <w:rPr>
          <w:rFonts w:ascii="Arial" w:hAnsi="Arial"/>
          <w:b/>
          <w:bCs/>
          <w:color w:val="26262B"/>
          <w:sz w:val="21"/>
          <w:szCs w:val="21"/>
        </w:rPr>
        <w:t xml:space="preserve">Таблица 2. Дошикные уровни, пики шока и текущие цены</w:t>
      </w:r>
    </w:p>
    <w:tbl>
      <w:tblPr>
        <w:tblW w:type="pct" w:w="5000"/>
        <w:tblBorders>
          <w:top w:val="single" w:color="9E2B25" w:sz="4"/>
          <w:left w:val="none" w:color="FFFFFF" w:sz="0"/>
          <w:bottom w:val="single" w:color="9E2B25" w:sz="4"/>
          <w:right w:val="none" w:color="FFFFFF" w:sz="0"/>
          <w:insideH w:val="single" w:color="D9C4C2" w:sz="2"/>
          <w:insideV w:val="none" w:color="FFFFFF" w:sz="0"/>
        </w:tblBorders>
      </w:tblPr>
      <w:tblGrid>
        <w:gridCol w:w="1318"/>
        <w:gridCol w:w="1582"/>
        <w:gridCol w:w="1582"/>
        <w:gridCol w:w="1494"/>
        <w:gridCol w:w="2812"/>
      </w:tblGrid>
      <w:tr>
        <w:trPr>
          <w:cantSplit/>
          <w:tblHeader/>
        </w:trPr>
        <w:tc>
          <w:tcPr>
            <w:tcW w:type="pct" w:w="750"/>
            <w:shd w:fill="9E2B2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17"/>
                <w:szCs w:val="17"/>
              </w:rPr>
              <w:t xml:space="preserve">Рынок</w:t>
            </w:r>
          </w:p>
        </w:tc>
        <w:tc>
          <w:tcPr>
            <w:tcW w:type="pct" w:w="900"/>
            <w:shd w:fill="9E2B2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17"/>
                <w:szCs w:val="17"/>
              </w:rPr>
              <w:t xml:space="preserve">Дошикной уровень</w:t>
            </w:r>
          </w:p>
        </w:tc>
        <w:tc>
          <w:tcPr>
            <w:tcW w:type="pct" w:w="900"/>
            <w:shd w:fill="9E2B2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17"/>
                <w:szCs w:val="17"/>
              </w:rPr>
              <w:t xml:space="preserve">Пик шока 2022–24</w:t>
            </w:r>
          </w:p>
        </w:tc>
        <w:tc>
          <w:tcPr>
            <w:tcW w:type="pct" w:w="850"/>
            <w:shd w:fill="9E2B2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17"/>
                <w:szCs w:val="17"/>
              </w:rPr>
              <w:t xml:space="preserve">Октябрь 2026</w:t>
            </w:r>
          </w:p>
        </w:tc>
        <w:tc>
          <w:tcPr>
            <w:tcW w:type="pct" w:w="1600"/>
            <w:shd w:fill="9E2B2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pct" w:w="75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Brent</w:t>
            </w:r>
          </w:p>
        </w:tc>
        <w:tc>
          <w:tcPr>
            <w:tcW w:type="pct" w:w="9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~$60–70 (2021, 2025)</w:t>
            </w:r>
          </w:p>
        </w:tc>
        <w:tc>
          <w:tcPr>
            <w:tcW w:type="pct" w:w="9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$128 (03.2022)</w:t>
            </w:r>
          </w:p>
        </w:tc>
        <w:tc>
          <w:tcPr>
            <w:tcW w:type="pct" w:w="85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~$107–125</w:t>
            </w:r>
          </w:p>
        </w:tc>
        <w:tc>
          <w:tcPr>
            <w:tcW w:type="pct" w:w="16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+60% за март 2026 — рекорд месячного роста</w:t>
            </w:r>
          </w:p>
        </w:tc>
      </w:tr>
      <w:tr>
        <w:trPr>
          <w:cantSplit/>
        </w:trPr>
        <w:tc>
          <w:tcPr>
            <w:tcW w:type="pct" w:w="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Газ TTF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€15–20 (2020)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€339 (08.2022)</w:t>
            </w:r>
          </w:p>
        </w:tc>
        <w:tc>
          <w:tcPr>
            <w:tcW w:type="pct" w:w="8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~€85 (фронт)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максимум с декабря 2022; ×4 от дошикного</w:t>
            </w:r>
          </w:p>
        </w:tc>
      </w:tr>
      <w:tr>
        <w:trPr>
          <w:cantSplit/>
        </w:trPr>
        <w:tc>
          <w:tcPr>
            <w:tcW w:type="pct" w:w="75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Пшеница CBOT</w:t>
            </w:r>
          </w:p>
        </w:tc>
        <w:tc>
          <w:tcPr>
            <w:tcW w:type="pct" w:w="9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~$6 (2021)</w:t>
            </w:r>
          </w:p>
        </w:tc>
        <w:tc>
          <w:tcPr>
            <w:tcW w:type="pct" w:w="9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$12,94 (03.2022)</w:t>
            </w:r>
          </w:p>
        </w:tc>
        <w:tc>
          <w:tcPr>
            <w:tcW w:type="pct" w:w="85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~$6,7–7,8</w:t>
            </w:r>
          </w:p>
        </w:tc>
        <w:tc>
          <w:tcPr>
            <w:tcW w:type="pct" w:w="16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+40% за 2026 при слабом урожае</w:t>
            </w:r>
          </w:p>
        </w:tc>
      </w:tr>
      <w:tr>
        <w:trPr>
          <w:cantSplit/>
        </w:trPr>
        <w:tc>
          <w:tcPr>
            <w:tcW w:type="pct" w:w="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Уран спот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~$30 (2020)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$107 (02.2024)</w:t>
            </w:r>
          </w:p>
        </w:tc>
        <w:tc>
          <w:tcPr>
            <w:tcW w:type="pct" w:w="8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~$90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долгосрочная цена $97 — исторический максимум</w:t>
            </w:r>
          </w:p>
        </w:tc>
      </w:tr>
      <w:tr>
        <w:trPr>
          <w:cantSplit/>
        </w:trPr>
        <w:tc>
          <w:tcPr>
            <w:tcW w:type="pct" w:w="75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Обогащение SWU</w:t>
            </w:r>
          </w:p>
        </w:tc>
        <w:tc>
          <w:tcPr>
            <w:tcW w:type="pct" w:w="9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~$50 (2021)</w:t>
            </w:r>
          </w:p>
        </w:tc>
        <w:tc>
          <w:tcPr>
            <w:tcW w:type="pct" w:w="9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pct" w:w="85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~$200</w:t>
            </w:r>
          </w:p>
        </w:tc>
        <w:tc>
          <w:tcPr>
            <w:tcW w:type="pct" w:w="16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×4 на частичном сценарии без физики</w:t>
            </w:r>
          </w:p>
        </w:tc>
      </w:tr>
      <w:tr>
        <w:trPr>
          <w:cantSplit/>
        </w:trPr>
        <w:tc>
          <w:tcPr>
            <w:tcW w:type="pct" w:w="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Палладий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~$1 900 (2021)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$3 440 (03.2022)</w:t>
            </w:r>
          </w:p>
        </w:tc>
        <w:tc>
          <w:tcPr>
            <w:tcW w:type="pct" w:w="8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~$1 650 (кон. 2025)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+81% за 2025; цель BofA $2 200</w:t>
            </w:r>
          </w:p>
        </w:tc>
      </w:tr>
      <w:tr>
        <w:trPr>
          <w:cantSplit/>
        </w:trPr>
        <w:tc>
          <w:tcPr>
            <w:tcW w:type="pct" w:w="75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Калий (Бразилия)</w:t>
            </w:r>
          </w:p>
        </w:tc>
        <w:tc>
          <w:tcPr>
            <w:tcW w:type="pct" w:w="9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~$250 (2021)</w:t>
            </w:r>
          </w:p>
        </w:tc>
        <w:tc>
          <w:tcPr>
            <w:tcW w:type="pct" w:w="9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~$1 100 (04.2022)</w:t>
            </w:r>
          </w:p>
        </w:tc>
        <w:tc>
          <w:tcPr>
            <w:tcW w:type="pct" w:w="85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~$370–505</w:t>
            </w:r>
          </w:p>
        </w:tc>
        <w:tc>
          <w:tcPr>
            <w:tcW w:type="pct" w:w="16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прогноз +12% на 2026 (Всемирный банк)</w:t>
            </w:r>
          </w:p>
        </w:tc>
      </w:tr>
    </w:tbl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Смысл таблицы: рынок уже «предоплатил» умеренную версию сценария. Маржинальный апсайд остаётся только на эскалацию сверх текущих ожиданий — и он меньше, чем был в 2021 году при входе с нуля.</w:t>
      </w:r>
    </w:p>
    <w:p>
      <w:pPr>
        <w:pStyle w:val="Heading2"/>
        <w:keepNext/>
        <w:spacing w:after="140" w:before="280" w:line="312"/>
      </w:pPr>
      <w:bookmarkStart w:id="100004" w:name="_Toc100004"/>
      <w:r>
        <w:rPr>
          <w:rFonts w:ascii="Arial" w:hAnsi="Arial"/>
          <w:b/>
          <w:bCs/>
          <w:color w:val="26262B"/>
          <w:sz w:val="28"/>
          <w:szCs w:val="28"/>
        </w:rPr>
        <w:t xml:space="preserve">4.1. Наглядное сопоставление</w:t>
      </w:r>
      <w:bookmarkEnd w:id="100004"/>
    </w:p>
    <w:p>
      <w:pPr>
        <w:keepNext/>
        <w:spacing w:after="80" w:before="200" w:line="312"/>
      </w:pPr>
      <w:r>
        <w:rPr>
          <w:rFonts w:ascii="Arial" w:hAnsi="Arial"/>
          <w:b/>
          <w:bCs/>
          <w:color w:val="26262B"/>
          <w:sz w:val="21"/>
          <w:szCs w:val="21"/>
        </w:rPr>
        <w:t xml:space="preserve">Диаграмма 1. Сценарные мультипликаторы цен (к уровню октября 2026)</w:t>
      </w:r>
    </w:p>
    <w:p>
      <w:pPr>
        <w:keepNext/>
        <w:spacing w:after="60"/>
        <w:jc w:val="center"/>
      </w:pPr>
      <w:r>
        <w:drawing>
          <wp:inline distT="0" distB="0" distL="0" distR="0">
            <wp:extent cx="5524500" cy="3467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iCs/>
          <w:color w:val="888888"/>
          <w:sz w:val="18"/>
          <w:szCs w:val="18"/>
        </w:rPr>
        <w:t xml:space="preserve">Оценки для сценария полной эскалации на основе аналогов 2022 года и структурных дефицитов. Красный — дефицит мощностей неустраним быстро; бронзовый — сильный шок с замещением; серый — замещение работает.</w:t>
      </w:r>
    </w:p>
    <w:p>
      <w:pPr>
        <w:pStyle w:val="Heading1"/>
        <w:keepNext/>
        <w:spacing w:after="180" w:before="400" w:line="312"/>
      </w:pPr>
      <w:bookmarkStart w:id="100005" w:name="_Toc100005"/>
      <w:r>
        <w:rPr>
          <w:rFonts w:ascii="Arial" w:hAnsi="Arial"/>
          <w:b/>
          <w:bCs/>
          <w:color w:val="26262B"/>
          <w:sz w:val="32"/>
          <w:szCs w:val="32"/>
        </w:rPr>
        <w:t xml:space="preserve">5. Поотраслевая механика шока и бенефициары</w:t>
      </w:r>
      <w:bookmarkEnd w:id="100005"/>
    </w:p>
    <w:p>
      <w:pPr>
        <w:pStyle w:val="Heading2"/>
        <w:keepNext/>
        <w:spacing w:after="140" w:before="280" w:line="312"/>
      </w:pPr>
      <w:bookmarkStart w:id="100006" w:name="_Toc100006"/>
      <w:r>
        <w:rPr>
          <w:rFonts w:ascii="Arial" w:hAnsi="Arial"/>
          <w:b/>
          <w:bCs/>
          <w:color w:val="26262B"/>
          <w:sz w:val="28"/>
          <w:szCs w:val="28"/>
        </w:rPr>
        <w:t xml:space="preserve">5.1. Обогащение урана — самый чистый сценарий</w:t>
      </w:r>
      <w:bookmarkEnd w:id="100006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База: Россия — около 44% мировых мощностей обогащения; США в 2025 году снова импортировали 24,5% обогащённого урана из РФ по исключениям. Заменить мощности нельзя до 2028 года и позже даже политической волей: центрифужные заводы строятся более десяти лет (Urenco и Orano расширяются, Centrus строит American Centrifuge — малыми темпами).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Сценарная оценка: </w:t>
      </w:r>
      <w:r>
        <w:rPr>
          <w:rFonts w:ascii="Times New Roman" w:hAnsi="Times New Roman"/>
          <w:color w:val="000000"/>
          <w:sz w:val="24"/>
          <w:szCs w:val="24"/>
        </w:rPr>
        <w:t xml:space="preserve">SWU ×3–5 от текущих (400–600 долларов за SWU), спот-уран 135–180 долларов за фунт.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Бенефициары: </w:t>
      </w:r>
      <w:r>
        <w:rPr>
          <w:rFonts w:ascii="Times New Roman" w:hAnsi="Times New Roman"/>
          <w:color w:val="000000"/>
          <w:sz w:val="24"/>
          <w:szCs w:val="24"/>
        </w:rPr>
        <w:t xml:space="preserve">Centrus Energy (LEU) — единственный листингованный западный обогатитель, контракт HALEU на 900 млн долларов (2 кв. 2026), рост с ~10 долларов в 2020-м до максимума выше 200 в 2025–26; Cameco (CCJ) — майнер плюс 49% Westinghouse; ETF URA и URNM; майнеры Kazatomprom (GDR), NexGen (NXE), Denison (DNN), Paladin (PDN.AX), Uranium Energy (UEC); генерация — Constellation (CEG), Vistra (VST); реакторные технологии — BWXT, GE Vernova (GEV).</w:t>
      </w:r>
    </w:p>
    <w:p>
      <w:pPr>
        <w:pStyle w:val="Heading2"/>
        <w:keepNext/>
        <w:spacing w:after="140" w:before="280" w:line="312"/>
      </w:pPr>
      <w:bookmarkStart w:id="100007" w:name="_Toc100007"/>
      <w:r>
        <w:rPr>
          <w:rFonts w:ascii="Arial" w:hAnsi="Arial"/>
          <w:b/>
          <w:bCs/>
          <w:color w:val="26262B"/>
          <w:sz w:val="28"/>
          <w:szCs w:val="28"/>
        </w:rPr>
        <w:t xml:space="preserve">5.2. Палладий: сильнейший шок, главная ловушка</w:t>
      </w:r>
      <w:bookmarkEnd w:id="100007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База: около 40% мировой добычи. Кейс 2022 года: только страх дефицита (без физического разрушения) поднял цену на 50% к максимуму 3 440 долларов. Физическое устранение 40% предложения — 4 000–5 000 долларов и выше на пике. Но именно палладий — главная ловушка замещения: в 2022–2024 годах автопром пересадил катализаторы на платину, и палладий рухнул на 76%, до 813 долларов, несмотря на войну.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Сценарий: </w:t>
      </w:r>
      <w:r>
        <w:rPr>
          <w:rFonts w:ascii="Times New Roman" w:hAnsi="Times New Roman"/>
          <w:color w:val="000000"/>
          <w:sz w:val="24"/>
          <w:szCs w:val="24"/>
        </w:rPr>
        <w:t xml:space="preserve">пик ×2–2,5 от текущих (3 300–4 100 долларов), затем минус 50% за 12–18 месяцев по мере замещения платиной.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Бенефициары: </w:t>
      </w:r>
      <w:r>
        <w:rPr>
          <w:rFonts w:ascii="Times New Roman" w:hAnsi="Times New Roman"/>
          <w:color w:val="000000"/>
          <w:sz w:val="24"/>
          <w:szCs w:val="24"/>
        </w:rPr>
        <w:t xml:space="preserve">Sibanye-Stillwater (SBSW) — единственный палладиевый майнер Запада (Stillwater, США); Impala Platinum; Anglo American (AAL.L); платина как замещающий металл (ETF типа PLTM).</w:t>
      </w:r>
    </w:p>
    <w:p>
      <w:pPr>
        <w:pStyle w:val="Heading2"/>
        <w:keepNext/>
        <w:spacing w:after="140" w:before="280" w:line="312"/>
      </w:pPr>
      <w:bookmarkStart w:id="100008" w:name="_Toc100008"/>
      <w:r>
        <w:rPr>
          <w:rFonts w:ascii="Arial" w:hAnsi="Arial"/>
          <w:b/>
          <w:bCs/>
          <w:color w:val="26262B"/>
          <w:sz w:val="28"/>
          <w:szCs w:val="28"/>
        </w:rPr>
        <w:t xml:space="preserve">5.3. Калийные удобрения: образцовый кейс 2022 года</w:t>
      </w:r>
      <w:bookmarkEnd w:id="100008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База: РФ и РБ — 35–40% мировой торговли. Санкции на «Беларуськалий» подняли бразильский калий с 250 до примерно 1 100 долларов за тонну (×4,4), затем последовал обвал на 75%, до 278 долларов к октябрю 2024-го.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Сценарий: </w:t>
      </w:r>
      <w:r>
        <w:rPr>
          <w:rFonts w:ascii="Times New Roman" w:hAnsi="Times New Roman"/>
          <w:color w:val="000000"/>
          <w:sz w:val="24"/>
          <w:szCs w:val="24"/>
        </w:rPr>
        <w:t xml:space="preserve">×2,5–3,5 от текущих (370–505 долларов → 900–1 300), выше при панических закупках Китая.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Бенефициары: </w:t>
      </w:r>
      <w:r>
        <w:rPr>
          <w:rFonts w:ascii="Times New Roman" w:hAnsi="Times New Roman"/>
          <w:color w:val="000000"/>
          <w:sz w:val="24"/>
          <w:szCs w:val="24"/>
        </w:rPr>
        <w:t xml:space="preserve">Nutrien (NTR) и Mosaic (MOS) — крупнейшие западные производители; ICL (Израиль); K+S (Германия); Intrepid Potash (IPI). По азоту (аммиак — 23% мирового экспорта РФ): CF Industries (CF), Yara (YAR.OL).</w:t>
      </w:r>
    </w:p>
    <w:p>
      <w:pPr>
        <w:pStyle w:val="Heading2"/>
        <w:keepNext/>
        <w:spacing w:after="140" w:before="280" w:line="312"/>
      </w:pPr>
      <w:bookmarkStart w:id="100009" w:name="_Toc100009"/>
      <w:r>
        <w:rPr>
          <w:rFonts w:ascii="Arial" w:hAnsi="Arial"/>
          <w:b/>
          <w:bCs/>
          <w:color w:val="26262B"/>
          <w:sz w:val="28"/>
          <w:szCs w:val="28"/>
        </w:rPr>
        <w:t xml:space="preserve">5.4. Пшеница и продовольственная цепочка</w:t>
      </w:r>
      <w:bookmarkEnd w:id="100009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База: 20–28% мирового экспорта; Египет, Турция и ряд стран Африки закупают в России более половины импортной пшеницы. Кейс 2022 года: с 6,40 до 12,94 доллара за месяц — и это при продолжавшихся поставках.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Сценарий: </w:t>
      </w:r>
      <w:r>
        <w:rPr>
          <w:rFonts w:ascii="Times New Roman" w:hAnsi="Times New Roman"/>
          <w:color w:val="000000"/>
          <w:sz w:val="24"/>
          <w:szCs w:val="24"/>
        </w:rPr>
        <w:t xml:space="preserve">12–17 долларов за бушель (×1,8–2,5); продовольственные кризисы в Египте, Ливане, Судане и политические потрясения вероятнее ценовых.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Бенефициары: </w:t>
      </w:r>
      <w:r>
        <w:rPr>
          <w:rFonts w:ascii="Times New Roman" w:hAnsi="Times New Roman"/>
          <w:color w:val="000000"/>
          <w:sz w:val="24"/>
          <w:szCs w:val="24"/>
        </w:rPr>
        <w:t xml:space="preserve">трейдеры ADM и Bunge (BG) — перелив потоков даёт маржу; агротех Deere (DE); хедж-инструменты — ETF DBA, WEAT, CORN (прямая фьючерсная экспозиция).</w:t>
      </w:r>
    </w:p>
    <w:p>
      <w:pPr>
        <w:pStyle w:val="Heading2"/>
        <w:keepNext/>
        <w:spacing w:after="140" w:before="280" w:line="312"/>
      </w:pPr>
      <w:bookmarkStart w:id="100010" w:name="_Toc100010"/>
      <w:r>
        <w:rPr>
          <w:rFonts w:ascii="Arial" w:hAnsi="Arial"/>
          <w:b/>
          <w:bCs/>
          <w:color w:val="26262B"/>
          <w:sz w:val="28"/>
          <w:szCs w:val="28"/>
        </w:rPr>
        <w:t xml:space="preserve">5.5. Подсолнечное масло</w:t>
      </w:r>
      <w:bookmarkEnd w:id="100010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База: Россия и Украина вместе — 70–75% мирового экспорта; вывод России устраняет примерно половину рынка. Кейс 2022 года: FOB Чёрное море ×2, до примерно 2 300 долларов за тонну, со всплеском цен пальмы и сои.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Сценарий: </w:t>
      </w:r>
      <w:r>
        <w:rPr>
          <w:rFonts w:ascii="Times New Roman" w:hAnsi="Times New Roman"/>
          <w:color w:val="000000"/>
          <w:sz w:val="24"/>
          <w:szCs w:val="24"/>
        </w:rPr>
        <w:t xml:space="preserve">×1,7–2,2 с перетоком в пальму и сою.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Бенефициары: </w:t>
      </w:r>
      <w:r>
        <w:rPr>
          <w:rFonts w:ascii="Times New Roman" w:hAnsi="Times New Roman"/>
          <w:color w:val="000000"/>
          <w:sz w:val="24"/>
          <w:szCs w:val="24"/>
        </w:rPr>
        <w:t xml:space="preserve">Wilmar (Сингапур) — пальмовый трейдер; соевые переработчики ADM и Bunge; малайзийские и индонезийские плантационные группы (IOI, Sime Darby, Golden Agri).</w:t>
      </w:r>
    </w:p>
    <w:p>
      <w:pPr>
        <w:pStyle w:val="Heading2"/>
        <w:keepNext/>
        <w:spacing w:after="140" w:before="280" w:line="312"/>
      </w:pPr>
      <w:bookmarkStart w:id="100011" w:name="_Toc100011"/>
      <w:r>
        <w:rPr>
          <w:rFonts w:ascii="Arial" w:hAnsi="Arial"/>
          <w:b/>
          <w:bCs/>
          <w:color w:val="26262B"/>
          <w:sz w:val="28"/>
          <w:szCs w:val="28"/>
        </w:rPr>
        <w:t xml:space="preserve">5.6. Титан для авиации</w:t>
      </w:r>
      <w:bookmarkEnd w:id="100011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База: ВСПМО — около 25% рынка и около 20% аэрокосмического сегмента; Boeing и Airbus диверсифицируются, но цикл переквалификации занимает годы.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Сценарий: </w:t>
      </w:r>
      <w:r>
        <w:rPr>
          <w:rFonts w:ascii="Times New Roman" w:hAnsi="Times New Roman"/>
          <w:color w:val="000000"/>
          <w:sz w:val="24"/>
          <w:szCs w:val="24"/>
        </w:rPr>
        <w:t xml:space="preserve">премии на титановый прокат ×2–3; срыв темпов сборки — проигравшие Boeing (BA) и Airbus (EADSY).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Бенефициары: </w:t>
      </w:r>
      <w:r>
        <w:rPr>
          <w:rFonts w:ascii="Times New Roman" w:hAnsi="Times New Roman"/>
          <w:color w:val="000000"/>
          <w:sz w:val="24"/>
          <w:szCs w:val="24"/>
        </w:rPr>
        <w:t xml:space="preserve">западные металлурги титанового цикла ATI, Carpenter Technology (CRS), Howmet (HWM), Materion (MTRN); Timet принадлежит Berkshire — напрямую не купить.</w:t>
      </w:r>
    </w:p>
    <w:p>
      <w:pPr>
        <w:pStyle w:val="Heading2"/>
        <w:keepNext/>
        <w:spacing w:after="140" w:before="280" w:line="312"/>
      </w:pPr>
      <w:bookmarkStart w:id="100012" w:name="_Toc100012"/>
      <w:r>
        <w:rPr>
          <w:rFonts w:ascii="Arial" w:hAnsi="Arial"/>
          <w:b/>
          <w:bCs/>
          <w:color w:val="26262B"/>
          <w:sz w:val="28"/>
          <w:szCs w:val="28"/>
        </w:rPr>
        <w:t xml:space="preserve">5.7. Нефть и нефтепродукты плюс танкеры</w:t>
      </w:r>
      <w:bookmarkEnd w:id="100012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База: 11% мирового экспорта (4,8 млн баррелей в сутки), до 47% — «теневым флотом». Реалистичный шок (НПЗ плюс порты) — минус 10–20% экспорта продуктов; экстремальный — полная потеря 4–5 млн баррелей при свободных мощностях ОПЕК+ всего 5–6 млн.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Сценарий: </w:t>
      </w:r>
      <w:r>
        <w:rPr>
          <w:rFonts w:ascii="Times New Roman" w:hAnsi="Times New Roman"/>
          <w:color w:val="000000"/>
          <w:sz w:val="24"/>
          <w:szCs w:val="24"/>
        </w:rPr>
        <w:t xml:space="preserve">Brent 150–200 долларов (оценки 2022 года для полной потери — 150–185 и выше), рекордные дизельные спреды.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Бенефициары: </w:t>
      </w:r>
      <w:r>
        <w:rPr>
          <w:rFonts w:ascii="Times New Roman" w:hAnsi="Times New Roman"/>
          <w:color w:val="000000"/>
          <w:sz w:val="24"/>
          <w:szCs w:val="24"/>
        </w:rPr>
        <w:t xml:space="preserve">мейджоры ExxonMobil (XOM), Chevron (CVX), Shell (SHEL), Equinor (EQNR); сервис SLB и Halliburton (HAL); главные относительные выигрыши 2022 года дали танкеры — Frontline (FRO), Scorpio Tankers (STNG), Teekay Tankers (TNK), Hafnia, TORM (TRMD): хаос маршрутов и страховых премий — это их маржа.</w:t>
      </w:r>
    </w:p>
    <w:p>
      <w:pPr>
        <w:pStyle w:val="Heading2"/>
        <w:keepNext/>
        <w:spacing w:after="140" w:before="280" w:line="312"/>
      </w:pPr>
      <w:bookmarkStart w:id="100013" w:name="_Toc100013"/>
      <w:r>
        <w:rPr>
          <w:rFonts w:ascii="Arial" w:hAnsi="Arial"/>
          <w:b/>
          <w:bCs/>
          <w:color w:val="26262B"/>
          <w:sz w:val="28"/>
          <w:szCs w:val="28"/>
        </w:rPr>
        <w:t xml:space="preserve">5.8. Газ: TTF и СПГ</w:t>
      </w:r>
      <w:bookmarkEnd w:id="100013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База: остаточные ~10% трубой (Туркстрим) и ~8% СПГ в импорте ЕС. С 2022 года Европа построила СПГ-терминалы и заполнила хранилища — та же потеря даст меньший шок.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Сценарий: </w:t>
      </w:r>
      <w:r>
        <w:rPr>
          <w:rFonts w:ascii="Times New Roman" w:hAnsi="Times New Roman"/>
          <w:color w:val="000000"/>
          <w:sz w:val="24"/>
          <w:szCs w:val="24"/>
        </w:rPr>
        <w:t xml:space="preserve">TTF 170–250 евро за МВт·ч (×2–3 от текущих 85; против 339 в 2022-м — ниже благодаря СПГ-инфраструктуре).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Бенефициары: </w:t>
      </w:r>
      <w:r>
        <w:rPr>
          <w:rFonts w:ascii="Times New Roman" w:hAnsi="Times New Roman"/>
          <w:color w:val="000000"/>
          <w:sz w:val="24"/>
          <w:szCs w:val="24"/>
        </w:rPr>
        <w:t xml:space="preserve">американские liquefiers Cheniere (LNG), Venture Global (VG), NextDecade (NEXT); Equinor (норвежская труба). Плечевые UNG и BOIL опасны — декей съедает позицию.</w:t>
      </w:r>
    </w:p>
    <w:p>
      <w:pPr>
        <w:pStyle w:val="Heading2"/>
        <w:keepNext/>
        <w:spacing w:after="140" w:before="280" w:line="312"/>
      </w:pPr>
      <w:bookmarkStart w:id="100014" w:name="_Toc100014"/>
      <w:r>
        <w:rPr>
          <w:rFonts w:ascii="Arial" w:hAnsi="Arial"/>
          <w:b/>
          <w:bCs/>
          <w:color w:val="26262B"/>
          <w:sz w:val="28"/>
          <w:szCs w:val="28"/>
        </w:rPr>
        <w:t xml:space="preserve">5.9. Уголь, никель, алюминий, алмазы — умеренные эффекты</w:t>
      </w:r>
      <w:bookmarkEnd w:id="100014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Уголь: ×1,5–2; бенефициары Glencore (GLEN.L), Whitehaven (WHC.AX), New Hope (NHC.AX), Warrior Met (HCC). Никель: ×1,3–1,6 — замещение Индонезией растёт быстро; Vale, IGO. Алюминий: ×1,4–1,8 (доля РУСАЛа — 6% добычи); Alcoa (AA), Norsk Hydro (NHY.OL). Алмазы: плюс 30–50% на пике и недолго — спрос и так исторически слабый, листингованных чистых бенефициаров почти нет (Anglo American продаёт De Beers); пропускать.</w:t>
      </w:r>
    </w:p>
    <w:p>
      <w:pPr>
        <w:pStyle w:val="Heading2"/>
        <w:keepNext/>
        <w:spacing w:after="140" w:before="280" w:line="312"/>
      </w:pPr>
      <w:bookmarkStart w:id="100015" w:name="_Toc100015"/>
      <w:r>
        <w:rPr>
          <w:rFonts w:ascii="Arial" w:hAnsi="Arial"/>
          <w:b/>
          <w:bCs/>
          <w:color w:val="26262B"/>
          <w:sz w:val="28"/>
          <w:szCs w:val="28"/>
        </w:rPr>
        <w:t xml:space="preserve">5.10. Оборонные — единственный «вечный» бенефициар</w:t>
      </w:r>
      <w:bookmarkEnd w:id="100015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Рост боевых действий означает рост заказов независимо от цен на сырьё. Кейс 2022–2026: Rheinmetall — примерно в двадцать раз (заказной портфель 62 млрд евро), сектор плюс 150–170% за 2025 год. Но с апреля 2026-го сектор находится в фазе профит-тейкинга, оценки растянуты.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Бенефициары: </w:t>
      </w:r>
      <w:r>
        <w:rPr>
          <w:rFonts w:ascii="Times New Roman" w:hAnsi="Times New Roman"/>
          <w:color w:val="000000"/>
          <w:sz w:val="24"/>
          <w:szCs w:val="24"/>
        </w:rPr>
        <w:t xml:space="preserve">Rheinmetall (RHM.DE), BAE Systems (BA.L), Thales (HO.PA), Leonardo (LDO.MI), Saab (SAAB-B.ST), Kongsberg (KOG.OL), Hensoldt (HAG.DE), Renk; США — Lockheed Martin (LMT), RTX, Northrop Grumman (NOC), General Dynamics (GD); ETF — ITA, XAR, PPA.</w:t>
      </w:r>
    </w:p>
    <w:p>
      <w:pPr>
        <w:pStyle w:val="Heading1"/>
        <w:keepNext/>
        <w:spacing w:after="180" w:before="400" w:line="312"/>
      </w:pPr>
      <w:bookmarkStart w:id="100016" w:name="_Toc100016"/>
      <w:r>
        <w:rPr>
          <w:rFonts w:ascii="Arial" w:hAnsi="Arial"/>
          <w:b/>
          <w:bCs/>
          <w:color w:val="26262B"/>
          <w:sz w:val="32"/>
          <w:szCs w:val="32"/>
        </w:rPr>
        <w:t xml:space="preserve">6. Сводная таблица сценария</w:t>
      </w:r>
      <w:bookmarkEnd w:id="100016"/>
    </w:p>
    <w:p>
      <w:pPr>
        <w:keepNext/>
        <w:spacing w:after="80" w:before="200" w:line="312"/>
      </w:pPr>
      <w:r>
        <w:rPr>
          <w:rFonts w:ascii="Arial" w:hAnsi="Arial"/>
          <w:b/>
          <w:bCs/>
          <w:color w:val="26262B"/>
          <w:sz w:val="21"/>
          <w:szCs w:val="21"/>
        </w:rPr>
        <w:t xml:space="preserve">Таблица 3. Пики, текущие уровни, сценарные оценки и бенефициары</w:t>
      </w:r>
    </w:p>
    <w:tbl>
      <w:tblPr>
        <w:tblW w:type="pct" w:w="5000"/>
        <w:tblBorders>
          <w:top w:val="single" w:color="9E2B25" w:sz="4"/>
          <w:left w:val="none" w:color="FFFFFF" w:sz="0"/>
          <w:bottom w:val="single" w:color="9E2B25" w:sz="4"/>
          <w:right w:val="none" w:color="FFFFFF" w:sz="0"/>
          <w:insideH w:val="single" w:color="D9C4C2" w:sz="2"/>
          <w:insideV w:val="none" w:color="FFFFFF" w:sz="0"/>
        </w:tblBorders>
      </w:tblPr>
      <w:tblGrid>
        <w:gridCol w:w="1406"/>
        <w:gridCol w:w="1494"/>
        <w:gridCol w:w="1406"/>
        <w:gridCol w:w="2021"/>
        <w:gridCol w:w="2461"/>
      </w:tblGrid>
      <w:tr>
        <w:trPr>
          <w:cantSplit/>
          <w:tblHeader/>
        </w:trPr>
        <w:tc>
          <w:tcPr>
            <w:tcW w:type="pct" w:w="800"/>
            <w:shd w:fill="9E2B2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17"/>
                <w:szCs w:val="17"/>
              </w:rPr>
              <w:t xml:space="preserve">Рынок</w:t>
            </w:r>
          </w:p>
        </w:tc>
        <w:tc>
          <w:tcPr>
            <w:tcW w:type="pct" w:w="850"/>
            <w:shd w:fill="9E2B2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17"/>
                <w:szCs w:val="17"/>
              </w:rPr>
              <w:t xml:space="preserve">Пик 2022–24</w:t>
            </w:r>
          </w:p>
        </w:tc>
        <w:tc>
          <w:tcPr>
            <w:tcW w:type="pct" w:w="800"/>
            <w:shd w:fill="9E2B2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17"/>
                <w:szCs w:val="17"/>
              </w:rPr>
              <w:t xml:space="preserve">Октябрь 2026</w:t>
            </w:r>
          </w:p>
        </w:tc>
        <w:tc>
          <w:tcPr>
            <w:tcW w:type="pct" w:w="1150"/>
            <w:shd w:fill="9E2B2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17"/>
                <w:szCs w:val="17"/>
              </w:rPr>
              <w:t xml:space="preserve">Сценарий (полный шок)</w:t>
            </w:r>
          </w:p>
        </w:tc>
        <w:tc>
          <w:tcPr>
            <w:tcW w:type="pct" w:w="1400"/>
            <w:shd w:fill="9E2B2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17"/>
                <w:szCs w:val="17"/>
              </w:rPr>
              <w:t xml:space="preserve">Ключевые бенефициары</w:t>
            </w:r>
          </w:p>
        </w:tc>
      </w:tr>
      <w:tr>
        <w:trPr>
          <w:cantSplit/>
        </w:trPr>
        <w:tc>
          <w:tcPr>
            <w:tcW w:type="pct" w:w="8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Обогащение SWU</w:t>
            </w:r>
          </w:p>
        </w:tc>
        <w:tc>
          <w:tcPr>
            <w:tcW w:type="pct" w:w="85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~$200 (уже ×4)</w:t>
            </w:r>
          </w:p>
        </w:tc>
        <w:tc>
          <w:tcPr>
            <w:tcW w:type="pct" w:w="8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~$200</w:t>
            </w:r>
          </w:p>
        </w:tc>
        <w:tc>
          <w:tcPr>
            <w:tcW w:type="pct" w:w="115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×3–5 → $400–600</w:t>
            </w:r>
          </w:p>
        </w:tc>
        <w:tc>
          <w:tcPr>
            <w:tcW w:type="pct" w:w="14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LEU, CCJ, URA/URNM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Уран спот</w:t>
            </w:r>
          </w:p>
        </w:tc>
        <w:tc>
          <w:tcPr>
            <w:tcW w:type="pct" w:w="8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$107 (02.2024)</w:t>
            </w:r>
          </w:p>
        </w:tc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~$90</w:t>
            </w:r>
          </w:p>
        </w:tc>
        <w:tc>
          <w:tcPr>
            <w:tcW w:type="pct" w:w="1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$135–180</w:t>
            </w:r>
          </w:p>
        </w:tc>
        <w:tc>
          <w:tcPr>
            <w:tcW w:type="pct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CCJ, NXE, UEC, KAP</w:t>
            </w:r>
          </w:p>
        </w:tc>
      </w:tr>
      <w:tr>
        <w:trPr>
          <w:cantSplit/>
        </w:trPr>
        <w:tc>
          <w:tcPr>
            <w:tcW w:type="pct" w:w="8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Палладий</w:t>
            </w:r>
          </w:p>
        </w:tc>
        <w:tc>
          <w:tcPr>
            <w:tcW w:type="pct" w:w="85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$3 440 (03.2022)</w:t>
            </w:r>
          </w:p>
        </w:tc>
        <w:tc>
          <w:tcPr>
            <w:tcW w:type="pct" w:w="8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~$1 650</w:t>
            </w:r>
          </w:p>
        </w:tc>
        <w:tc>
          <w:tcPr>
            <w:tcW w:type="pct" w:w="115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$3 300–4 500, затем −50%</w:t>
            </w:r>
          </w:p>
        </w:tc>
        <w:tc>
          <w:tcPr>
            <w:tcW w:type="pct" w:w="14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SBSW, Impala, AAL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Калий</w:t>
            </w:r>
          </w:p>
        </w:tc>
        <w:tc>
          <w:tcPr>
            <w:tcW w:type="pct" w:w="8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~$1 100 (Бразилия)</w:t>
            </w:r>
          </w:p>
        </w:tc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$370–505</w:t>
            </w:r>
          </w:p>
        </w:tc>
        <w:tc>
          <w:tcPr>
            <w:tcW w:type="pct" w:w="1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×2,5–3,5 → $900–1 300</w:t>
            </w:r>
          </w:p>
        </w:tc>
        <w:tc>
          <w:tcPr>
            <w:tcW w:type="pct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NTR, MOS, ICL, K+S</w:t>
            </w:r>
          </w:p>
        </w:tc>
      </w:tr>
      <w:tr>
        <w:trPr>
          <w:cantSplit/>
        </w:trPr>
        <w:tc>
          <w:tcPr>
            <w:tcW w:type="pct" w:w="8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Пшеница</w:t>
            </w:r>
          </w:p>
        </w:tc>
        <w:tc>
          <w:tcPr>
            <w:tcW w:type="pct" w:w="85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$12,94</w:t>
            </w:r>
          </w:p>
        </w:tc>
        <w:tc>
          <w:tcPr>
            <w:tcW w:type="pct" w:w="8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$6,7–7,8</w:t>
            </w:r>
          </w:p>
        </w:tc>
        <w:tc>
          <w:tcPr>
            <w:tcW w:type="pct" w:w="115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$12–17</w:t>
            </w:r>
          </w:p>
        </w:tc>
        <w:tc>
          <w:tcPr>
            <w:tcW w:type="pct" w:w="14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ADM, BG, DE; DBA/WEAT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Подсолнечное масло</w:t>
            </w:r>
          </w:p>
        </w:tc>
        <w:tc>
          <w:tcPr>
            <w:tcW w:type="pct" w:w="8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~$2 300/т</w:t>
            </w:r>
          </w:p>
        </w:tc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~$1 100–1 200</w:t>
            </w:r>
          </w:p>
        </w:tc>
        <w:tc>
          <w:tcPr>
            <w:tcW w:type="pct" w:w="1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×1,7–2,2</w:t>
            </w:r>
          </w:p>
        </w:tc>
        <w:tc>
          <w:tcPr>
            <w:tcW w:type="pct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Wilmar, ADM, пальма</w:t>
            </w:r>
          </w:p>
        </w:tc>
      </w:tr>
      <w:tr>
        <w:trPr>
          <w:cantSplit/>
        </w:trPr>
        <w:tc>
          <w:tcPr>
            <w:tcW w:type="pct" w:w="8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Титан (прокат)</w:t>
            </w:r>
          </w:p>
        </w:tc>
        <w:tc>
          <w:tcPr>
            <w:tcW w:type="pct" w:w="85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премии 2022</w:t>
            </w:r>
          </w:p>
        </w:tc>
        <w:tc>
          <w:tcPr>
            <w:tcW w:type="pct" w:w="8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умеренно</w:t>
            </w:r>
          </w:p>
        </w:tc>
        <w:tc>
          <w:tcPr>
            <w:tcW w:type="pct" w:w="115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×2–3</w:t>
            </w:r>
          </w:p>
        </w:tc>
        <w:tc>
          <w:tcPr>
            <w:tcW w:type="pct" w:w="14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ATI, CRS, HWM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Brent</w:t>
            </w:r>
          </w:p>
        </w:tc>
        <w:tc>
          <w:tcPr>
            <w:tcW w:type="pct" w:w="8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$128 (03.2022)</w:t>
            </w:r>
          </w:p>
        </w:tc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~$107–125</w:t>
            </w:r>
          </w:p>
        </w:tc>
        <w:tc>
          <w:tcPr>
            <w:tcW w:type="pct" w:w="1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$150–200</w:t>
            </w:r>
          </w:p>
        </w:tc>
        <w:tc>
          <w:tcPr>
            <w:tcW w:type="pct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XOM, CVX, SHEL; FRO, STNG</w:t>
            </w:r>
          </w:p>
        </w:tc>
      </w:tr>
      <w:tr>
        <w:trPr>
          <w:cantSplit/>
        </w:trPr>
        <w:tc>
          <w:tcPr>
            <w:tcW w:type="pct" w:w="8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TTF газ</w:t>
            </w:r>
          </w:p>
        </w:tc>
        <w:tc>
          <w:tcPr>
            <w:tcW w:type="pct" w:w="85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€339 (08.2022)</w:t>
            </w:r>
          </w:p>
        </w:tc>
        <w:tc>
          <w:tcPr>
            <w:tcW w:type="pct" w:w="8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~€85</w:t>
            </w:r>
          </w:p>
        </w:tc>
        <w:tc>
          <w:tcPr>
            <w:tcW w:type="pct" w:w="115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€170–250</w:t>
            </w:r>
          </w:p>
        </w:tc>
        <w:tc>
          <w:tcPr>
            <w:tcW w:type="pct" w:w="14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LNG (Cheniere), VG, EQNR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Уголь</w:t>
            </w:r>
          </w:p>
        </w:tc>
        <w:tc>
          <w:tcPr>
            <w:tcW w:type="pct" w:w="8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рекорды 2022</w:t>
            </w:r>
          </w:p>
        </w:tc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умеренно</w:t>
            </w:r>
          </w:p>
        </w:tc>
        <w:tc>
          <w:tcPr>
            <w:tcW w:type="pct" w:w="1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×1,5–2</w:t>
            </w:r>
          </w:p>
        </w:tc>
        <w:tc>
          <w:tcPr>
            <w:tcW w:type="pct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GLEN, WHC, NHC, HCC</w:t>
            </w:r>
          </w:p>
        </w:tc>
      </w:tr>
      <w:tr>
        <w:trPr>
          <w:cantSplit/>
        </w:trPr>
        <w:tc>
          <w:tcPr>
            <w:tcW w:type="pct" w:w="8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Оборонные</w:t>
            </w:r>
          </w:p>
        </w:tc>
        <w:tc>
          <w:tcPr>
            <w:tcW w:type="pct" w:w="85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pct" w:w="8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Rheinmetall ×20</w:t>
            </w:r>
          </w:p>
        </w:tc>
        <w:tc>
          <w:tcPr>
            <w:tcW w:type="pct" w:w="115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заказы растут, оценки растянуты</w:t>
            </w:r>
          </w:p>
        </w:tc>
        <w:tc>
          <w:tcPr>
            <w:tcW w:type="pct" w:w="14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RHM, BA.L, SAAB-B, LMT, RTX</w:t>
            </w:r>
          </w:p>
        </w:tc>
      </w:tr>
    </w:tbl>
    <w:p>
      <w:pPr>
        <w:pStyle w:val="Heading1"/>
        <w:keepNext/>
        <w:spacing w:after="180" w:before="400" w:line="312"/>
      </w:pPr>
      <w:bookmarkStart w:id="100017" w:name="_Toc100017"/>
      <w:r>
        <w:rPr>
          <w:rFonts w:ascii="Arial" w:hAnsi="Arial"/>
          <w:b/>
          <w:bCs/>
          <w:color w:val="26262B"/>
          <w:sz w:val="32"/>
          <w:szCs w:val="32"/>
        </w:rPr>
        <w:t xml:space="preserve">7. Главный урок 2022 года: спайк против структуры</w:t>
      </w:r>
      <w:bookmarkEnd w:id="100017"/>
    </w:p>
    <w:p>
      <w:pPr>
        <w:keepNext/>
        <w:spacing w:after="80" w:before="200" w:line="312"/>
      </w:pPr>
      <w:r>
        <w:rPr>
          <w:rFonts w:ascii="Arial" w:hAnsi="Arial"/>
          <w:b/>
          <w:bCs/>
          <w:color w:val="26262B"/>
          <w:sz w:val="21"/>
          <w:szCs w:val="21"/>
        </w:rPr>
        <w:t xml:space="preserve">Таблица 4. Что стало с «военными» активами через 1,5–2,5 года</w:t>
      </w:r>
    </w:p>
    <w:tbl>
      <w:tblPr>
        <w:tblW w:type="pct" w:w="5000"/>
        <w:tblBorders>
          <w:top w:val="single" w:color="9E2B25" w:sz="4"/>
          <w:left w:val="none" w:color="FFFFFF" w:sz="0"/>
          <w:bottom w:val="single" w:color="9E2B25" w:sz="4"/>
          <w:right w:val="none" w:color="FFFFFF" w:sz="0"/>
          <w:insideH w:val="single" w:color="D9C4C2" w:sz="2"/>
          <w:insideV w:val="none" w:color="FFFFFF" w:sz="0"/>
        </w:tblBorders>
      </w:tblPr>
      <w:tblGrid>
        <w:gridCol w:w="1933"/>
        <w:gridCol w:w="1582"/>
        <w:gridCol w:w="2285"/>
        <w:gridCol w:w="2988"/>
      </w:tblGrid>
      <w:tr>
        <w:trPr>
          <w:cantSplit/>
          <w:tblHeader/>
        </w:trPr>
        <w:tc>
          <w:tcPr>
            <w:tcW w:type="pct" w:w="1100"/>
            <w:shd w:fill="9E2B2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1"/>
                <w:szCs w:val="21"/>
              </w:rPr>
              <w:t xml:space="preserve">Инструмент</w:t>
            </w:r>
          </w:p>
        </w:tc>
        <w:tc>
          <w:tcPr>
            <w:tcW w:type="pct" w:w="900"/>
            <w:shd w:fill="9E2B2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1"/>
                <w:szCs w:val="21"/>
              </w:rPr>
              <w:t xml:space="preserve">Пик шока</w:t>
            </w:r>
          </w:p>
        </w:tc>
        <w:tc>
          <w:tcPr>
            <w:tcW w:type="pct" w:w="1300"/>
            <w:shd w:fill="9E2B2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1"/>
                <w:szCs w:val="21"/>
              </w:rPr>
              <w:t xml:space="preserve">Через 1,5–2,5 года</w:t>
            </w:r>
          </w:p>
        </w:tc>
        <w:tc>
          <w:tcPr>
            <w:tcW w:type="pct" w:w="1700"/>
            <w:shd w:fill="9E2B2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1"/>
                <w:szCs w:val="21"/>
              </w:rPr>
              <w:t xml:space="preserve">Итог</w:t>
            </w:r>
          </w:p>
        </w:tc>
      </w:tr>
      <w:tr>
        <w:trPr>
          <w:cantSplit/>
        </w:trPr>
        <w:tc>
          <w:tcPr>
            <w:tcW w:type="pct" w:w="11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Палладий</w:t>
            </w:r>
          </w:p>
        </w:tc>
        <w:tc>
          <w:tcPr>
            <w:tcW w:type="pct" w:w="9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$3 440</w:t>
            </w:r>
          </w:p>
        </w:tc>
        <w:tc>
          <w:tcPr>
            <w:tcW w:type="pct" w:w="13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$813 (−76%)</w:t>
            </w:r>
          </w:p>
        </w:tc>
        <w:tc>
          <w:tcPr>
            <w:tcW w:type="pct" w:w="17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ловушка замещения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Калий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~$1 100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$278 (−75%)</w:t>
            </w:r>
          </w:p>
        </w:tc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спайк сошёл</w:t>
            </w:r>
          </w:p>
        </w:tc>
      </w:tr>
      <w:tr>
        <w:trPr>
          <w:cantSplit/>
        </w:trPr>
        <w:tc>
          <w:tcPr>
            <w:tcW w:type="pct" w:w="11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Пшеница</w:t>
            </w:r>
          </w:p>
        </w:tc>
        <w:tc>
          <w:tcPr>
            <w:tcW w:type="pct" w:w="9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$12,94</w:t>
            </w:r>
          </w:p>
        </w:tc>
        <w:tc>
          <w:tcPr>
            <w:tcW w:type="pct" w:w="13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$5,07 (−61%)</w:t>
            </w:r>
          </w:p>
        </w:tc>
        <w:tc>
          <w:tcPr>
            <w:tcW w:type="pct" w:w="17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урожаи восстановились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TTF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€339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€25–35 (−90%)</w:t>
            </w:r>
          </w:p>
        </w:tc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СПГ-инфраструктура</w:t>
            </w:r>
          </w:p>
        </w:tc>
      </w:tr>
      <w:tr>
        <w:trPr>
          <w:cantSplit/>
        </w:trPr>
        <w:tc>
          <w:tcPr>
            <w:tcW w:type="pct" w:w="11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Алюминий</w:t>
            </w:r>
          </w:p>
        </w:tc>
        <w:tc>
          <w:tcPr>
            <w:tcW w:type="pct" w:w="9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$3 985</w:t>
            </w:r>
          </w:p>
        </w:tc>
        <w:tc>
          <w:tcPr>
            <w:tcW w:type="pct" w:w="13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~$2 200 (−45%)</w:t>
            </w:r>
          </w:p>
        </w:tc>
        <w:tc>
          <w:tcPr>
            <w:tcW w:type="pct" w:w="17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рецессия съела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SWU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×4 и держится</w:t>
            </w:r>
          </w:p>
        </w:tc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структурный сдвиг</w:t>
            </w:r>
          </w:p>
        </w:tc>
      </w:tr>
      <w:tr>
        <w:trPr>
          <w:cantSplit/>
        </w:trPr>
        <w:tc>
          <w:tcPr>
            <w:tcW w:type="pct" w:w="11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Rheinmetall</w:t>
            </w:r>
          </w:p>
        </w:tc>
        <w:tc>
          <w:tcPr>
            <w:tcW w:type="pct" w:w="9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13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×20 и выше</w:t>
            </w:r>
          </w:p>
        </w:tc>
        <w:tc>
          <w:tcPr>
            <w:tcW w:type="pct" w:w="17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структурный сдвиг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Centrus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×13 и выше</w:t>
            </w:r>
          </w:p>
        </w:tc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структурный сдвиг</w:t>
            </w:r>
          </w:p>
        </w:tc>
      </w:tr>
      <w:tr>
        <w:trPr>
          <w:cantSplit/>
        </w:trPr>
        <w:tc>
          <w:tcPr>
            <w:tcW w:type="pct" w:w="11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US LNG (Cheniere)</w:t>
            </w:r>
          </w:p>
        </w:tc>
        <w:tc>
          <w:tcPr>
            <w:tcW w:type="pct" w:w="9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13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рекордные выручки</w:t>
            </w:r>
          </w:p>
        </w:tc>
        <w:tc>
          <w:tcPr>
            <w:tcW w:type="pct" w:w="1700"/>
            <w:shd w:fill="F5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структурный сдвиг</w:t>
            </w:r>
          </w:p>
        </w:tc>
      </w:tr>
    </w:tbl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Правило, которое видно из таблицы: сырьевой спайк продаётся в первые недели — часто ещё до пика, — а деньги остаются у держателей структурных сдвигов: дефицит мощностей обогащения, переоснащение армий, перестройка цепочек поставок. Бинарная ставка «на удар» без структуры почти всегда оканчивается возвратом к средней.</w:t>
      </w:r>
    </w:p>
    <w:p>
      <w:pPr>
        <w:pStyle w:val="Heading1"/>
        <w:keepNext/>
        <w:spacing w:after="180" w:before="400" w:line="312"/>
      </w:pPr>
      <w:bookmarkStart w:id="100018" w:name="_Toc100018"/>
      <w:r>
        <w:rPr>
          <w:rFonts w:ascii="Arial" w:hAnsi="Arial"/>
          <w:b/>
          <w:bCs/>
          <w:color w:val="26262B"/>
          <w:sz w:val="32"/>
          <w:szCs w:val="32"/>
        </w:rPr>
        <w:t xml:space="preserve">8. Архитектура позиций (образовательная рамка)</w:t>
      </w:r>
      <w:bookmarkEnd w:id="100018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1. Структурное ядро </w:t>
      </w:r>
      <w:r>
        <w:rPr>
          <w:rFonts w:ascii="Times New Roman" w:hAnsi="Times New Roman"/>
          <w:color w:val="000000"/>
          <w:sz w:val="24"/>
          <w:szCs w:val="24"/>
        </w:rPr>
        <w:t xml:space="preserve">(работает без катастрофы — уже работает): обогащение и уран (LEU, CCJ, URA/URNM), европейское переоснащение (RHM, BA.L, SAAB-B, KOG.OL, HAG.DE), СПГ (LNG), аэроматериалы (ATI, HWM). Риск — растянутые оценки и профит-тейкинг 2026 года.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2. Хедж на обострение </w:t>
      </w:r>
      <w:r>
        <w:rPr>
          <w:rFonts w:ascii="Times New Roman" w:hAnsi="Times New Roman"/>
          <w:color w:val="000000"/>
          <w:sz w:val="24"/>
          <w:szCs w:val="24"/>
        </w:rPr>
        <w:t xml:space="preserve">(опционы «вне денег», малый капитал, готовность к минус 100%): коллы на NTR/MOS/CF (калий и азот), WEAT/CORN/DBA (зерно), SBSW (платиноиды), FRO/STNG (танкеры), BNO (нефть). Логика: если эскалация случится, опционы дают асимметрию ×5–20; если нет — премия сгорает.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3. Лотерейные билеты: </w:t>
      </w:r>
      <w:r>
        <w:rPr>
          <w:rFonts w:ascii="Times New Roman" w:hAnsi="Times New Roman"/>
          <w:color w:val="000000"/>
          <w:sz w:val="24"/>
          <w:szCs w:val="24"/>
        </w:rPr>
        <w:t xml:space="preserve">микрокапы урана, плечевые ETF (BOIL ×2, DFEN ×3) — отрицательное математическое ожидание на горизонте из-за декея и волатильности; только для понимающих риск.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Типовые ошибки. </w:t>
      </w:r>
      <w:r>
        <w:rPr>
          <w:rFonts w:ascii="Times New Roman" w:hAnsi="Times New Roman"/>
          <w:color w:val="000000"/>
          <w:sz w:val="24"/>
          <w:szCs w:val="24"/>
        </w:rPr>
        <w:t xml:space="preserve">Покупка после первых плюс 30% (вход в локальный пик); игнорирование экспирации опционов (шок в марте, экспирация в феврале); удержание спайков как «новой нормы» (палладий: минус 76%); плечо в первый день — в панике сначала падает всё (март 2022: индексы просели раньше, чем выросли бенефициары), и маржин-колл выносит до отскока.</w:t>
      </w:r>
    </w:p>
    <w:p>
      <w:pPr>
        <w:pStyle w:val="Heading1"/>
        <w:keepNext/>
        <w:spacing w:after="180" w:before="400" w:line="312"/>
      </w:pPr>
      <w:bookmarkStart w:id="100019" w:name="_Toc100019"/>
      <w:r>
        <w:rPr>
          <w:rFonts w:ascii="Arial" w:hAnsi="Arial"/>
          <w:b/>
          <w:bCs/>
          <w:color w:val="26262B"/>
          <w:sz w:val="32"/>
          <w:szCs w:val="32"/>
        </w:rPr>
        <w:t xml:space="preserve">9. Практические ограничения для резидента Беларуси</w:t>
      </w:r>
      <w:bookmarkEnd w:id="100019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Прямого доступа нет: Interactive Brokers и брокеры ЕС, США и Великобритании не открывают счета резидентам Беларуси (санкционный комплаенс); существующие счета с белорусской привязкой — под ограничениями.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Реалистичные, но не «чистые» маршруты — брокеры Казахстана, Армении, Киргизии и ОАЭ, исторически обслуживающие нерезидентов СНГ (пример — Freedom Finance Global, Казахстан); комплаенс, качество защиты инвестора и риски блокировки — на совести выбранного маршрута.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Российский рынок (MOEX) формально частично доступен гражданам РБ как гражданам ЕАЭС, но санкционные ограничения на расчёты и на бумаги США и ЕС делают его неинструментом для этой темы. Налоги в РБ: доходы от продажи иностранных ценных бумаг и дивиденды облагаются подоходным налогом (13% на общих основаниях), декларирование обязательно; статус нужно уточнять с налоговым консультантом — это не налоговая консультация. Криптомаршруты регуляторно серые в РБ (майнинг запрещён, оборот ограничен резидентами ПВТ) — упоминаются как факт, не как рекомендация.</w:t>
      </w:r>
    </w:p>
    <w:p>
      <w:pPr>
        <w:pStyle w:val="Heading1"/>
        <w:keepNext/>
        <w:spacing w:after="180" w:before="400" w:line="312"/>
      </w:pPr>
      <w:bookmarkStart w:id="100020" w:name="_Toc100020"/>
      <w:r>
        <w:rPr>
          <w:rFonts w:ascii="Arial" w:hAnsi="Arial"/>
          <w:b/>
          <w:bCs/>
          <w:color w:val="26262B"/>
          <w:sz w:val="32"/>
          <w:szCs w:val="32"/>
        </w:rPr>
        <w:t xml:space="preserve">10. Выводы</w:t>
      </w:r>
      <w:bookmarkEnd w:id="100020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Первое. Полный шок по всем отраслям — гипотетический; реалистичный (НПЗ, порты, логистика) уже частично отработан рынком: Brent около 107–125 долларов, TTF около 85 евро, пшеница плюс 40% за 2026 год.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Второе. Максимальные мультипликаторы в остаточном сценарии — у обогащения урана (SWU ×3–5), калия (×2,5–3,5), палладия (×2–2,5 с последующим обвалом от замещения), нефти (150–200 долларов) и TTF (170–250 евро).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Третье. Легального способа «купить перед ударами» не существует; существует хедж на вероятности (опционы вне денег на бенефициарах) и структурные позиции (обогащение, оборона, СПГ), которые работают уже сейчас.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Четвёртое. Главный урок 2022 года: сырьевые спайки возвращаются к средней (палладий минус 76%, калий минус 75%, TTF минус 90%), а структурные сдвиги остаются (SWU ×4, Rheinmetall ×20, Centrus выше ×13). Покупать структуру, арендовать спайк, не покупать панику.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Пятое. Для резидента Беларуси инфраструктурное ограничение (доступ к западным рынкам) часто жёстче рыночного риска.</w:t>
      </w:r>
    </w:p>
    <w:p>
      <w:pPr>
        <w:pStyle w:val="Heading1"/>
        <w:keepNext/>
        <w:spacing w:after="180" w:before="400" w:line="312"/>
      </w:pPr>
      <w:bookmarkStart w:id="100021" w:name="_Toc100021"/>
      <w:r>
        <w:rPr>
          <w:rFonts w:ascii="Arial" w:hAnsi="Arial"/>
          <w:b/>
          <w:bCs/>
          <w:color w:val="26262B"/>
          <w:sz w:val="32"/>
          <w:szCs w:val="32"/>
        </w:rPr>
        <w:t xml:space="preserve">11. Источники</w:t>
      </w:r>
      <w:bookmarkEnd w:id="100021"/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Times New Roman" w:hAnsi="Times New Roman"/>
          <w:color w:val="000000"/>
          <w:sz w:val="20"/>
          <w:szCs w:val="20"/>
        </w:rPr>
        <w:t xml:space="preserve">Trading Economics / Macrotrends — пшеница CBOT: максимум $12,94 (07.03.2022), текущие ~$6,7 (октябрь 2026) — </w:t>
      </w:r>
      <w:hyperlink w:history="1" r:id="rIdcz5-fsdmx0zz8c0rtbfes">
        <w:r>
          <w:rPr>
            <w:rStyle w:val="Hyperlink"/>
            <w:rFonts w:ascii="Times New Roman" w:hAnsi="Times New Roman"/>
            <w:sz w:val="20"/>
            <w:szCs w:val="20"/>
          </w:rPr>
          <w:t xml:space="preserve">https://www.macrotrends.net/2534/wheat-prices-historical-chart-data</w:t>
        </w:r>
      </w:hyperlink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Times New Roman" w:hAnsi="Times New Roman"/>
          <w:color w:val="000000"/>
          <w:sz w:val="20"/>
          <w:szCs w:val="20"/>
        </w:rPr>
        <w:t xml:space="preserve">Trading Economics — палладий: ATH $3 440 (03.2022), низ $813,50 (08.2024, −76%), +81,5% за 2025 — </w:t>
      </w:r>
      <w:hyperlink w:history="1" r:id="rId-9mykmr9syldmu2qilk2l">
        <w:r>
          <w:rPr>
            <w:rStyle w:val="Hyperlink"/>
            <w:rFonts w:ascii="Times New Roman" w:hAnsi="Times New Roman"/>
            <w:sz w:val="20"/>
            <w:szCs w:val="20"/>
          </w:rPr>
          <w:t xml:space="preserve">https://tradingeconomics.com/commodity/palladium</w:t>
        </w:r>
      </w:hyperlink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Times New Roman" w:hAnsi="Times New Roman"/>
          <w:color w:val="000000"/>
          <w:sz w:val="20"/>
          <w:szCs w:val="20"/>
        </w:rPr>
        <w:t xml:space="preserve">Barchart (август 2025) — слом нисходящего тренда палладия; BofA — цель $2 200 к 4 кв. 2026 — </w:t>
      </w:r>
      <w:hyperlink w:history="1" r:id="rIdhbfrxghxrqvqdeeamvevn">
        <w:r>
          <w:rPr>
            <w:rStyle w:val="Hyperlink"/>
            <w:rFonts w:ascii="Times New Roman" w:hAnsi="Times New Roman"/>
            <w:sz w:val="20"/>
            <w:szCs w:val="20"/>
          </w:rPr>
          <w:t xml:space="preserve">https://www.barchart.com/story/news/34086620/will-palladiums-rally-continue</w:t>
        </w:r>
      </w:hyperlink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Times New Roman" w:hAnsi="Times New Roman"/>
          <w:color w:val="000000"/>
          <w:sz w:val="20"/>
          <w:szCs w:val="20"/>
        </w:rPr>
        <w:t xml:space="preserve">Natural Resources Canada — калий: $328/т (июнь 2023), $278/т (октябрь 2024) — </w:t>
      </w:r>
      <w:hyperlink w:history="1" r:id="rIdnjyxhvtdfrtwu3wfkhqzx">
        <w:r>
          <w:rPr>
            <w:rStyle w:val="Hyperlink"/>
            <w:rFonts w:ascii="Times New Roman" w:hAnsi="Times New Roman"/>
            <w:sz w:val="20"/>
            <w:szCs w:val="20"/>
          </w:rPr>
          <w:t xml:space="preserve">https://www.canada.ca</w:t>
        </w:r>
      </w:hyperlink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Times New Roman" w:hAnsi="Times New Roman"/>
          <w:color w:val="000000"/>
          <w:sz w:val="20"/>
          <w:szCs w:val="20"/>
        </w:rPr>
        <w:t xml:space="preserve">farmdoc daily (Университет Иллинойса, август 2026) — калий NOLA $490–505/шорт-т в 2026 — </w:t>
      </w:r>
      <w:hyperlink w:history="1" r:id="rIdotmx3qby_qaqz--sosqmc">
        <w:r>
          <w:rPr>
            <w:rStyle w:val="Hyperlink"/>
            <w:rFonts w:ascii="Times New Roman" w:hAnsi="Times New Roman"/>
            <w:sz w:val="20"/>
            <w:szCs w:val="20"/>
          </w:rPr>
          <w:t xml:space="preserve">https://farmdocdaily.illinois.edu/2026/08/fertilizer-and-fuel-prices-higher-heading-into-fall-2026.html</w:t>
        </w:r>
      </w:hyperlink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Times New Roman" w:hAnsi="Times New Roman"/>
          <w:color w:val="000000"/>
          <w:sz w:val="20"/>
          <w:szCs w:val="20"/>
        </w:rPr>
        <w:t xml:space="preserve">ANS (февраль 2026) — уран: спот 2025 $64–83, максимум с февраля 2024 — </w:t>
      </w:r>
      <w:hyperlink w:history="1" r:id="rId6xwxfslfiygqizqeq0bax">
        <w:r>
          <w:rPr>
            <w:rStyle w:val="Hyperlink"/>
            <w:rFonts w:ascii="Times New Roman" w:hAnsi="Times New Roman"/>
            <w:sz w:val="20"/>
            <w:szCs w:val="20"/>
          </w:rPr>
          <w:t xml:space="preserve">https://www.ans.org/news/2026-02-03/article-7731/</w:t>
        </w:r>
      </w:hyperlink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Times New Roman" w:hAnsi="Times New Roman"/>
          <w:color w:val="000000"/>
          <w:sz w:val="20"/>
          <w:szCs w:val="20"/>
        </w:rPr>
        <w:t xml:space="preserve">World Nuclear Association / TradeTech — SWU ~$200 (июнь 2026), долгосрочная цена урана $97/фунт (октябрь 2026) — </w:t>
      </w:r>
      <w:hyperlink w:history="1" r:id="rIdxetymq09lzcnbc0tpb7eo">
        <w:r>
          <w:rPr>
            <w:rStyle w:val="Hyperlink"/>
            <w:rFonts w:ascii="Times New Roman" w:hAnsi="Times New Roman"/>
            <w:sz w:val="20"/>
            <w:szCs w:val="20"/>
          </w:rPr>
          <w:t xml:space="preserve">https://world-nuclear.org</w:t>
        </w:r>
      </w:hyperlink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Times New Roman" w:hAnsi="Times New Roman"/>
          <w:color w:val="000000"/>
          <w:sz w:val="20"/>
          <w:szCs w:val="20"/>
        </w:rPr>
        <w:t xml:space="preserve">US EIA — Uranium Marketing Annual Report 2025: $108,70/SWU (2025) — </w:t>
      </w:r>
      <w:hyperlink w:history="1" r:id="rIdnvlnldvyonxdkdeajnkv3">
        <w:r>
          <w:rPr>
            <w:rStyle w:val="Hyperlink"/>
            <w:rFonts w:ascii="Times New Roman" w:hAnsi="Times New Roman"/>
            <w:sz w:val="20"/>
            <w:szCs w:val="20"/>
          </w:rPr>
          <w:t xml:space="preserve">https://www.eia.gov</w:t>
        </w:r>
      </w:hyperlink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Times New Roman" w:hAnsi="Times New Roman"/>
          <w:color w:val="000000"/>
          <w:sz w:val="20"/>
          <w:szCs w:val="20"/>
        </w:rPr>
        <w:t xml:space="preserve">S&amp;P Global (август 2022) — TTF ATH €339; текущие ~€60–86 (октябрь 2026) — </w:t>
      </w:r>
      <w:hyperlink w:history="1" r:id="rId4uxustcbte5hw5rxitg0h">
        <w:r>
          <w:rPr>
            <w:rStyle w:val="Hyperlink"/>
            <w:rFonts w:ascii="Times New Roman" w:hAnsi="Times New Roman"/>
            <w:sz w:val="20"/>
            <w:szCs w:val="20"/>
          </w:rPr>
          <w:t xml:space="preserve">https://www.spglobal.com/latest-news/natural-gas</w:t>
        </w:r>
      </w:hyperlink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Times New Roman" w:hAnsi="Times New Roman"/>
          <w:color w:val="000000"/>
          <w:sz w:val="20"/>
          <w:szCs w:val="20"/>
        </w:rPr>
        <w:t xml:space="preserve">Macrotrends — Brent: $128 (03.2022), ~$107–125 (октябрь 2026), +60% за март 2026 — </w:t>
      </w:r>
      <w:hyperlink w:history="1" r:id="rIdsx-usck-bawhgwavuc3zv">
        <w:r>
          <w:rPr>
            <w:rStyle w:val="Hyperlink"/>
            <w:rFonts w:ascii="Times New Roman" w:hAnsi="Times New Roman"/>
            <w:sz w:val="20"/>
            <w:szCs w:val="20"/>
          </w:rPr>
          <w:t xml:space="preserve">https://www.macrotrends.net/2480/brent-crude-oil-prices-10-year-daily-chart</w:t>
        </w:r>
      </w:hyperlink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Times New Roman" w:hAnsi="Times New Roman"/>
          <w:color w:val="000000"/>
          <w:sz w:val="20"/>
          <w:szCs w:val="20"/>
        </w:rPr>
        <w:t xml:space="preserve">Morningstar (январь 2026) — Rheinmetall +22% за 2026, около +200% с января 2025 — </w:t>
      </w:r>
      <w:hyperlink w:history="1" r:id="rIdyq2zsvjhrtopxlfbekfix">
        <w:r>
          <w:rPr>
            <w:rStyle w:val="Hyperlink"/>
            <w:rFonts w:ascii="Times New Roman" w:hAnsi="Times New Roman"/>
            <w:sz w:val="20"/>
            <w:szCs w:val="20"/>
          </w:rPr>
          <w:t xml:space="preserve">https://global.morningstar.com/en-gb/stocks/european-defense-stocks-rally-war-riskare-they-still-buy</w:t>
        </w:r>
      </w:hyperlink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Times New Roman" w:hAnsi="Times New Roman"/>
          <w:color w:val="000000"/>
          <w:sz w:val="20"/>
          <w:szCs w:val="20"/>
        </w:rPr>
        <w:t xml:space="preserve">CNBC / MarketWatch (май 2026) — Rheinmetall ~×20 с 2022, заказы €62 млрд; профит-тейкинг сектора с апреля 2026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Times New Roman" w:hAnsi="Times New Roman"/>
          <w:color w:val="000000"/>
          <w:sz w:val="20"/>
          <w:szCs w:val="20"/>
        </w:rPr>
        <w:t xml:space="preserve">Yahoo Finance / Macrotrends — Centrus (LEU): ~$10 (2020) → средняя за 52 недели ~$215; HALEU-контракт $900 млн (2 кв. 2026) — </w:t>
      </w:r>
      <w:hyperlink w:history="1" r:id="rIdr1hm-lobdk2gatdglvjlq">
        <w:r>
          <w:rPr>
            <w:rStyle w:val="Hyperlink"/>
            <w:rFonts w:ascii="Times New Roman" w:hAnsi="Times New Roman"/>
            <w:sz w:val="20"/>
            <w:szCs w:val="20"/>
          </w:rPr>
          <w:t xml:space="preserve">https://finance.yahoo.com/quote/LEU</w:t>
        </w:r>
      </w:hyperlink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Times New Roman" w:hAnsi="Times New Roman"/>
          <w:color w:val="000000"/>
          <w:sz w:val="20"/>
          <w:szCs w:val="20"/>
        </w:rPr>
        <w:t xml:space="preserve">Cameco (CCJ) — курс ~$88, капитализация ~$39,6 млрд (2026) — </w:t>
      </w:r>
      <w:hyperlink w:history="1" r:id="rIdiw1lxdy5djqikdi5_aetz">
        <w:r>
          <w:rPr>
            <w:rStyle w:val="Hyperlink"/>
            <w:rFonts w:ascii="Times New Roman" w:hAnsi="Times New Roman"/>
            <w:sz w:val="20"/>
            <w:szCs w:val="20"/>
          </w:rPr>
          <w:t xml:space="preserve">https://finance.yahoo.com/quote/CCJ</w:t>
        </w:r>
      </w:hyperlink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Times New Roman" w:hAnsi="Times New Roman"/>
          <w:color w:val="000000"/>
          <w:sz w:val="20"/>
          <w:szCs w:val="20"/>
        </w:rPr>
        <w:t xml:space="preserve">Первый отчёт цикла «Россия на мировых рынках» (октябрь 2026) — доли РФ: обогащение 44%, палладий 40%, калий РФ+РБ 35–40%, пшеница 20–28%, нефть 11%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Times New Roman" w:hAnsi="Times New Roman"/>
          <w:color w:val="000000"/>
          <w:sz w:val="20"/>
          <w:szCs w:val="20"/>
        </w:rPr>
        <w:t xml:space="preserve">LME — алюминий ATH $3 985 (март 2022), никель $48 000 (08.03.2022, шорт-сквиз) — </w:t>
      </w:r>
      <w:hyperlink w:history="1" r:id="rIdvsfxeymzrupziqopouetz">
        <w:r>
          <w:rPr>
            <w:rStyle w:val="Hyperlink"/>
            <w:rFonts w:ascii="Times New Roman" w:hAnsi="Times New Roman"/>
            <w:sz w:val="20"/>
            <w:szCs w:val="20"/>
          </w:rPr>
          <w:t xml:space="preserve">https://www.lme.com</w:t>
        </w:r>
      </w:hyperlink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Отчёт носит образовательный характер, не является индивидуальной инвестиционной, юридической или налоговой рекомендацией. Упоминание тикеров — иллюстрация отраслевой экспозиции, а не предложение к покупке. Дата составления — 14 октября 2026 года.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hAnsi="Times New Roman"/>
        <w:color w:val="80808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hAnsi="Times New Roman"/>
        <w:color w:val="80808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C8C8" w:sz="2" w:space="4"/>
      </w:pBdr>
      <w:jc w:val="center"/>
    </w:pPr>
    <w:r>
      <w:rPr>
        <w:rFonts w:ascii="Arial" w:hAnsi="Arial"/>
        <w:color w:val="909090"/>
        <w:sz w:val="16"/>
        <w:szCs w:val="16"/>
      </w:rPr>
      <w:t xml:space="preserve">Шок-сценарий · цены и бенефициары · не является инвестиционной рекомендацией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400" w:line="312"/>
      <w:outlineLvl w:val="0"/>
    </w:pPr>
    <w:rPr>
      <w:rFonts w:ascii="Arial" w:hAnsi="Arial"/>
      <w:b/>
      <w:bCs/>
      <w:color w:val="2626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 w:line="312"/>
      <w:outlineLvl w:val="1"/>
    </w:pPr>
    <w:rPr>
      <w:rFonts w:ascii="Arial" w:hAnsi="Arial"/>
      <w:b/>
      <w:bCs/>
      <w:color w:val="26262B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cz5-fsdmx0zz8c0rtbfes" Type="http://schemas.openxmlformats.org/officeDocument/2006/relationships/hyperlink" Target="https://www.macrotrends.net/2534/wheat-prices-historical-chart-data" TargetMode="External"/><Relationship Id="rId-9mykmr9syldmu2qilk2l" Type="http://schemas.openxmlformats.org/officeDocument/2006/relationships/hyperlink" Target="https://tradingeconomics.com/commodity/palladium" TargetMode="External"/><Relationship Id="rIdhbfrxghxrqvqdeeamvevn" Type="http://schemas.openxmlformats.org/officeDocument/2006/relationships/hyperlink" Target="https://www.barchart.com/story/news/34086620/will-palladiums-rally-continue" TargetMode="External"/><Relationship Id="rIdnjyxhvtdfrtwu3wfkhqzx" Type="http://schemas.openxmlformats.org/officeDocument/2006/relationships/hyperlink" Target="https://www.canada.ca" TargetMode="External"/><Relationship Id="rIdotmx3qby_qaqz--sosqmc" Type="http://schemas.openxmlformats.org/officeDocument/2006/relationships/hyperlink" Target="https://farmdocdaily.illinois.edu/2026/08/fertilizer-and-fuel-prices-higher-heading-into-fall-2026.html" TargetMode="External"/><Relationship Id="rId6xwxfslfiygqizqeq0bax" Type="http://schemas.openxmlformats.org/officeDocument/2006/relationships/hyperlink" Target="https://www.ans.org/news/2026-02-03/article-7731/" TargetMode="External"/><Relationship Id="rIdxetymq09lzcnbc0tpb7eo" Type="http://schemas.openxmlformats.org/officeDocument/2006/relationships/hyperlink" Target="https://world-nuclear.org" TargetMode="External"/><Relationship Id="rIdnvlnldvyonxdkdeajnkv3" Type="http://schemas.openxmlformats.org/officeDocument/2006/relationships/hyperlink" Target="https://www.eia.gov" TargetMode="External"/><Relationship Id="rId4uxustcbte5hw5rxitg0h" Type="http://schemas.openxmlformats.org/officeDocument/2006/relationships/hyperlink" Target="https://www.spglobal.com/latest-news/natural-gas" TargetMode="External"/><Relationship Id="rIdsx-usck-bawhgwavuc3zv" Type="http://schemas.openxmlformats.org/officeDocument/2006/relationships/hyperlink" Target="https://www.macrotrends.net/2480/brent-crude-oil-prices-10-year-daily-chart" TargetMode="External"/><Relationship Id="rIdyq2zsvjhrtopxlfbekfix" Type="http://schemas.openxmlformats.org/officeDocument/2006/relationships/hyperlink" Target="https://global.morningstar.com/en-gb/stocks/european-defense-stocks-rally-war-riskare-they-still-buy" TargetMode="External"/><Relationship Id="rIdr1hm-lobdk2gatdglvjlq" Type="http://schemas.openxmlformats.org/officeDocument/2006/relationships/hyperlink" Target="https://finance.yahoo.com/quote/LEU" TargetMode="External"/><Relationship Id="rIdiw1lxdy5djqikdi5_aetz" Type="http://schemas.openxmlformats.org/officeDocument/2006/relationships/hyperlink" Target="https://finance.yahoo.com/quote/CCJ" TargetMode="External"/><Relationship Id="rIdvsfxeymzrupziqopouetz" Type="http://schemas.openxmlformats.org/officeDocument/2006/relationships/hyperlink" Target="https://www.lme.com" TargetMode="External"/><Relationship Id="rId10" Type="http://schemas.openxmlformats.org/officeDocument/2006/relationships/image" Target="media/b77360682bc0cb27d9e18cc522caf57a91c5e6a1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Шок-сценарий: вывод экспортных отраслей России из строя — цены и рынки</dc:title>
  <dc:creator>ZCode</dc:creator>
  <cp:lastModifiedBy>Un-named</cp:lastModifiedBy>
  <cp:revision>1</cp:revision>
  <dcterms:created xsi:type="dcterms:W3CDTF">2026-10-14T20:14:11.777Z</dcterms:created>
  <dcterms:modified xsi:type="dcterms:W3CDTF">2026-10-14T20:14:11.787Z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