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1906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</w:tcPr>
          <w:p>
            <w:pPr>
              <w:spacing w:before="4241"/>
            </w:pPr>
          </w:p>
          <w:p>
            <w:pPr>
              <w:pBdr>
                <w:bottom w:val="single" w:color="B3763B" w:sz="6" w:space="8"/>
              </w:pBdr>
              <w:spacing w:after="500"/>
              <w:ind w:left="1200" w:right="800"/>
            </w:pPr>
            <w:r>
              <w:rPr>
                <w:rFonts w:ascii="Arial" w:hAnsi="Arial"/>
                <w:color w:val="B3763B"/>
                <w:spacing w:val="40"/>
                <w:sz w:val="18"/>
                <w:szCs w:val="18"/>
              </w:rPr>
              <w:t xml:space="preserve">R  U  S  S  I  A     I  N     G  L  O  B  A  L     M  A  R  K  E  T  S</w:t>
            </w:r>
          </w:p>
          <w:p>
            <w:pPr>
              <w:spacing w:after="100" w:line="920" w:lineRule="atLeast"/>
              <w:ind w:left="1200"/>
            </w:pPr>
            <w:r>
              <w:rPr>
                <w:rFonts w:ascii="Arial" w:hAnsi="Arial"/>
                <w:b/>
                <w:bCs/>
                <w:color w:val="FFFFFF"/>
                <w:sz w:val="80"/>
                <w:szCs w:val="80"/>
              </w:rPr>
              <w:t xml:space="preserve">Россия на мировых</w:t>
            </w:r>
          </w:p>
          <w:p>
            <w:pPr>
              <w:spacing w:after="300" w:line="920" w:lineRule="atLeast"/>
              <w:ind w:left="1200"/>
            </w:pPr>
            <w:r>
              <w:rPr>
                <w:rFonts w:ascii="Arial" w:hAnsi="Arial"/>
                <w:b/>
                <w:bCs/>
                <w:color w:val="FFFFFF"/>
                <w:sz w:val="80"/>
                <w:szCs w:val="80"/>
              </w:rPr>
              <w:t xml:space="preserve">рынках</w:t>
            </w:r>
          </w:p>
          <w:p>
            <w:pPr>
              <w:spacing w:after="800"/>
              <w:ind w:left="1200" w:right="800"/>
            </w:pPr>
            <w:r>
              <w:rPr>
                <w:rFonts w:ascii="Arial" w:hAnsi="Arial"/>
                <w:color w:val="C3CAD2"/>
                <w:sz w:val="24"/>
                <w:szCs w:val="24"/>
              </w:rPr>
              <w:t xml:space="preserve">Фактические монополии и существенные доли: уран, палладий, калий, пшеница, титан, алмазы</w:t>
            </w:r>
          </w:p>
          <w:p>
            <w:pPr>
              <w:pBdr>
                <w:left w:val="single" w:color="B3763B" w:sz="8" w:space="12"/>
              </w:pBdr>
              <w:spacing w:after="80"/>
              <w:ind w:left="1400" w:right="800"/>
            </w:pPr>
            <w:r>
              <w:rPr>
                <w:rFonts w:ascii="Arial" w:hAnsi="Arial"/>
                <w:color w:val="9AA3AD"/>
                <w:sz w:val="22"/>
                <w:szCs w:val="22"/>
              </w:rPr>
              <w:t xml:space="preserve">Аналитический отчёт по открытым источникам</w:t>
            </w:r>
          </w:p>
          <w:p>
            <w:pPr>
              <w:pBdr>
                <w:left w:val="single" w:color="B3763B" w:sz="8" w:space="12"/>
              </w:pBdr>
              <w:spacing w:after="80"/>
              <w:ind w:left="1400" w:right="800"/>
            </w:pPr>
            <w:r>
              <w:rPr>
                <w:rFonts w:ascii="Arial" w:hAnsi="Arial"/>
                <w:color w:val="9AA3AD"/>
                <w:sz w:val="22"/>
                <w:szCs w:val="22"/>
              </w:rPr>
              <w:t xml:space="preserve">Энергетика · Атомная отрасль · Металлы и минералы · АПК · ВПК</w:t>
            </w:r>
          </w:p>
          <w:p>
            <w:pPr>
              <w:pBdr>
                <w:left w:val="single" w:color="B3763B" w:sz="8" w:space="12"/>
              </w:pBdr>
              <w:spacing w:after="80"/>
              <w:ind w:left="1400" w:right="800"/>
            </w:pPr>
            <w:r>
              <w:rPr>
                <w:rFonts w:ascii="Arial" w:hAnsi="Arial"/>
                <w:color w:val="9AA3AD"/>
                <w:sz w:val="22"/>
                <w:szCs w:val="22"/>
              </w:rPr>
              <w:t xml:space="preserve">Состояние на 14 октября 2026 года</w:t>
            </w:r>
          </w:p>
          <w:p>
            <w:pPr>
              <w:spacing w:before="4241"/>
            </w:pPr>
          </w:p>
          <w:p>
            <w:pPr>
              <w:pBdr>
                <w:top w:val="single" w:color="B3763B" w:sz="2" w:space="8"/>
              </w:pBdr>
              <w:spacing w:before="200"/>
              <w:ind w:left="1200" w:right="800"/>
            </w:pPr>
            <w:r>
              <w:rPr>
                <w:rFonts w:ascii="Arial" w:hAnsi="Arial"/>
                <w:color w:val="6E7680"/>
                <w:sz w:val="16"/>
                <w:szCs w:val="16"/>
              </w:rPr>
              <w:t xml:space="preserve">Аналитическая справка</w:t>
            </w:r>
            <w:r>
              <w:rPr>
                <w:rFonts w:ascii="Arial" w:hAnsi="Arial"/>
              </w:rPr>
              <w:t xml:space="preserve">                                        </w:t>
            </w:r>
            <w:r>
              <w:rPr>
                <w:rFonts w:ascii="Arial" w:hAnsi="Arial"/>
                <w:color w:val="6E7680"/>
                <w:sz w:val="16"/>
                <w:szCs w:val="16"/>
              </w:rPr>
              <w:t xml:space="preserve">Октябрь 2026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docGrid w:linePitch="360"/>
        </w:sectPr>
      </w:pPr>
    </w:p>
    <w:p>
      <w:pPr>
        <w:spacing w:after="360" w:before="480"/>
        <w:jc w:val="center"/>
      </w:pPr>
      <w:r>
        <w:rPr>
          <w:rFonts w:ascii="Arial" w:hAnsi="Arial"/>
          <w:b/>
          <w:bCs/>
          <w:color w:val="1E2A3A"/>
          <w:sz w:val="32"/>
          <w:szCs w:val="32"/>
        </w:rPr>
        <w:t xml:space="preserve">Содержание</w:t>
      </w:r>
    </w:p>
    <w:sdt>
      <w:sdtPr>
        <w:alias w:val="Содержание"/>
      </w:sdtPr>
      <w:sdtContent>
        <w:p>
          <w:r>
            <w:fldChar w:fldCharType="begin" w:dirty="true"/>
          </w:r>
          <w:r>
            <w:instrText xml:space="preserve">TOC \h \o "1-2"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1. Резюме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2. Методология и сводная картина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2.1. Градации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2.2. Сводная таблица по отраслям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2.3. Наглядное сопоставление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3. Фактические монополии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6" w:history="1">
            <w:r>
              <w:rPr>
                <w:rStyle w:val="Hyperlink"/>
              </w:rPr>
              <w:t>3.1. Обогащение урана — ядро атомной монополии</w:t>
            </w:r>
            <w:r>
              <w:tab/>
            </w:r>
            <w:r>
              <w:fldChar w:fldCharType="begin"/>
            </w:r>
            <w:r>
              <w:instrText xml:space="preserve"> PAGEREF _Toc100006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7" w:history="1">
            <w:r>
              <w:rPr>
                <w:rStyle w:val="Hyperlink"/>
              </w:rPr>
              <w:t>3.2. Палладий</w:t>
            </w:r>
            <w:r>
              <w:tab/>
            </w:r>
            <w:r>
              <w:fldChar w:fldCharType="begin"/>
            </w:r>
            <w:r>
              <w:instrText xml:space="preserve"> PAGEREF _Toc100007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8" w:history="1">
            <w:r>
              <w:rPr>
                <w:rStyle w:val="Hyperlink"/>
              </w:rPr>
              <w:t>3.3. Янтарь</w:t>
            </w:r>
            <w:r>
              <w:tab/>
            </w:r>
            <w:r>
              <w:fldChar w:fldCharType="begin"/>
            </w:r>
            <w:r>
              <w:instrText xml:space="preserve"> PAGEREF _Toc100008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9" w:history="1">
            <w:r>
              <w:rPr>
                <w:rStyle w:val="Hyperlink"/>
              </w:rPr>
              <w:t>3.4. Калийные удобрения: дуополия России и Беларуси</w:t>
            </w:r>
            <w:r>
              <w:tab/>
            </w:r>
            <w:r>
              <w:fldChar w:fldCharType="begin"/>
            </w:r>
            <w:r>
              <w:instrText xml:space="preserve"> PAGEREF _Toc100009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0" w:history="1">
            <w:r>
              <w:rPr>
                <w:rStyle w:val="Hyperlink"/>
              </w:rPr>
              <w:t>3.5. Строительство атомных электростанций</w:t>
            </w:r>
            <w:r>
              <w:tab/>
            </w:r>
            <w:r>
              <w:fldChar w:fldCharType="begin"/>
            </w:r>
            <w:r>
              <w:instrText xml:space="preserve"> PAGEREF _Toc100010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1" w:history="1">
            <w:r>
              <w:rPr>
                <w:rStyle w:val="Hyperlink"/>
              </w:rPr>
              <w:t>4. Продовольственное лидерство</w:t>
            </w:r>
            <w:r>
              <w:tab/>
            </w:r>
            <w:r>
              <w:fldChar w:fldCharType="begin"/>
            </w:r>
            <w:r>
              <w:instrText xml:space="preserve"> PAGEREF _Toc100011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2" w:history="1">
            <w:r>
              <w:rPr>
                <w:rStyle w:val="Hyperlink"/>
              </w:rPr>
              <w:t>4.1. Пшеница и зерновые</w:t>
            </w:r>
            <w:r>
              <w:tab/>
            </w:r>
            <w:r>
              <w:fldChar w:fldCharType="begin"/>
            </w:r>
            <w:r>
              <w:instrText xml:space="preserve"> PAGEREF _Toc100012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3" w:history="1">
            <w:r>
              <w:rPr>
                <w:rStyle w:val="Hyperlink"/>
              </w:rPr>
              <w:t>4.2. Подсолнечное масло: смена лидера</w:t>
            </w:r>
            <w:r>
              <w:tab/>
            </w:r>
            <w:r>
              <w:fldChar w:fldCharType="begin"/>
            </w:r>
            <w:r>
              <w:instrText xml:space="preserve"> PAGEREF _Toc100013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4" w:history="1">
            <w:r>
              <w:rPr>
                <w:rStyle w:val="Hyperlink"/>
              </w:rPr>
              <w:t>4.3. Минеральные удобрения в целом</w:t>
            </w:r>
            <w:r>
              <w:tab/>
            </w:r>
            <w:r>
              <w:fldChar w:fldCharType="begin"/>
            </w:r>
            <w:r>
              <w:instrText xml:space="preserve"> PAGEREF _Toc100014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5" w:history="1">
            <w:r>
              <w:rPr>
                <w:rStyle w:val="Hyperlink"/>
              </w:rPr>
              <w:t>4.4. Рыба и морепродукты</w:t>
            </w:r>
            <w:r>
              <w:tab/>
            </w:r>
            <w:r>
              <w:fldChar w:fldCharType="begin"/>
            </w:r>
            <w:r>
              <w:instrText xml:space="preserve"> PAGEREF _Toc100015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6" w:history="1">
            <w:r>
              <w:rPr>
                <w:rStyle w:val="Hyperlink"/>
              </w:rPr>
              <w:t>5. Металлы и минералы</w:t>
            </w:r>
            <w:r>
              <w:tab/>
            </w:r>
            <w:r>
              <w:fldChar w:fldCharType="begin"/>
            </w:r>
            <w:r>
              <w:instrText xml:space="preserve"> PAGEREF _Toc100016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7" w:history="1">
            <w:r>
              <w:rPr>
                <w:rStyle w:val="Hyperlink"/>
              </w:rPr>
              <w:t>5.1. Титан: ВСПМО-АВИСМА</w:t>
            </w:r>
            <w:r>
              <w:tab/>
            </w:r>
            <w:r>
              <w:fldChar w:fldCharType="begin"/>
            </w:r>
            <w:r>
              <w:instrText xml:space="preserve"> PAGEREF _Toc100017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8" w:history="1">
            <w:r>
              <w:rPr>
                <w:rStyle w:val="Hyperlink"/>
              </w:rPr>
              <w:t>5.2. Алмазы</w:t>
            </w:r>
            <w:r>
              <w:tab/>
            </w:r>
            <w:r>
              <w:fldChar w:fldCharType="begin"/>
            </w:r>
            <w:r>
              <w:instrText xml:space="preserve"> PAGEREF _Toc100018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9" w:history="1">
            <w:r>
              <w:rPr>
                <w:rStyle w:val="Hyperlink"/>
              </w:rPr>
              <w:t>5.3. Никель, платина, алюминий, медь</w:t>
            </w:r>
            <w:r>
              <w:tab/>
            </w:r>
            <w:r>
              <w:fldChar w:fldCharType="begin"/>
            </w:r>
            <w:r>
              <w:instrText xml:space="preserve"> PAGEREF _Toc100019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0" w:history="1">
            <w:r>
              <w:rPr>
                <w:rStyle w:val="Hyperlink"/>
              </w:rPr>
              <w:t>6. Энергоресурсы</w:t>
            </w:r>
            <w:r>
              <w:tab/>
            </w:r>
            <w:r>
              <w:fldChar w:fldCharType="begin"/>
            </w:r>
            <w:r>
              <w:instrText xml:space="preserve"> PAGEREF _Toc100020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1" w:history="1">
            <w:r>
              <w:rPr>
                <w:rStyle w:val="Hyperlink"/>
              </w:rPr>
              <w:t>6.1. Нефть и нефтепродукты</w:t>
            </w:r>
            <w:r>
              <w:tab/>
            </w:r>
            <w:r>
              <w:fldChar w:fldCharType="begin"/>
            </w:r>
            <w:r>
              <w:instrText xml:space="preserve"> PAGEREF _Toc100021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2" w:history="1">
            <w:r>
              <w:rPr>
                <w:rStyle w:val="Hyperlink"/>
              </w:rPr>
              <w:t>6.2. Газ: две противоположные траектории</w:t>
            </w:r>
            <w:r>
              <w:tab/>
            </w:r>
            <w:r>
              <w:fldChar w:fldCharType="begin"/>
            </w:r>
            <w:r>
              <w:instrText xml:space="preserve"> PAGEREF _Toc100022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3" w:history="1">
            <w:r>
              <w:rPr>
                <w:rStyle w:val="Hyperlink"/>
              </w:rPr>
              <w:t>6.3. Уголь</w:t>
            </w:r>
            <w:r>
              <w:tab/>
            </w:r>
            <w:r>
              <w:fldChar w:fldCharType="begin"/>
            </w:r>
            <w:r>
              <w:instrText xml:space="preserve"> PAGEREF _Toc100023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4" w:history="1">
            <w:r>
              <w:rPr>
                <w:rStyle w:val="Hyperlink"/>
              </w:rPr>
              <w:t>7. Вооружения: со второго места в третью лигу</w:t>
            </w:r>
            <w:r>
              <w:tab/>
            </w:r>
            <w:r>
              <w:fldChar w:fldCharType="begin"/>
            </w:r>
            <w:r>
              <w:instrText xml:space="preserve"> PAGEREF _Toc100024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5" w:history="1">
            <w:r>
              <w:rPr>
                <w:rStyle w:val="Hyperlink"/>
              </w:rPr>
              <w:t>8. Утраченные и сокращающиеся позиции</w:t>
            </w:r>
            <w:r>
              <w:tab/>
            </w:r>
            <w:r>
              <w:fldChar w:fldCharType="begin"/>
            </w:r>
            <w:r>
              <w:instrText xml:space="preserve"> PAGEREF _Toc100025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6" w:history="1">
            <w:r>
              <w:rPr>
                <w:rStyle w:val="Hyperlink"/>
              </w:rPr>
              <w:t>9. Санкционное давление: результаты к 2026 году</w:t>
            </w:r>
            <w:r>
              <w:tab/>
            </w:r>
            <w:r>
              <w:fldChar w:fldCharType="begin"/>
            </w:r>
            <w:r>
              <w:instrText xml:space="preserve"> PAGEREF _Toc100026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7" w:history="1">
            <w:r>
              <w:rPr>
                <w:rStyle w:val="Hyperlink"/>
              </w:rPr>
              <w:t>10. Почему монополии устойчивы</w:t>
            </w:r>
            <w:r>
              <w:tab/>
            </w:r>
            <w:r>
              <w:fldChar w:fldCharType="begin"/>
            </w:r>
            <w:r>
              <w:instrText xml:space="preserve"> PAGEREF _Toc100027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8" w:history="1">
            <w:r>
              <w:rPr>
                <w:rStyle w:val="Hyperlink"/>
              </w:rPr>
              <w:t>11. Выводы</w:t>
            </w:r>
            <w:r>
              <w:tab/>
            </w:r>
            <w:r>
              <w:fldChar w:fldCharType="begin"/>
            </w:r>
            <w:r>
              <w:instrText xml:space="preserve"> PAGEREF _Toc100028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9" w:history="1">
            <w:r>
              <w:rPr>
                <w:rStyle w:val="Hyperlink"/>
              </w:rPr>
              <w:t>12. Источники</w:t>
            </w:r>
            <w:r>
              <w:tab/>
            </w:r>
            <w:r>
              <w:fldChar w:fldCharType="begin"/>
            </w:r>
            <w:r>
              <w:instrText xml:space="preserve"> PAGEREF _Toc100029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before="200"/>
      </w:pPr>
      <w:r>
        <w:rPr>
          <w:rFonts w:ascii="Times New Roman" w:hAnsi="Times New Roman"/>
          <w:i/>
          <w:iCs/>
          <w:color w:val="888888"/>
          <w:sz w:val="18"/>
          <w:szCs w:val="18"/>
        </w:rPr>
        <w:t xml:space="preserve">Примечание: оглавление построено на кодах полей. После редактирования документа обновите его: щёлкните по оглавлению правой кнопкой мыши и выберите «Обновить поле».</w:t>
      </w:r>
    </w:p>
    <w:p>
      <w:r>
        <w:br w:type="page"/>
      </w:r>
    </w:p>
    <w:p>
      <w:pPr>
        <w:sectPr>
          <w:footerReference w:type="default" r:id="rId6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</w:p>
    <w:p>
      <w:pPr>
        <w:pStyle w:val="Heading1"/>
        <w:keepNext/>
        <w:spacing w:after="180" w:before="400" w:line="312"/>
      </w:pPr>
      <w:bookmarkStart w:id="100000" w:name="_Toc100000"/>
      <w:r>
        <w:rPr>
          <w:rFonts w:ascii="Arial" w:hAnsi="Arial"/>
          <w:b/>
          <w:bCs/>
          <w:color w:val="1E2A3A"/>
          <w:sz w:val="32"/>
          <w:szCs w:val="32"/>
        </w:rPr>
        <w:t xml:space="preserve">1. Резюме</w:t>
      </w:r>
      <w:bookmarkEnd w:id="100000"/>
    </w:p>
    <w:p>
      <w:pPr>
        <w:spacing w:after="80" w:line="312"/>
        <w:ind w:firstLine="709"/>
        <w:jc w:val="both"/>
      </w:pPr>
      <w:r>
        <w:rPr>
          <w:rFonts w:ascii="Times New Roman" w:hAnsi="Times New Roman"/>
          <w:color w:val="000000"/>
          <w:sz w:val="24"/>
          <w:szCs w:val="24"/>
        </w:rPr>
        <w:t xml:space="preserve">Россия остаётся незаменимым поставщиком на узком круге мировых рынков и крупным игроком — на широком. К началу 2026 года картина выглядит так.</w:t>
      </w:r>
    </w:p>
    <w:p>
      <w:pPr>
        <w:spacing w:after="80" w:line="312"/>
        <w:ind w:firstLine="709"/>
        <w:jc w:val="both"/>
      </w:pPr>
      <w:r>
        <w:rPr>
          <w:rFonts w:ascii="Times New Roman" w:hAnsi="Times New Roman"/>
          <w:b/>
          <w:bCs/>
          <w:color w:val="000000"/>
          <w:sz w:val="24"/>
          <w:szCs w:val="24"/>
        </w:rPr>
        <w:t xml:space="preserve">Фактические монополии (выше 40% мирового рынка). </w:t>
      </w:r>
      <w:r>
        <w:rPr>
          <w:rFonts w:ascii="Times New Roman" w:hAnsi="Times New Roman"/>
          <w:color w:val="000000"/>
          <w:sz w:val="24"/>
          <w:szCs w:val="24"/>
        </w:rPr>
        <w:t xml:space="preserve">Обогащение урана — около 40–46% мировых мощностей; палладий — около 40% мировой добычи; янтарь-сырец — около 65% рынка при более чем 90% мировых запасов; калийные удобрения — совместно с Беларусью около 35–40% мировой торговли; строительство атомных блоков — около 37% всех строящихся реакторов мира по российским проектам.</w:t>
      </w:r>
    </w:p>
    <w:p>
      <w:pPr>
        <w:spacing w:after="80" w:line="312"/>
        <w:ind w:firstLine="709"/>
        <w:jc w:val="both"/>
      </w:pPr>
      <w:r>
        <w:rPr>
          <w:rFonts w:ascii="Times New Roman" w:hAnsi="Times New Roman"/>
          <w:b/>
          <w:bCs/>
          <w:color w:val="000000"/>
          <w:sz w:val="24"/>
          <w:szCs w:val="24"/>
        </w:rPr>
        <w:t xml:space="preserve">Рыночное лидерство (20–40%). </w:t>
      </w:r>
      <w:r>
        <w:rPr>
          <w:rFonts w:ascii="Times New Roman" w:hAnsi="Times New Roman"/>
          <w:color w:val="000000"/>
          <w:sz w:val="24"/>
          <w:szCs w:val="24"/>
        </w:rPr>
        <w:t xml:space="preserve">Пшеница — первое место в мире, около 20–28% мирового экспорта; подсолнечное масло — первое место с сезона 2025/26, впервые за примерно 20 лет обойдя Украину; минеральные удобрения в целом — крупнейший экспортёр мира, около 20% мировой торговли; титан для авиации (ВСПМО-АВИСМА) — 20–25%; алмазы — первое место по стоимости добычи третий год подряд (около 30% по объёму); высокосортный никель — первое место в классе 1; минтай в Европе — 43% рынка.</w:t>
      </w:r>
    </w:p>
    <w:p>
      <w:pPr>
        <w:spacing w:after="80" w:line="312"/>
        <w:ind w:firstLine="709"/>
        <w:jc w:val="both"/>
      </w:pPr>
      <w:r>
        <w:rPr>
          <w:rFonts w:ascii="Times New Roman" w:hAnsi="Times New Roman"/>
          <w:b/>
          <w:bCs/>
          <w:color w:val="000000"/>
          <w:sz w:val="24"/>
          <w:szCs w:val="24"/>
        </w:rPr>
        <w:t xml:space="preserve">Значимые доли (5–20%). </w:t>
      </w:r>
      <w:r>
        <w:rPr>
          <w:rFonts w:ascii="Times New Roman" w:hAnsi="Times New Roman"/>
          <w:color w:val="000000"/>
          <w:sz w:val="24"/>
          <w:szCs w:val="24"/>
        </w:rPr>
        <w:t xml:space="preserve">Нефть — второй экспортёр мира (около 11% экспорта); СПГ — четвёртый (7–8%); уголь — третий (12–15%); платина — около 10%; ячмень, горох, пиломатериалы, треска.</w:t>
      </w:r>
    </w:p>
    <w:p>
      <w:pPr>
        <w:spacing w:after="80" w:line="312"/>
        <w:ind w:firstLine="709"/>
        <w:jc w:val="both"/>
      </w:pPr>
      <w:r>
        <w:rPr>
          <w:rFonts w:ascii="Times New Roman" w:hAnsi="Times New Roman"/>
          <w:b/>
          <w:bCs/>
          <w:color w:val="000000"/>
          <w:sz w:val="24"/>
          <w:szCs w:val="24"/>
        </w:rPr>
        <w:t xml:space="preserve">Падающие позиции. </w:t>
      </w:r>
      <w:r>
        <w:rPr>
          <w:rFonts w:ascii="Times New Roman" w:hAnsi="Times New Roman"/>
          <w:color w:val="000000"/>
          <w:sz w:val="24"/>
          <w:szCs w:val="24"/>
        </w:rPr>
        <w:t xml:space="preserve">Трубопроводный газ в ЕС (с примерно 40% в 2021 году до около 10% в 2025-м), вооружения (смещена со второго места на третье, доля упала примерно с 21% до 8%), космические запуски, ракетные двигатели, поставки программного обеспечения информационной безопасности.</w:t>
      </w:r>
    </w:p>
    <w:p>
      <w:pPr>
        <w:spacing w:after="80" w:line="312"/>
        <w:ind w:firstLine="709"/>
        <w:jc w:val="both"/>
      </w:pPr>
      <w:r>
        <w:rPr>
          <w:rFonts w:ascii="Times New Roman" w:hAnsi="Times New Roman"/>
          <w:color w:val="000000"/>
          <w:sz w:val="24"/>
          <w:szCs w:val="24"/>
        </w:rPr>
        <w:t xml:space="preserve">Главный вывод: санкционное давление 2022–2026 годов заметно сократило доли России на санкционно-чувствительных рынках — газ в ЕС, вооружения, СПГ, — но сырьевые монополии устояли. По палладию, обогащённому урану, алмазам и удобрениям альтернативы либо отсутствуют, либо создаются годами и требуют миллиардов долларов.</w:t>
      </w:r>
    </w:p>
    <w:p>
      <w:pPr>
        <w:pStyle w:val="Heading1"/>
        <w:keepNext/>
        <w:spacing w:after="180" w:before="400" w:line="312"/>
      </w:pPr>
      <w:bookmarkStart w:id="100001" w:name="_Toc100001"/>
      <w:r>
        <w:rPr>
          <w:rFonts w:ascii="Arial" w:hAnsi="Arial"/>
          <w:b/>
          <w:bCs/>
          <w:color w:val="1E2A3A"/>
          <w:sz w:val="32"/>
          <w:szCs w:val="32"/>
        </w:rPr>
        <w:t xml:space="preserve">2. Методология и сводная картина</w:t>
      </w:r>
      <w:bookmarkEnd w:id="100001"/>
    </w:p>
    <w:p>
      <w:pPr>
        <w:pStyle w:val="Heading2"/>
        <w:keepNext/>
        <w:spacing w:after="140" w:before="280" w:line="312"/>
      </w:pPr>
      <w:bookmarkStart w:id="100002" w:name="_Toc100002"/>
      <w:r>
        <w:rPr>
          <w:rFonts w:ascii="Arial" w:hAnsi="Arial"/>
          <w:b/>
          <w:bCs/>
          <w:color w:val="1E2A3A"/>
          <w:sz w:val="28"/>
          <w:szCs w:val="28"/>
        </w:rPr>
        <w:t xml:space="preserve">2.1. Градации</w:t>
      </w:r>
      <w:bookmarkEnd w:id="100002"/>
    </w:p>
    <w:p>
      <w:pPr>
        <w:spacing w:after="80" w:line="312"/>
        <w:ind w:firstLine="709"/>
        <w:jc w:val="both"/>
      </w:pPr>
      <w:r>
        <w:rPr>
          <w:rFonts w:ascii="Times New Roman" w:hAnsi="Times New Roman"/>
          <w:color w:val="000000"/>
          <w:sz w:val="24"/>
          <w:szCs w:val="24"/>
        </w:rPr>
        <w:t xml:space="preserve">В отчёте используются три градации доли рынка, от которых зависит и оценка замещаемости поставщика.</w:t>
      </w:r>
    </w:p>
    <w:p>
      <w:pPr>
        <w:keepNext/>
        <w:spacing w:after="80" w:before="200" w:line="312"/>
      </w:pPr>
      <w:r>
        <w:rPr>
          <w:rFonts w:ascii="Arial" w:hAnsi="Arial"/>
          <w:b/>
          <w:bCs/>
          <w:color w:val="1E2A3A"/>
          <w:sz w:val="21"/>
          <w:szCs w:val="21"/>
        </w:rPr>
        <w:t xml:space="preserve">Таблица 1. Градации рыночных позиций</w:t>
      </w:r>
    </w:p>
    <w:tbl>
      <w:tblPr>
        <w:tblW w:type="pct" w:w="5000"/>
        <w:tblBorders>
          <w:top w:val="single" w:color="B3763B" w:sz="4"/>
          <w:left w:val="none" w:color="FFFFFF" w:sz="0"/>
          <w:bottom w:val="single" w:color="B3763B" w:sz="4"/>
          <w:right w:val="none" w:color="FFFFFF" w:sz="0"/>
          <w:insideH w:val="single" w:color="D8CCBB" w:sz="2"/>
          <w:insideV w:val="none" w:color="FFFFFF" w:sz="0"/>
        </w:tblBorders>
      </w:tblPr>
      <w:tblGrid>
        <w:gridCol w:w="2285"/>
        <w:gridCol w:w="1933"/>
        <w:gridCol w:w="4570"/>
      </w:tblGrid>
      <w:tr>
        <w:trPr>
          <w:cantSplit/>
          <w:tblHeader/>
        </w:trPr>
        <w:tc>
          <w:tcPr>
            <w:tcW w:type="pct" w:w="1300"/>
            <w:shd w:fill="B3763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Arial" w:hAnsi="Arial"/>
                <w:b/>
                <w:bCs/>
                <w:color w:val="FFFFFF"/>
                <w:sz w:val="21"/>
                <w:szCs w:val="21"/>
              </w:rPr>
              <w:t xml:space="preserve">Градация</w:t>
            </w:r>
          </w:p>
        </w:tc>
        <w:tc>
          <w:tcPr>
            <w:tcW w:type="pct" w:w="1100"/>
            <w:shd w:fill="B3763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Arial" w:hAnsi="Arial"/>
                <w:b/>
                <w:bCs/>
                <w:color w:val="FFFFFF"/>
                <w:sz w:val="21"/>
                <w:szCs w:val="21"/>
              </w:rPr>
              <w:t xml:space="preserve">Критерий</w:t>
            </w:r>
          </w:p>
        </w:tc>
        <w:tc>
          <w:tcPr>
            <w:tcW w:type="pct" w:w="2600"/>
            <w:shd w:fill="B3763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Arial" w:hAnsi="Arial"/>
                <w:b/>
                <w:bCs/>
                <w:color w:val="FFFFFF"/>
                <w:sz w:val="21"/>
                <w:szCs w:val="21"/>
              </w:rPr>
              <w:t xml:space="preserve">Суть</w:t>
            </w:r>
          </w:p>
        </w:tc>
      </w:tr>
      <w:tr>
        <w:trPr>
          <w:cantSplit/>
        </w:trPr>
        <w:tc>
          <w:tcPr>
            <w:tcW w:type="pct" w:w="1300"/>
            <w:shd w:fill="F4EEE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Фактическая монополия</w:t>
            </w:r>
          </w:p>
        </w:tc>
        <w:tc>
          <w:tcPr>
            <w:tcW w:type="pct" w:w="1100"/>
            <w:shd w:fill="F4EEE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более 40% рынка</w:t>
            </w:r>
          </w:p>
        </w:tc>
        <w:tc>
          <w:tcPr>
            <w:tcW w:type="pct" w:w="2600"/>
            <w:shd w:fill="F4EEE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замена поставщика требует лет и капитала либо невозможна без потери качества</w:t>
            </w:r>
          </w:p>
        </w:tc>
      </w:tr>
      <w:tr>
        <w:trPr>
          <w:cantSplit/>
        </w:trPr>
        <w:tc>
          <w:tcPr>
            <w:tcW w:type="pct" w:w="1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Доминирование / лидерство</w:t>
            </w:r>
          </w:p>
        </w:tc>
        <w:tc>
          <w:tcPr>
            <w:tcW w:type="pct" w:w="11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20–40%</w:t>
            </w:r>
          </w:p>
        </w:tc>
        <w:tc>
          <w:tcPr>
            <w:tcW w:type="pct" w:w="2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альтернативы есть, но замена заметно дорожает или снижает качество</w:t>
            </w:r>
          </w:p>
        </w:tc>
      </w:tr>
      <w:tr>
        <w:trPr>
          <w:cantSplit/>
        </w:trPr>
        <w:tc>
          <w:tcPr>
            <w:tcW w:type="pct" w:w="1300"/>
            <w:shd w:fill="F4EEE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Значимая доля</w:t>
            </w:r>
          </w:p>
        </w:tc>
        <w:tc>
          <w:tcPr>
            <w:tcW w:type="pct" w:w="1100"/>
            <w:shd w:fill="F4EEE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5–20%</w:t>
            </w:r>
          </w:p>
        </w:tc>
        <w:tc>
          <w:tcPr>
            <w:tcW w:type="pct" w:w="2600"/>
            <w:shd w:fill="F4EEE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рынок диверсифицирован, сбой поставщика ощутим, но заменим</w:t>
            </w:r>
          </w:p>
        </w:tc>
      </w:tr>
    </w:tbl>
    <w:p>
      <w:pPr>
        <w:spacing w:after="80" w:line="312"/>
        <w:ind w:firstLine="709"/>
        <w:jc w:val="both"/>
      </w:pPr>
      <w:r>
        <w:rPr>
          <w:rFonts w:ascii="Times New Roman" w:hAnsi="Times New Roman"/>
          <w:color w:val="000000"/>
          <w:sz w:val="24"/>
          <w:szCs w:val="24"/>
        </w:rPr>
        <w:t xml:space="preserve">«Доля рынка» может считаться от добычи, от экспорта или от мощностей — цифры различаются; в таблице 2 указано, от какой базы считается доля. Источники — Reuters, SIPRI, EIA, USDA, Всемирная ядерная ассоциация, S&amp;P Global, Rapaport, Natural Resources Canada, CREA; корпоративные данные (Росатом, «Норникель», ТВЭЛ) помечены как заявления компаний. Данные в основном за 2024–2025 годы; полная датировка — в разделе источников.</w:t>
      </w:r>
    </w:p>
    <w:p>
      <w:pPr>
        <w:pStyle w:val="Heading2"/>
        <w:keepNext/>
        <w:spacing w:after="140" w:before="280" w:line="312"/>
      </w:pPr>
      <w:bookmarkStart w:id="100003" w:name="_Toc100003"/>
      <w:r>
        <w:rPr>
          <w:rFonts w:ascii="Arial" w:hAnsi="Arial"/>
          <w:b/>
          <w:bCs/>
          <w:color w:val="1E2A3A"/>
          <w:sz w:val="28"/>
          <w:szCs w:val="28"/>
        </w:rPr>
        <w:t xml:space="preserve">2.2. Сводная таблица по отраслям</w:t>
      </w:r>
      <w:bookmarkEnd w:id="100003"/>
    </w:p>
    <w:p>
      <w:pPr>
        <w:keepNext/>
        <w:spacing w:after="80" w:before="200" w:line="312"/>
      </w:pPr>
      <w:r>
        <w:rPr>
          <w:rFonts w:ascii="Arial" w:hAnsi="Arial"/>
          <w:b/>
          <w:bCs/>
          <w:color w:val="1E2A3A"/>
          <w:sz w:val="21"/>
          <w:szCs w:val="21"/>
        </w:rPr>
        <w:t xml:space="preserve">Таблица 2. Доли России на ключевых мировых рынках (2024–2026)</w:t>
      </w:r>
    </w:p>
    <w:tbl>
      <w:tblPr>
        <w:tblW w:type="pct" w:w="5000"/>
        <w:tblBorders>
          <w:top w:val="single" w:color="B3763B" w:sz="4"/>
          <w:left w:val="none" w:color="FFFFFF" w:sz="0"/>
          <w:bottom w:val="single" w:color="B3763B" w:sz="4"/>
          <w:right w:val="none" w:color="FFFFFF" w:sz="0"/>
          <w:insideH w:val="single" w:color="D8CCBB" w:sz="2"/>
          <w:insideV w:val="none" w:color="FFFFFF" w:sz="0"/>
        </w:tblBorders>
      </w:tblPr>
      <w:tblGrid>
        <w:gridCol w:w="2021"/>
        <w:gridCol w:w="1582"/>
        <w:gridCol w:w="967"/>
        <w:gridCol w:w="2109"/>
        <w:gridCol w:w="2109"/>
      </w:tblGrid>
      <w:tr>
        <w:trPr>
          <w:cantSplit/>
          <w:tblHeader/>
        </w:trPr>
        <w:tc>
          <w:tcPr>
            <w:tcW w:type="pct" w:w="1150"/>
            <w:shd w:fill="B3763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Arial" w:hAnsi="Arial"/>
                <w:b/>
                <w:bCs/>
                <w:color w:val="FFFFFF"/>
                <w:sz w:val="17"/>
                <w:szCs w:val="17"/>
              </w:rPr>
              <w:t xml:space="preserve">Рынок</w:t>
            </w:r>
          </w:p>
        </w:tc>
        <w:tc>
          <w:tcPr>
            <w:tcW w:type="pct" w:w="900"/>
            <w:shd w:fill="B3763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Arial" w:hAnsi="Arial"/>
                <w:b/>
                <w:bCs/>
                <w:color w:val="FFFFFF"/>
                <w:sz w:val="17"/>
                <w:szCs w:val="17"/>
              </w:rPr>
              <w:t xml:space="preserve">Доля России</w:t>
            </w:r>
          </w:p>
        </w:tc>
        <w:tc>
          <w:tcPr>
            <w:tcW w:type="pct" w:w="550"/>
            <w:shd w:fill="B3763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Arial" w:hAnsi="Arial"/>
                <w:b/>
                <w:bCs/>
                <w:color w:val="FFFFFF"/>
                <w:sz w:val="17"/>
                <w:szCs w:val="17"/>
              </w:rPr>
              <w:t xml:space="preserve">Место</w:t>
            </w:r>
          </w:p>
        </w:tc>
        <w:tc>
          <w:tcPr>
            <w:tcW w:type="pct" w:w="1200"/>
            <w:shd w:fill="B3763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Arial" w:hAnsi="Arial"/>
                <w:b/>
                <w:bCs/>
                <w:color w:val="FFFFFF"/>
                <w:sz w:val="17"/>
                <w:szCs w:val="17"/>
              </w:rPr>
              <w:t xml:space="preserve">Динамика</w:t>
            </w:r>
          </w:p>
        </w:tc>
        <w:tc>
          <w:tcPr>
            <w:tcW w:type="pct" w:w="1200"/>
            <w:shd w:fill="B3763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Arial" w:hAnsi="Arial"/>
                <w:b/>
                <w:bCs/>
                <w:color w:val="FFFFFF"/>
                <w:sz w:val="17"/>
                <w:szCs w:val="17"/>
              </w:rPr>
              <w:t xml:space="preserve">Заменяемость для Запада</w:t>
            </w:r>
          </w:p>
        </w:tc>
      </w:tr>
      <w:tr>
        <w:trPr>
          <w:cantSplit/>
        </w:trPr>
        <w:tc>
          <w:tcPr>
            <w:tcW w:type="pct" w:w="1150"/>
            <w:shd w:fill="F4EEE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Обогащение урана</w:t>
            </w:r>
          </w:p>
        </w:tc>
        <w:tc>
          <w:tcPr>
            <w:tcW w:type="pct" w:w="900"/>
            <w:shd w:fill="F4EEE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~40–46% мощностей</w:t>
            </w:r>
          </w:p>
        </w:tc>
        <w:tc>
          <w:tcPr>
            <w:tcW w:type="pct" w:w="550"/>
            <w:shd w:fill="F4EEE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pct" w:w="1200"/>
            <w:shd w:fill="F4EEE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стабильно</w:t>
            </w:r>
          </w:p>
        </w:tc>
        <w:tc>
          <w:tcPr>
            <w:tcW w:type="pct" w:w="1200"/>
            <w:shd w:fill="F4EEE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очень низкая до 2028</w:t>
            </w:r>
          </w:p>
        </w:tc>
      </w:tr>
      <w:tr>
        <w:trPr>
          <w:cantSplit/>
        </w:trPr>
        <w:tc>
          <w:tcPr>
            <w:tcW w:type="pct" w:w="11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Палладий (добыча)</w:t>
            </w:r>
          </w:p>
        </w:tc>
        <w:tc>
          <w:tcPr>
            <w:tcW w:type="pct" w:w="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~40%</w:t>
            </w:r>
          </w:p>
        </w:tc>
        <w:tc>
          <w:tcPr>
            <w:tcW w:type="pct" w:w="5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pct" w:w="1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медленное снижение</w:t>
            </w:r>
          </w:p>
        </w:tc>
        <w:tc>
          <w:tcPr>
            <w:tcW w:type="pct" w:w="1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низкая (замена платиной возможна)</w:t>
            </w:r>
          </w:p>
        </w:tc>
      </w:tr>
      <w:tr>
        <w:trPr>
          <w:cantSplit/>
        </w:trPr>
        <w:tc>
          <w:tcPr>
            <w:tcW w:type="pct" w:w="1150"/>
            <w:shd w:fill="F4EEE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Янтарь-сырец</w:t>
            </w:r>
          </w:p>
        </w:tc>
        <w:tc>
          <w:tcPr>
            <w:tcW w:type="pct" w:w="900"/>
            <w:shd w:fill="F4EEE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~65% рынка</w:t>
            </w:r>
          </w:p>
        </w:tc>
        <w:tc>
          <w:tcPr>
            <w:tcW w:type="pct" w:w="550"/>
            <w:shd w:fill="F4EEE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pct" w:w="1200"/>
            <w:shd w:fill="F4EEE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стабильно</w:t>
            </w:r>
          </w:p>
        </w:tc>
        <w:tc>
          <w:tcPr>
            <w:tcW w:type="pct" w:w="1200"/>
            <w:shd w:fill="F4EEE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практически нет</w:t>
            </w:r>
          </w:p>
        </w:tc>
      </w:tr>
      <w:tr>
        <w:trPr>
          <w:cantSplit/>
        </w:trPr>
        <w:tc>
          <w:tcPr>
            <w:tcW w:type="pct" w:w="11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Калийные удобрения (РФ+РБ)</w:t>
            </w:r>
          </w:p>
        </w:tc>
        <w:tc>
          <w:tcPr>
            <w:tcW w:type="pct" w:w="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~35–40% торговли</w:t>
            </w:r>
          </w:p>
        </w:tc>
        <w:tc>
          <w:tcPr>
            <w:tcW w:type="pct" w:w="5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1–2</w:t>
            </w:r>
          </w:p>
        </w:tc>
        <w:tc>
          <w:tcPr>
            <w:tcW w:type="pct" w:w="1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восстановление после 2022</w:t>
            </w:r>
          </w:p>
        </w:tc>
        <w:tc>
          <w:tcPr>
            <w:tcW w:type="pct" w:w="1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средняя (Канада расширяется)</w:t>
            </w:r>
          </w:p>
        </w:tc>
      </w:tr>
      <w:tr>
        <w:trPr>
          <w:cantSplit/>
        </w:trPr>
        <w:tc>
          <w:tcPr>
            <w:tcW w:type="pct" w:w="1150"/>
            <w:shd w:fill="F4EEE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Строительство АЭС</w:t>
            </w:r>
          </w:p>
        </w:tc>
        <w:tc>
          <w:tcPr>
            <w:tcW w:type="pct" w:w="900"/>
            <w:shd w:fill="F4EEE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~37% строящихся блоков</w:t>
            </w:r>
          </w:p>
        </w:tc>
        <w:tc>
          <w:tcPr>
            <w:tcW w:type="pct" w:w="550"/>
            <w:shd w:fill="F4EEE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pct" w:w="1200"/>
            <w:shd w:fill="F4EEE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рост портфеля</w:t>
            </w:r>
          </w:p>
        </w:tc>
        <w:tc>
          <w:tcPr>
            <w:tcW w:type="pct" w:w="1200"/>
            <w:shd w:fill="F4EEE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низкая в среднесроке</w:t>
            </w:r>
          </w:p>
        </w:tc>
      </w:tr>
      <w:tr>
        <w:trPr>
          <w:cantSplit/>
        </w:trPr>
        <w:tc>
          <w:tcPr>
            <w:tcW w:type="pct" w:w="11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Пшеница (экспорт)</w:t>
            </w:r>
          </w:p>
        </w:tc>
        <w:tc>
          <w:tcPr>
            <w:tcW w:type="pct" w:w="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~20–28%</w:t>
            </w:r>
          </w:p>
        </w:tc>
        <w:tc>
          <w:tcPr>
            <w:tcW w:type="pct" w:w="5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pct" w:w="1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около рекордных объёмов</w:t>
            </w:r>
          </w:p>
        </w:tc>
        <w:tc>
          <w:tcPr>
            <w:tcW w:type="pct" w:w="1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высокая</w:t>
            </w:r>
          </w:p>
        </w:tc>
      </w:tr>
      <w:tr>
        <w:trPr>
          <w:cantSplit/>
        </w:trPr>
        <w:tc>
          <w:tcPr>
            <w:tcW w:type="pct" w:w="1150"/>
            <w:shd w:fill="F4EEE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Подсолнечное масло</w:t>
            </w:r>
          </w:p>
        </w:tc>
        <w:tc>
          <w:tcPr>
            <w:tcW w:type="pct" w:w="900"/>
            <w:shd w:fill="F4EEE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~25–38%</w:t>
            </w:r>
          </w:p>
        </w:tc>
        <w:tc>
          <w:tcPr>
            <w:tcW w:type="pct" w:w="550"/>
            <w:shd w:fill="F4EEE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pct" w:w="1200"/>
            <w:shd w:fill="F4EEE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рост, обошла Украину в 2025/26</w:t>
            </w:r>
          </w:p>
        </w:tc>
        <w:tc>
          <w:tcPr>
            <w:tcW w:type="pct" w:w="1200"/>
            <w:shd w:fill="F4EEE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средняя</w:t>
            </w:r>
          </w:p>
        </w:tc>
      </w:tr>
      <w:tr>
        <w:trPr>
          <w:cantSplit/>
        </w:trPr>
        <w:tc>
          <w:tcPr>
            <w:tcW w:type="pct" w:w="11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Удобрения в целом</w:t>
            </w:r>
          </w:p>
        </w:tc>
        <w:tc>
          <w:tcPr>
            <w:tcW w:type="pct" w:w="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~20% торговли</w:t>
            </w:r>
          </w:p>
        </w:tc>
        <w:tc>
          <w:tcPr>
            <w:tcW w:type="pct" w:w="5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pct" w:w="1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рост, цель 25% к 2030</w:t>
            </w:r>
          </w:p>
        </w:tc>
        <w:tc>
          <w:tcPr>
            <w:tcW w:type="pct" w:w="1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средняя</w:t>
            </w:r>
          </w:p>
        </w:tc>
      </w:tr>
      <w:tr>
        <w:trPr>
          <w:cantSplit/>
        </w:trPr>
        <w:tc>
          <w:tcPr>
            <w:tcW w:type="pct" w:w="1150"/>
            <w:shd w:fill="F4EEE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Титан для авиации</w:t>
            </w:r>
          </w:p>
        </w:tc>
        <w:tc>
          <w:tcPr>
            <w:tcW w:type="pct" w:w="900"/>
            <w:shd w:fill="F4EEE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~20–25%</w:t>
            </w:r>
          </w:p>
        </w:tc>
        <w:tc>
          <w:tcPr>
            <w:tcW w:type="pct" w:w="550"/>
            <w:shd w:fill="F4EEE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pct" w:w="1200"/>
            <w:shd w:fill="F4EEE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снижение, уход Boeing/Airbus</w:t>
            </w:r>
          </w:p>
        </w:tc>
        <w:tc>
          <w:tcPr>
            <w:tcW w:type="pct" w:w="1200"/>
            <w:shd w:fill="F4EEE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низкая в краткосроке</w:t>
            </w:r>
          </w:p>
        </w:tc>
      </w:tr>
      <w:tr>
        <w:trPr>
          <w:cantSplit/>
        </w:trPr>
        <w:tc>
          <w:tcPr>
            <w:tcW w:type="pct" w:w="11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Алмазы</w:t>
            </w:r>
          </w:p>
        </w:tc>
        <w:tc>
          <w:tcPr>
            <w:tcW w:type="pct" w:w="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~30% добычи</w:t>
            </w:r>
          </w:p>
        </w:tc>
        <w:tc>
          <w:tcPr>
            <w:tcW w:type="pct" w:w="5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pct" w:w="1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переориентация на Азию</w:t>
            </w:r>
          </w:p>
        </w:tc>
        <w:tc>
          <w:tcPr>
            <w:tcW w:type="pct" w:w="1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средняя</w:t>
            </w:r>
          </w:p>
        </w:tc>
      </w:tr>
      <w:tr>
        <w:trPr>
          <w:cantSplit/>
        </w:trPr>
        <w:tc>
          <w:tcPr>
            <w:tcW w:type="pct" w:w="1150"/>
            <w:shd w:fill="F4EEE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Никель класса 1</w:t>
            </w:r>
          </w:p>
        </w:tc>
        <w:tc>
          <w:tcPr>
            <w:tcW w:type="pct" w:w="900"/>
            <w:shd w:fill="F4EEE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~14% выпуска</w:t>
            </w:r>
          </w:p>
        </w:tc>
        <w:tc>
          <w:tcPr>
            <w:tcW w:type="pct" w:w="550"/>
            <w:shd w:fill="F4EEE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pct" w:w="1200"/>
            <w:shd w:fill="F4EEE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стабильно</w:t>
            </w:r>
          </w:p>
        </w:tc>
        <w:tc>
          <w:tcPr>
            <w:tcW w:type="pct" w:w="1200"/>
            <w:shd w:fill="F4EEE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средняя</w:t>
            </w:r>
          </w:p>
        </w:tc>
      </w:tr>
      <w:tr>
        <w:trPr>
          <w:cantSplit/>
        </w:trPr>
        <w:tc>
          <w:tcPr>
            <w:tcW w:type="pct" w:w="11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Минтай (рынок Европы)</w:t>
            </w:r>
          </w:p>
        </w:tc>
        <w:tc>
          <w:tcPr>
            <w:tcW w:type="pct" w:w="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~43%</w:t>
            </w:r>
          </w:p>
        </w:tc>
        <w:tc>
          <w:tcPr>
            <w:tcW w:type="pct" w:w="5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pct" w:w="1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рост, обошла США в 2025</w:t>
            </w:r>
          </w:p>
        </w:tc>
        <w:tc>
          <w:tcPr>
            <w:tcW w:type="pct" w:w="1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средняя</w:t>
            </w:r>
          </w:p>
        </w:tc>
      </w:tr>
      <w:tr>
        <w:trPr>
          <w:cantSplit/>
        </w:trPr>
        <w:tc>
          <w:tcPr>
            <w:tcW w:type="pct" w:w="1150"/>
            <w:shd w:fill="F4EEE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Нефть (экспорт)</w:t>
            </w:r>
          </w:p>
        </w:tc>
        <w:tc>
          <w:tcPr>
            <w:tcW w:type="pct" w:w="900"/>
            <w:shd w:fill="F4EEE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~11%</w:t>
            </w:r>
          </w:p>
        </w:tc>
        <w:tc>
          <w:tcPr>
            <w:tcW w:type="pct" w:w="550"/>
            <w:shd w:fill="F4EEE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pct" w:w="1200"/>
            <w:shd w:fill="F4EEE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объёмы держатся</w:t>
            </w:r>
          </w:p>
        </w:tc>
        <w:tc>
          <w:tcPr>
            <w:tcW w:type="pct" w:w="1200"/>
            <w:shd w:fill="F4EEE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высокая</w:t>
            </w:r>
          </w:p>
        </w:tc>
      </w:tr>
      <w:tr>
        <w:trPr>
          <w:cantSplit/>
        </w:trPr>
        <w:tc>
          <w:tcPr>
            <w:tcW w:type="pct" w:w="11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СПГ</w:t>
            </w:r>
          </w:p>
        </w:tc>
        <w:tc>
          <w:tcPr>
            <w:tcW w:type="pct" w:w="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~7–8%</w:t>
            </w:r>
          </w:p>
        </w:tc>
        <w:tc>
          <w:tcPr>
            <w:tcW w:type="pct" w:w="5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pct" w:w="1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снижение (−8% в 2025)</w:t>
            </w:r>
          </w:p>
        </w:tc>
        <w:tc>
          <w:tcPr>
            <w:tcW w:type="pct" w:w="1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высокая</w:t>
            </w:r>
          </w:p>
        </w:tc>
      </w:tr>
      <w:tr>
        <w:trPr>
          <w:cantSplit/>
        </w:trPr>
        <w:tc>
          <w:tcPr>
            <w:tcW w:type="pct" w:w="1150"/>
            <w:shd w:fill="F4EEE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Уголь (экспорт)</w:t>
            </w:r>
          </w:p>
        </w:tc>
        <w:tc>
          <w:tcPr>
            <w:tcW w:type="pct" w:w="900"/>
            <w:shd w:fill="F4EEE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~12–15%</w:t>
            </w:r>
          </w:p>
        </w:tc>
        <w:tc>
          <w:tcPr>
            <w:tcW w:type="pct" w:w="550"/>
            <w:shd w:fill="F4EEE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pct" w:w="1200"/>
            <w:shd w:fill="F4EEE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снижение</w:t>
            </w:r>
          </w:p>
        </w:tc>
        <w:tc>
          <w:tcPr>
            <w:tcW w:type="pct" w:w="1200"/>
            <w:shd w:fill="F4EEE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высокая</w:t>
            </w:r>
          </w:p>
        </w:tc>
      </w:tr>
      <w:tr>
        <w:trPr>
          <w:cantSplit/>
        </w:trPr>
        <w:tc>
          <w:tcPr>
            <w:tcW w:type="pct" w:w="11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Платина (добыча)</w:t>
            </w:r>
          </w:p>
        </w:tc>
        <w:tc>
          <w:tcPr>
            <w:tcW w:type="pct" w:w="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~10%</w:t>
            </w:r>
          </w:p>
        </w:tc>
        <w:tc>
          <w:tcPr>
            <w:tcW w:type="pct" w:w="5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pct" w:w="1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стабильно</w:t>
            </w:r>
          </w:p>
        </w:tc>
        <w:tc>
          <w:tcPr>
            <w:tcW w:type="pct" w:w="1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средняя</w:t>
            </w:r>
          </w:p>
        </w:tc>
      </w:tr>
      <w:tr>
        <w:trPr>
          <w:cantSplit/>
        </w:trPr>
        <w:tc>
          <w:tcPr>
            <w:tcW w:type="pct" w:w="1150"/>
            <w:shd w:fill="F4EEE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Вооружения (экспорт)</w:t>
            </w:r>
          </w:p>
        </w:tc>
        <w:tc>
          <w:tcPr>
            <w:tcW w:type="pct" w:w="900"/>
            <w:shd w:fill="F4EEE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~7–8%</w:t>
            </w:r>
          </w:p>
        </w:tc>
        <w:tc>
          <w:tcPr>
            <w:tcW w:type="pct" w:w="550"/>
            <w:shd w:fill="F4EEE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pct" w:w="1200"/>
            <w:shd w:fill="F4EEE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обвал, −64% за пять лет</w:t>
            </w:r>
          </w:p>
        </w:tc>
        <w:tc>
          <w:tcPr>
            <w:tcW w:type="pct" w:w="1200"/>
            <w:shd w:fill="F4EEE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высокая</w:t>
            </w:r>
          </w:p>
        </w:tc>
      </w:tr>
      <w:tr>
        <w:trPr>
          <w:cantSplit/>
        </w:trPr>
        <w:tc>
          <w:tcPr>
            <w:tcW w:type="pct" w:w="11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Газ в ЕС по трубопроводам</w:t>
            </w:r>
          </w:p>
        </w:tc>
        <w:tc>
          <w:tcPr>
            <w:tcW w:type="pct" w:w="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~10% (было ~40%)</w:t>
            </w:r>
          </w:p>
        </w:tc>
        <w:tc>
          <w:tcPr>
            <w:tcW w:type="pct" w:w="5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pct" w:w="1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обвал, −44% в 2025</w:t>
            </w:r>
          </w:p>
        </w:tc>
        <w:tc>
          <w:tcPr>
            <w:tcW w:type="pct" w:w="1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уже заменена</w:t>
            </w:r>
          </w:p>
        </w:tc>
      </w:tr>
    </w:tbl>
    <w:p>
      <w:pPr>
        <w:pStyle w:val="Heading2"/>
        <w:keepNext/>
        <w:spacing w:after="140" w:before="280" w:line="312"/>
      </w:pPr>
      <w:bookmarkStart w:id="100004" w:name="_Toc100004"/>
      <w:r>
        <w:rPr>
          <w:rFonts w:ascii="Arial" w:hAnsi="Arial"/>
          <w:b/>
          <w:bCs/>
          <w:color w:val="1E2A3A"/>
          <w:sz w:val="28"/>
          <w:szCs w:val="28"/>
        </w:rPr>
        <w:t xml:space="preserve">2.3. Наглядное сопоставление</w:t>
      </w:r>
      <w:bookmarkEnd w:id="100004"/>
    </w:p>
    <w:p>
      <w:pPr>
        <w:keepNext/>
        <w:spacing w:after="80" w:before="200" w:line="312"/>
      </w:pPr>
      <w:r>
        <w:rPr>
          <w:rFonts w:ascii="Arial" w:hAnsi="Arial"/>
          <w:b/>
          <w:bCs/>
          <w:color w:val="1E2A3A"/>
          <w:sz w:val="21"/>
          <w:szCs w:val="21"/>
        </w:rPr>
        <w:t xml:space="preserve">Диаграмма 1. Доли России на ключевых мировых рынках</w:t>
      </w:r>
    </w:p>
    <w:p>
      <w:pPr>
        <w:spacing w:after="60"/>
        <w:jc w:val="center"/>
      </w:pPr>
      <w:r>
        <w:drawing>
          <wp:inline distT="0" distB="0" distL="0" distR="0">
            <wp:extent cx="5524500" cy="3581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i/>
          <w:iCs/>
          <w:color w:val="888888"/>
          <w:sz w:val="18"/>
          <w:szCs w:val="18"/>
        </w:rPr>
        <w:t xml:space="preserve">Источники и базы расчёта — таблица 2. Цвет: бронзовый — 40% и выше (фактическая монополия), тёмно-песочный — 20–40%, серый — ниже 20%.</w:t>
      </w:r>
    </w:p>
    <w:p>
      <w:pPr>
        <w:pStyle w:val="Heading1"/>
        <w:keepNext/>
        <w:spacing w:after="180" w:before="400" w:line="312"/>
      </w:pPr>
      <w:bookmarkStart w:id="100005" w:name="_Toc100005"/>
      <w:r>
        <w:rPr>
          <w:rFonts w:ascii="Arial" w:hAnsi="Arial"/>
          <w:b/>
          <w:bCs/>
          <w:color w:val="1E2A3A"/>
          <w:sz w:val="32"/>
          <w:szCs w:val="32"/>
        </w:rPr>
        <w:t xml:space="preserve">3. Фактические монополии</w:t>
      </w:r>
      <w:bookmarkEnd w:id="100005"/>
    </w:p>
    <w:p>
      <w:pPr>
        <w:pStyle w:val="Heading2"/>
        <w:keepNext/>
        <w:spacing w:after="140" w:before="280" w:line="312"/>
      </w:pPr>
      <w:bookmarkStart w:id="100006" w:name="_Toc100006"/>
      <w:r>
        <w:rPr>
          <w:rFonts w:ascii="Arial" w:hAnsi="Arial"/>
          <w:b/>
          <w:bCs/>
          <w:color w:val="1E2A3A"/>
          <w:sz w:val="28"/>
          <w:szCs w:val="28"/>
        </w:rPr>
        <w:t xml:space="preserve">3.1. Обогащение урана — ядро атомной монополии</w:t>
      </w:r>
      <w:bookmarkEnd w:id="100006"/>
    </w:p>
    <w:p>
      <w:pPr>
        <w:spacing w:after="80" w:line="312"/>
        <w:ind w:firstLine="709"/>
        <w:jc w:val="both"/>
      </w:pPr>
      <w:r>
        <w:rPr>
          <w:rFonts w:ascii="Times New Roman" w:hAnsi="Times New Roman"/>
          <w:color w:val="000000"/>
          <w:sz w:val="24"/>
          <w:szCs w:val="24"/>
        </w:rPr>
        <w:t xml:space="preserve">Росатом (через ТВЭЛ и «Техснабэкспорт») контролирует около 44% мировых мощностей по обогащению урана — это наиболее часто цитируемая цифра (Reuters, 2025); оценки варьируются от примерно 40% (Bellona, 2026) до 46% (FIIA). Дополнительно — около 38% рынка услуг конверсии.</w:t>
      </w:r>
    </w:p>
    <w:p>
      <w:pPr>
        <w:spacing w:after="80" w:line="312"/>
        <w:ind w:firstLine="709"/>
        <w:jc w:val="both"/>
      </w:pPr>
      <w:r>
        <w:rPr>
          <w:rFonts w:ascii="Times New Roman" w:hAnsi="Times New Roman"/>
          <w:b/>
          <w:bCs/>
          <w:color w:val="000000"/>
          <w:sz w:val="24"/>
          <w:szCs w:val="24"/>
        </w:rPr>
        <w:t xml:space="preserve">Топливо. </w:t>
      </w:r>
      <w:r>
        <w:rPr>
          <w:rFonts w:ascii="Times New Roman" w:hAnsi="Times New Roman"/>
          <w:color w:val="000000"/>
          <w:sz w:val="24"/>
          <w:szCs w:val="24"/>
        </w:rPr>
        <w:t xml:space="preserve">ТВЭЛ обеспечивает около 17% мирового рынка ядерного топлива — цифра устойчива больше десятилетия; топливом снабжаются около 75 энергоблоков в 15 странах, включая западные реакторы PWR в Чехии, Словакии, Финляндии, Швеции и на Украине.</w:t>
      </w:r>
    </w:p>
    <w:p>
      <w:pPr>
        <w:spacing w:after="80" w:line="312"/>
        <w:ind w:firstLine="709"/>
        <w:jc w:val="both"/>
      </w:pPr>
      <w:r>
        <w:rPr>
          <w:rFonts w:ascii="Times New Roman" w:hAnsi="Times New Roman"/>
          <w:b/>
          <w:bCs/>
          <w:color w:val="000000"/>
          <w:sz w:val="24"/>
          <w:szCs w:val="24"/>
        </w:rPr>
        <w:t xml:space="preserve">США — крупнейший покупатель. </w:t>
      </w:r>
      <w:r>
        <w:rPr>
          <w:rFonts w:ascii="Times New Roman" w:hAnsi="Times New Roman"/>
          <w:color w:val="000000"/>
          <w:sz w:val="24"/>
          <w:szCs w:val="24"/>
        </w:rPr>
        <w:t xml:space="preserve">До запрета Россия закрывала около 25% потребности американских реакторов в обогащённом уране. Закон «Prohibiting Russian Uranium Imports Act» действует с августа 2024 года, но с исключениями (waivers): в 2025 году доля России в импорте обогащённого урана США снова составила 24,5% — западных несанкционных мощностей хронически не хватает. Полный отказ запланирован лишь к 2028 году.</w:t>
      </w:r>
    </w:p>
    <w:p>
      <w:pPr>
        <w:spacing w:after="80" w:line="312"/>
        <w:ind w:firstLine="709"/>
        <w:jc w:val="both"/>
      </w:pPr>
      <w:r>
        <w:rPr>
          <w:rFonts w:ascii="Times New Roman" w:hAnsi="Times New Roman"/>
          <w:color w:val="000000"/>
          <w:sz w:val="24"/>
          <w:szCs w:val="24"/>
        </w:rPr>
        <w:t xml:space="preserve">Ключевой рычаг — не добыча (Россия лишь шестой добытчик урана в мире), а средний и нижний переделы: конверсия и обогащение. Это, пожалуй, единственная отрасль, где Россия — подлинный стратегический монополист для Запада: нефтепродукты заменяются перенаправлением танкеров, а центрифужное обогащение — нет.</w:t>
      </w:r>
    </w:p>
    <w:p>
      <w:pPr>
        <w:pStyle w:val="Heading2"/>
        <w:keepNext/>
        <w:spacing w:after="140" w:before="280" w:line="312"/>
      </w:pPr>
      <w:bookmarkStart w:id="100007" w:name="_Toc100007"/>
      <w:r>
        <w:rPr>
          <w:rFonts w:ascii="Arial" w:hAnsi="Arial"/>
          <w:b/>
          <w:bCs/>
          <w:color w:val="1E2A3A"/>
          <w:sz w:val="28"/>
          <w:szCs w:val="28"/>
        </w:rPr>
        <w:t xml:space="preserve">3.2. Палладий</w:t>
      </w:r>
      <w:bookmarkEnd w:id="100007"/>
    </w:p>
    <w:p>
      <w:pPr>
        <w:spacing w:after="80" w:line="312"/>
        <w:ind w:firstLine="709"/>
        <w:jc w:val="both"/>
      </w:pPr>
      <w:r>
        <w:rPr>
          <w:rFonts w:ascii="Times New Roman" w:hAnsi="Times New Roman"/>
          <w:color w:val="000000"/>
          <w:sz w:val="24"/>
          <w:szCs w:val="24"/>
        </w:rPr>
        <w:t xml:space="preserve">«Норникель» — крупнейший в мире производитель палладия: около 40–41% мировой добычи (2,73 млн унций в 2025 году). Вместе с ЮАР (также около 40%) на две страны приходится около 80% первичного палладия. С учётом вторичного металла доля России в общемировом предложении — около 25%.</w:t>
      </w:r>
    </w:p>
    <w:p>
      <w:pPr>
        <w:spacing w:after="80" w:line="312"/>
        <w:ind w:firstLine="709"/>
        <w:jc w:val="both"/>
      </w:pPr>
      <w:r>
        <w:rPr>
          <w:rFonts w:ascii="Times New Roman" w:hAnsi="Times New Roman"/>
          <w:color w:val="000000"/>
          <w:sz w:val="24"/>
          <w:szCs w:val="24"/>
        </w:rPr>
        <w:t xml:space="preserve">Палладий критичен для автокатализаторов бензиновых двигателей и электроники (керамические конденсаторы MLCC выпускаются сотнями миллиардов штук в год). Прямого санкционного запрета на палладий нет; в 2025 году США ввели пошлины на слитки, задев в том числе палладий, переработанный в Швейцарии, — рынок отреагировал всплеском цен. Дефицит рынка палладия в 2025 году — около 416 тысяч унций против 218 тысяч в 2024-м. Замена платиной технически возможна, но требует перенастройки автокаталитических производств и лет на переход.</w:t>
      </w:r>
    </w:p>
    <w:p>
      <w:pPr>
        <w:pStyle w:val="Heading2"/>
        <w:keepNext/>
        <w:spacing w:after="140" w:before="280" w:line="312"/>
      </w:pPr>
      <w:bookmarkStart w:id="100008" w:name="_Toc100008"/>
      <w:r>
        <w:rPr>
          <w:rFonts w:ascii="Arial" w:hAnsi="Arial"/>
          <w:b/>
          <w:bCs/>
          <w:color w:val="1E2A3A"/>
          <w:sz w:val="28"/>
          <w:szCs w:val="28"/>
        </w:rPr>
        <w:t xml:space="preserve">3.3. Янтарь</w:t>
      </w:r>
      <w:bookmarkEnd w:id="100008"/>
    </w:p>
    <w:p>
      <w:pPr>
        <w:spacing w:after="80" w:line="312"/>
        <w:ind w:firstLine="709"/>
        <w:jc w:val="both"/>
      </w:pPr>
      <w:r>
        <w:rPr>
          <w:rFonts w:ascii="Times New Roman" w:hAnsi="Times New Roman"/>
          <w:color w:val="000000"/>
          <w:sz w:val="24"/>
          <w:szCs w:val="24"/>
        </w:rPr>
        <w:t xml:space="preserve">Калининградский янтарный комбинат (посёлок Янтарный) — крупнейший в мире добытчик янтаря-сырца: около 65% мирового рынка, порядка 400 тонн в год. При этом более 90% мировых разведанных запасов янтаря сосредоточено именно в самбийском месторождении Калининградской области. Это классическая ресурсная монополия: запасы физически сосредоточены в одной точке земного шара и невоспроизводимы.</w:t>
      </w:r>
    </w:p>
    <w:p>
      <w:pPr>
        <w:pBdr>
          <w:left w:val="single" w:color="B3763B" w:sz="10" w:space="12"/>
        </w:pBdr>
        <w:spacing w:after="140" w:before="100" w:line="312"/>
        <w:ind w:left="500" w:right="500"/>
        <w:jc w:val="both"/>
      </w:pPr>
      <w:r>
        <w:rPr>
          <w:rFonts w:ascii="Times New Roman" w:hAnsi="Times New Roman"/>
          <w:i/>
          <w:iCs/>
          <w:color w:val="3A3A3A"/>
          <w:sz w:val="23"/>
          <w:szCs w:val="23"/>
        </w:rPr>
        <w:t xml:space="preserve">Нюанс: доминирование России — в добыче сырца. Обработку и экспорт готовых изделий (бижутерия, ювелирные изделия) монополизировала Польша — около 60% мирового экспорта обработанного янтаря, перерабатывающего в том числе российский сырец.</w:t>
      </w:r>
    </w:p>
    <w:p>
      <w:pPr>
        <w:pStyle w:val="Heading2"/>
        <w:keepNext/>
        <w:spacing w:after="140" w:before="280" w:line="312"/>
      </w:pPr>
      <w:bookmarkStart w:id="100009" w:name="_Toc100009"/>
      <w:r>
        <w:rPr>
          <w:rFonts w:ascii="Arial" w:hAnsi="Arial"/>
          <w:b/>
          <w:bCs/>
          <w:color w:val="1E2A3A"/>
          <w:sz w:val="28"/>
          <w:szCs w:val="28"/>
        </w:rPr>
        <w:t xml:space="preserve">3.4. Калийные удобрения: дуополия России и Беларуси</w:t>
      </w:r>
      <w:bookmarkEnd w:id="100009"/>
    </w:p>
    <w:p>
      <w:pPr>
        <w:spacing w:after="80" w:line="312"/>
        <w:ind w:firstLine="709"/>
        <w:jc w:val="both"/>
      </w:pPr>
      <w:r>
        <w:rPr>
          <w:rFonts w:ascii="Times New Roman" w:hAnsi="Times New Roman"/>
          <w:color w:val="000000"/>
          <w:sz w:val="24"/>
          <w:szCs w:val="24"/>
        </w:rPr>
        <w:t xml:space="preserve">Рынок калийных солей — фактически двухполюсный. Канада держит около 35–40% мировой торговли; далее Беларусь («Беларуськалий» и Белорусская калийная компания — около 19% мирового экспорта, второе место) и Россия («Уралкалий» — третье место, около 15%). Вместе РФ и РБ — около 35–40% мировой торговли калием (оценка Объединённого исследовательского центра Еврокомиссии для 2019 года — 41%).</w:t>
      </w:r>
    </w:p>
    <w:p>
      <w:pPr>
        <w:spacing w:after="80" w:line="312"/>
        <w:ind w:firstLine="709"/>
        <w:jc w:val="both"/>
      </w:pPr>
      <w:r>
        <w:rPr>
          <w:rFonts w:ascii="Times New Roman" w:hAnsi="Times New Roman"/>
          <w:color w:val="000000"/>
          <w:sz w:val="24"/>
          <w:szCs w:val="24"/>
        </w:rPr>
        <w:t xml:space="preserve">После санкций 2022 года экспорт проседал, но выравнялся: к концу 2025 года Беларусь восстановила около 88% досанкционных объёмов, а Минэнерго Канады оценивает её долю в мировом экспорте в 18,7%. Для Беларуси это самостоятельная позиция: «Беларуськалий» — не сателлит российского экспорта, а второй полюс рынка.</w:t>
      </w:r>
    </w:p>
    <w:p>
      <w:pPr>
        <w:pBdr>
          <w:left w:val="single" w:color="B3763B" w:sz="10" w:space="12"/>
        </w:pBdr>
        <w:spacing w:after="140" w:before="100" w:line="312"/>
        <w:ind w:left="500" w:right="500"/>
        <w:jc w:val="both"/>
      </w:pPr>
      <w:r>
        <w:rPr>
          <w:rFonts w:ascii="Times New Roman" w:hAnsi="Times New Roman"/>
          <w:i/>
          <w:iCs/>
          <w:color w:val="3A3A3A"/>
          <w:sz w:val="23"/>
          <w:szCs w:val="23"/>
        </w:rPr>
        <w:t xml:space="preserve">Историческая справка: до 2013 года обе страны торговали через единый картель БКК, дважды за 2000-е взвинчивавший мировые цены. Сегодня они конкурируют, но по-прежнему вместе контролируют треть мирового рынка.</w:t>
      </w:r>
    </w:p>
    <w:p>
      <w:pPr>
        <w:pStyle w:val="Heading2"/>
        <w:keepNext/>
        <w:spacing w:after="140" w:before="280" w:line="312"/>
      </w:pPr>
      <w:bookmarkStart w:id="100010" w:name="_Toc100010"/>
      <w:r>
        <w:rPr>
          <w:rFonts w:ascii="Arial" w:hAnsi="Arial"/>
          <w:b/>
          <w:bCs/>
          <w:color w:val="1E2A3A"/>
          <w:sz w:val="28"/>
          <w:szCs w:val="28"/>
        </w:rPr>
        <w:t xml:space="preserve">3.5. Строительство атомных электростанций</w:t>
      </w:r>
      <w:bookmarkEnd w:id="100010"/>
    </w:p>
    <w:p>
      <w:pPr>
        <w:spacing w:after="80" w:line="312"/>
        <w:ind w:firstLine="709"/>
        <w:jc w:val="both"/>
      </w:pPr>
      <w:r>
        <w:rPr>
          <w:rFonts w:ascii="Times New Roman" w:hAnsi="Times New Roman"/>
          <w:color w:val="000000"/>
          <w:sz w:val="24"/>
          <w:szCs w:val="24"/>
        </w:rPr>
        <w:t xml:space="preserve">Росатом — первое место в мире по количеству строящихся реакторов: по российским проектам (ВВЭР) строится около 37% всех реакторов мира — порядка 30 блоков из примерно 80 строящихся (по данным самого Росатома; независимая проверка затруднена). Портфель зарубежных заказов: подписаны соглашения на 22 реактора в семи странах — Турция (Аккую), Бангладеш (Руппур), Египет (Эль-Дабаа), Китай, Индия (Куданкулам), Иран, Венгрия (Пакш-II); ещё 60–70 блоков на стадии переговоров.</w:t>
      </w:r>
    </w:p>
    <w:p>
      <w:pPr>
        <w:spacing w:after="80" w:line="312"/>
        <w:ind w:firstLine="709"/>
        <w:jc w:val="both"/>
      </w:pPr>
      <w:r>
        <w:rPr>
          <w:rFonts w:ascii="Times New Roman" w:hAnsi="Times New Roman"/>
          <w:color w:val="000000"/>
          <w:sz w:val="24"/>
          <w:szCs w:val="24"/>
        </w:rPr>
        <w:t xml:space="preserve">Особенность модели — «строительство плюс топливо плюс сервис на 60 лет»: блок, построенный Росатомом, десятилетиями потребляет российское топливо и сервис, замыкая цикл из раздела 3.1. Оговорка: независимые аналитики (OSW) отмечают, что часть подписанных проектов буксует из-за финансирования, санкций и срывов сроков; тем не менее по количеству реально строящихся блоков Росатом вне конкуренции. Дополнительный сигнал — выбор консорциума с участием Росатома для первой АЭС Казахстана.</w:t>
      </w:r>
    </w:p>
    <w:p>
      <w:pPr>
        <w:pStyle w:val="Heading1"/>
        <w:keepNext/>
        <w:spacing w:after="180" w:before="400" w:line="312"/>
      </w:pPr>
      <w:bookmarkStart w:id="100011" w:name="_Toc100011"/>
      <w:r>
        <w:rPr>
          <w:rFonts w:ascii="Arial" w:hAnsi="Arial"/>
          <w:b/>
          <w:bCs/>
          <w:color w:val="1E2A3A"/>
          <w:sz w:val="32"/>
          <w:szCs w:val="32"/>
        </w:rPr>
        <w:t xml:space="preserve">4. Продовольственное лидерство</w:t>
      </w:r>
      <w:bookmarkEnd w:id="100011"/>
    </w:p>
    <w:p>
      <w:pPr>
        <w:pStyle w:val="Heading2"/>
        <w:keepNext/>
        <w:spacing w:after="140" w:before="280" w:line="312"/>
      </w:pPr>
      <w:bookmarkStart w:id="100012" w:name="_Toc100012"/>
      <w:r>
        <w:rPr>
          <w:rFonts w:ascii="Arial" w:hAnsi="Arial"/>
          <w:b/>
          <w:bCs/>
          <w:color w:val="1E2A3A"/>
          <w:sz w:val="28"/>
          <w:szCs w:val="28"/>
        </w:rPr>
        <w:t xml:space="preserve">4.1. Пшеница и зерновые</w:t>
      </w:r>
      <w:bookmarkEnd w:id="100012"/>
    </w:p>
    <w:p>
      <w:pPr>
        <w:spacing w:after="80" w:line="312"/>
        <w:ind w:firstLine="709"/>
        <w:jc w:val="both"/>
      </w:pPr>
      <w:r>
        <w:rPr>
          <w:rFonts w:ascii="Times New Roman" w:hAnsi="Times New Roman"/>
          <w:color w:val="000000"/>
          <w:sz w:val="24"/>
          <w:szCs w:val="24"/>
        </w:rPr>
        <w:t xml:space="preserve">Россия — первый экспортёр пшеницы в мире с 2016 года, и разрыв с конкурентами (ЕС, Канада, Австралия, США) почти каждый сезон растёт. Рекорд сезона 2023/24 — 55,4 млн тонн, около 28% мировой торговли пшеницей. Прогноз на 2025/26 — около 43 млн тонн (SovEcon), то есть 20–25% мирового экспорта: сезон слабее из-за снижения урожая, но лидерство сохраняется с большим отрывом.</w:t>
      </w:r>
    </w:p>
    <w:p>
      <w:pPr>
        <w:spacing w:after="80" w:line="312"/>
        <w:ind w:firstLine="709"/>
        <w:jc w:val="both"/>
      </w:pPr>
      <w:r>
        <w:rPr>
          <w:rFonts w:ascii="Times New Roman" w:hAnsi="Times New Roman"/>
          <w:color w:val="000000"/>
          <w:sz w:val="24"/>
          <w:szCs w:val="24"/>
        </w:rPr>
        <w:t xml:space="preserve">Критическая зависимость сложилась у отдельных стран: Египет, Турция, Судан и ряд стран Африки и Ближнего Востока закупают более половины импортной пшеницы в России. Это главный геополитический рычаг продовольственного типа — «зерновая сделка» 2022–2023 годов показала чувствительность мировых цен к одному экспортёру.</w:t>
      </w:r>
    </w:p>
    <w:p>
      <w:pPr>
        <w:spacing w:after="80" w:line="312"/>
        <w:ind w:firstLine="709"/>
        <w:jc w:val="both"/>
      </w:pPr>
      <w:r>
        <w:rPr>
          <w:rFonts w:ascii="Times New Roman" w:hAnsi="Times New Roman"/>
          <w:b/>
          <w:bCs/>
          <w:color w:val="000000"/>
          <w:sz w:val="24"/>
          <w:szCs w:val="24"/>
        </w:rPr>
        <w:t xml:space="preserve">Смежные позиции: </w:t>
      </w:r>
      <w:r>
        <w:rPr>
          <w:rFonts w:ascii="Times New Roman" w:hAnsi="Times New Roman"/>
          <w:color w:val="000000"/>
          <w:sz w:val="24"/>
          <w:szCs w:val="24"/>
        </w:rPr>
        <w:t xml:space="preserve">горох — Россия — первый экспортёр мира (в 2023/24 заняла 49% китайского импорта гороха, вытеснив Канаду); лён (льносемена) — первое место в мире, оттеснив Канаду; ячмень — стабильный третий экспортёр, примерно 15–17% мирового экспорта.</w:t>
      </w:r>
    </w:p>
    <w:p>
      <w:pPr>
        <w:pStyle w:val="Heading2"/>
        <w:keepNext/>
        <w:spacing w:after="140" w:before="280" w:line="312"/>
      </w:pPr>
      <w:bookmarkStart w:id="100013" w:name="_Toc100013"/>
      <w:r>
        <w:rPr>
          <w:rFonts w:ascii="Arial" w:hAnsi="Arial"/>
          <w:b/>
          <w:bCs/>
          <w:color w:val="1E2A3A"/>
          <w:sz w:val="28"/>
          <w:szCs w:val="28"/>
        </w:rPr>
        <w:t xml:space="preserve">4.2. Подсолнечное масло: смена лидера</w:t>
      </w:r>
      <w:bookmarkEnd w:id="100013"/>
    </w:p>
    <w:p>
      <w:pPr>
        <w:spacing w:after="80" w:line="312"/>
        <w:ind w:firstLine="709"/>
        <w:jc w:val="both"/>
      </w:pPr>
      <w:r>
        <w:rPr>
          <w:rFonts w:ascii="Times New Roman" w:hAnsi="Times New Roman"/>
          <w:color w:val="000000"/>
          <w:sz w:val="24"/>
          <w:szCs w:val="24"/>
        </w:rPr>
        <w:t xml:space="preserve">В сезоне 2025/26 Россия впервые примерно за 20 лет обогнала Украину и стала первым экспортёром подсолнечного масла с рекордными 5 млн тонн — это 25–38% мирового рынка (оценки различаются: около 25% в среднем за несколько лет и до 38% в текущем сезоне). Вместе Россия и Украина дают 70–75% мирового экспорта подсолнечного масла — классическая региональная дуополия чернозёмного пояса. Также Россия вышла на 11 млн тонн экспорта масел и жиров всех видов — крупнейший показатель в своей истории.</w:t>
      </w:r>
    </w:p>
    <w:p>
      <w:pPr>
        <w:pStyle w:val="Heading2"/>
        <w:keepNext/>
        <w:spacing w:after="140" w:before="280" w:line="312"/>
      </w:pPr>
      <w:bookmarkStart w:id="100014" w:name="_Toc100014"/>
      <w:r>
        <w:rPr>
          <w:rFonts w:ascii="Arial" w:hAnsi="Arial"/>
          <w:b/>
          <w:bCs/>
          <w:color w:val="1E2A3A"/>
          <w:sz w:val="28"/>
          <w:szCs w:val="28"/>
        </w:rPr>
        <w:t xml:space="preserve">4.3. Минеральные удобрения в целом</w:t>
      </w:r>
      <w:bookmarkEnd w:id="100014"/>
    </w:p>
    <w:p>
      <w:pPr>
        <w:spacing w:after="80" w:line="312"/>
        <w:ind w:firstLine="709"/>
        <w:jc w:val="both"/>
      </w:pPr>
      <w:r>
        <w:rPr>
          <w:rFonts w:ascii="Times New Roman" w:hAnsi="Times New Roman"/>
          <w:color w:val="000000"/>
          <w:sz w:val="24"/>
          <w:szCs w:val="24"/>
        </w:rPr>
        <w:t xml:space="preserve">Россия — крупнейший экспортёр удобрений в мире: около 20% мировой торговли в 2025 году; в денежном выражении — 15,1 млрд долларов в 2024 году, первое место среди 177 стран. По продуктам: аммиак — около 23% мирового экспорта, карбамид — около 14%, фосфорные удобрения — около 10%, калийные — см. раздел 3.4.</w:t>
      </w:r>
    </w:p>
    <w:p>
      <w:pPr>
        <w:spacing w:after="80" w:line="312"/>
        <w:ind w:firstLine="709"/>
        <w:jc w:val="both"/>
      </w:pPr>
      <w:r>
        <w:rPr>
          <w:rFonts w:ascii="Times New Roman" w:hAnsi="Times New Roman"/>
          <w:color w:val="000000"/>
          <w:sz w:val="24"/>
          <w:szCs w:val="24"/>
        </w:rPr>
        <w:t xml:space="preserve">Отрасль не попала под прямые санкции — она признана критичной для мировой продовольственной безопасности, и отраслевые ассоциации анонсировали цель — 25% мирового рынка к 2030 году. Это редкий случай, когда доля России после 2022 года растёт.</w:t>
      </w:r>
    </w:p>
    <w:p>
      <w:pPr>
        <w:pStyle w:val="Heading2"/>
        <w:keepNext/>
        <w:spacing w:after="140" w:before="280" w:line="312"/>
      </w:pPr>
      <w:bookmarkStart w:id="100015" w:name="_Toc100015"/>
      <w:r>
        <w:rPr>
          <w:rFonts w:ascii="Arial" w:hAnsi="Arial"/>
          <w:b/>
          <w:bCs/>
          <w:color w:val="1E2A3A"/>
          <w:sz w:val="28"/>
          <w:szCs w:val="28"/>
        </w:rPr>
        <w:t xml:space="preserve">4.4. Рыба и морепродукты</w:t>
      </w:r>
      <w:bookmarkEnd w:id="100015"/>
    </w:p>
    <w:p>
      <w:pPr>
        <w:spacing w:after="80" w:line="312"/>
        <w:ind w:firstLine="709"/>
        <w:jc w:val="both"/>
      </w:pPr>
      <w:r>
        <w:rPr>
          <w:rFonts w:ascii="Times New Roman" w:hAnsi="Times New Roman"/>
          <w:color w:val="000000"/>
          <w:sz w:val="24"/>
          <w:szCs w:val="24"/>
        </w:rPr>
        <w:t xml:space="preserve">Минтай: Россия — крупнейший в мире добытчик; в 2025 году заняла 43,4% европейского рынка минтаевого филе (США — 36%, Китай — 20,5%) и впервые обошла США в глобальных продажах минтая. Треска: Россия и Норвегия делят квоты Баренцева моря — фактически дуополия в атлантической треске. Китай: в 2025 году Россия поставила рыбы на 3,42 млрд долларов — 14,4% китайского импорта морепродуктов.</w:t>
      </w:r>
    </w:p>
    <w:p>
      <w:pPr>
        <w:pStyle w:val="Heading1"/>
        <w:keepNext/>
        <w:spacing w:after="180" w:before="400" w:line="312"/>
      </w:pPr>
      <w:bookmarkStart w:id="100016" w:name="_Toc100016"/>
      <w:r>
        <w:rPr>
          <w:rFonts w:ascii="Arial" w:hAnsi="Arial"/>
          <w:b/>
          <w:bCs/>
          <w:color w:val="1E2A3A"/>
          <w:sz w:val="32"/>
          <w:szCs w:val="32"/>
        </w:rPr>
        <w:t xml:space="preserve">5. Металлы и минералы</w:t>
      </w:r>
      <w:bookmarkEnd w:id="100016"/>
    </w:p>
    <w:p>
      <w:pPr>
        <w:pStyle w:val="Heading2"/>
        <w:keepNext/>
        <w:spacing w:after="140" w:before="280" w:line="312"/>
      </w:pPr>
      <w:bookmarkStart w:id="100017" w:name="_Toc100017"/>
      <w:r>
        <w:rPr>
          <w:rFonts w:ascii="Arial" w:hAnsi="Arial"/>
          <w:b/>
          <w:bCs/>
          <w:color w:val="1E2A3A"/>
          <w:sz w:val="28"/>
          <w:szCs w:val="28"/>
        </w:rPr>
        <w:t xml:space="preserve">5.1. Титан: ВСПМО-АВИСМА</w:t>
      </w:r>
      <w:bookmarkEnd w:id="100017"/>
    </w:p>
    <w:p>
      <w:pPr>
        <w:spacing w:after="80" w:line="312"/>
        <w:ind w:firstLine="709"/>
        <w:jc w:val="both"/>
      </w:pPr>
      <w:r>
        <w:rPr>
          <w:rFonts w:ascii="Times New Roman" w:hAnsi="Times New Roman"/>
          <w:color w:val="000000"/>
          <w:sz w:val="24"/>
          <w:szCs w:val="24"/>
        </w:rPr>
        <w:t xml:space="preserve">Верхнесалдинское объединение — крупнейший в мире производитель титановых изделий: около 25% мирового рынка титана и около 20% сегмента аэрокосмического титана (2025, Global Market Insights; до 2022 года доля была выше — до 30%).</w:t>
      </w:r>
    </w:p>
    <w:p>
      <w:pPr>
        <w:spacing w:after="80" w:line="312"/>
        <w:ind w:firstLine="709"/>
        <w:jc w:val="both"/>
      </w:pPr>
      <w:r>
        <w:rPr>
          <w:rFonts w:ascii="Times New Roman" w:hAnsi="Times New Roman"/>
          <w:color w:val="000000"/>
          <w:sz w:val="24"/>
          <w:szCs w:val="24"/>
        </w:rPr>
        <w:t xml:space="preserve">До войны Boeing закупал в ВСПМО до 80% своего титана, Airbus — около 60%. Это был хрестоматийный пример санкционной невозможности: санкции введены, а самолёты без российского титана не строятся. Boeing в мае 2024 года продлил контракт с ВСПМО; Airbus публично заявил о планах полного отказа. Западные альтернативы (ATI, TIMET, Howmet — суммарно около 53% аэрокосмического сегмента) наращивают мощности, но передел от сляба до штамповки с сертификацией для авиакомпаний занимает годы. Главный факт: ВСПМО остаётся первым в мире, несмотря на санкции против материнской «Ростеха», — альтернативы сопоставимого масштаба в сертифицированном цикле пока нет.</w:t>
      </w:r>
    </w:p>
    <w:p>
      <w:pPr>
        <w:pStyle w:val="Heading2"/>
        <w:keepNext/>
        <w:spacing w:after="140" w:before="280" w:line="312"/>
      </w:pPr>
      <w:bookmarkStart w:id="100018" w:name="_Toc100018"/>
      <w:r>
        <w:rPr>
          <w:rFonts w:ascii="Arial" w:hAnsi="Arial"/>
          <w:b/>
          <w:bCs/>
          <w:color w:val="1E2A3A"/>
          <w:sz w:val="28"/>
          <w:szCs w:val="28"/>
        </w:rPr>
        <w:t xml:space="preserve">5.2. Алмазы</w:t>
      </w:r>
      <w:bookmarkEnd w:id="100018"/>
    </w:p>
    <w:p>
      <w:pPr>
        <w:spacing w:after="80" w:line="312"/>
        <w:ind w:firstLine="709"/>
        <w:jc w:val="both"/>
      </w:pPr>
      <w:r>
        <w:rPr>
          <w:rFonts w:ascii="Times New Roman" w:hAnsi="Times New Roman"/>
          <w:color w:val="000000"/>
          <w:sz w:val="24"/>
          <w:szCs w:val="24"/>
        </w:rPr>
        <w:t xml:space="preserve">АЛРОСА (около 95% российской добычи) — первая в мире по объёму: около 30% мировой добычи, 31,5 млн карат в 2025 году; в денежном выражении 2,72 млрд долларов — первое место третий год подряд (Rapaport). Вместе с De Beers (около 30%) АЛРОСА формирует дуополию добычи, задающую цены всему рынку.</w:t>
      </w:r>
    </w:p>
    <w:p>
      <w:pPr>
        <w:spacing w:after="80" w:line="312"/>
        <w:ind w:firstLine="709"/>
        <w:jc w:val="both"/>
      </w:pPr>
      <w:r>
        <w:rPr>
          <w:rFonts w:ascii="Times New Roman" w:hAnsi="Times New Roman"/>
          <w:color w:val="000000"/>
          <w:sz w:val="24"/>
          <w:szCs w:val="24"/>
        </w:rPr>
        <w:t xml:space="preserve">С января 2024 года действует полный запрет G7 на российские необработанные алмазы, включая трассировку бриллиантов, огранённых в третьих странах (главный реэкспортёр — индийский Сурат). Тем не менее в 2025 году Россия сохранила лидерство по стоимости: продажи переориентированы на ОАЭ, Индию и Китай. Мировая добыча в каратах при этом падает (минус 8% за 2025 год), и доля РФ в ней лишь растёт.</w:t>
      </w:r>
    </w:p>
    <w:p>
      <w:pPr>
        <w:pStyle w:val="Heading2"/>
        <w:keepNext/>
        <w:spacing w:after="140" w:before="280" w:line="312"/>
      </w:pPr>
      <w:bookmarkStart w:id="100019" w:name="_Toc100019"/>
      <w:r>
        <w:rPr>
          <w:rFonts w:ascii="Arial" w:hAnsi="Arial"/>
          <w:b/>
          <w:bCs/>
          <w:color w:val="1E2A3A"/>
          <w:sz w:val="28"/>
          <w:szCs w:val="28"/>
        </w:rPr>
        <w:t xml:space="preserve">5.3. Никель, платина, алюминий, медь</w:t>
      </w:r>
      <w:bookmarkEnd w:id="100019"/>
    </w:p>
    <w:p>
      <w:pPr>
        <w:spacing w:after="80" w:line="312"/>
        <w:ind w:firstLine="709"/>
        <w:jc w:val="both"/>
      </w:pPr>
      <w:r>
        <w:rPr>
          <w:rFonts w:ascii="Times New Roman" w:hAnsi="Times New Roman"/>
          <w:color w:val="000000"/>
          <w:sz w:val="24"/>
          <w:szCs w:val="24"/>
        </w:rPr>
        <w:t xml:space="preserve">Никель: «Норникель» — мировой лидер по высокосортному никелю (класс 1, нужен для аккумуляторов и нержавеющей стали) — около 14% мирового выпуска и 96% российской добычи. Платина: около 10% мировой добычи, третье место после ЮАР и Зимбабве; родий — значимый поставщик (основной — ЮАР). Алюминий: РУСАЛ — крупнейший производитель вне Китая, около 6% мирового выпуска первичного алюминия. Медь: Россия — в первом десятке (около 4% мировой добычи), заметно ниже, чем по платиноидам.</w:t>
      </w:r>
    </w:p>
    <w:p>
      <w:pPr>
        <w:pStyle w:val="Heading1"/>
        <w:keepNext/>
        <w:spacing w:after="180" w:before="400" w:line="312"/>
      </w:pPr>
      <w:bookmarkStart w:id="100020" w:name="_Toc100020"/>
      <w:r>
        <w:rPr>
          <w:rFonts w:ascii="Arial" w:hAnsi="Arial"/>
          <w:b/>
          <w:bCs/>
          <w:color w:val="1E2A3A"/>
          <w:sz w:val="32"/>
          <w:szCs w:val="32"/>
        </w:rPr>
        <w:t xml:space="preserve">6. Энергоресурсы</w:t>
      </w:r>
      <w:bookmarkEnd w:id="100020"/>
    </w:p>
    <w:p>
      <w:pPr>
        <w:pStyle w:val="Heading2"/>
        <w:keepNext/>
        <w:spacing w:after="140" w:before="280" w:line="312"/>
      </w:pPr>
      <w:bookmarkStart w:id="100021" w:name="_Toc100021"/>
      <w:r>
        <w:rPr>
          <w:rFonts w:ascii="Arial" w:hAnsi="Arial"/>
          <w:b/>
          <w:bCs/>
          <w:color w:val="1E2A3A"/>
          <w:sz w:val="28"/>
          <w:szCs w:val="28"/>
        </w:rPr>
        <w:t xml:space="preserve">6.1. Нефть и нефтепродукты</w:t>
      </w:r>
      <w:bookmarkEnd w:id="100021"/>
    </w:p>
    <w:p>
      <w:pPr>
        <w:spacing w:after="80" w:line="312"/>
        <w:ind w:firstLine="709"/>
        <w:jc w:val="both"/>
      </w:pPr>
      <w:r>
        <w:rPr>
          <w:rFonts w:ascii="Times New Roman" w:hAnsi="Times New Roman"/>
          <w:color w:val="000000"/>
          <w:sz w:val="24"/>
          <w:szCs w:val="24"/>
        </w:rPr>
        <w:t xml:space="preserve">Россия — второй экспортёр нефти в мире после Саудовской Аравии: около 11% мирового экспорта, порядка 4,8 млн баррелей в сутки; добыча в 2025 году всего на 2,5% ниже довоенного уровня 2021-го. Санкции ЕС и G7 (эмбарго плюс потолок цен 60 долларов) изменили логистику, а не объёмы: до 47% экспорта идёт «теневым флотом» (танкеры вне западной страховки), дисконт Urals к Brent в 2024–2025 годах — 10–15 долларов.</w:t>
      </w:r>
    </w:p>
    <w:p>
      <w:pPr>
        <w:spacing w:after="80" w:line="312"/>
        <w:ind w:firstLine="709"/>
        <w:jc w:val="both"/>
      </w:pPr>
      <w:r>
        <w:rPr>
          <w:rFonts w:ascii="Times New Roman" w:hAnsi="Times New Roman"/>
          <w:color w:val="000000"/>
          <w:sz w:val="24"/>
          <w:szCs w:val="24"/>
        </w:rPr>
        <w:t xml:space="preserve">Переориентация на Азию: в 2025–2026 годах доля России в морских поставках нефти в Китай достигала 23% (сорт ESPO); Китай — покупатель более половины российских углеводородных доходов. Нефтепродукты: Россия — один из двух крупнейших экспортёров дизельного топлива в мире (вместе с США) и ключевой поставщик мазута; после эмбарго ЕС продажи переориентированы на Турцию, Индию, Африку и Бразилию.</w:t>
      </w:r>
    </w:p>
    <w:p>
      <w:pPr>
        <w:pStyle w:val="Heading2"/>
        <w:keepNext/>
        <w:spacing w:after="140" w:before="280" w:line="312"/>
      </w:pPr>
      <w:bookmarkStart w:id="100022" w:name="_Toc100022"/>
      <w:r>
        <w:rPr>
          <w:rFonts w:ascii="Arial" w:hAnsi="Arial"/>
          <w:b/>
          <w:bCs/>
          <w:color w:val="1E2A3A"/>
          <w:sz w:val="28"/>
          <w:szCs w:val="28"/>
        </w:rPr>
        <w:t xml:space="preserve">6.2. Газ: две противоположные траектории</w:t>
      </w:r>
      <w:bookmarkEnd w:id="100022"/>
    </w:p>
    <w:p>
      <w:pPr>
        <w:spacing w:after="80" w:line="312"/>
        <w:ind w:firstLine="709"/>
        <w:jc w:val="both"/>
      </w:pPr>
      <w:r>
        <w:rPr>
          <w:rFonts w:ascii="Times New Roman" w:hAnsi="Times New Roman"/>
          <w:b/>
          <w:bCs/>
          <w:color w:val="000000"/>
          <w:sz w:val="24"/>
          <w:szCs w:val="24"/>
        </w:rPr>
        <w:t xml:space="preserve">Трубопроводный газ в Европу — обвал. </w:t>
      </w:r>
      <w:r>
        <w:rPr>
          <w:rFonts w:ascii="Times New Roman" w:hAnsi="Times New Roman"/>
          <w:color w:val="000000"/>
          <w:sz w:val="24"/>
          <w:szCs w:val="24"/>
        </w:rPr>
        <w:t xml:space="preserve">С примерно 40% рынка ЕС в 2021 году до около 10% в 2025-м. Транзит через Украину остановлен 31 декабря 2024 года, «Северные потоки» разрушены в 2022-м. Остался только «Турецкий поток» — около 18 млрд кубометров в 2025 году (минус 44% за год, минимум с середины 1970-х). В марте 2026 года ЕС принял закон о полном отказе от российского газа.</w:t>
      </w:r>
    </w:p>
    <w:p>
      <w:pPr>
        <w:spacing w:after="80" w:line="312"/>
        <w:ind w:firstLine="709"/>
        <w:jc w:val="both"/>
      </w:pPr>
      <w:r>
        <w:rPr>
          <w:rFonts w:ascii="Times New Roman" w:hAnsi="Times New Roman"/>
          <w:b/>
          <w:bCs/>
          <w:color w:val="000000"/>
          <w:sz w:val="24"/>
          <w:szCs w:val="24"/>
        </w:rPr>
        <w:t xml:space="preserve">СПГ и добыча — устойчиво. </w:t>
      </w:r>
      <w:r>
        <w:rPr>
          <w:rFonts w:ascii="Times New Roman" w:hAnsi="Times New Roman"/>
          <w:color w:val="000000"/>
          <w:sz w:val="24"/>
          <w:szCs w:val="24"/>
        </w:rPr>
        <w:t xml:space="preserve">Россия — четвёртый экспортёр СПГ в мире (около 47 млн тонн в 2024 году, 7–8% мирового рынка) после США, Катара и Австралии. В 2025 году экспорт СПГ упал на 8% (санкции против «Арктик СПГ-2», запрет ЕС на перегрузку), но доля в мировой добыче газа остаётся около 15%. Новые мощности (Амурский завод, «Арктик СПГ-2») нацелены на Азию.</w:t>
      </w:r>
    </w:p>
    <w:p>
      <w:pPr>
        <w:pStyle w:val="Heading2"/>
        <w:keepNext/>
        <w:spacing w:after="140" w:before="280" w:line="312"/>
      </w:pPr>
      <w:bookmarkStart w:id="100023" w:name="_Toc100023"/>
      <w:r>
        <w:rPr>
          <w:rFonts w:ascii="Arial" w:hAnsi="Arial"/>
          <w:b/>
          <w:bCs/>
          <w:color w:val="1E2A3A"/>
          <w:sz w:val="28"/>
          <w:szCs w:val="28"/>
        </w:rPr>
        <w:t xml:space="preserve">6.3. Уголь</w:t>
      </w:r>
      <w:bookmarkEnd w:id="100023"/>
    </w:p>
    <w:p>
      <w:pPr>
        <w:spacing w:after="80" w:line="312"/>
        <w:ind w:firstLine="709"/>
        <w:jc w:val="both"/>
      </w:pPr>
      <w:r>
        <w:rPr>
          <w:rFonts w:ascii="Times New Roman" w:hAnsi="Times New Roman"/>
          <w:color w:val="000000"/>
          <w:sz w:val="24"/>
          <w:szCs w:val="24"/>
        </w:rPr>
        <w:t xml:space="preserve">Россия — третий экспортёр угля в мире (18,5 млрд долларов в 2025 году, после Австралии и Индонезии): 12–15% мировой торговли, в металлургическом угле — около 12%. Динамика отрицательная: доходы морского экспорта упали на 22% в 2024 году и продолжали снижаться в 2025-м на фоне общего спада мирового угольного рынка — Китай сокращает импорт.</w:t>
      </w:r>
    </w:p>
    <w:p>
      <w:pPr>
        <w:pStyle w:val="Heading1"/>
        <w:keepNext/>
        <w:spacing w:after="180" w:before="400" w:line="312"/>
      </w:pPr>
      <w:bookmarkStart w:id="100024" w:name="_Toc100024"/>
      <w:r>
        <w:rPr>
          <w:rFonts w:ascii="Arial" w:hAnsi="Arial"/>
          <w:b/>
          <w:bCs/>
          <w:color w:val="1E2A3A"/>
          <w:sz w:val="32"/>
          <w:szCs w:val="32"/>
        </w:rPr>
        <w:t xml:space="preserve">7. Вооружения: со второго места в третью лигу</w:t>
      </w:r>
      <w:bookmarkEnd w:id="100024"/>
    </w:p>
    <w:p>
      <w:pPr>
        <w:spacing w:after="80" w:line="312"/>
        <w:ind w:firstLine="709"/>
        <w:jc w:val="both"/>
      </w:pPr>
      <w:r>
        <w:rPr>
          <w:rFonts w:ascii="Times New Roman" w:hAnsi="Times New Roman"/>
          <w:color w:val="000000"/>
          <w:sz w:val="24"/>
          <w:szCs w:val="24"/>
        </w:rPr>
        <w:t xml:space="preserve">Самое яркое падение за период наблюдений. В 2016–2020 годах Россия — второй экспортёр вооружений с 20–21% мирового рынка. По данным SIPRI за 2020–2024 годы (март 2025) — уже третье место с 7,8%: Франция впервые с 1990-х обошла Россию. По данным за 2021–2025 годы (SIPRI, март 2026) Франция закрепилась на втором месте (9,8%), а российский экспорт рухнул на 64% за пятилетку.</w:t>
      </w:r>
    </w:p>
    <w:p>
      <w:pPr>
        <w:spacing w:after="80" w:line="312"/>
        <w:ind w:firstLine="709"/>
        <w:jc w:val="both"/>
      </w:pPr>
      <w:r>
        <w:rPr>
          <w:rFonts w:ascii="Times New Roman" w:hAnsi="Times New Roman"/>
          <w:color w:val="000000"/>
          <w:sz w:val="24"/>
          <w:szCs w:val="24"/>
        </w:rPr>
        <w:t xml:space="preserve">Причины: собственные потребности фронта, санкции на компоненты, опасения покупателей перед вторичными санкциями, утрата маркетинговых площадок. Исторические рынки — Индия, Вьетнам, Алжир, Китай — сокращают закупки или диверсифицируются; исключение — Индия, сохраняющая высокую зависимость от российских платформ (Су-30, С-400).</w:t>
      </w:r>
    </w:p>
    <w:p>
      <w:pPr>
        <w:spacing w:after="80" w:line="312"/>
        <w:ind w:firstLine="709"/>
        <w:jc w:val="both"/>
      </w:pPr>
      <w:r>
        <w:rPr>
          <w:rFonts w:ascii="Times New Roman" w:hAnsi="Times New Roman"/>
          <w:color w:val="000000"/>
          <w:sz w:val="24"/>
          <w:szCs w:val="24"/>
        </w:rPr>
        <w:t xml:space="preserve">Контраст с атомной отраслью показателен: экспорт вооружений — высококонкурентный рынок с сильными продавцами (США — 43%, Франция — около 10%), и там Россия проиграла. Рынок обогащения и строительства АЭС — рынок с двумя-тремя игроками, и там позиции держатся.</w:t>
      </w:r>
    </w:p>
    <w:p>
      <w:pPr>
        <w:pStyle w:val="Heading1"/>
        <w:keepNext/>
        <w:spacing w:after="180" w:before="400" w:line="312"/>
      </w:pPr>
      <w:bookmarkStart w:id="100025" w:name="_Toc100025"/>
      <w:r>
        <w:rPr>
          <w:rFonts w:ascii="Arial" w:hAnsi="Arial"/>
          <w:b/>
          <w:bCs/>
          <w:color w:val="1E2A3A"/>
          <w:sz w:val="32"/>
          <w:szCs w:val="32"/>
        </w:rPr>
        <w:t xml:space="preserve">8. Утраченные и сокращающиеся позиции</w:t>
      </w:r>
      <w:bookmarkEnd w:id="100025"/>
    </w:p>
    <w:p>
      <w:pPr>
        <w:keepNext/>
        <w:spacing w:after="80" w:before="200" w:line="312"/>
      </w:pPr>
      <w:r>
        <w:rPr>
          <w:rFonts w:ascii="Arial" w:hAnsi="Arial"/>
          <w:b/>
          <w:bCs/>
          <w:color w:val="1E2A3A"/>
          <w:sz w:val="21"/>
          <w:szCs w:val="21"/>
        </w:rPr>
        <w:t xml:space="preserve">Таблица 3. Что Россия потеряла с 2021 года</w:t>
      </w:r>
    </w:p>
    <w:tbl>
      <w:tblPr>
        <w:tblW w:type="pct" w:w="5000"/>
        <w:tblBorders>
          <w:top w:val="single" w:color="B3763B" w:sz="4"/>
          <w:left w:val="none" w:color="FFFFFF" w:sz="0"/>
          <w:bottom w:val="single" w:color="B3763B" w:sz="4"/>
          <w:right w:val="none" w:color="FFFFFF" w:sz="0"/>
          <w:insideH w:val="single" w:color="D8CCBB" w:sz="2"/>
          <w:insideV w:val="none" w:color="FFFFFF" w:sz="0"/>
        </w:tblBorders>
      </w:tblPr>
      <w:tblGrid>
        <w:gridCol w:w="2285"/>
        <w:gridCol w:w="2988"/>
        <w:gridCol w:w="3515"/>
      </w:tblGrid>
      <w:tr>
        <w:trPr>
          <w:cantSplit/>
          <w:tblHeader/>
        </w:trPr>
        <w:tc>
          <w:tcPr>
            <w:tcW w:type="pct" w:w="1300"/>
            <w:shd w:fill="B3763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Arial" w:hAnsi="Arial"/>
                <w:b/>
                <w:bCs/>
                <w:color w:val="FFFFFF"/>
                <w:sz w:val="21"/>
                <w:szCs w:val="21"/>
              </w:rPr>
              <w:t xml:space="preserve">Позиция</w:t>
            </w:r>
          </w:p>
        </w:tc>
        <w:tc>
          <w:tcPr>
            <w:tcW w:type="pct" w:w="1700"/>
            <w:shd w:fill="B3763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Arial" w:hAnsi="Arial"/>
                <w:b/>
                <w:bCs/>
                <w:color w:val="FFFFFF"/>
                <w:sz w:val="21"/>
                <w:szCs w:val="21"/>
              </w:rPr>
              <w:t xml:space="preserve">Было</w:t>
            </w:r>
          </w:p>
        </w:tc>
        <w:tc>
          <w:tcPr>
            <w:tcW w:type="pct" w:w="2000"/>
            <w:shd w:fill="B3763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Arial" w:hAnsi="Arial"/>
                <w:b/>
                <w:bCs/>
                <w:color w:val="FFFFFF"/>
                <w:sz w:val="21"/>
                <w:szCs w:val="21"/>
              </w:rPr>
              <w:t xml:space="preserve">Стало</w:t>
            </w:r>
          </w:p>
        </w:tc>
      </w:tr>
      <w:tr>
        <w:trPr>
          <w:cantSplit/>
        </w:trPr>
        <w:tc>
          <w:tcPr>
            <w:tcW w:type="pct" w:w="1300"/>
            <w:shd w:fill="F4EEE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Трубопроводный газ в ЕС</w:t>
            </w:r>
          </w:p>
        </w:tc>
        <w:tc>
          <w:tcPr>
            <w:tcW w:type="pct" w:w="1700"/>
            <w:shd w:fill="F4EEE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~40% импорта ЕС (2021)</w:t>
            </w:r>
          </w:p>
        </w:tc>
        <w:tc>
          <w:tcPr>
            <w:tcW w:type="pct" w:w="2000"/>
            <w:shd w:fill="F4EEE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~10% (2025); закон ЕС о полном отказе (март 2026)</w:t>
            </w:r>
          </w:p>
        </w:tc>
      </w:tr>
      <w:tr>
        <w:trPr>
          <w:cantSplit/>
        </w:trPr>
        <w:tc>
          <w:tcPr>
            <w:tcW w:type="pct" w:w="1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Ракетные двигатели РД-180/РД-181</w:t>
            </w:r>
          </w:p>
        </w:tc>
        <w:tc>
          <w:tcPr>
            <w:tcW w:type="pct" w:w="1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монополия для Atlas V и Antares (США)</w:t>
            </w:r>
          </w:p>
        </w:tc>
        <w:tc>
          <w:tcPr>
            <w:tcW w:type="pct" w:w="2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поставки прекращены; ULA перешла на Vulcan (BE-4), Northrop — на американские двигатели</w:t>
            </w:r>
          </w:p>
        </w:tc>
      </w:tr>
      <w:tr>
        <w:trPr>
          <w:cantSplit/>
        </w:trPr>
        <w:tc>
          <w:tcPr>
            <w:tcW w:type="pct" w:w="1300"/>
            <w:shd w:fill="F4EEE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Пилотируемые запуски для NASA</w:t>
            </w:r>
          </w:p>
        </w:tc>
        <w:tc>
          <w:tcPr>
            <w:tcW w:type="pct" w:w="1700"/>
            <w:shd w:fill="F4EEE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монополия «Союзов» (2011–2020)</w:t>
            </w:r>
          </w:p>
        </w:tc>
        <w:tc>
          <w:tcPr>
            <w:tcW w:type="pct" w:w="2000"/>
            <w:shd w:fill="F4EEE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Crew Dragon с 2020; ESA свернула сотрудничество в 2022 (ExoMars)</w:t>
            </w:r>
          </w:p>
        </w:tc>
      </w:tr>
      <w:tr>
        <w:trPr>
          <w:cantSplit/>
        </w:trPr>
        <w:tc>
          <w:tcPr>
            <w:tcW w:type="pct" w:w="1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Информационная безопасность</w:t>
            </w:r>
          </w:p>
        </w:tc>
        <w:tc>
          <w:tcPr>
            <w:tcW w:type="pct" w:w="1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«Лаборатория Касперского» — мировой топ-бренд</w:t>
            </w:r>
          </w:p>
        </w:tc>
        <w:tc>
          <w:tcPr>
            <w:tcW w:type="pct" w:w="2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запрет продаж в США (июнь 2024), уход с западных рынков</w:t>
            </w:r>
          </w:p>
        </w:tc>
      </w:tr>
      <w:tr>
        <w:trPr>
          <w:cantSplit/>
        </w:trPr>
        <w:tc>
          <w:tcPr>
            <w:tcW w:type="pct" w:w="1300"/>
            <w:shd w:fill="F4EEE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Титан для Airbus</w:t>
            </w:r>
          </w:p>
        </w:tc>
        <w:tc>
          <w:tcPr>
            <w:tcW w:type="pct" w:w="1700"/>
            <w:shd w:fill="F4EEE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~60% титана Airbus</w:t>
            </w:r>
          </w:p>
        </w:tc>
        <w:tc>
          <w:tcPr>
            <w:tcW w:type="pct" w:w="2000"/>
            <w:shd w:fill="F4EEE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заявлен полный отказ (переход к 2028); Boeing пока продлевает</w:t>
            </w:r>
          </w:p>
        </w:tc>
      </w:tr>
    </w:tbl>
    <w:p>
      <w:pPr>
        <w:spacing w:after="80" w:line="312"/>
        <w:ind w:firstLine="709"/>
        <w:jc w:val="both"/>
      </w:pPr>
      <w:r>
        <w:rPr>
          <w:rFonts w:ascii="Times New Roman" w:hAnsi="Times New Roman"/>
          <w:color w:val="000000"/>
          <w:sz w:val="24"/>
          <w:szCs w:val="24"/>
        </w:rPr>
        <w:t xml:space="preserve">Общий паттерн: теряются рынки, где продукт или услуга стандартизованы и есть поставщики-конкуренты; удерживаются рынки с концентрацией предложения и долгим циклом замены.</w:t>
      </w:r>
    </w:p>
    <w:p>
      <w:pPr>
        <w:pStyle w:val="Heading1"/>
        <w:keepNext/>
        <w:spacing w:after="180" w:before="400" w:line="312"/>
      </w:pPr>
      <w:bookmarkStart w:id="100026" w:name="_Toc100026"/>
      <w:r>
        <w:rPr>
          <w:rFonts w:ascii="Arial" w:hAnsi="Arial"/>
          <w:b/>
          <w:bCs/>
          <w:color w:val="1E2A3A"/>
          <w:sz w:val="32"/>
          <w:szCs w:val="32"/>
        </w:rPr>
        <w:t xml:space="preserve">9. Санкционное давление: результаты к 2026 году</w:t>
      </w:r>
      <w:bookmarkEnd w:id="100026"/>
    </w:p>
    <w:p>
      <w:pPr>
        <w:keepNext/>
        <w:spacing w:after="80" w:before="200" w:line="312"/>
      </w:pPr>
      <w:r>
        <w:rPr>
          <w:rFonts w:ascii="Arial" w:hAnsi="Arial"/>
          <w:b/>
          <w:bCs/>
          <w:color w:val="1E2A3A"/>
          <w:sz w:val="21"/>
          <w:szCs w:val="21"/>
        </w:rPr>
        <w:t xml:space="preserve">Таблица 4. Механизмы давления и фактические результаты</w:t>
      </w:r>
    </w:p>
    <w:tbl>
      <w:tblPr>
        <w:tblW w:type="pct" w:w="5000"/>
        <w:tblBorders>
          <w:top w:val="single" w:color="B3763B" w:sz="4"/>
          <w:left w:val="none" w:color="FFFFFF" w:sz="0"/>
          <w:bottom w:val="single" w:color="B3763B" w:sz="4"/>
          <w:right w:val="none" w:color="FFFFFF" w:sz="0"/>
          <w:insideH w:val="single" w:color="D8CCBB" w:sz="2"/>
          <w:insideV w:val="none" w:color="FFFFFF" w:sz="0"/>
        </w:tblBorders>
      </w:tblPr>
      <w:tblGrid>
        <w:gridCol w:w="1758"/>
        <w:gridCol w:w="3164"/>
        <w:gridCol w:w="3867"/>
      </w:tblGrid>
      <w:tr>
        <w:trPr>
          <w:cantSplit/>
          <w:tblHeader/>
        </w:trPr>
        <w:tc>
          <w:tcPr>
            <w:tcW w:type="pct" w:w="1000"/>
            <w:shd w:fill="B3763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Arial" w:hAnsi="Arial"/>
                <w:b/>
                <w:bCs/>
                <w:color w:val="FFFFFF"/>
                <w:sz w:val="21"/>
                <w:szCs w:val="21"/>
              </w:rPr>
              <w:t xml:space="preserve">Рынок</w:t>
            </w:r>
          </w:p>
        </w:tc>
        <w:tc>
          <w:tcPr>
            <w:tcW w:type="pct" w:w="1800"/>
            <w:shd w:fill="B3763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Arial" w:hAnsi="Arial"/>
                <w:b/>
                <w:bCs/>
                <w:color w:val="FFFFFF"/>
                <w:sz w:val="21"/>
                <w:szCs w:val="21"/>
              </w:rPr>
              <w:t xml:space="preserve">Механизм давления</w:t>
            </w:r>
          </w:p>
        </w:tc>
        <w:tc>
          <w:tcPr>
            <w:tcW w:type="pct" w:w="2200"/>
            <w:shd w:fill="B3763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Arial" w:hAnsi="Arial"/>
                <w:b/>
                <w:bCs/>
                <w:color w:val="FFFFFF"/>
                <w:sz w:val="21"/>
                <w:szCs w:val="21"/>
              </w:rPr>
              <w:t xml:space="preserve">Результат к 2026 году</w:t>
            </w:r>
          </w:p>
        </w:tc>
      </w:tr>
      <w:tr>
        <w:trPr>
          <w:cantSplit/>
        </w:trPr>
        <w:tc>
          <w:tcPr>
            <w:tcW w:type="pct" w:w="1000"/>
            <w:shd w:fill="F4EEE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Обогащённый уран</w:t>
            </w:r>
          </w:p>
        </w:tc>
        <w:tc>
          <w:tcPr>
            <w:tcW w:type="pct" w:w="1800"/>
            <w:shd w:fill="F4EEE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запрет США (2024) с исключениями</w:t>
            </w:r>
          </w:p>
        </w:tc>
        <w:tc>
          <w:tcPr>
            <w:tcW w:type="pct" w:w="2200"/>
            <w:shd w:fill="F4EEE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доля РФ в импорте США в 2025 — снова ~24,5%; реальный отказ лишь к 2028</w:t>
            </w:r>
          </w:p>
        </w:tc>
      </w:tr>
      <w:tr>
        <w:trPr>
          <w:cantSplit/>
        </w:trPr>
        <w:tc>
          <w:tcPr>
            <w:tcW w:type="pct" w:w="1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Алмазы</w:t>
            </w:r>
          </w:p>
        </w:tc>
        <w:tc>
          <w:tcPr>
            <w:tcW w:type="pct" w:w="1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запрет G7 (2024) + трассировка</w:t>
            </w:r>
          </w:p>
        </w:tc>
        <w:tc>
          <w:tcPr>
            <w:tcW w:type="pct" w:w="2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РФ сохранила первое место по стоимости; переориентация на ОАЭ, Индию, Китай</w:t>
            </w:r>
          </w:p>
        </w:tc>
      </w:tr>
      <w:tr>
        <w:trPr>
          <w:cantSplit/>
        </w:trPr>
        <w:tc>
          <w:tcPr>
            <w:tcW w:type="pct" w:w="1000"/>
            <w:shd w:fill="F4EEE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Нефть</w:t>
            </w:r>
          </w:p>
        </w:tc>
        <w:tc>
          <w:tcPr>
            <w:tcW w:type="pct" w:w="1800"/>
            <w:shd w:fill="F4EEE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эмбарго ЕС + потолок цен</w:t>
            </w:r>
          </w:p>
        </w:tc>
        <w:tc>
          <w:tcPr>
            <w:tcW w:type="pct" w:w="2200"/>
            <w:shd w:fill="F4EEE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объёмы почти не упали; дисконт и «теневой флот» (до 47% перевозок)</w:t>
            </w:r>
          </w:p>
        </w:tc>
      </w:tr>
      <w:tr>
        <w:trPr>
          <w:cantSplit/>
        </w:trPr>
        <w:tc>
          <w:tcPr>
            <w:tcW w:type="pct" w:w="1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Палладий</w:t>
            </w:r>
          </w:p>
        </w:tc>
        <w:tc>
          <w:tcPr>
            <w:tcW w:type="pct" w:w="1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пошлины США на слитки</w:t>
            </w:r>
          </w:p>
        </w:tc>
        <w:tc>
          <w:tcPr>
            <w:tcW w:type="pct" w:w="2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всплеск цен; прямой запрет отсутствует</w:t>
            </w:r>
          </w:p>
        </w:tc>
      </w:tr>
      <w:tr>
        <w:trPr>
          <w:cantSplit/>
        </w:trPr>
        <w:tc>
          <w:tcPr>
            <w:tcW w:type="pct" w:w="1000"/>
            <w:shd w:fill="F4EEE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Удобрения</w:t>
            </w:r>
          </w:p>
        </w:tc>
        <w:tc>
          <w:tcPr>
            <w:tcW w:type="pct" w:w="1800"/>
            <w:shd w:fill="F4EEE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прямых санкций нет</w:t>
            </w:r>
          </w:p>
        </w:tc>
        <w:tc>
          <w:tcPr>
            <w:tcW w:type="pct" w:w="2200"/>
            <w:shd w:fill="F4EEE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доля растёт; цель — 25% к 2030</w:t>
            </w:r>
          </w:p>
        </w:tc>
      </w:tr>
      <w:tr>
        <w:trPr>
          <w:cantSplit/>
        </w:trPr>
        <w:tc>
          <w:tcPr>
            <w:tcW w:type="pct" w:w="1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Газ (труба, ЕС)</w:t>
            </w:r>
          </w:p>
        </w:tc>
        <w:tc>
          <w:tcPr>
            <w:tcW w:type="pct" w:w="1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отказ покупателя + разрушение «Северных потоков»</w:t>
            </w:r>
          </w:p>
        </w:tc>
        <w:tc>
          <w:tcPr>
            <w:tcW w:type="pct" w:w="2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единственный случай фактического вытеснения</w:t>
            </w:r>
          </w:p>
        </w:tc>
      </w:tr>
      <w:tr>
        <w:trPr>
          <w:cantSplit/>
        </w:trPr>
        <w:tc>
          <w:tcPr>
            <w:tcW w:type="pct" w:w="1000"/>
            <w:shd w:fill="F4EEE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СПГ (ЕС)</w:t>
            </w:r>
          </w:p>
        </w:tc>
        <w:tc>
          <w:tcPr>
            <w:tcW w:type="pct" w:w="1800"/>
            <w:shd w:fill="F4EEE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запрет перегрузки (2025)</w:t>
            </w:r>
          </w:p>
        </w:tc>
        <w:tc>
          <w:tcPr>
            <w:tcW w:type="pct" w:w="2200"/>
            <w:shd w:fill="F4EEE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минус 8% экспорта, но без обвала; продажи в Азию</w:t>
            </w:r>
          </w:p>
        </w:tc>
      </w:tr>
      <w:tr>
        <w:trPr>
          <w:cantSplit/>
        </w:trPr>
        <w:tc>
          <w:tcPr>
            <w:tcW w:type="pct" w:w="1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Вооружения</w:t>
            </w:r>
          </w:p>
        </w:tc>
        <w:tc>
          <w:tcPr>
            <w:tcW w:type="pct" w:w="1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вторичные санкции + потребности фронта</w:t>
            </w:r>
          </w:p>
        </w:tc>
        <w:tc>
          <w:tcPr>
            <w:tcW w:type="pct" w:w="2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самое сильное падение: −64% за пять лет</w:t>
            </w:r>
          </w:p>
        </w:tc>
      </w:tr>
    </w:tbl>
    <w:p>
      <w:pPr>
        <w:spacing w:after="80" w:line="312"/>
        <w:ind w:firstLine="709"/>
        <w:jc w:val="both"/>
      </w:pPr>
      <w:r>
        <w:rPr>
          <w:rFonts w:ascii="Times New Roman" w:hAnsi="Times New Roman"/>
          <w:color w:val="000000"/>
          <w:sz w:val="24"/>
          <w:szCs w:val="24"/>
        </w:rPr>
        <w:t xml:space="preserve">Вывод раздела: там, где Запад действует рыночными инструментами (нефть, СПГ, алмазы), доли России снижаются медленно — через дисконты и переориентацию потоков, а не через уход с рынка. Физически вытеснен только трубопроводный газ. А уран, палладий и титан показали, что часть зависимостей не снимается политическими решениями на горизонте трёх-пяти лет.</w:t>
      </w:r>
    </w:p>
    <w:p>
      <w:pPr>
        <w:pStyle w:val="Heading1"/>
        <w:keepNext/>
        <w:spacing w:after="180" w:before="400" w:line="312"/>
      </w:pPr>
      <w:bookmarkStart w:id="100027" w:name="_Toc100027"/>
      <w:r>
        <w:rPr>
          <w:rFonts w:ascii="Arial" w:hAnsi="Arial"/>
          <w:b/>
          <w:bCs/>
          <w:color w:val="1E2A3A"/>
          <w:sz w:val="32"/>
          <w:szCs w:val="32"/>
        </w:rPr>
        <w:t xml:space="preserve">10. Почему монополии устойчивы</w:t>
      </w:r>
      <w:bookmarkEnd w:id="100027"/>
    </w:p>
    <w:p>
      <w:pPr>
        <w:spacing w:after="80" w:line="312"/>
        <w:ind w:firstLine="709"/>
        <w:jc w:val="both"/>
      </w:pPr>
      <w:r>
        <w:rPr>
          <w:rFonts w:ascii="Times New Roman" w:hAnsi="Times New Roman"/>
          <w:b/>
          <w:bCs/>
          <w:color w:val="000000"/>
          <w:sz w:val="24"/>
          <w:szCs w:val="24"/>
        </w:rPr>
        <w:t xml:space="preserve">1. Геологическая рента. </w:t>
      </w:r>
      <w:r>
        <w:rPr>
          <w:rFonts w:ascii="Times New Roman" w:hAnsi="Times New Roman"/>
          <w:color w:val="000000"/>
          <w:sz w:val="24"/>
          <w:szCs w:val="24"/>
        </w:rPr>
        <w:t xml:space="preserve">Норильские сульфидные руды (палладий и никель попутно), якутские кимберлиты, самбийский янтароносный горизонт, чернозём — запасы физически локализованы и невоспроизводимы.</w:t>
      </w:r>
    </w:p>
    <w:p>
      <w:pPr>
        <w:spacing w:after="80" w:line="312"/>
        <w:ind w:firstLine="709"/>
        <w:jc w:val="both"/>
      </w:pPr>
      <w:r>
        <w:rPr>
          <w:rFonts w:ascii="Times New Roman" w:hAnsi="Times New Roman"/>
          <w:b/>
          <w:bCs/>
          <w:color w:val="000000"/>
          <w:sz w:val="24"/>
          <w:szCs w:val="24"/>
        </w:rPr>
        <w:t xml:space="preserve">2. Советское наследие с барьером входа. </w:t>
      </w:r>
      <w:r>
        <w:rPr>
          <w:rFonts w:ascii="Times New Roman" w:hAnsi="Times New Roman"/>
          <w:color w:val="000000"/>
          <w:sz w:val="24"/>
          <w:szCs w:val="24"/>
        </w:rPr>
        <w:t xml:space="preserve">Атомный цикл (конверсия, обогащение, топливо, станции), ВСПМО (построен как монополист СЭВ), единая инфраструктура — активы, которые конкурент должен строить десятилетиями.</w:t>
      </w:r>
    </w:p>
    <w:p>
      <w:pPr>
        <w:spacing w:after="80" w:line="312"/>
        <w:ind w:firstLine="709"/>
        <w:jc w:val="both"/>
      </w:pPr>
      <w:r>
        <w:rPr>
          <w:rFonts w:ascii="Times New Roman" w:hAnsi="Times New Roman"/>
          <w:b/>
          <w:bCs/>
          <w:color w:val="000000"/>
          <w:sz w:val="24"/>
          <w:szCs w:val="24"/>
        </w:rPr>
        <w:t xml:space="preserve">3. Низкая себестоимость. </w:t>
      </w:r>
      <w:r>
        <w:rPr>
          <w:rFonts w:ascii="Times New Roman" w:hAnsi="Times New Roman"/>
          <w:color w:val="000000"/>
          <w:sz w:val="24"/>
          <w:szCs w:val="24"/>
        </w:rPr>
        <w:t xml:space="preserve">Дешёвая собственная энергия делает добычу и обогащение конкурентными даже при дисконтах и санкционных издержках.</w:t>
      </w:r>
    </w:p>
    <w:p>
      <w:pPr>
        <w:spacing w:after="80" w:line="312"/>
        <w:ind w:firstLine="709"/>
        <w:jc w:val="both"/>
      </w:pPr>
      <w:r>
        <w:rPr>
          <w:rFonts w:ascii="Times New Roman" w:hAnsi="Times New Roman"/>
          <w:b/>
          <w:bCs/>
          <w:color w:val="000000"/>
          <w:sz w:val="24"/>
          <w:szCs w:val="24"/>
        </w:rPr>
        <w:t xml:space="preserve">4. Замкнутость цикла. </w:t>
      </w:r>
      <w:r>
        <w:rPr>
          <w:rFonts w:ascii="Times New Roman" w:hAnsi="Times New Roman"/>
          <w:color w:val="000000"/>
          <w:sz w:val="24"/>
          <w:szCs w:val="24"/>
        </w:rPr>
        <w:t xml:space="preserve">Построенная Росатомом станция — это 60 лет потребления российского топлива и сервиса: монополия усиливает саму себя.</w:t>
      </w:r>
    </w:p>
    <w:p>
      <w:pPr>
        <w:spacing w:after="80" w:line="312"/>
        <w:ind w:firstLine="709"/>
        <w:jc w:val="both"/>
      </w:pPr>
      <w:r>
        <w:rPr>
          <w:rFonts w:ascii="Times New Roman" w:hAnsi="Times New Roman"/>
          <w:b/>
          <w:bCs/>
          <w:color w:val="000000"/>
          <w:sz w:val="24"/>
          <w:szCs w:val="24"/>
        </w:rPr>
        <w:t xml:space="preserve">5. Готовность Запада платить за стабильность. </w:t>
      </w:r>
      <w:r>
        <w:rPr>
          <w:rFonts w:ascii="Times New Roman" w:hAnsi="Times New Roman"/>
          <w:color w:val="000000"/>
          <w:sz w:val="24"/>
          <w:szCs w:val="24"/>
        </w:rPr>
        <w:t xml:space="preserve">Boeing продлевает контракт с ВСПМО, американские энергокомпании берут исключения на российский уран — заменитель дороже или хуже, и покупатель это знает.</w:t>
      </w:r>
    </w:p>
    <w:p>
      <w:pPr>
        <w:pStyle w:val="Heading1"/>
        <w:keepNext/>
        <w:spacing w:after="180" w:before="400" w:line="312"/>
      </w:pPr>
      <w:bookmarkStart w:id="100028" w:name="_Toc100028"/>
      <w:r>
        <w:rPr>
          <w:rFonts w:ascii="Arial" w:hAnsi="Arial"/>
          <w:b/>
          <w:bCs/>
          <w:color w:val="1E2A3A"/>
          <w:sz w:val="32"/>
          <w:szCs w:val="32"/>
        </w:rPr>
        <w:t xml:space="preserve">11. Выводы</w:t>
      </w:r>
      <w:bookmarkEnd w:id="100028"/>
    </w:p>
    <w:p>
      <w:pPr>
        <w:spacing w:after="80" w:line="312"/>
        <w:ind w:firstLine="709"/>
        <w:jc w:val="both"/>
      </w:pPr>
      <w:r>
        <w:rPr>
          <w:rFonts w:ascii="Times New Roman" w:hAnsi="Times New Roman"/>
          <w:color w:val="000000"/>
          <w:sz w:val="24"/>
          <w:szCs w:val="24"/>
        </w:rPr>
        <w:t xml:space="preserve">Первое. Подлинные монополии России на мировом рынке 2026 года: обогащение урана (около 44%), палладий (около 40%), янтарь-сырец (около 65%), совместная с Беларусью калийная дуополия (35–40%), атомное строительство (около 37% строящихся блоков мира).</w:t>
      </w:r>
    </w:p>
    <w:p>
      <w:pPr>
        <w:spacing w:after="80" w:line="312"/>
        <w:ind w:firstLine="709"/>
        <w:jc w:val="both"/>
      </w:pPr>
      <w:r>
        <w:rPr>
          <w:rFonts w:ascii="Times New Roman" w:hAnsi="Times New Roman"/>
          <w:color w:val="000000"/>
          <w:sz w:val="24"/>
          <w:szCs w:val="24"/>
        </w:rPr>
        <w:t xml:space="preserve">Второе. Устойчивое продовольственное лидерство: пшеница (20–28% мирового экспорта), подсолнечное масло (первое место с 2025/26), горох, лён, удобрения (первое место). Эти доли политически значимы — продовольственная безопасность Египта, Турции, стран Африки, — но легко заменимы при наличии времени: дефицита продукта не возникнет, возникнет рост цен.</w:t>
      </w:r>
    </w:p>
    <w:p>
      <w:pPr>
        <w:spacing w:after="80" w:line="312"/>
        <w:ind w:firstLine="709"/>
        <w:jc w:val="both"/>
      </w:pPr>
      <w:r>
        <w:rPr>
          <w:rFonts w:ascii="Times New Roman" w:hAnsi="Times New Roman"/>
          <w:color w:val="000000"/>
          <w:sz w:val="24"/>
          <w:szCs w:val="24"/>
        </w:rPr>
        <w:t xml:space="preserve">Третье. Технологические ниши труднее всего поддаются санкционному вытеснению: уран, титан и палладий Запад покупает уже годы после введения собственных запретов.</w:t>
      </w:r>
    </w:p>
    <w:p>
      <w:pPr>
        <w:spacing w:after="80" w:line="312"/>
        <w:ind w:firstLine="709"/>
        <w:jc w:val="both"/>
      </w:pPr>
      <w:r>
        <w:rPr>
          <w:rFonts w:ascii="Times New Roman" w:hAnsi="Times New Roman"/>
          <w:color w:val="000000"/>
          <w:sz w:val="24"/>
          <w:szCs w:val="24"/>
        </w:rPr>
        <w:t xml:space="preserve">Четвёртое. Проигранные фронты: вооружения (третье место, доля упала втрое), трубопроводный газ в ЕС (вытеснен), космические запуски, антивирусное программное обеспечение.</w:t>
      </w:r>
    </w:p>
    <w:p>
      <w:pPr>
        <w:spacing w:after="80" w:line="312"/>
        <w:ind w:firstLine="709"/>
        <w:jc w:val="both"/>
      </w:pPr>
      <w:r>
        <w:rPr>
          <w:rFonts w:ascii="Times New Roman" w:hAnsi="Times New Roman"/>
          <w:color w:val="000000"/>
          <w:sz w:val="24"/>
          <w:szCs w:val="24"/>
        </w:rPr>
        <w:t xml:space="preserve">Пятое. Общий тренд 2022–2026 годов — медленная эрозия долей, а не крах: объёмы экспорта переориентируются с Запада на Азию (Китай уже покупает половину углеводородных доходов), и мировые цены, а не санкции, остаются главным ограничителем российских доходов.</w:t>
      </w:r>
    </w:p>
    <w:p>
      <w:pPr>
        <w:pStyle w:val="Heading1"/>
        <w:keepNext/>
        <w:spacing w:after="180" w:before="400" w:line="312"/>
      </w:pPr>
      <w:bookmarkStart w:id="100029" w:name="_Toc100029"/>
      <w:r>
        <w:rPr>
          <w:rFonts w:ascii="Arial" w:hAnsi="Arial"/>
          <w:b/>
          <w:bCs/>
          <w:color w:val="1E2A3A"/>
          <w:sz w:val="32"/>
          <w:szCs w:val="32"/>
        </w:rPr>
        <w:t xml:space="preserve">12. Источники</w:t>
      </w:r>
      <w:bookmarkEnd w:id="100029"/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Times New Roman" w:hAnsi="Times New Roman"/>
          <w:color w:val="000000"/>
          <w:sz w:val="20"/>
          <w:szCs w:val="20"/>
        </w:rPr>
        <w:t xml:space="preserve">Reuters — «Russia's Rosatom starts development of uranium deposit in Eastern Siberia» (август 2025): 44% мировых мощностей обогащения — </w:t>
      </w:r>
      <w:hyperlink w:history="1" r:id="rId4z7yfed7vtyb_am8masx7">
        <w:r>
          <w:rPr>
            <w:rStyle w:val="Hyperlink"/>
            <w:rFonts w:ascii="Times New Roman" w:hAnsi="Times New Roman"/>
            <w:sz w:val="20"/>
            <w:szCs w:val="20"/>
          </w:rPr>
          <w:t xml:space="preserve">https://www.reuters.com/business/energy/russias-rosatom-starts-development-uranium-deposit-eastern-siberia-2025-08-08</w:t>
        </w:r>
      </w:hyperlink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Times New Roman" w:hAnsi="Times New Roman"/>
          <w:color w:val="000000"/>
          <w:sz w:val="20"/>
          <w:szCs w:val="20"/>
        </w:rPr>
        <w:t xml:space="preserve">FIIA — «Russia and Kazakhstan in the global nuclear sector»: 46% обогащение, 38% конверсия — </w:t>
      </w:r>
      <w:hyperlink w:history="1" r:id="rIdhnzz4tqnmncc633ypjhxm">
        <w:r>
          <w:rPr>
            <w:rStyle w:val="Hyperlink"/>
            <w:rFonts w:ascii="Times New Roman" w:hAnsi="Times New Roman"/>
            <w:sz w:val="20"/>
            <w:szCs w:val="20"/>
          </w:rPr>
          <w:t xml:space="preserve">https://fiia.fi/en/publication/russia-and-kazakhstan-in-the-global-nuclear-sector</w:t>
        </w:r>
      </w:hyperlink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Times New Roman" w:hAnsi="Times New Roman"/>
          <w:color w:val="000000"/>
          <w:sz w:val="20"/>
          <w:szCs w:val="20"/>
        </w:rPr>
        <w:t xml:space="preserve">Bellona — «The New Nuclear Digest» (март 2026): около 40% обогащения, экспортные тренды — </w:t>
      </w:r>
      <w:hyperlink w:history="1" r:id="rIdzqgpfbiu8ckgxjarhpcru">
        <w:r>
          <w:rPr>
            <w:rStyle w:val="Hyperlink"/>
            <w:rFonts w:ascii="Times New Roman" w:hAnsi="Times New Roman"/>
            <w:sz w:val="20"/>
            <w:szCs w:val="20"/>
          </w:rPr>
          <w:t xml:space="preserve">https://bellona.org/news/nuclear-issues/2026-03-rosatoms-exports-slip-china-buys-up-russian-fuel-and-the-us-boosts-enrichment-the-new-nuclear-digest-is-out</w:t>
        </w:r>
      </w:hyperlink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Times New Roman" w:hAnsi="Times New Roman"/>
          <w:color w:val="000000"/>
          <w:sz w:val="20"/>
          <w:szCs w:val="20"/>
        </w:rPr>
        <w:t xml:space="preserve">World Nuclear Association — «Russia's Nuclear Fuel Cycle» (сентябрь 2026): 17% рынка топлива ТВЭЛ — </w:t>
      </w:r>
      <w:hyperlink w:history="1" r:id="rIdin88w2vckcyv7qt67rhsh">
        <w:r>
          <w:rPr>
            <w:rStyle w:val="Hyperlink"/>
            <w:rFonts w:ascii="Times New Roman" w:hAnsi="Times New Roman"/>
            <w:sz w:val="20"/>
            <w:szCs w:val="20"/>
          </w:rPr>
          <w:t xml:space="preserve">https://world-nuclear.org/information-library/country-profiles/countries-o-s/russia-nuclear-fuel-cycle</w:t>
        </w:r>
      </w:hyperlink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Times New Roman" w:hAnsi="Times New Roman"/>
          <w:color w:val="000000"/>
          <w:sz w:val="20"/>
          <w:szCs w:val="20"/>
        </w:rPr>
        <w:t xml:space="preserve">US DOE — «Russian Uranium Ban Waiver Guidance»: закон о запрете импорта с августа 2024 — </w:t>
      </w:r>
      <w:hyperlink w:history="1" r:id="rIdunt1fxxdtyz9rtqxuemeh">
        <w:r>
          <w:rPr>
            <w:rStyle w:val="Hyperlink"/>
            <w:rFonts w:ascii="Times New Roman" w:hAnsi="Times New Roman"/>
            <w:sz w:val="20"/>
            <w:szCs w:val="20"/>
          </w:rPr>
          <w:t xml:space="preserve">https://www.energy.gov/ne/russian-uranium-ban-waiver-guidance</w:t>
        </w:r>
      </w:hyperlink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Times New Roman" w:hAnsi="Times New Roman"/>
          <w:color w:val="000000"/>
          <w:sz w:val="20"/>
          <w:szCs w:val="20"/>
        </w:rPr>
        <w:t xml:space="preserve">World Nuclear Association — «Plans for New Reactors Worldwide»: около 80 строящихся реакторов — </w:t>
      </w:r>
      <w:hyperlink w:history="1" r:id="rIditl4cm8t0retlv7t9e_uu">
        <w:r>
          <w:rPr>
            <w:rStyle w:val="Hyperlink"/>
            <w:rFonts w:ascii="Times New Roman" w:hAnsi="Times New Roman"/>
            <w:sz w:val="20"/>
            <w:szCs w:val="20"/>
          </w:rPr>
          <w:t xml:space="preserve">https://world-nuclear.org/information-library/current-and-future-generation/plans-for-new-reactors-worldwide</w:t>
        </w:r>
      </w:hyperlink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Times New Roman" w:hAnsi="Times New Roman"/>
          <w:color w:val="000000"/>
          <w:sz w:val="20"/>
          <w:szCs w:val="20"/>
        </w:rPr>
        <w:t xml:space="preserve">OSW Commentary (январь 2026): 22 реактора в семи странах по соглашениям Росатома — </w:t>
      </w:r>
      <w:hyperlink w:history="1" r:id="rId57ttiaez_n5ngddjfujy5">
        <w:r>
          <w:rPr>
            <w:rStyle w:val="Hyperlink"/>
            <w:rFonts w:ascii="Times New Roman" w:hAnsi="Times New Roman"/>
            <w:sz w:val="20"/>
            <w:szCs w:val="20"/>
          </w:rPr>
          <w:t xml:space="preserve">https://www.osw.waw.pl</w:t>
        </w:r>
      </w:hyperlink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Times New Roman" w:hAnsi="Times New Roman"/>
          <w:color w:val="000000"/>
          <w:sz w:val="20"/>
          <w:szCs w:val="20"/>
        </w:rPr>
        <w:t xml:space="preserve">«Норникель» — пресс-релиз за 2025 год (январь 2026) и обзоры рынка металлов — </w:t>
      </w:r>
      <w:hyperlink w:history="1" r:id="rIdf5u8suzwjudm-nz6zcmym">
        <w:r>
          <w:rPr>
            <w:rStyle w:val="Hyperlink"/>
            <w:rFonts w:ascii="Times New Roman" w:hAnsi="Times New Roman"/>
            <w:sz w:val="20"/>
            <w:szCs w:val="20"/>
          </w:rPr>
          <w:t xml:space="preserve">https://nornickel.com/news-and-media/press-releases-and-news/nornickel-announces-consolidated-production-results-for-fy2025</w:t>
        </w:r>
      </w:hyperlink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Times New Roman" w:hAnsi="Times New Roman"/>
          <w:color w:val="000000"/>
          <w:sz w:val="20"/>
          <w:szCs w:val="20"/>
        </w:rPr>
        <w:t xml:space="preserve">S&amp;P Global Ratings — VSMPO-AVISMA «BB+»: крупнейший производитель титана, около 25% рынка — </w:t>
      </w:r>
      <w:hyperlink w:history="1" r:id="rIdxj0uxqwp_swq6ejjue8yv">
        <w:r>
          <w:rPr>
            <w:rStyle w:val="Hyperlink"/>
            <w:rFonts w:ascii="Times New Roman" w:hAnsi="Times New Roman"/>
            <w:sz w:val="20"/>
            <w:szCs w:val="20"/>
          </w:rPr>
          <w:t xml:space="preserve">https://www.spglobal.com/ratings/en/regulatory/article/-/view/sourceId/11893653</w:t>
        </w:r>
      </w:hyperlink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Times New Roman" w:hAnsi="Times New Roman"/>
          <w:color w:val="000000"/>
          <w:sz w:val="20"/>
          <w:szCs w:val="20"/>
        </w:rPr>
        <w:t xml:space="preserve">Rapaport — «Russia Largest Rough Producer by Value in 2025 for Third Year» (июль 2026) — </w:t>
      </w:r>
      <w:hyperlink w:history="1" r:id="rIdtfa7lmw2iztrcbd3xx6v1">
        <w:r>
          <w:rPr>
            <w:rStyle w:val="Hyperlink"/>
            <w:rFonts w:ascii="Times New Roman" w:hAnsi="Times New Roman"/>
            <w:sz w:val="20"/>
            <w:szCs w:val="20"/>
          </w:rPr>
          <w:t xml:space="preserve">https://rapaport.com/news/russia-largest-rough-producer-by-value-in-2025-for-third-year</w:t>
        </w:r>
      </w:hyperlink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Times New Roman" w:hAnsi="Times New Roman"/>
          <w:color w:val="000000"/>
          <w:sz w:val="20"/>
          <w:szCs w:val="20"/>
        </w:rPr>
        <w:t xml:space="preserve">SIPRI — Fact Sheet «Trends in International Arms Transfers, 2025» (март 2026): Франция — 9,8%, российский экспорт минус 64% — </w:t>
      </w:r>
      <w:hyperlink w:history="1" r:id="rId4inetb3i3hkpagvvy0_ru">
        <w:r>
          <w:rPr>
            <w:rStyle w:val="Hyperlink"/>
            <w:rFonts w:ascii="Times New Roman" w:hAnsi="Times New Roman"/>
            <w:sz w:val="20"/>
            <w:szCs w:val="20"/>
          </w:rPr>
          <w:t xml:space="preserve">https://www.sipri.org/publications/2026/sipri-fact-sheets/trends-international-arms-transfers-2025</w:t>
        </w:r>
      </w:hyperlink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Times New Roman" w:hAnsi="Times New Roman"/>
          <w:color w:val="000000"/>
          <w:sz w:val="20"/>
          <w:szCs w:val="20"/>
        </w:rPr>
        <w:t xml:space="preserve">SIPRI — пресс-релиз (март 2026): Россия — третье место с 7,8% (2020–2024) — </w:t>
      </w:r>
      <w:hyperlink w:history="1" r:id="rIdmrxfnju2xsu422nqgzpaf">
        <w:r>
          <w:rPr>
            <w:rStyle w:val="Hyperlink"/>
            <w:rFonts w:ascii="Times New Roman" w:hAnsi="Times New Roman"/>
            <w:sz w:val="20"/>
            <w:szCs w:val="20"/>
          </w:rPr>
          <w:t xml:space="preserve">https://www.sipri.org/media/press-release/2026/global-arms-flows-jump-nearly-10-cent-european-demand-soars</w:t>
        </w:r>
      </w:hyperlink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Times New Roman" w:hAnsi="Times New Roman"/>
          <w:color w:val="000000"/>
          <w:sz w:val="20"/>
          <w:szCs w:val="20"/>
        </w:rPr>
        <w:t xml:space="preserve">US EIA — Country Analysis Brief: Russia (июль 2025): второй экспортёр нефти, около 11% (4,8 млн барр./сут) — </w:t>
      </w:r>
      <w:hyperlink w:history="1" r:id="rIdvlmzxc4ittfd6akyrcmug">
        <w:r>
          <w:rPr>
            <w:rStyle w:val="Hyperlink"/>
            <w:rFonts w:ascii="Times New Roman" w:hAnsi="Times New Roman"/>
            <w:sz w:val="20"/>
            <w:szCs w:val="20"/>
          </w:rPr>
          <w:t xml:space="preserve">https://www.eia.gov/international/analysis/country/RUS</w:t>
        </w:r>
      </w:hyperlink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Times New Roman" w:hAnsi="Times New Roman"/>
          <w:color w:val="000000"/>
          <w:sz w:val="20"/>
          <w:szCs w:val="20"/>
        </w:rPr>
        <w:t xml:space="preserve">CREA — «Monthly analysis of Russian fossil fuel exports» (сентябрь 2026): доля в импорте Китая, теневой флот — </w:t>
      </w:r>
      <w:hyperlink w:history="1" r:id="rIdwuy20uqmxac1nu3bvsdjj">
        <w:r>
          <w:rPr>
            <w:rStyle w:val="Hyperlink"/>
            <w:rFonts w:ascii="Times New Roman" w:hAnsi="Times New Roman"/>
            <w:sz w:val="20"/>
            <w:szCs w:val="20"/>
          </w:rPr>
          <w:t xml:space="preserve">https://energyandcleanair.org/august-2026-monthly-analysis-of-russian-fossil-fuel-exports-and-sanctions</w:t>
        </w:r>
      </w:hyperlink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Times New Roman" w:hAnsi="Times New Roman"/>
          <w:color w:val="000000"/>
          <w:sz w:val="20"/>
          <w:szCs w:val="20"/>
        </w:rPr>
        <w:t xml:space="preserve">SEALA — «LNG Export by Russia»: 47,2 млн тонн (2024), четвёртое место в мире — </w:t>
      </w:r>
      <w:hyperlink w:history="1" r:id="rIdipq_g-kbs-ie3ec8dqhvw">
        <w:r>
          <w:rPr>
            <w:rStyle w:val="Hyperlink"/>
            <w:rFonts w:ascii="Times New Roman" w:hAnsi="Times New Roman"/>
            <w:sz w:val="20"/>
            <w:szCs w:val="20"/>
          </w:rPr>
          <w:t xml:space="preserve">https://www.seala.ai/lngstatistics/lng-export-by-russia</w:t>
        </w:r>
      </w:hyperlink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Times New Roman" w:hAnsi="Times New Roman"/>
          <w:color w:val="000000"/>
          <w:sz w:val="20"/>
          <w:szCs w:val="20"/>
        </w:rPr>
        <w:t xml:space="preserve">Reuters — «Global coal exports post rare decline in 2025» (декабрь 2025) — </w:t>
      </w:r>
      <w:hyperlink w:history="1" r:id="rIduqp0xhsc2mu3xoxmrk8ki">
        <w:r>
          <w:rPr>
            <w:rStyle w:val="Hyperlink"/>
            <w:rFonts w:ascii="Times New Roman" w:hAnsi="Times New Roman"/>
            <w:sz w:val="20"/>
            <w:szCs w:val="20"/>
          </w:rPr>
          <w:t xml:space="preserve">https://www.reuters.com/markets/commodities/global-coal-exports-post-rare-decline-2025-china-cuts-2025-12-16</w:t>
        </w:r>
      </w:hyperlink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Times New Roman" w:hAnsi="Times New Roman"/>
          <w:color w:val="000000"/>
          <w:sz w:val="20"/>
          <w:szCs w:val="20"/>
        </w:rPr>
        <w:t xml:space="preserve">Reuters — «Russia eyes more sunflower oil exports to India» (сентябрь 2025): рекорд 5 млн тонн, первое место — </w:t>
      </w:r>
      <w:hyperlink w:history="1" r:id="rIdyryjunddtjp1qtrcxstvl">
        <w:r>
          <w:rPr>
            <w:rStyle w:val="Hyperlink"/>
            <w:rFonts w:ascii="Times New Roman" w:hAnsi="Times New Roman"/>
            <w:sz w:val="20"/>
            <w:szCs w:val="20"/>
          </w:rPr>
          <w:t xml:space="preserve">https://www.reuters.com/business/energy/russia-eyes-more-sunflower-oil-exports-india-2025-09-26</w:t>
        </w:r>
      </w:hyperlink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Times New Roman" w:hAnsi="Times New Roman"/>
          <w:color w:val="000000"/>
          <w:sz w:val="20"/>
          <w:szCs w:val="20"/>
        </w:rPr>
        <w:t xml:space="preserve">Reuters — «Russia has surplus peas after failing to boost exports to China» (декабрь 2025): 49% китайского импорта гороха — </w:t>
      </w:r>
      <w:hyperlink w:history="1" r:id="rIdu1gzqohkyx1uxpuoepuhb">
        <w:r>
          <w:rPr>
            <w:rStyle w:val="Hyperlink"/>
            <w:rFonts w:ascii="Times New Roman" w:hAnsi="Times New Roman"/>
            <w:sz w:val="20"/>
            <w:szCs w:val="20"/>
          </w:rPr>
          <w:t xml:space="preserve">https://www.reuters.com/world/china/russia-has-surplus-peas-after-failing-boost-exports-china-analysts-say-2025-12-11</w:t>
        </w:r>
      </w:hyperlink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Times New Roman" w:hAnsi="Times New Roman"/>
          <w:color w:val="000000"/>
          <w:sz w:val="20"/>
          <w:szCs w:val="20"/>
        </w:rPr>
        <w:t xml:space="preserve">Reuters — «Russia's pipeline gas exports to Europe fall by 44%» (декабрь 2025) — </w:t>
      </w:r>
      <w:hyperlink w:history="1" r:id="rIdlgx-dozvp9jfeen8hbb-p">
        <w:r>
          <w:rPr>
            <w:rStyle w:val="Hyperlink"/>
            <w:rFonts w:ascii="Times New Roman" w:hAnsi="Times New Roman"/>
            <w:sz w:val="20"/>
            <w:szCs w:val="20"/>
          </w:rPr>
          <w:t xml:space="preserve">https://www.reuters.com/business/energy/russias-pipeline-gas-exports-europe-fall-by-44-lowest-decades-2025-12-30</w:t>
        </w:r>
      </w:hyperlink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Times New Roman" w:hAnsi="Times New Roman"/>
          <w:color w:val="000000"/>
          <w:sz w:val="20"/>
          <w:szCs w:val="20"/>
        </w:rPr>
        <w:t xml:space="preserve">Reuters — «Russian fertilizer producers target 25% global market share by 2030» (июль 2025) — </w:t>
      </w:r>
      <w:hyperlink w:history="1" r:id="rIdl-waytc9lmpmmnhtnzeo9">
        <w:r>
          <w:rPr>
            <w:rStyle w:val="Hyperlink"/>
            <w:rFonts w:ascii="Times New Roman" w:hAnsi="Times New Roman"/>
            <w:sz w:val="20"/>
            <w:szCs w:val="20"/>
          </w:rPr>
          <w:t xml:space="preserve">https://www.reuters.com/world/china/russian-fertilizer-producers-target-25-global-market-share-by-2030-lobby-group-2025-07-17</w:t>
        </w:r>
      </w:hyperlink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Times New Roman" w:hAnsi="Times New Roman"/>
          <w:color w:val="000000"/>
          <w:sz w:val="20"/>
          <w:szCs w:val="20"/>
        </w:rPr>
        <w:t xml:space="preserve">Natural Resources Canada (январь 2026) / Investing News: Беларусь — 18,7% мирового экспорта калия, второе место — </w:t>
      </w:r>
      <w:hyperlink w:history="1" r:id="rId1mmsjp61l_eccyh_kjk7b">
        <w:r>
          <w:rPr>
            <w:rStyle w:val="Hyperlink"/>
            <w:rFonts w:ascii="Times New Roman" w:hAnsi="Times New Roman"/>
            <w:sz w:val="20"/>
            <w:szCs w:val="20"/>
          </w:rPr>
          <w:t xml:space="preserve">https://investingnews.com/daily/resource-investing/agriculture-investing/potash-investing/top-potash-countries-by-production</w:t>
        </w:r>
      </w:hyperlink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Times New Roman" w:hAnsi="Times New Roman"/>
          <w:color w:val="000000"/>
          <w:sz w:val="20"/>
          <w:szCs w:val="20"/>
        </w:rPr>
        <w:t xml:space="preserve">SeafoodNews / Interfax (2026): минтай — 43,4% рынка Европы, обгон США; экспорт рыбы в Китай — 3,42 млрд долларов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Times New Roman" w:hAnsi="Times New Roman"/>
          <w:color w:val="000000"/>
          <w:sz w:val="20"/>
          <w:szCs w:val="20"/>
        </w:rPr>
        <w:t xml:space="preserve">USDA FAS — «Russia Grain and Oilseed Exports Expand» — </w:t>
      </w:r>
      <w:hyperlink w:history="1" r:id="rIdmcwykchmxppjlqe_pcasy">
        <w:r>
          <w:rPr>
            <w:rStyle w:val="Hyperlink"/>
            <w:rFonts w:ascii="Times New Roman" w:hAnsi="Times New Roman"/>
            <w:sz w:val="20"/>
            <w:szCs w:val="20"/>
          </w:rPr>
          <w:t xml:space="preserve">https://www.fas.usda.gov/data/russia-grain-and-oilseed-exports-expand</w:t>
        </w:r>
      </w:hyperlink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Times New Roman" w:hAnsi="Times New Roman"/>
          <w:color w:val="000000"/>
          <w:sz w:val="20"/>
          <w:szCs w:val="20"/>
        </w:rPr>
        <w:t xml:space="preserve">SovEcon (июль 2025): прогноз 42,9 млн тонн пшеницы в сезоне 2025/26</w:t>
      </w:r>
    </w:p>
    <w:p>
      <w:pPr>
        <w:spacing w:after="80" w:line="312"/>
        <w:ind w:firstLine="709"/>
        <w:jc w:val="both"/>
      </w:pPr>
      <w:r>
        <w:rPr>
          <w:rFonts w:ascii="Times New Roman" w:hAnsi="Times New Roman"/>
          <w:color w:val="000000"/>
          <w:sz w:val="24"/>
          <w:szCs w:val="24"/>
        </w:rPr>
        <w:t xml:space="preserve">Корпоративные данные (Росатом, «Норникель», ТВЭЛ, Калининградский янтарный комбинат) помечены как заявления компаний и могут смещаться в сторону завышения долей. Цифры по калийным удобрениям даны диапазоном из-за разных баз расчёта. Дата составления — 14 октября 2026 года.</w:t>
      </w:r>
    </w:p>
    <w:sectPr>
      <w:headerReference w:type="default" r:id="rId7"/>
      <w:footerReference w:type="default" r:id="rId8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hAnsi="Times New Roman"/>
        <w:color w:val="808080"/>
        <w:sz w:val="18"/>
        <w:szCs w:val="18"/>
      </w:rPr>
      <w:fldChar w:fldCharType="begin"/>
      <w:instrText xml:space="preserve"> PAGE \* ROMAN \* MERGEFORMAT 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hAnsi="Times New Roman"/>
        <w:color w:val="808080"/>
        <w:sz w:val="18"/>
        <w:szCs w:val="18"/>
      </w:rPr>
      <w:fldChar w:fldCharType="begin"/>
      <w:instrText xml:space="preserve"> PAGE \* arabic \* MERGEFORMAT 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C8C8" w:sz="2" w:space="4"/>
      </w:pBdr>
      <w:jc w:val="center"/>
    </w:pPr>
    <w:r>
      <w:rPr>
        <w:rFonts w:ascii="Arial" w:hAnsi="Arial"/>
        <w:color w:val="909090"/>
        <w:sz w:val="16"/>
        <w:szCs w:val="16"/>
      </w:rPr>
      <w:t xml:space="preserve">Россия на мировых рынках · монополии и доли · аналитический отчёт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hAnsi="Times New Roman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80" w:before="400" w:line="312"/>
      <w:outlineLvl w:val="0"/>
    </w:pPr>
    <w:rPr>
      <w:rFonts w:ascii="Arial" w:hAnsi="Arial"/>
      <w:b/>
      <w:bCs/>
      <w:color w:val="1E2A3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 w:line="312"/>
      <w:outlineLvl w:val="1"/>
    </w:pPr>
    <w:rPr>
      <w:rFonts w:ascii="Arial" w:hAnsi="Arial"/>
      <w:b/>
      <w:bCs/>
      <w:color w:val="1E2A3A"/>
      <w:sz w:val="28"/>
      <w:szCs w:val="28"/>
    </w:rPr>
  </w:style>
  <w:style w:type="paragraph" w:styleId="Heading3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header" Target="header1.xml"/><Relationship Id="rId8" Type="http://schemas.openxmlformats.org/officeDocument/2006/relationships/footer" Target="footer2.xml"/><Relationship Id="rId9" Type="http://schemas.openxmlformats.org/officeDocument/2006/relationships/theme" Target="theme/theme1.xml"/><Relationship Id="rId4z7yfed7vtyb_am8masx7" Type="http://schemas.openxmlformats.org/officeDocument/2006/relationships/hyperlink" Target="https://www.reuters.com/business/energy/russias-rosatom-starts-development-uranium-deposit-eastern-siberia-2025-08-08" TargetMode="External"/><Relationship Id="rIdhnzz4tqnmncc633ypjhxm" Type="http://schemas.openxmlformats.org/officeDocument/2006/relationships/hyperlink" Target="https://fiia.fi/en/publication/russia-and-kazakhstan-in-the-global-nuclear-sector" TargetMode="External"/><Relationship Id="rIdzqgpfbiu8ckgxjarhpcru" Type="http://schemas.openxmlformats.org/officeDocument/2006/relationships/hyperlink" Target="https://bellona.org/news/nuclear-issues/2026-03-rosatoms-exports-slip-china-buys-up-russian-fuel-and-the-us-boosts-enrichment-the-new-nuclear-digest-is-out" TargetMode="External"/><Relationship Id="rIdin88w2vckcyv7qt67rhsh" Type="http://schemas.openxmlformats.org/officeDocument/2006/relationships/hyperlink" Target="https://world-nuclear.org/information-library/country-profiles/countries-o-s/russia-nuclear-fuel-cycle" TargetMode="External"/><Relationship Id="rIdunt1fxxdtyz9rtqxuemeh" Type="http://schemas.openxmlformats.org/officeDocument/2006/relationships/hyperlink" Target="https://www.energy.gov/ne/russian-uranium-ban-waiver-guidance" TargetMode="External"/><Relationship Id="rIditl4cm8t0retlv7t9e_uu" Type="http://schemas.openxmlformats.org/officeDocument/2006/relationships/hyperlink" Target="https://world-nuclear.org/information-library/current-and-future-generation/plans-for-new-reactors-worldwide" TargetMode="External"/><Relationship Id="rId57ttiaez_n5ngddjfujy5" Type="http://schemas.openxmlformats.org/officeDocument/2006/relationships/hyperlink" Target="https://www.osw.waw.pl" TargetMode="External"/><Relationship Id="rIdf5u8suzwjudm-nz6zcmym" Type="http://schemas.openxmlformats.org/officeDocument/2006/relationships/hyperlink" Target="https://nornickel.com/news-and-media/press-releases-and-news/nornickel-announces-consolidated-production-results-for-fy2025" TargetMode="External"/><Relationship Id="rIdxj0uxqwp_swq6ejjue8yv" Type="http://schemas.openxmlformats.org/officeDocument/2006/relationships/hyperlink" Target="https://www.spglobal.com/ratings/en/regulatory/article/-/view/sourceId/11893653" TargetMode="External"/><Relationship Id="rIdtfa7lmw2iztrcbd3xx6v1" Type="http://schemas.openxmlformats.org/officeDocument/2006/relationships/hyperlink" Target="https://rapaport.com/news/russia-largest-rough-producer-by-value-in-2025-for-third-year" TargetMode="External"/><Relationship Id="rId4inetb3i3hkpagvvy0_ru" Type="http://schemas.openxmlformats.org/officeDocument/2006/relationships/hyperlink" Target="https://www.sipri.org/publications/2026/sipri-fact-sheets/trends-international-arms-transfers-2025" TargetMode="External"/><Relationship Id="rIdmrxfnju2xsu422nqgzpaf" Type="http://schemas.openxmlformats.org/officeDocument/2006/relationships/hyperlink" Target="https://www.sipri.org/media/press-release/2026/global-arms-flows-jump-nearly-10-cent-european-demand-soars" TargetMode="External"/><Relationship Id="rIdvlmzxc4ittfd6akyrcmug" Type="http://schemas.openxmlformats.org/officeDocument/2006/relationships/hyperlink" Target="https://www.eia.gov/international/analysis/country/RUS" TargetMode="External"/><Relationship Id="rIdwuy20uqmxac1nu3bvsdjj" Type="http://schemas.openxmlformats.org/officeDocument/2006/relationships/hyperlink" Target="https://energyandcleanair.org/august-2026-monthly-analysis-of-russian-fossil-fuel-exports-and-sanctions" TargetMode="External"/><Relationship Id="rIdipq_g-kbs-ie3ec8dqhvw" Type="http://schemas.openxmlformats.org/officeDocument/2006/relationships/hyperlink" Target="https://www.seala.ai/lngstatistics/lng-export-by-russia" TargetMode="External"/><Relationship Id="rIduqp0xhsc2mu3xoxmrk8ki" Type="http://schemas.openxmlformats.org/officeDocument/2006/relationships/hyperlink" Target="https://www.reuters.com/markets/commodities/global-coal-exports-post-rare-decline-2025-china-cuts-2025-12-16" TargetMode="External"/><Relationship Id="rIdyryjunddtjp1qtrcxstvl" Type="http://schemas.openxmlformats.org/officeDocument/2006/relationships/hyperlink" Target="https://www.reuters.com/business/energy/russia-eyes-more-sunflower-oil-exports-india-2025-09-26" TargetMode="External"/><Relationship Id="rIdu1gzqohkyx1uxpuoepuhb" Type="http://schemas.openxmlformats.org/officeDocument/2006/relationships/hyperlink" Target="https://www.reuters.com/world/china/russia-has-surplus-peas-after-failing-boost-exports-china-analysts-say-2025-12-11" TargetMode="External"/><Relationship Id="rIdlgx-dozvp9jfeen8hbb-p" Type="http://schemas.openxmlformats.org/officeDocument/2006/relationships/hyperlink" Target="https://www.reuters.com/business/energy/russias-pipeline-gas-exports-europe-fall-by-44-lowest-decades-2025-12-30" TargetMode="External"/><Relationship Id="rIdl-waytc9lmpmmnhtnzeo9" Type="http://schemas.openxmlformats.org/officeDocument/2006/relationships/hyperlink" Target="https://www.reuters.com/world/china/russian-fertilizer-producers-target-25-global-market-share-by-2030-lobby-group-2025-07-17" TargetMode="External"/><Relationship Id="rId1mmsjp61l_eccyh_kjk7b" Type="http://schemas.openxmlformats.org/officeDocument/2006/relationships/hyperlink" Target="https://investingnews.com/daily/resource-investing/agriculture-investing/potash-investing/top-potash-countries-by-production" TargetMode="External"/><Relationship Id="rIdmcwykchmxppjlqe_pcasy" Type="http://schemas.openxmlformats.org/officeDocument/2006/relationships/hyperlink" Target="https://www.fas.usda.gov/data/russia-grain-and-oilseed-exports-expand" TargetMode="External"/><Relationship Id="rId10" Type="http://schemas.openxmlformats.org/officeDocument/2006/relationships/image" Target="media/9103387797dcff43f40bc85a6ae4b2b301fa5c30.png"/><Relationship Id="rId3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Россия на мировых рынках: фактические монополии и существенные доли — аналитический отчёт</dc:title>
  <dc:creator>ZCode</dc:creator>
  <cp:lastModifiedBy>Un-named</cp:lastModifiedBy>
  <cp:revision>1</cp:revision>
  <dcterms:created xsi:type="dcterms:W3CDTF">2026-10-14T18:26:36.801Z</dcterms:created>
  <dcterms:modified xsi:type="dcterms:W3CDTF">2026-10-14T18:26:36.825Z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