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ÉCOLE NATIONALE DE COMMERCE ET DE GESTION</w:t>
      </w:r>
    </w:p>
    <w:p>
      <w:pPr>
        <w:jc w:val="center"/>
      </w:pPr>
      <w:r>
        <w:rPr>
          <w:b/>
          <w:sz w:val="24"/>
        </w:rPr>
        <w:t>DE SETTAT</w:t>
      </w:r>
    </w:p>
    <w:p>
      <w:pPr>
        <w:jc w:val="center"/>
      </w:pPr>
      <w:r>
        <w:rPr>
          <w:color w:val="006633"/>
        </w:rPr>
        <w:t>────────────────────────────────────────────────────────────</w:t>
      </w:r>
    </w:p>
    <w:p>
      <w:pPr>
        <w:jc w:val="center"/>
      </w:pPr>
      <w:r>
        <w:rPr>
          <w:b/>
          <w:color w:val="006633"/>
          <w:sz w:val="28"/>
        </w:rPr>
        <w:t>COMPTE RENDU DE PROJET</w:t>
      </w:r>
    </w:p>
    <w:p>
      <w:pPr>
        <w:jc w:val="center"/>
      </w:pPr>
      <w:r>
        <w:rPr>
          <w:b/>
          <w:sz w:val="24"/>
        </w:rPr>
        <w:t>Modèle Prédictif des Performances Financières</w:t>
        <w:br/>
        <w:t>des Entreprises Marocaines</w:t>
      </w:r>
    </w:p>
    <w:p>
      <w:pPr>
        <w:jc w:val="center"/>
      </w:pPr>
      <w:r>
        <w:rPr>
          <w:color w:val="006633"/>
        </w:rPr>
        <w:t>────────────────────────────────────────────────────────────</w:t>
      </w:r>
    </w:p>
    <w:p/>
    <w:tbl>
      <w:tblPr>
        <w:tblW w:type="auto" w:w="0"/>
        <w:tblLook w:firstColumn="1" w:firstRow="1" w:lastColumn="0" w:lastRow="0" w:noHBand="0" w:noVBand="1" w:val="04A0"/>
      </w:tblPr>
      <w:tblGrid>
        <w:gridCol w:w="4536"/>
        <w:gridCol w:w="4536"/>
      </w:tblGrid>
      <w:tr>
        <w:tc>
          <w:tcPr>
            <w:tcW w:type="dxa" w:w="4536"/>
          </w:tcPr>
          <w:p>
            <w:r>
              <w:t>Intitulé :</w:t>
            </w:r>
          </w:p>
        </w:tc>
        <w:tc>
          <w:tcPr>
            <w:tcW w:type="dxa" w:w="4536"/>
          </w:tcPr>
          <w:p>
            <w:r>
              <w:t>Modèle Prédictif XGBoost pour la Bourse des Valeurs de Casablanca</w:t>
            </w:r>
          </w:p>
        </w:tc>
      </w:tr>
      <w:tr>
        <w:tc>
          <w:tcPr>
            <w:tcW w:type="dxa" w:w="4536"/>
          </w:tcPr>
          <w:p>
            <w:r>
              <w:t>Module :</w:t>
            </w:r>
          </w:p>
        </w:tc>
        <w:tc>
          <w:tcPr>
            <w:tcW w:type="dxa" w:w="4536"/>
          </w:tcPr>
          <w:p>
            <w:r>
              <w:t>Intelligence Artificielle</w:t>
            </w:r>
          </w:p>
        </w:tc>
      </w:tr>
      <w:tr>
        <w:tc>
          <w:tcPr>
            <w:tcW w:type="dxa" w:w="4536"/>
          </w:tcPr>
          <w:p>
            <w:r>
              <w:t>Filière :</w:t>
            </w:r>
          </w:p>
        </w:tc>
        <w:tc>
          <w:tcPr>
            <w:tcW w:type="dxa" w:w="4536"/>
          </w:tcPr>
          <w:p>
            <w:r>
              <w:t>Comptabilité, Audit et Contrôle (CAC 2)</w:t>
            </w:r>
          </w:p>
        </w:tc>
      </w:tr>
      <w:tr>
        <w:tc>
          <w:tcPr>
            <w:tcW w:type="dxa" w:w="4536"/>
          </w:tcPr>
          <w:p>
            <w:r>
              <w:t>Réalisé par :</w:t>
            </w:r>
          </w:p>
        </w:tc>
        <w:tc>
          <w:tcPr>
            <w:tcW w:type="dxa" w:w="4536"/>
          </w:tcPr>
          <w:p>
            <w:r>
              <w:t>ILBOUDO WENDKOUNI ELISEE</w:t>
            </w:r>
          </w:p>
        </w:tc>
      </w:tr>
      <w:tr>
        <w:tc>
          <w:tcPr>
            <w:tcW w:type="dxa" w:w="4536"/>
          </w:tcPr>
          <w:p>
            <w:r>
              <w:t>Encadrant :</w:t>
            </w:r>
          </w:p>
        </w:tc>
        <w:tc>
          <w:tcPr>
            <w:tcW w:type="dxa" w:w="4536"/>
          </w:tcPr>
          <w:p>
            <w:r>
              <w:t>Pr. Larhlimi Abdelrahim</w:t>
            </w:r>
          </w:p>
        </w:tc>
      </w:tr>
      <w:tr>
        <w:tc>
          <w:tcPr>
            <w:tcW w:type="dxa" w:w="4536"/>
          </w:tcPr>
          <w:p>
            <w:r>
              <w:t>Période :</w:t>
            </w:r>
          </w:p>
        </w:tc>
        <w:tc>
          <w:tcPr>
            <w:tcW w:type="dxa" w:w="4536"/>
          </w:tcPr>
          <w:p>
            <w:r>
              <w:t>Semestre 8, Année Académique 2025–2026</w:t>
            </w:r>
          </w:p>
        </w:tc>
      </w:tr>
    </w:tbl>
    <w:p/>
    <w:p/>
    <w:p>
      <w:pPr>
        <w:jc w:val="center"/>
      </w:pPr>
      <w:r>
        <w:rPr>
          <w:b/>
          <w:sz w:val="22"/>
        </w:rPr>
        <w:t>Année Universitaire 2025–2026</w:t>
      </w:r>
    </w:p>
    <w:p>
      <w:r>
        <w:br w:type="page"/>
      </w:r>
    </w:p>
    <w:p>
      <w:pPr>
        <w:jc w:val="center"/>
      </w:pPr>
      <w:r>
        <w:rPr>
          <w:b/>
          <w:color w:val="006633"/>
          <w:sz w:val="28"/>
        </w:rPr>
        <w:t>SOMMAIRE</w:t>
      </w:r>
    </w:p>
    <w:p/>
    <w:p>
      <w:pPr/>
      <w:r>
        <w:rPr>
          <w:b/>
          <w:color w:val="004422"/>
        </w:rPr>
        <w:t>I.   INTRODUCTION</w:t>
      </w:r>
    </w:p>
    <w:p>
      <w:pPr/>
      <w:r>
        <w:t>I.1   Contexte et Problématique</w:t>
      </w:r>
    </w:p>
    <w:p>
      <w:pPr/>
      <w:r>
        <w:t>I.2   Objectifs du Projet</w:t>
      </w:r>
    </w:p>
    <w:p>
      <w:pPr/>
      <w:r>
        <w:t>I.3   Méthodologie Adoptée</w:t>
      </w:r>
    </w:p>
    <w:p/>
    <w:p>
      <w:pPr/>
      <w:r>
        <w:rPr>
          <w:b/>
          <w:color w:val="004422"/>
        </w:rPr>
        <w:t>II.   DÉVELOPPEMENT</w:t>
      </w:r>
    </w:p>
    <w:p>
      <w:pPr/>
      <w:r>
        <w:t>II.1   Présentation du Dataset et Architecture Générale</w:t>
      </w:r>
    </w:p>
    <w:p>
      <w:pPr/>
      <w:r>
        <w:t>II.2   Analyse Exploratoire et Prétraitement des Données</w:t>
      </w:r>
    </w:p>
    <w:p>
      <w:pPr/>
      <w:r>
        <w:t>II.3   Ingénierie des Caractéristiques (Feature Engineering)</w:t>
      </w:r>
    </w:p>
    <w:p>
      <w:pPr/>
      <w:r>
        <w:t>II.4   Architecture XGBoost et Stratégie de Validation</w:t>
      </w:r>
    </w:p>
    <w:p/>
    <w:p>
      <w:pPr/>
      <w:r>
        <w:t>III.   RÉSULTATS ET DISCUSSION</w:t>
      </w:r>
    </w:p>
    <w:p>
      <w:pPr/>
      <w:r>
        <w:t>III.1   Performances du Modèle par Horizon Temporel</w:t>
      </w:r>
    </w:p>
    <w:p>
      <w:pPr/>
      <w:r>
        <w:t>III.2   Interprétation et Analyse Critique</w:t>
      </w:r>
    </w:p>
    <w:p>
      <w:pPr/>
      <w:r>
        <w:t>III.3   Limitations et Biais Identifiés</w:t>
      </w:r>
    </w:p>
    <w:p/>
    <w:p>
      <w:pPr/>
      <w:r>
        <w:rPr>
          <w:b/>
          <w:color w:val="004422"/>
        </w:rPr>
        <w:t>IV.   CONCLUSION</w:t>
      </w:r>
    </w:p>
    <w:p>
      <w:pPr/>
      <w:r>
        <w:t>IV.1   Synthèse des Apports</w:t>
      </w:r>
    </w:p>
    <w:p>
      <w:pPr/>
      <w:r>
        <w:t>IV.2   Perspectives d'Amélioration et Pistes Futures</w:t>
      </w:r>
    </w:p>
    <w:p/>
    <w:p>
      <w:pPr/>
      <w:r>
        <w:rPr>
          <w:b/>
          <w:color w:val="004422"/>
          <w:sz w:val="24"/>
        </w:rPr>
        <w:t>BIBLIOGRAPHIE</w:t>
      </w:r>
    </w:p>
    <w:p>
      <w:pPr/>
      <w:r>
        <w:rPr>
          <w:b/>
          <w:color w:val="004422"/>
          <w:sz w:val="24"/>
        </w:rPr>
        <w:t>ANNEXES</w:t>
      </w:r>
    </w:p>
    <w:p>
      <w:r>
        <w:br w:type="page"/>
      </w:r>
    </w:p>
    <w:p>
      <w:r>
        <w:rPr>
          <w:b/>
          <w:color w:val="006633"/>
          <w:sz w:val="28"/>
        </w:rPr>
        <w:t>I. INTRODUCTION</w:t>
      </w:r>
    </w:p>
    <w:p>
      <w:r>
        <w:rPr>
          <w:b/>
          <w:color w:val="004422"/>
          <w:sz w:val="24"/>
        </w:rPr>
        <w:t>I.1  Contexte et Problématique</w:t>
      </w:r>
    </w:p>
    <w:p>
      <w:r>
        <w:t>La Bourse des Valeurs de Casablanca (BVC), fondée en 1929 et modernisée par la réforme structurelle de 1993, demeure l'une des plus anciennes places financières du continent africain. Depuis lors, elle s'est progressivement transformée en un marché réglementé, transparent et compétitif à l'échelle continentale. Cependant, comme tout marché émergent, elle présente des spécificités caractérisées par :</w:t>
      </w:r>
    </w:p>
    <w:p>
      <w:pPr>
        <w:pStyle w:val="ListBullet"/>
      </w:pPr>
      <w:r>
        <w:t>Une liquidité inégale selon les titres, avec une forte concentration de flux sur les 20 valeurs du MSI20 (Morocco Stock Index 20) ;</w:t>
      </w:r>
    </w:p>
    <w:p>
      <w:pPr>
        <w:pStyle w:val="ListBullet"/>
      </w:pPr>
      <w:r>
        <w:t>Des interruptions de cotation dues aux jours fériés islamiques variables et à la faible liquidité de certaines actions ;</w:t>
      </w:r>
    </w:p>
    <w:p>
      <w:pPr>
        <w:pStyle w:val="ListBullet"/>
      </w:pPr>
      <w:r>
        <w:t>Une forte sensibilité aux chocs macroéconomiques externes (flux de change, annonces des banques centrales, prix des matières premières) ;</w:t>
      </w:r>
    </w:p>
    <w:p>
      <w:pPr>
        <w:pStyle w:val="ListBullet"/>
      </w:pPr>
      <w:r>
        <w:t>L'absence d'accès aisé à des données de haute fréquence, contrastant avec les marchés développés.</w:t>
      </w:r>
    </w:p>
    <w:p>
      <w:r>
        <w:t>Dans ce contexte, la construction d'un modèle prédictif robuste capable d'anticiper les mouvements de prix des actions marocaines constitue un défi académique et méthodologique majeur. L'hypothèse sous-jacente est que les données historiques OHLCV (Open, High, Low, Close, Volume), complétées par des indicateurs techniques et temporels appropriés, contiennent suffisamment d'informations pour permettre une prédiction de la direction des prix à des horizons de 1 à 15 jours.</w:t>
      </w:r>
    </w:p>
    <w:p>
      <w:r>
        <w:rPr>
          <w:b/>
          <w:color w:val="004422"/>
          <w:sz w:val="24"/>
        </w:rPr>
        <w:t>I.2  Objectifs du Projet</w:t>
      </w:r>
    </w:p>
    <w:p>
      <w:r>
        <w:t>Ce projet poursuit quatre objectifs principaux :</w:t>
      </w:r>
    </w:p>
    <w:p>
      <w:pPr>
        <w:pStyle w:val="ListNumber"/>
      </w:pPr>
      <w:r>
        <w:t>Concevoir une architecture de modélisation machine learning capable de prédire les directions de variation des prix d'actions marocaines (hausse/baisse) à plusieurs horizons temporels (1, 3, 5, 10, 15 jours) ;</w:t>
      </w:r>
    </w:p>
    <w:p>
      <w:pPr>
        <w:pStyle w:val="ListNumber"/>
      </w:pPr>
      <w:r>
        <w:t>Évaluer la stabilité et la généralisabilité du modèle en respectant l'ordre temporel des données (validation temporelle) et en détectant les possibles fuites d'information (data leakage) ;</w:t>
      </w:r>
    </w:p>
    <w:p>
      <w:pPr>
        <w:pStyle w:val="ListNumber"/>
      </w:pPr>
      <w:r>
        <w:t>Identifier les sources principales de non-stationnarité et de risque de surapprentissage propres à un marché émergent faiblement efficace ;</w:t>
      </w:r>
    </w:p>
    <w:p>
      <w:pPr>
        <w:pStyle w:val="ListNumber"/>
      </w:pPr>
      <w:r>
        <w:t>Proposer une taxonomie des améliorations futures, intégrant données alternatives (sentiment social, macroéconomiques) et architectures d'ensemble (XGBoost + LSTM, détection de régimes).</w:t>
      </w:r>
    </w:p>
    <w:p>
      <w:r>
        <w:rPr>
          <w:b/>
          <w:color w:val="004422"/>
          <w:sz w:val="24"/>
        </w:rPr>
        <w:t>I.3  Méthodologie Adoptée</w:t>
      </w:r>
    </w:p>
    <w:p>
      <w:r>
        <w:t>La démarche retenue s'inscrit dans un paradigme empiriste et itératif :</w:t>
      </w:r>
    </w:p>
    <w:p>
      <w:pPr>
        <w:pStyle w:val="ListBullet"/>
      </w:pPr>
      <w:r>
        <w:t>Collecte et exploration des données OHLCV historiques du fichier `stocks.csv` portant sur plusieurs années de cotations de la BVC ;</w:t>
      </w:r>
    </w:p>
    <w:p>
      <w:pPr>
        <w:pStyle w:val="ListBullet"/>
      </w:pPr>
      <w:r>
        <w:t>Diagnostic de qualité et imputation des lacunes (jours fériés, valeurs manquantes) ;</w:t>
      </w:r>
    </w:p>
    <w:p>
      <w:pPr>
        <w:pStyle w:val="ListBullet"/>
      </w:pPr>
      <w:r>
        <w:t>Conception d'indicateurs techniques (RSI, MACD, Bandes de Bollinger) et de caractéristiques temporelles pour enrichir le signal de base ;</w:t>
      </w:r>
    </w:p>
    <w:p>
      <w:pPr>
        <w:pStyle w:val="ListBullet"/>
      </w:pPr>
      <w:r>
        <w:t>Entraînement et optimisation d'un modèle XGBoost (Extreme Gradient Boosting) ;</w:t>
      </w:r>
    </w:p>
    <w:p>
      <w:pPr>
        <w:pStyle w:val="ListBullet"/>
      </w:pPr>
      <w:r>
        <w:t>Validation temporelle avec pondération croissante des observations récentes via un coefficient λ ;</w:t>
      </w:r>
    </w:p>
    <w:p>
      <w:pPr>
        <w:pStyle w:val="ListBullet"/>
      </w:pPr>
      <w:r>
        <w:t>Évaluation des performances (précision, rappel, courbes ROC) et analyse de robustesse (stabilité inter-horizons).</w:t>
      </w:r>
    </w:p>
    <w:p>
      <w:r>
        <w:br w:type="page"/>
      </w:r>
    </w:p>
    <w:p>
      <w:r>
        <w:rPr>
          <w:b/>
          <w:color w:val="006633"/>
          <w:sz w:val="28"/>
        </w:rPr>
        <w:t>II. DÉVELOPPEMENT</w:t>
      </w:r>
    </w:p>
    <w:p>
      <w:r>
        <w:rPr>
          <w:b/>
          <w:color w:val="004422"/>
          <w:sz w:val="24"/>
        </w:rPr>
        <w:t>II.1  Présentation du Dataset et Architecture Générale</w:t>
      </w:r>
    </w:p>
    <w:p>
      <w:r>
        <w:t>Le fichier `stocks.csv` constitue la base empirique exclusive de ce projet. Il s'agit d'un dataset de données boursières historiques au format OHLCV standard, comprenant les cinq dimensions fondamentales de toute cotation financière :</w:t>
      </w:r>
    </w:p>
    <w:tbl>
      <w:tblPr>
        <w:tblStyle w:val="LightGrid-Accent1"/>
        <w:tblW w:type="auto" w:w="0"/>
        <w:tblLook w:firstColumn="1" w:firstRow="1" w:lastColumn="0" w:lastRow="0" w:noHBand="0" w:noVBand="1" w:val="04A0"/>
      </w:tblPr>
      <w:tblGrid>
        <w:gridCol w:w="3024"/>
        <w:gridCol w:w="3024"/>
        <w:gridCol w:w="3024"/>
      </w:tblGrid>
      <w:tr>
        <w:tc>
          <w:tcPr>
            <w:tcW w:type="dxa" w:w="3024"/>
          </w:tcPr>
          <w:p>
            <w:r>
              <w:t>Colonne</w:t>
            </w:r>
          </w:p>
        </w:tc>
        <w:tc>
          <w:tcPr>
            <w:tcW w:type="dxa" w:w="3024"/>
          </w:tcPr>
          <w:p>
            <w:r>
              <w:t>Signification</w:t>
            </w:r>
          </w:p>
        </w:tc>
        <w:tc>
          <w:tcPr>
            <w:tcW w:type="dxa" w:w="3024"/>
          </w:tcPr>
          <w:p>
            <w:r>
              <w:t>Description</w:t>
            </w:r>
          </w:p>
        </w:tc>
      </w:tr>
      <w:tr>
        <w:tc>
          <w:tcPr>
            <w:tcW w:type="dxa" w:w="3024"/>
          </w:tcPr>
          <w:p>
            <w:r>
              <w:t>Open</w:t>
            </w:r>
          </w:p>
        </w:tc>
        <w:tc>
          <w:tcPr>
            <w:tcW w:type="dxa" w:w="3024"/>
          </w:tcPr>
          <w:p>
            <w:r>
              <w:t>Prix d'Ouverture</w:t>
            </w:r>
          </w:p>
        </w:tc>
        <w:tc>
          <w:tcPr>
            <w:tcW w:type="dxa" w:w="3024"/>
          </w:tcPr>
          <w:p>
            <w:r>
              <w:t>Premier prix de transaction de la séance</w:t>
            </w:r>
          </w:p>
        </w:tc>
      </w:tr>
      <w:tr>
        <w:tc>
          <w:tcPr>
            <w:tcW w:type="dxa" w:w="3024"/>
          </w:tcPr>
          <w:p>
            <w:r>
              <w:t>High</w:t>
            </w:r>
          </w:p>
        </w:tc>
        <w:tc>
          <w:tcPr>
            <w:tcW w:type="dxa" w:w="3024"/>
          </w:tcPr>
          <w:p>
            <w:r>
              <w:t>Plus Haut</w:t>
            </w:r>
          </w:p>
        </w:tc>
        <w:tc>
          <w:tcPr>
            <w:tcW w:type="dxa" w:w="3024"/>
          </w:tcPr>
          <w:p>
            <w:r>
              <w:t>Prix maximum atteint durant la séance</w:t>
            </w:r>
          </w:p>
        </w:tc>
      </w:tr>
      <w:tr>
        <w:tc>
          <w:tcPr>
            <w:tcW w:type="dxa" w:w="3024"/>
          </w:tcPr>
          <w:p>
            <w:r>
              <w:t>Low</w:t>
            </w:r>
          </w:p>
        </w:tc>
        <w:tc>
          <w:tcPr>
            <w:tcW w:type="dxa" w:w="3024"/>
          </w:tcPr>
          <w:p>
            <w:r>
              <w:t>Plus Bas</w:t>
            </w:r>
          </w:p>
        </w:tc>
        <w:tc>
          <w:tcPr>
            <w:tcW w:type="dxa" w:w="3024"/>
          </w:tcPr>
          <w:p>
            <w:r>
              <w:t>Prix minimum enregistré durant la séance</w:t>
            </w:r>
          </w:p>
        </w:tc>
      </w:tr>
      <w:tr>
        <w:tc>
          <w:tcPr>
            <w:tcW w:type="dxa" w:w="3024"/>
          </w:tcPr>
          <w:p>
            <w:r>
              <w:t>Close</w:t>
            </w:r>
          </w:p>
        </w:tc>
        <w:tc>
          <w:tcPr>
            <w:tcW w:type="dxa" w:w="3024"/>
          </w:tcPr>
          <w:p>
            <w:r>
              <w:t>Prix de Clôture</w:t>
            </w:r>
          </w:p>
        </w:tc>
        <w:tc>
          <w:tcPr>
            <w:tcW w:type="dxa" w:w="3024"/>
          </w:tcPr>
          <w:p>
            <w:r>
              <w:t>Dernier prix de transaction — variable cible principale</w:t>
            </w:r>
          </w:p>
        </w:tc>
      </w:tr>
      <w:tr>
        <w:tc>
          <w:tcPr>
            <w:tcW w:type="dxa" w:w="3024"/>
          </w:tcPr>
          <w:p>
            <w:r>
              <w:t>Volume</w:t>
            </w:r>
          </w:p>
        </w:tc>
        <w:tc>
          <w:tcPr>
            <w:tcW w:type="dxa" w:w="3024"/>
          </w:tcPr>
          <w:p>
            <w:r>
              <w:t>Volume Échangé</w:t>
            </w:r>
          </w:p>
        </w:tc>
        <w:tc>
          <w:tcPr>
            <w:tcW w:type="dxa" w:w="3024"/>
          </w:tcPr>
          <w:p>
            <w:r>
              <w:t>Nombre total de titres échangés en séance</w:t>
            </w:r>
          </w:p>
        </w:tc>
      </w:tr>
      <w:tr>
        <w:tc>
          <w:tcPr>
            <w:tcW w:type="dxa" w:w="3024"/>
          </w:tcPr>
          <w:p>
            <w:r>
              <w:t>Date</w:t>
            </w:r>
          </w:p>
        </w:tc>
        <w:tc>
          <w:tcPr>
            <w:tcW w:type="dxa" w:w="3024"/>
          </w:tcPr>
          <w:p>
            <w:r>
              <w:t>Horodatage</w:t>
            </w:r>
          </w:p>
        </w:tc>
        <w:tc>
          <w:tcPr>
            <w:tcW w:type="dxa" w:w="3024"/>
          </w:tcPr>
          <w:p>
            <w:r>
              <w:t>Date de la séance de cotation (format YYYY-MM-DD)</w:t>
            </w:r>
          </w:p>
        </w:tc>
      </w:tr>
      <w:tr>
        <w:tc>
          <w:tcPr>
            <w:tcW w:type="dxa" w:w="3024"/>
          </w:tcPr>
          <w:p>
            <w:r>
              <w:t>Ticker</w:t>
            </w:r>
          </w:p>
        </w:tc>
        <w:tc>
          <w:tcPr>
            <w:tcW w:type="dxa" w:w="3024"/>
          </w:tcPr>
          <w:p>
            <w:r>
              <w:t>Identifiant</w:t>
            </w:r>
          </w:p>
        </w:tc>
        <w:tc>
          <w:tcPr>
            <w:tcW w:type="dxa" w:w="3024"/>
          </w:tcPr>
          <w:p>
            <w:r>
              <w:t>Code mnémonique de l'action</w:t>
            </w:r>
          </w:p>
        </w:tc>
      </w:tr>
    </w:tbl>
    <w:p>
      <w:r>
        <w:t>Le prix de clôture (Close) est systématiquement utilisé comme variable cible pour la prédiction, tandis que les autres colonnes OHLCV servent de régresseurs primaires. Cette architecture de base est complétée par l'ingénierie de nouvelles caractéristiques décrite à la section II.3.</w:t>
      </w:r>
    </w:p>
    <w:p>
      <w:r>
        <w:rPr>
          <w:b/>
          <w:color w:val="004422"/>
          <w:sz w:val="24"/>
        </w:rPr>
        <w:t>II.2  Analyse Exploratoire et Prétraitement des Données</w:t>
      </w:r>
    </w:p>
    <w:p>
      <w:r>
        <w:t>Avant toute modélisation, une phase de diagnostic de la qualité des données est conduite. La BVC présente des spécificités :</w:t>
      </w:r>
    </w:p>
    <w:p>
      <w:pPr>
        <w:pStyle w:val="ListBullet"/>
      </w:pPr>
      <w:r>
        <w:t>Séances sans cotation : Les actions peu liquides peuvent ne pas coter chaque jour, générant des lacunes temporelles qui, si non traitées, biaisent les indicateurs roulants (moyennes mobiles, volatilité). Une stratégie de forward-fill ou d'interpolation linéaire est appliquée ;</w:t>
      </w:r>
    </w:p>
    <w:p>
      <w:pPr>
        <w:pStyle w:val="ListBullet"/>
      </w:pPr>
      <w:r>
        <w:t>Jours fériés islamiques variables : Le calendrier boursier du Maroc intègre les jours fériés religieux. Un marqueur temporel (jour de la semaine, jour fériés) est créé ;</w:t>
      </w:r>
    </w:p>
    <w:p>
      <w:pPr>
        <w:pStyle w:val="ListBullet"/>
      </w:pPr>
      <w:r>
        <w:t>Valeurs aberrantes (outliers) : Les mouvements de prix extrêmes sont identifiés et traités via clipping ;</w:t>
      </w:r>
    </w:p>
    <w:p/>
    <w:p>
      <w:r>
        <w:rPr>
          <w:b/>
          <w:color w:val="004422"/>
          <w:sz w:val="20"/>
        </w:rPr>
        <w:t>Illustration — Code de Nettoyage et Imputation des Données :</w:t>
      </w:r>
    </w:p>
    <w:p>
      <w:pPr/>
    </w:p>
    <w:p>
      <w:pPr>
        <w:shd w:fill="E8E8E8"/>
      </w:pPr>
      <w:r>
        <w:rPr>
          <w:rFonts w:ascii="Courier New" w:hAnsi="Courier New"/>
          <w:color w:val="1E1E1E"/>
          <w:sz w:val="18"/>
        </w:rPr>
        <w:t># ==============================================================================</w:t>
      </w:r>
    </w:p>
    <w:p>
      <w:pPr>
        <w:shd w:fill="E8E8E8"/>
      </w:pPr>
      <w:r>
        <w:rPr>
          <w:rFonts w:ascii="Courier New" w:hAnsi="Courier New"/>
          <w:color w:val="1E1E1E"/>
          <w:sz w:val="18"/>
        </w:rPr>
        <w:t># 🎯 PRÉPARATION DU JEU DE DONNÉES POUR L'ENTRAÎNEMENT</w:t>
      </w:r>
    </w:p>
    <w:p>
      <w:pPr>
        <w:shd w:fill="E8E8E8"/>
      </w:pPr>
      <w:r>
        <w:rPr>
          <w:rFonts w:ascii="Courier New" w:hAnsi="Courier New"/>
          <w:color w:val="1E1E1E"/>
          <w:sz w:val="18"/>
        </w:rPr>
        <w:t># ==============================================================================</w:t>
      </w:r>
    </w:p>
    <w:p>
      <w:pPr>
        <w:shd w:fill="E8E8E8"/>
      </w:pPr>
    </w:p>
    <w:p>
      <w:pPr>
        <w:shd w:fill="E8E8E8"/>
      </w:pPr>
      <w:r>
        <w:rPr>
          <w:rFonts w:ascii="Courier New" w:hAnsi="Courier New"/>
          <w:color w:val="1E1E1E"/>
          <w:sz w:val="18"/>
        </w:rPr>
        <w:t>TARGET_HORIZON = 1  # Prédiction à J+1 (horizon principal)</w:t>
      </w:r>
    </w:p>
    <w:p>
      <w:pPr>
        <w:shd w:fill="E8E8E8"/>
      </w:pPr>
    </w:p>
    <w:p>
      <w:pPr>
        <w:shd w:fill="E8E8E8"/>
      </w:pPr>
      <w:r>
        <w:rPr>
          <w:rFonts w:ascii="Courier New" w:hAnsi="Courier New"/>
          <w:color w:val="1E1E1E"/>
          <w:sz w:val="18"/>
        </w:rPr>
        <w:t># ── Définition de la cible (target) ──</w:t>
      </w:r>
    </w:p>
    <w:p>
      <w:pPr>
        <w:shd w:fill="E8E8E8"/>
      </w:pPr>
      <w:r>
        <w:rPr>
          <w:rFonts w:ascii="Courier New" w:hAnsi="Courier New"/>
          <w:color w:val="1E1E1E"/>
          <w:sz w:val="18"/>
        </w:rPr>
        <w:t># On prédit le prix de clôture du lendemain</w:t>
      </w:r>
    </w:p>
    <w:p>
      <w:pPr>
        <w:shd w:fill="E8E8E8"/>
      </w:pPr>
      <w:r>
        <w:rPr>
          <w:rFonts w:ascii="Courier New" w:hAnsi="Courier New"/>
          <w:color w:val="1E1E1E"/>
          <w:sz w:val="18"/>
        </w:rPr>
        <w:t>df_feat['target'] = df_feat['close'].shift(-TARGET_HORIZON)</w:t>
      </w:r>
    </w:p>
    <w:p>
      <w:pPr>
        <w:shd w:fill="E8E8E8"/>
      </w:pPr>
    </w:p>
    <w:p>
      <w:pPr>
        <w:shd w:fill="E8E8E8"/>
      </w:pPr>
      <w:r>
        <w:rPr>
          <w:rFonts w:ascii="Courier New" w:hAnsi="Courier New"/>
          <w:color w:val="1E1E1E"/>
          <w:sz w:val="18"/>
        </w:rPr>
        <w:t># ── Sélection des features (exclusion des colonnes non-informatives) ──</w:t>
      </w:r>
    </w:p>
    <w:p>
      <w:pPr>
        <w:shd w:fill="E8E8E8"/>
      </w:pPr>
      <w:r>
        <w:rPr>
          <w:rFonts w:ascii="Courier New" w:hAnsi="Courier New"/>
          <w:color w:val="1E1E1E"/>
          <w:sz w:val="18"/>
        </w:rPr>
        <w:t>EXCLUDE_COLS = ['date', 'target', 'close', 'open', 'high', 'low', 'volume',</w:t>
      </w:r>
    </w:p>
    <w:p>
      <w:pPr>
        <w:shd w:fill="E8E8E8"/>
      </w:pPr>
      <w:r>
        <w:rPr>
          <w:rFonts w:ascii="Courier New" w:hAnsi="Courier New"/>
          <w:color w:val="1E1E1E"/>
          <w:sz w:val="18"/>
        </w:rPr>
        <w:t xml:space="preserve">                'bb_upper', 'bb_lower', 'ticker'] if 'ticker' in df_feat.columns else \</w:t>
      </w:r>
    </w:p>
    <w:p>
      <w:pPr>
        <w:shd w:fill="E8E8E8"/>
      </w:pPr>
      <w:r>
        <w:rPr>
          <w:rFonts w:ascii="Courier New" w:hAnsi="Courier New"/>
          <w:color w:val="1E1E1E"/>
          <w:sz w:val="18"/>
        </w:rPr>
        <w:t xml:space="preserve">               ['date', 'target', 'close', 'open', 'high', 'low', 'volume',</w:t>
      </w:r>
    </w:p>
    <w:p>
      <w:pPr>
        <w:shd w:fill="E8E8E8"/>
      </w:pPr>
      <w:r>
        <w:rPr>
          <w:rFonts w:ascii="Courier New" w:hAnsi="Courier New"/>
          <w:color w:val="1E1E1E"/>
          <w:sz w:val="18"/>
        </w:rPr>
        <w:t xml:space="preserve">                'bb_upper', 'bb_lower']</w:t>
      </w:r>
    </w:p>
    <w:p>
      <w:pPr>
        <w:shd w:fill="E8E8E8"/>
      </w:pPr>
    </w:p>
    <w:p>
      <w:pPr>
        <w:shd w:fill="E8E8E8"/>
      </w:pPr>
      <w:r>
        <w:rPr>
          <w:rFonts w:ascii="Courier New" w:hAnsi="Courier New"/>
          <w:color w:val="1E1E1E"/>
          <w:sz w:val="18"/>
        </w:rPr>
        <w:t>FEATURE_COLS = [c for c in df_feat.columns if c not in EXCLUDE_COLS</w:t>
      </w:r>
    </w:p>
    <w:p>
      <w:pPr>
        <w:shd w:fill="E8E8E8"/>
      </w:pPr>
      <w:r>
        <w:rPr>
          <w:rFonts w:ascii="Courier New" w:hAnsi="Courier New"/>
          <w:color w:val="1E1E1E"/>
          <w:sz w:val="18"/>
        </w:rPr>
        <w:t xml:space="preserve">                and df_feat[c].dtype in [np.float64, np.int64, float, int]]</w:t>
      </w:r>
    </w:p>
    <w:p>
      <w:pPr>
        <w:shd w:fill="E8E8E8"/>
      </w:pPr>
    </w:p>
    <w:p>
      <w:pPr>
        <w:shd w:fill="E8E8E8"/>
      </w:pPr>
      <w:r>
        <w:rPr>
          <w:rFonts w:ascii="Courier New" w:hAnsi="Courier New"/>
          <w:color w:val="1E1E1E"/>
          <w:sz w:val="18"/>
        </w:rPr>
        <w:t># Suppression des lignes sans target valide</w:t>
      </w:r>
    </w:p>
    <w:p/>
    <w:p>
      <w:r>
        <w:rPr>
          <w:b/>
          <w:color w:val="004422"/>
          <w:sz w:val="24"/>
        </w:rPr>
        <w:t>II.3  Ingénierie des Caractéristiques (Feature Engineering)</w:t>
      </w:r>
    </w:p>
    <w:p>
      <w:r>
        <w:t>L'ingénierie des caractéristiques enrichit le signal brut OHLCV avec des indicateurs techniques et temporels. Quatre catégories de features sont construites :</w:t>
      </w:r>
    </w:p>
    <w:p>
      <w:pPr>
        <w:pStyle w:val="ListBullet"/>
      </w:pPr>
      <w:r>
        <w:t>Indicateurs de momentum : RSI (Relative Strength Index), MACD (Moving Average Convergence Divergence), et taux de changement (ROC) capturent la dynamique de court terme du prix ;</w:t>
      </w:r>
    </w:p>
    <w:p>
      <w:pPr>
        <w:pStyle w:val="ListBullet"/>
      </w:pPr>
      <w:r>
        <w:t>Indicateurs de volatilité : Écart-type roulant, bandes de Bollinger, et ratio Parkinson mesurent le niveau d'incertitude du marché ;</w:t>
      </w:r>
    </w:p>
    <w:p>
      <w:pPr>
        <w:pStyle w:val="ListBullet"/>
      </w:pPr>
      <w:r>
        <w:t>Caractéristiques temporelles : Jour de la semaine (effet jour), mois (saisonnalité), et jour de cotation cumulé capturent les effets calendaires ;</w:t>
      </w:r>
    </w:p>
    <w:p>
      <w:pPr>
        <w:pStyle w:val="ListBullet"/>
      </w:pPr>
      <w:r>
        <w:t>Features structurelles : Volume normalisé, ratio High/Low, écarts bid-ask implicites, et lags du prix contribuent à la discrimination de phase.</w:t>
      </w:r>
    </w:p>
    <w:p/>
    <w:p>
      <w:r>
        <w:rPr>
          <w:b/>
          <w:color w:val="004422"/>
          <w:sz w:val="20"/>
        </w:rPr>
        <w:t>Illustration — Code d'Ingénierie des Indicateurs Techniques :</w:t>
      </w:r>
    </w:p>
    <w:p>
      <w:pPr/>
    </w:p>
    <w:p>
      <w:pPr>
        <w:shd w:fill="E8E8E8"/>
      </w:pPr>
      <w:r>
        <w:rPr>
          <w:rFonts w:ascii="Courier New" w:hAnsi="Courier New"/>
          <w:color w:val="1E1E1E"/>
          <w:sz w:val="18"/>
        </w:rPr>
        <w:t># ==============================================================================</w:t>
      </w:r>
    </w:p>
    <w:p>
      <w:pPr>
        <w:shd w:fill="E8E8E8"/>
      </w:pPr>
      <w:r>
        <w:rPr>
          <w:rFonts w:ascii="Courier New" w:hAnsi="Courier New"/>
          <w:color w:val="1E1E1E"/>
          <w:sz w:val="18"/>
        </w:rPr>
        <w:t># 📋 RÉSUMÉ FINAL &amp; EXPORT</w:t>
      </w:r>
    </w:p>
    <w:p>
      <w:pPr>
        <w:shd w:fill="E8E8E8"/>
      </w:pPr>
      <w:r>
        <w:rPr>
          <w:rFonts w:ascii="Courier New" w:hAnsi="Courier New"/>
          <w:color w:val="1E1E1E"/>
          <w:sz w:val="18"/>
        </w:rPr>
        <w:t># ==============================================================================</w:t>
      </w:r>
    </w:p>
    <w:p>
      <w:pPr>
        <w:shd w:fill="E8E8E8"/>
      </w:pPr>
    </w:p>
    <w:p>
      <w:pPr>
        <w:shd w:fill="E8E8E8"/>
      </w:pPr>
      <w:r>
        <w:rPr>
          <w:rFonts w:ascii="Courier New" w:hAnsi="Courier New"/>
          <w:color w:val="1E1E1E"/>
          <w:sz w:val="18"/>
        </w:rPr>
        <w:t>print('=' * 65)</w:t>
      </w:r>
    </w:p>
    <w:p>
      <w:pPr>
        <w:shd w:fill="E8E8E8"/>
      </w:pPr>
      <w:r>
        <w:rPr>
          <w:rFonts w:ascii="Courier New" w:hAnsi="Courier New"/>
          <w:color w:val="1E1E1E"/>
          <w:sz w:val="18"/>
        </w:rPr>
        <w:t>print('🎯 RÉSUMÉ EXÉCUTIF DU MODÈLE')</w:t>
      </w:r>
    </w:p>
    <w:p>
      <w:pPr>
        <w:shd w:fill="E8E8E8"/>
      </w:pPr>
      <w:r>
        <w:rPr>
          <w:rFonts w:ascii="Courier New" w:hAnsi="Courier New"/>
          <w:color w:val="1E1E1E"/>
          <w:sz w:val="18"/>
        </w:rPr>
        <w:t>print('=' * 65)</w:t>
      </w:r>
    </w:p>
    <w:p>
      <w:pPr>
        <w:shd w:fill="E8E8E8"/>
      </w:pPr>
      <w:r>
        <w:rPr>
          <w:rFonts w:ascii="Courier New" w:hAnsi="Courier New"/>
          <w:color w:val="1E1E1E"/>
          <w:sz w:val="18"/>
        </w:rPr>
        <w:t>print(f'\n  📌 Ticker analysé       : {SELECTED_TICKER}')</w:t>
      </w:r>
    </w:p>
    <w:p>
      <w:pPr>
        <w:shd w:fill="E8E8E8"/>
      </w:pPr>
      <w:r>
        <w:rPr>
          <w:rFonts w:ascii="Courier New" w:hAnsi="Courier New"/>
          <w:color w:val="1E1E1E"/>
          <w:sz w:val="18"/>
        </w:rPr>
        <w:t>print(f'  📅 Dernière date réelle : {df_clean["date"].iloc[-1].strftime("%Y-%m-%d")}')</w:t>
      </w:r>
    </w:p>
    <w:p>
      <w:pPr>
        <w:shd w:fill="E8E8E8"/>
      </w:pPr>
      <w:r>
        <w:rPr>
          <w:rFonts w:ascii="Courier New" w:hAnsi="Courier New"/>
          <w:color w:val="1E1E1E"/>
          <w:sz w:val="18"/>
        </w:rPr>
        <w:t>print(f'  💰 Dernier prix connu   : ${df_clean["close"].iloc[-1]:.4f}')</w:t>
      </w:r>
    </w:p>
    <w:p>
      <w:pPr>
        <w:shd w:fill="E8E8E8"/>
      </w:pPr>
      <w:r>
        <w:rPr>
          <w:rFonts w:ascii="Courier New" w:hAnsi="Courier New"/>
          <w:color w:val="1E1E1E"/>
          <w:sz w:val="18"/>
        </w:rPr>
        <w:t>print(f'  🔮 Prix prévu J+1        : ${forecast_df["predicted"].iloc[0]:.4f}')</w:t>
      </w:r>
    </w:p>
    <w:p>
      <w:pPr>
        <w:shd w:fill="E8E8E8"/>
      </w:pPr>
      <w:r>
        <w:rPr>
          <w:rFonts w:ascii="Courier New" w:hAnsi="Courier New"/>
          <w:color w:val="1E1E1E"/>
          <w:sz w:val="18"/>
        </w:rPr>
        <w:t>print(f'  🔮 Prix prévu J+5        : ${forecast_df["predicted"].iloc[4]:.4f}')</w:t>
      </w:r>
    </w:p>
    <w:p>
      <w:pPr>
        <w:shd w:fill="E8E8E8"/>
      </w:pPr>
      <w:r>
        <w:rPr>
          <w:rFonts w:ascii="Courier New" w:hAnsi="Courier New"/>
          <w:color w:val="1E1E1E"/>
          <w:sz w:val="18"/>
        </w:rPr>
        <w:t>print(f'  🔮 Prix prévu J+15       : ${forecast_df["predicted"].iloc[-1]:.4f}')</w:t>
      </w:r>
    </w:p>
    <w:p>
      <w:pPr>
        <w:shd w:fill="E8E8E8"/>
      </w:pPr>
    </w:p>
    <w:p>
      <w:pPr>
        <w:shd w:fill="E8E8E8"/>
      </w:pPr>
      <w:r>
        <w:rPr>
          <w:rFonts w:ascii="Courier New" w:hAnsi="Courier New"/>
          <w:color w:val="1E1E1E"/>
          <w:sz w:val="18"/>
        </w:rPr>
        <w:t>var_j15 = (forecast_df['predicted'].iloc[-1] - df_clean['close'].iloc[-1]) / df_clean['close'].iloc[-1] * 100</w:t>
      </w:r>
    </w:p>
    <w:p>
      <w:pPr>
        <w:shd w:fill="E8E8E8"/>
      </w:pPr>
      <w:r>
        <w:rPr>
          <w:rFonts w:ascii="Courier New" w:hAnsi="Courier New"/>
          <w:color w:val="1E1E1E"/>
          <w:sz w:val="18"/>
        </w:rPr>
        <w:t>trend   = '🟢 Haussière' if var_j15 &gt; 0 else '🔴 Baissière'</w:t>
      </w:r>
    </w:p>
    <w:p>
      <w:pPr>
        <w:shd w:fill="E8E8E8"/>
      </w:pPr>
      <w:r>
        <w:rPr>
          <w:rFonts w:ascii="Courier New" w:hAnsi="Courier New"/>
          <w:color w:val="1E1E1E"/>
          <w:sz w:val="18"/>
        </w:rPr>
        <w:t>print(f'\n  📊 Variation estimée J+15: {var_j15:+.2f}%')</w:t>
      </w:r>
    </w:p>
    <w:p>
      <w:pPr>
        <w:shd w:fill="E8E8E8"/>
      </w:pPr>
      <w:r>
        <w:rPr>
          <w:rFonts w:ascii="Courier New" w:hAnsi="Courier New"/>
          <w:color w:val="1E1E1E"/>
          <w:sz w:val="18"/>
        </w:rPr>
        <w:t>print(f'  📈 Tendance prévue        : {trend}')</w:t>
      </w:r>
    </w:p>
    <w:p>
      <w:pPr>
        <w:shd w:fill="E8E8E8"/>
      </w:pPr>
    </w:p>
    <w:p>
      <w:pPr>
        <w:shd w:fill="E8E8E8"/>
      </w:pPr>
      <w:r>
        <w:rPr>
          <w:rFonts w:ascii="Courier New" w:hAnsi="Courier New"/>
          <w:color w:val="1E1E1E"/>
          <w:sz w:val="18"/>
        </w:rPr>
        <w:t>print(f'\n  📏 Performance du Modèle (set de test) :')</w:t>
      </w:r>
    </w:p>
    <w:p/>
    <w:p>
      <w:r>
        <w:drawing>
          <wp:inline xmlns:a="http://schemas.openxmlformats.org/drawingml/2006/main" xmlns:pic="http://schemas.openxmlformats.org/drawingml/2006/picture">
            <wp:extent cx="5029200" cy="3212485"/>
            <wp:docPr id="1" name="Picture 1"/>
            <wp:cNvGraphicFramePr>
              <a:graphicFrameLocks noChangeAspect="1"/>
            </wp:cNvGraphicFramePr>
            <a:graphic>
              <a:graphicData uri="http://schemas.openxmlformats.org/drawingml/2006/picture">
                <pic:pic>
                  <pic:nvPicPr>
                    <pic:cNvPr id="0" name="graph_00.png"/>
                    <pic:cNvPicPr/>
                  </pic:nvPicPr>
                  <pic:blipFill>
                    <a:blip r:embed="rId9"/>
                    <a:stretch>
                      <a:fillRect/>
                    </a:stretch>
                  </pic:blipFill>
                  <pic:spPr>
                    <a:xfrm>
                      <a:off x="0" y="0"/>
                      <a:ext cx="5029200" cy="3212485"/>
                    </a:xfrm>
                    <a:prstGeom prst="rect"/>
                  </pic:spPr>
                </pic:pic>
              </a:graphicData>
            </a:graphic>
          </wp:inline>
        </w:drawing>
      </w:r>
    </w:p>
    <w:p>
      <w:pPr>
        <w:jc w:val="center"/>
      </w:pPr>
      <w:r>
        <w:rPr>
          <w:i/>
          <w:color w:val="646464"/>
          <w:sz w:val="20"/>
        </w:rPr>
        <w:t>Figure 1 : Analyse exploratoire des données OHLCV — Distribution des prix et volumes de cotation par ticker</w:t>
      </w:r>
    </w:p>
    <w:p/>
    <w:p>
      <w:r>
        <w:rPr>
          <w:b/>
          <w:color w:val="004422"/>
          <w:sz w:val="24"/>
        </w:rPr>
        <w:t>II.4  Architecture XGBoost et Stratégie de Validation</w:t>
      </w:r>
    </w:p>
    <w:p>
      <w:r>
        <w:t>XGBoost est choisi pour sa robustesse aux non-stationnarités et sa capacité à capturer les interactions non-linéaires entre features. Plusieurs décisions architecturales sont critiques :</w:t>
      </w:r>
    </w:p>
    <w:p>
      <w:pPr>
        <w:pStyle w:val="ListBullet"/>
      </w:pPr>
      <w:r>
        <w:t>Prédiction multi-horizon : Un modèle unique est entraîné pour prédire cinq horizons (1, 3, 5, 10, 15 jours), chacun générant sa propre variable binaire de classification (hausse/baisse). Cela évite le surapprentissage ;</w:t>
      </w:r>
    </w:p>
    <w:p>
      <w:pPr>
        <w:pStyle w:val="ListBullet"/>
      </w:pPr>
      <w:r>
        <w:t>Validation temporelle (TimeSeriesSplit) : Contrairement à la validation croisée standard, l'ordre chronologique est préservé : le modèle est entraîné sur [t0 : t1], validé sur [t1 : t2], puis entraîné sur [t0 : t2], validé sur [t2 : t3], etc. Cela évite le data leakage ;</w:t>
      </w:r>
    </w:p>
    <w:p>
      <w:pPr>
        <w:pStyle w:val="ListBullet"/>
      </w:pPr>
      <w:r>
        <w:t>Pondération temporelle : Un coefficient λ (lambda) pondère exponentiellement les observations, donnant un poids croissant aux données récentes. Cette logique d'affinage capte le fait que la structure de volatilité d'un marché change continuellement ;</w:t>
      </w:r>
    </w:p>
    <w:p>
      <w:pPr>
        <w:pStyle w:val="ListBullet"/>
      </w:pPr>
      <w:r>
        <w:t>Hyperparamètres : La profondeur maximale des arbres, le taux d'apprentissage (learning rate), et le nombre d'itérations (n_estimators) sont optimisés via recherche aléatoire.</w:t>
      </w:r>
    </w:p>
    <w:p/>
    <w:p>
      <w:r>
        <w:rPr>
          <w:b/>
          <w:color w:val="004422"/>
          <w:sz w:val="20"/>
        </w:rPr>
        <w:t>Illustration — Code d'Entraînement du Modèle XGBoost :</w:t>
      </w:r>
    </w:p>
    <w:p>
      <w:pPr/>
    </w:p>
    <w:p>
      <w:pPr>
        <w:shd w:fill="E8E8E8"/>
      </w:pPr>
      <w:r>
        <w:rPr>
          <w:rFonts w:ascii="Courier New" w:hAnsi="Courier New"/>
          <w:color w:val="1E1E1E"/>
          <w:sz w:val="18"/>
        </w:rPr>
        <w:t># ==============================================================================</w:t>
      </w:r>
    </w:p>
    <w:p>
      <w:pPr>
        <w:shd w:fill="E8E8E8"/>
      </w:pPr>
      <w:r>
        <w:rPr>
          <w:rFonts w:ascii="Courier New" w:hAnsi="Courier New"/>
          <w:color w:val="1E1E1E"/>
          <w:sz w:val="18"/>
        </w:rPr>
        <w:t># 📈 GRAPHIQUE 1 : PRIX RÉELS VS PRÉDITS + PRÉVISIONS 15 JOURS</w:t>
      </w:r>
    </w:p>
    <w:p>
      <w:pPr>
        <w:shd w:fill="E8E8E8"/>
      </w:pPr>
      <w:r>
        <w:rPr>
          <w:rFonts w:ascii="Courier New" w:hAnsi="Courier New"/>
          <w:color w:val="1E1E1E"/>
          <w:sz w:val="18"/>
        </w:rPr>
        <w:t># ==============================================================================</w:t>
      </w:r>
    </w:p>
    <w:p>
      <w:pPr>
        <w:shd w:fill="E8E8E8"/>
      </w:pPr>
    </w:p>
    <w:p>
      <w:pPr>
        <w:shd w:fill="E8E8E8"/>
      </w:pPr>
      <w:r>
        <w:rPr>
          <w:rFonts w:ascii="Courier New" w:hAnsi="Courier New"/>
          <w:color w:val="1E1E1E"/>
          <w:sz w:val="18"/>
        </w:rPr>
        <w:t># Données réelles (derniers 60 jours pour plus de lisibilité)</w:t>
      </w:r>
    </w:p>
    <w:p>
      <w:pPr>
        <w:shd w:fill="E8E8E8"/>
      </w:pPr>
      <w:r>
        <w:rPr>
          <w:rFonts w:ascii="Courier New" w:hAnsi="Courier New"/>
          <w:color w:val="1E1E1E"/>
          <w:sz w:val="18"/>
        </w:rPr>
        <w:t>LOOKBACK_DAYS = 60</w:t>
      </w:r>
    </w:p>
    <w:p>
      <w:pPr>
        <w:shd w:fill="E8E8E8"/>
      </w:pPr>
      <w:r>
        <w:rPr>
          <w:rFonts w:ascii="Courier New" w:hAnsi="Courier New"/>
          <w:color w:val="1E1E1E"/>
          <w:sz w:val="18"/>
        </w:rPr>
        <w:t>historical    = df_clean.tail(LOOKBACK_DAYS).copy()</w:t>
      </w:r>
    </w:p>
    <w:p>
      <w:pPr>
        <w:shd w:fill="E8E8E8"/>
      </w:pPr>
      <w:r>
        <w:rPr>
          <w:rFonts w:ascii="Courier New" w:hAnsi="Courier New"/>
          <w:color w:val="1E1E1E"/>
          <w:sz w:val="18"/>
        </w:rPr>
        <w:t>hist_pred     = y_pred_test[-LOOKBACK_DAYS:] if len(y_pred_test) &gt;= LOOKBACK_DAYS else y_pred_test</w:t>
      </w:r>
    </w:p>
    <w:p>
      <w:pPr>
        <w:shd w:fill="E8E8E8"/>
      </w:pPr>
      <w:r>
        <w:rPr>
          <w:rFonts w:ascii="Courier New" w:hAnsi="Courier New"/>
          <w:color w:val="1E1E1E"/>
          <w:sz w:val="18"/>
        </w:rPr>
        <w:t>hist_dates_p  = pd.to_datetime(dates_test[-len(hist_pred):])</w:t>
      </w:r>
    </w:p>
    <w:p>
      <w:pPr>
        <w:shd w:fill="E8E8E8"/>
      </w:pPr>
    </w:p>
    <w:p>
      <w:pPr>
        <w:shd w:fill="E8E8E8"/>
      </w:pPr>
      <w:r>
        <w:rPr>
          <w:rFonts w:ascii="Courier New" w:hAnsi="Courier New"/>
          <w:color w:val="1E1E1E"/>
          <w:sz w:val="18"/>
        </w:rPr>
        <w:t>fig1 = go.Figure()</w:t>
      </w:r>
    </w:p>
    <w:p>
      <w:pPr>
        <w:shd w:fill="E8E8E8"/>
      </w:pPr>
    </w:p>
    <w:p>
      <w:pPr>
        <w:shd w:fill="E8E8E8"/>
      </w:pPr>
      <w:r>
        <w:rPr>
          <w:rFonts w:ascii="Courier New" w:hAnsi="Courier New"/>
          <w:color w:val="1E1E1E"/>
          <w:sz w:val="18"/>
        </w:rPr>
        <w:t># ── Ligne : Prix réels historiques ──</w:t>
      </w:r>
    </w:p>
    <w:p>
      <w:pPr>
        <w:shd w:fill="E8E8E8"/>
      </w:pPr>
      <w:r>
        <w:rPr>
          <w:rFonts w:ascii="Courier New" w:hAnsi="Courier New"/>
          <w:color w:val="1E1E1E"/>
          <w:sz w:val="18"/>
        </w:rPr>
        <w:t>fig1.add_trace(go.Scatter(</w:t>
      </w:r>
    </w:p>
    <w:p>
      <w:pPr>
        <w:shd w:fill="E8E8E8"/>
      </w:pPr>
      <w:r>
        <w:rPr>
          <w:rFonts w:ascii="Courier New" w:hAnsi="Courier New"/>
          <w:color w:val="1E1E1E"/>
          <w:sz w:val="18"/>
        </w:rPr>
        <w:t xml:space="preserve">    x=pd.to_datetime(historical['date']), y=historical['close'],</w:t>
      </w:r>
    </w:p>
    <w:p>
      <w:pPr>
        <w:shd w:fill="E8E8E8"/>
      </w:pPr>
      <w:r>
        <w:rPr>
          <w:rFonts w:ascii="Courier New" w:hAnsi="Courier New"/>
          <w:color w:val="1E1E1E"/>
          <w:sz w:val="18"/>
        </w:rPr>
        <w:t xml:space="preserve">    name='📊 Prix Réels', mode='lines',</w:t>
      </w:r>
    </w:p>
    <w:p>
      <w:pPr>
        <w:shd w:fill="E8E8E8"/>
      </w:pPr>
      <w:r>
        <w:rPr>
          <w:rFonts w:ascii="Courier New" w:hAnsi="Courier New"/>
          <w:color w:val="1E1E1E"/>
          <w:sz w:val="18"/>
        </w:rPr>
        <w:t xml:space="preserve">    line=dict(color='#00D4FF', width=2),</w:t>
      </w:r>
    </w:p>
    <w:p>
      <w:pPr>
        <w:shd w:fill="E8E8E8"/>
      </w:pPr>
      <w:r>
        <w:rPr>
          <w:rFonts w:ascii="Courier New" w:hAnsi="Courier New"/>
          <w:color w:val="1E1E1E"/>
          <w:sz w:val="18"/>
        </w:rPr>
        <w:t xml:space="preserve">    hovertemplate='Date: %{x|%Y-%m-%d}&lt;br&gt;Prix: $%{y:.2f}&lt;extra&gt;&lt;/extra&gt;'</w:t>
      </w:r>
    </w:p>
    <w:p>
      <w:pPr>
        <w:shd w:fill="E8E8E8"/>
      </w:pPr>
      <w:r>
        <w:rPr>
          <w:rFonts w:ascii="Courier New" w:hAnsi="Courier New"/>
          <w:color w:val="1E1E1E"/>
          <w:sz w:val="18"/>
        </w:rPr>
        <w:t>))</w:t>
      </w:r>
    </w:p>
    <w:p>
      <w:pPr>
        <w:shd w:fill="E8E8E8"/>
      </w:pPr>
    </w:p>
    <w:p/>
    <w:p>
      <w:r>
        <w:drawing>
          <wp:inline xmlns:a="http://schemas.openxmlformats.org/drawingml/2006/main" xmlns:pic="http://schemas.openxmlformats.org/drawingml/2006/picture">
            <wp:extent cx="5029200" cy="1474690"/>
            <wp:docPr id="2" name="Picture 2"/>
            <wp:cNvGraphicFramePr>
              <a:graphicFrameLocks noChangeAspect="1"/>
            </wp:cNvGraphicFramePr>
            <a:graphic>
              <a:graphicData uri="http://schemas.openxmlformats.org/drawingml/2006/picture">
                <pic:pic>
                  <pic:nvPicPr>
                    <pic:cNvPr id="0" name="graph_01.png"/>
                    <pic:cNvPicPr/>
                  </pic:nvPicPr>
                  <pic:blipFill>
                    <a:blip r:embed="rId10"/>
                    <a:stretch>
                      <a:fillRect/>
                    </a:stretch>
                  </pic:blipFill>
                  <pic:spPr>
                    <a:xfrm>
                      <a:off x="0" y="0"/>
                      <a:ext cx="5029200" cy="1474690"/>
                    </a:xfrm>
                    <a:prstGeom prst="rect"/>
                  </pic:spPr>
                </pic:pic>
              </a:graphicData>
            </a:graphic>
          </wp:inline>
        </w:drawing>
      </w:r>
    </w:p>
    <w:p>
      <w:pPr>
        <w:jc w:val="center"/>
      </w:pPr>
      <w:r>
        <w:rPr>
          <w:i/>
          <w:color w:val="646464"/>
          <w:sz w:val="20"/>
        </w:rPr>
        <w:t>Figure 2 : Évolution des indicateurs techniques (RSI, MACD, Bandes de Bollinger) pour un titre sélectionné</w:t>
      </w:r>
    </w:p>
    <w:p/>
    <w:p>
      <w:r>
        <w:br w:type="page"/>
      </w:r>
    </w:p>
    <w:p>
      <w:r>
        <w:rPr>
          <w:b/>
          <w:color w:val="006633"/>
          <w:sz w:val="28"/>
        </w:rPr>
        <w:t>III. RÉSULTATS ET DISCUSSION</w:t>
      </w:r>
    </w:p>
    <w:p>
      <w:r>
        <w:rPr>
          <w:b/>
          <w:color w:val="004422"/>
          <w:sz w:val="24"/>
        </w:rPr>
        <w:t>III.1  Performances du Modèle par Horizon Temporel</w:t>
      </w:r>
    </w:p>
    <w:p>
      <w:r>
        <w:t>Le modèle XGBoost avec pondération temporelle λ affiche des performances variables selon l'horizon de prédiction. De manière attendue, la précision décroît avec l'allongement de l'horizon :</w:t>
      </w:r>
    </w:p>
    <w:p>
      <w:pPr>
        <w:pStyle w:val="ListBullet"/>
      </w:pPr>
      <w:r>
        <w:t>Horizon 1 jour : Précision ~55–60% (signal faible mais statistiquement significatif) ;</w:t>
      </w:r>
    </w:p>
    <w:p>
      <w:pPr>
        <w:pStyle w:val="ListBullet"/>
      </w:pPr>
      <w:r>
        <w:t>Horizon 3 jours : Précision ~52–54% (dégradation progressive) ;</w:t>
      </w:r>
    </w:p>
    <w:p>
      <w:pPr>
        <w:pStyle w:val="ListBullet"/>
      </w:pPr>
      <w:r>
        <w:t>Horizon 5–15 jours : Précision ~50–51% (convergence vers le hasard, rendements faiblement prévisibles à long terme).</w:t>
      </w:r>
    </w:p>
    <w:p>
      <w:r>
        <w:t>Cette dégradation progressive est conforme à l'hypothèse d'efficience des marchés (EMH) et à la théorie des marches aléatoires : les rendements à court terme contiennent du signal technique, mais ce signal s'estompe rapidement au fur et à mesure de l'intégration de l'information.</w:t>
      </w:r>
    </w:p>
    <w:p/>
    <w:p>
      <w:r>
        <w:drawing>
          <wp:inline xmlns:a="http://schemas.openxmlformats.org/drawingml/2006/main" xmlns:pic="http://schemas.openxmlformats.org/drawingml/2006/picture">
            <wp:extent cx="5029200" cy="4017258"/>
            <wp:docPr id="3" name="Picture 3"/>
            <wp:cNvGraphicFramePr>
              <a:graphicFrameLocks noChangeAspect="1"/>
            </wp:cNvGraphicFramePr>
            <a:graphic>
              <a:graphicData uri="http://schemas.openxmlformats.org/drawingml/2006/picture">
                <pic:pic>
                  <pic:nvPicPr>
                    <pic:cNvPr id="0" name="graph_02.png"/>
                    <pic:cNvPicPr/>
                  </pic:nvPicPr>
                  <pic:blipFill>
                    <a:blip r:embed="rId11"/>
                    <a:stretch>
                      <a:fillRect/>
                    </a:stretch>
                  </pic:blipFill>
                  <pic:spPr>
                    <a:xfrm>
                      <a:off x="0" y="0"/>
                      <a:ext cx="5029200" cy="4017258"/>
                    </a:xfrm>
                    <a:prstGeom prst="rect"/>
                  </pic:spPr>
                </pic:pic>
              </a:graphicData>
            </a:graphic>
          </wp:inline>
        </w:drawing>
      </w:r>
    </w:p>
    <w:p>
      <w:pPr>
        <w:jc w:val="center"/>
      </w:pPr>
      <w:r>
        <w:rPr>
          <w:i/>
          <w:color w:val="646464"/>
          <w:sz w:val="20"/>
        </w:rPr>
        <w:t>Figure 3 : Dégradation de la précision (accuracy) du modèle en fonction de l'horizon de prédiction — Illustration de la courbe de décroissance 55% → 51% sur 1–15 jours</w:t>
      </w:r>
    </w:p>
    <w:p/>
    <w:p>
      <w:r>
        <w:rPr>
          <w:b/>
          <w:color w:val="004422"/>
          <w:sz w:val="24"/>
        </w:rPr>
        <w:t>III.2  Interprétation et Analyse Critique</w:t>
      </w:r>
    </w:p>
    <w:p>
      <w:r>
        <w:t>L'analyse détaillée des résultats révèle plusieurs enseignements :</w:t>
      </w:r>
    </w:p>
    <w:p>
      <w:pPr>
        <w:pStyle w:val="ListBullet"/>
      </w:pPr>
      <w:r>
        <w:t>Hétérogénéité inter-titres : La performance du modèle varie fortement selon le ticker. Les valeurs très liquides (Attijariwafa Bank, Maroc Telecom) montrent des précisions proches du hasard, tandis que les valeurs peu liquides affichent des précisions légèrement supérieures.</w:t>
      </w:r>
    </w:p>
    <w:p>
      <w:pPr>
        <w:pStyle w:val="ListBullet"/>
      </w:pPr>
      <w:r>
        <w:t>Saisonnalité : Les premières semaines de chaque mois et les jours suivant un week-end affichent une stabilité accrue.</w:t>
      </w:r>
    </w:p>
    <w:p>
      <w:pPr>
        <w:pStyle w:val="ListBullet"/>
      </w:pPr>
      <w:r>
        <w:t>Impact de la pondération temporelle λ : L'augmentation de λ améliore les performances à court terme au dépens des horizons longs, suggérant que la dynamique du marché change continuellement.</w:t>
      </w:r>
    </w:p>
    <w:p>
      <w:r>
        <w:rPr>
          <w:b/>
          <w:color w:val="004422"/>
          <w:sz w:val="24"/>
        </w:rPr>
        <w:t>III.3  Limitations et Biais Identifiés</w:t>
      </w:r>
    </w:p>
    <w:p>
      <w:r>
        <w:t>Plusieurs limitations méthodologiques méritent une discussion explicite :</w:t>
      </w:r>
    </w:p>
    <w:p>
      <w:pPr>
        <w:pStyle w:val="ListBullet"/>
      </w:pPr>
      <w:r>
        <w:t>Absence de données macroéconomiques : Le modèle repose uniquement sur des signaux microstructuraux (OHLCV). L'intégration de variables macro pourrait améliorer significativement la prédictibilité ;</w:t>
      </w:r>
    </w:p>
    <w:p>
      <w:pPr>
        <w:pStyle w:val="ListBullet"/>
      </w:pPr>
      <w:r>
        <w:t>Non-stationnarité structurelle : Les marchés financiers présentent des ruptures de régime (structural breaks) qui invalident l'hypothèse de stationnarité ;</w:t>
      </w:r>
    </w:p>
    <w:p>
      <w:pPr>
        <w:pStyle w:val="ListBullet"/>
      </w:pPr>
      <w:r>
        <w:t>Passage d'échelle multi-tickers : L'architecture actuelle ne capture pas les corrélations inter-sectorielles ;</w:t>
      </w:r>
    </w:p>
    <w:p>
      <w:pPr>
        <w:pStyle w:val="ListBullet"/>
      </w:pPr>
      <w:r>
        <w:t>Coûts de transaction non modélisés : Une précision légèrement au-dessus de 50% peut s'avérer non-rentable une fois les frais déduits.</w:t>
      </w:r>
    </w:p>
    <w:p/>
    <w:p>
      <w:r>
        <w:drawing>
          <wp:inline xmlns:a="http://schemas.openxmlformats.org/drawingml/2006/main" xmlns:pic="http://schemas.openxmlformats.org/drawingml/2006/picture">
            <wp:extent cx="5029200" cy="4488324"/>
            <wp:docPr id="4" name="Picture 4"/>
            <wp:cNvGraphicFramePr>
              <a:graphicFrameLocks noChangeAspect="1"/>
            </wp:cNvGraphicFramePr>
            <a:graphic>
              <a:graphicData uri="http://schemas.openxmlformats.org/drawingml/2006/picture">
                <pic:pic>
                  <pic:nvPicPr>
                    <pic:cNvPr id="0" name="graph_03.png"/>
                    <pic:cNvPicPr/>
                  </pic:nvPicPr>
                  <pic:blipFill>
                    <a:blip r:embed="rId12"/>
                    <a:stretch>
                      <a:fillRect/>
                    </a:stretch>
                  </pic:blipFill>
                  <pic:spPr>
                    <a:xfrm>
                      <a:off x="0" y="0"/>
                      <a:ext cx="5029200" cy="4488324"/>
                    </a:xfrm>
                    <a:prstGeom prst="rect"/>
                  </pic:spPr>
                </pic:pic>
              </a:graphicData>
            </a:graphic>
          </wp:inline>
        </w:drawing>
      </w:r>
    </w:p>
    <w:p>
      <w:pPr>
        <w:jc w:val="center"/>
      </w:pPr>
      <w:r>
        <w:rPr>
          <w:i/>
          <w:color w:val="646464"/>
          <w:sz w:val="20"/>
        </w:rPr>
        <w:t>Figure 4 : Matrice de confusion et métriques de performances (Précision, Rappel, F1-Score) pour différents horizons de prédiction</w:t>
      </w:r>
    </w:p>
    <w:p/>
    <w:p>
      <w:r>
        <w:br w:type="page"/>
      </w:r>
    </w:p>
    <w:p>
      <w:r>
        <w:rPr>
          <w:b/>
          <w:color w:val="006633"/>
          <w:sz w:val="28"/>
        </w:rPr>
        <w:t>IV. CONCLUSION</w:t>
      </w:r>
    </w:p>
    <w:p>
      <w:r>
        <w:rPr>
          <w:b/>
          <w:color w:val="004422"/>
          <w:sz w:val="24"/>
        </w:rPr>
        <w:t>IV.1  Synthèse des Apports</w:t>
      </w:r>
    </w:p>
    <w:p>
      <w:r>
        <w:t>Ce projet a permis de concevoir et d'évaluer une architecture de modélisation machine learning appliquée à la prédiction des rendements d'actions marocaines. Les principaux apports sont :</w:t>
      </w:r>
    </w:p>
    <w:p>
      <w:pPr>
        <w:pStyle w:val="ListNumber"/>
      </w:pPr>
      <w:r>
        <w:t>Une démonstration empirique que le machine learning (XGBoost) peut extraire un signal prédictif faible mais statistiquement significatif des données de marché, particulièrement à l'horizon d'une journée ;</w:t>
      </w:r>
    </w:p>
    <w:p>
      <w:pPr>
        <w:pStyle w:val="ListNumber"/>
      </w:pPr>
      <w:r>
        <w:t>Une illustration concrète des défis de la prédiction sur les marchés émergents : non-stationnarité, liquidité inégale, ruptures structurelles ;</w:t>
      </w:r>
    </w:p>
    <w:p>
      <w:pPr>
        <w:pStyle w:val="ListNumber"/>
      </w:pPr>
      <w:r>
        <w:t>Une méthodologie robuste combinant validation temporelle, pondération adaptative et ingénierie de features technique pour éviter le data leakage et surapprentissage ;</w:t>
      </w:r>
    </w:p>
    <w:p>
      <w:pPr>
        <w:pStyle w:val="ListNumber"/>
      </w:pPr>
      <w:r>
        <w:t>Une identification précise des sources de non-prédictibilité et une hiérarchisation des améliorations futures en fonction de leur impact attendu.</w:t>
      </w:r>
    </w:p>
    <w:p>
      <w:r>
        <w:rPr>
          <w:b/>
          <w:color w:val="004422"/>
          <w:sz w:val="24"/>
        </w:rPr>
        <w:t>IV.2  Perspectives d'Amélioration et Pistes Futures</w:t>
      </w:r>
    </w:p>
    <w:p>
      <w:r>
        <w:t>Au-delà des résultats actuels, plusieurs axes de recherche promettent des avancées substantielles :</w:t>
      </w:r>
    </w:p>
    <w:p>
      <w:pPr>
        <w:pStyle w:val="ListBullet"/>
      </w:pPr>
      <w:r>
        <w:t>Enrichissement des données : Intégration d'analyse de sentiment (NLP sur réseaux sociaux et presse financière), de prix de matières premières (phosphate pour OCP), et de variables macroéconomiques ;</w:t>
      </w:r>
    </w:p>
    <w:p>
      <w:pPr>
        <w:pStyle w:val="ListBullet"/>
      </w:pPr>
      <w:r>
        <w:t>Modèles d'ensemble hiérarchiques : Combinaison de XGBoost avec LSTM/Transformers via stacking pour capturer les dynamiques multi-échelles ;</w:t>
      </w:r>
    </w:p>
    <w:p>
      <w:pPr>
        <w:pStyle w:val="ListBullet"/>
      </w:pPr>
      <w:r>
        <w:t>Détection automatique de régimes : Intégration d'un Hidden Markov Model (HMM) pour identifier dynamiquement le régime de marché et sélectionner le modèle optimal ;</w:t>
      </w:r>
    </w:p>
    <w:p>
      <w:pPr>
        <w:pStyle w:val="ListBullet"/>
      </w:pPr>
      <w:r>
        <w:t>Optimisation bayésienne des hyperparamètres : Remplacement de la recherche aléatoire par Optuna pour convergence plus rapide.</w:t>
      </w:r>
    </w:p>
    <w:p>
      <w:r>
        <w:t>En conclusion, ce travail démontre la faisabilité et les limites d'une approche machine learning appliquée à la prédiction des rendements sur un marché émergent. Il ouvre des perspectives d'approfondissement académique et d'implémentation pratique, tout en respectant les limitations intrinsèques des marchés financiers et des hypothèses d'efficience.</w:t>
      </w:r>
    </w:p>
    <w:p>
      <w:r>
        <w:br w:type="page"/>
      </w:r>
    </w:p>
    <w:p>
      <w:r>
        <w:rPr>
          <w:b/>
          <w:color w:val="006633"/>
          <w:sz w:val="28"/>
        </w:rPr>
        <w:t>BIBLIOGRAPHIE</w:t>
      </w:r>
    </w:p>
    <w:p>
      <w:pPr>
        <w:pStyle w:val="ListBullet"/>
      </w:pPr>
      <w:r>
        <w:rPr>
          <w:sz w:val="22"/>
        </w:rPr>
        <w:t>Fama, E.F. (1970). « Efficient Capital Markets: A Review of Theory and Empirical Work ». The Journal of Finance, 25(2), 383–417.</w:t>
      </w:r>
    </w:p>
    <w:p>
      <w:pPr>
        <w:pStyle w:val="ListBullet"/>
      </w:pPr>
      <w:r>
        <w:rPr>
          <w:sz w:val="22"/>
        </w:rPr>
        <w:t>Black, F. &amp; Scholes, M. (1973). « The Pricing of Options and Corporate Liabilities ». Journal of Political Economy, 81(3), 637–654.</w:t>
      </w:r>
    </w:p>
    <w:p>
      <w:pPr>
        <w:pStyle w:val="ListBullet"/>
      </w:pPr>
      <w:r>
        <w:rPr>
          <w:sz w:val="22"/>
        </w:rPr>
        <w:t>Chen, T. &amp; Guestrin, C. (2016). « XGBoost: A Scalable Tree Boosting System ». Proceedings of KDD 2016.</w:t>
      </w:r>
    </w:p>
    <w:p>
      <w:pPr>
        <w:pStyle w:val="ListBullet"/>
      </w:pPr>
      <w:r>
        <w:rPr>
          <w:sz w:val="22"/>
        </w:rPr>
        <w:t>Jegadeesh, N. &amp; Titman, S. (1993). « Returns to Buying Winners and Selling Losers ». The Journal of Finance, 48(1), 65–91.</w:t>
      </w:r>
    </w:p>
    <w:p>
      <w:pPr>
        <w:pStyle w:val="ListBullet"/>
      </w:pPr>
      <w:r>
        <w:rPr>
          <w:sz w:val="22"/>
        </w:rPr>
        <w:t>Wilder, J.W. (1978). New Concepts in Technical Trading Systems. Trend Research.</w:t>
      </w:r>
    </w:p>
    <w:p>
      <w:pPr>
        <w:pStyle w:val="ListBullet"/>
      </w:pPr>
      <w:r>
        <w:rPr>
          <w:sz w:val="22"/>
        </w:rPr>
        <w:t>Bergstra, J. &amp; Bengio, Y. (2012). « Random Search for Hyper-Parameter Optimization ». Journal of Machine Learning Research, 13, 281–305.</w:t>
      </w:r>
    </w:p>
    <w:p>
      <w:pPr>
        <w:pStyle w:val="ListBullet"/>
      </w:pPr>
      <w:r>
        <w:rPr>
          <w:sz w:val="22"/>
        </w:rPr>
        <w:t>Bank Al-Maghrib. (2025). Statistiques Monétaires et Financières. www.bam.ma</w:t>
      </w:r>
    </w:p>
    <w:p>
      <w:pPr>
        <w:pStyle w:val="ListBullet"/>
      </w:pPr>
      <w:r>
        <w:rPr>
          <w:sz w:val="22"/>
        </w:rPr>
        <w:t>Bourse des Valeurs de Casablanca. (2025). Historique des Cotations. www.casablancabourse.com</w:t>
      </w:r>
    </w:p>
    <w:p>
      <w:pPr>
        <w:pStyle w:val="ListBullet"/>
      </w:pPr>
      <w:r>
        <w:rPr>
          <w:sz w:val="22"/>
        </w:rPr>
        <w:t>Autorité Marocaine du Marché des Capitaux. (2025). Réglementation du Marché des Capitaux. www.ammc.ma</w:t>
      </w:r>
    </w:p>
    <w:p>
      <w:r>
        <w:br w:type="page"/>
      </w:r>
    </w:p>
    <w:p>
      <w:r>
        <w:rPr>
          <w:b/>
          <w:color w:val="006633"/>
          <w:sz w:val="28"/>
        </w:rPr>
        <w:t>ANNEXES</w:t>
      </w:r>
    </w:p>
    <w:p>
      <w:r>
        <w:rPr>
          <w:b/>
          <w:color w:val="004422"/>
          <w:sz w:val="24"/>
        </w:rPr>
        <w:t>A. Glossaire Financier et Technique</w:t>
      </w:r>
    </w:p>
    <w:tbl>
      <w:tblPr>
        <w:tblStyle w:val="LightGrid-Accent1"/>
        <w:tblW w:type="auto" w:w="0"/>
        <w:tblLook w:firstColumn="1" w:firstRow="1" w:lastColumn="0" w:lastRow="0" w:noHBand="0" w:noVBand="1" w:val="04A0"/>
      </w:tblPr>
      <w:tblGrid>
        <w:gridCol w:w="4536"/>
        <w:gridCol w:w="4536"/>
      </w:tblGrid>
      <w:tr>
        <w:tc>
          <w:tcPr>
            <w:tcW w:type="dxa" w:w="4536"/>
          </w:tcPr>
          <w:p>
            <w:r>
              <w:t>Terme</w:t>
            </w:r>
          </w:p>
        </w:tc>
        <w:tc>
          <w:tcPr>
            <w:tcW w:type="dxa" w:w="4536"/>
          </w:tcPr>
          <w:p>
            <w:r>
              <w:t>Définition</w:t>
            </w:r>
          </w:p>
        </w:tc>
      </w:tr>
      <w:tr>
        <w:tc>
          <w:tcPr>
            <w:tcW w:type="dxa" w:w="4536"/>
          </w:tcPr>
          <w:p>
            <w:r>
              <w:t>OHLCV</w:t>
            </w:r>
          </w:p>
        </w:tc>
        <w:tc>
          <w:tcPr>
            <w:tcW w:type="dxa" w:w="4536"/>
          </w:tcPr>
          <w:p>
            <w:r>
              <w:t>Open, High, Low, Close, Volume — Format standard des données de cotation</w:t>
            </w:r>
          </w:p>
        </w:tc>
      </w:tr>
      <w:tr>
        <w:tc>
          <w:tcPr>
            <w:tcW w:type="dxa" w:w="4536"/>
          </w:tcPr>
          <w:p>
            <w:r>
              <w:t>MASI</w:t>
            </w:r>
          </w:p>
        </w:tc>
        <w:tc>
          <w:tcPr>
            <w:tcW w:type="dxa" w:w="4536"/>
          </w:tcPr>
          <w:p>
            <w:r>
              <w:t>Morocco All Shares Index — Indice global de la BVC</w:t>
            </w:r>
          </w:p>
        </w:tc>
      </w:tr>
      <w:tr>
        <w:tc>
          <w:tcPr>
            <w:tcW w:type="dxa" w:w="4536"/>
          </w:tcPr>
          <w:p>
            <w:r>
              <w:t>MSI20</w:t>
            </w:r>
          </w:p>
        </w:tc>
        <w:tc>
          <w:tcPr>
            <w:tcW w:type="dxa" w:w="4536"/>
          </w:tcPr>
          <w:p>
            <w:r>
              <w:t>Morocco Stock Index 20 — Indice des 20 valeurs les plus liquides</w:t>
            </w:r>
          </w:p>
        </w:tc>
      </w:tr>
      <w:tr>
        <w:tc>
          <w:tcPr>
            <w:tcW w:type="dxa" w:w="4536"/>
          </w:tcPr>
          <w:p>
            <w:r>
              <w:t>BVC</w:t>
            </w:r>
          </w:p>
        </w:tc>
        <w:tc>
          <w:tcPr>
            <w:tcW w:type="dxa" w:w="4536"/>
          </w:tcPr>
          <w:p>
            <w:r>
              <w:t>Bourse des Valeurs de Casablanca</w:t>
            </w:r>
          </w:p>
        </w:tc>
      </w:tr>
      <w:tr>
        <w:tc>
          <w:tcPr>
            <w:tcW w:type="dxa" w:w="4536"/>
          </w:tcPr>
          <w:p>
            <w:r>
              <w:t>AMMC</w:t>
            </w:r>
          </w:p>
        </w:tc>
        <w:tc>
          <w:tcPr>
            <w:tcW w:type="dxa" w:w="4536"/>
          </w:tcPr>
          <w:p>
            <w:r>
              <w:t>Autorité Marocaine du Marché des Capitaux (ex-CDVM)</w:t>
            </w:r>
          </w:p>
        </w:tc>
      </w:tr>
      <w:tr>
        <w:tc>
          <w:tcPr>
            <w:tcW w:type="dxa" w:w="4536"/>
          </w:tcPr>
          <w:p>
            <w:r>
              <w:t>MAD</w:t>
            </w:r>
          </w:p>
        </w:tc>
        <w:tc>
          <w:tcPr>
            <w:tcW w:type="dxa" w:w="4536"/>
          </w:tcPr>
          <w:p>
            <w:r>
              <w:t>Dirham Marocain — Devise officielle du Maroc</w:t>
            </w:r>
          </w:p>
        </w:tc>
      </w:tr>
      <w:tr>
        <w:tc>
          <w:tcPr>
            <w:tcW w:type="dxa" w:w="4536"/>
          </w:tcPr>
          <w:p>
            <w:r>
              <w:t>Momentum</w:t>
            </w:r>
          </w:p>
        </w:tc>
        <w:tc>
          <w:tcPr>
            <w:tcW w:type="dxa" w:w="4536"/>
          </w:tcPr>
          <w:p>
            <w:r>
              <w:t>Phénomène d'élan : les actifs en hausse tendent à continuer de monter</w:t>
            </w:r>
          </w:p>
        </w:tc>
      </w:tr>
      <w:tr>
        <w:tc>
          <w:tcPr>
            <w:tcW w:type="dxa" w:w="4536"/>
          </w:tcPr>
          <w:p>
            <w:r>
              <w:t>Data Leakage</w:t>
            </w:r>
          </w:p>
        </w:tc>
        <w:tc>
          <w:tcPr>
            <w:tcW w:type="dxa" w:w="4536"/>
          </w:tcPr>
          <w:p>
            <w:r>
              <w:t>Utilisation d'informations futures pendant l'entraînement</w:t>
            </w:r>
          </w:p>
        </w:tc>
      </w:tr>
      <w:tr>
        <w:tc>
          <w:tcPr>
            <w:tcW w:type="dxa" w:w="4536"/>
          </w:tcPr>
          <w:p>
            <w:r>
              <w:t>RSI</w:t>
            </w:r>
          </w:p>
        </w:tc>
        <w:tc>
          <w:tcPr>
            <w:tcW w:type="dxa" w:w="4536"/>
          </w:tcPr>
          <w:p>
            <w:r>
              <w:t>Relative Strength Index — Oscillateur de momentum (0-100)</w:t>
            </w:r>
          </w:p>
        </w:tc>
      </w:tr>
      <w:tr>
        <w:tc>
          <w:tcPr>
            <w:tcW w:type="dxa" w:w="4536"/>
          </w:tcPr>
          <w:p>
            <w:r>
              <w:t>MACD</w:t>
            </w:r>
          </w:p>
        </w:tc>
        <w:tc>
          <w:tcPr>
            <w:tcW w:type="dxa" w:w="4536"/>
          </w:tcPr>
          <w:p>
            <w:r>
              <w:t>Moving Average Convergence Divergence — Indicateur de tendance</w:t>
            </w:r>
          </w:p>
        </w:tc>
      </w:tr>
      <w:tr>
        <w:tc>
          <w:tcPr>
            <w:tcW w:type="dxa" w:w="4536"/>
          </w:tcPr>
          <w:p>
            <w:r>
              <w:t>Bandes de Bollinger</w:t>
            </w:r>
          </w:p>
        </w:tc>
        <w:tc>
          <w:tcPr>
            <w:tcW w:type="dxa" w:w="4536"/>
          </w:tcPr>
          <w:p>
            <w:r>
              <w:t>Enveloppe statistique autour de la moyenne mobile</w:t>
            </w:r>
          </w:p>
        </w:tc>
      </w:tr>
      <w:tr>
        <w:tc>
          <w:tcPr>
            <w:tcW w:type="dxa" w:w="4536"/>
          </w:tcPr>
          <w:p>
            <w:r>
              <w:t>TimeSeriesSplit</w:t>
            </w:r>
          </w:p>
        </w:tc>
        <w:tc>
          <w:tcPr>
            <w:tcW w:type="dxa" w:w="4536"/>
          </w:tcPr>
          <w:p>
            <w:r>
              <w:t>Validation croisée respectant la causalité temporelle</w:t>
            </w:r>
          </w:p>
        </w:tc>
      </w:tr>
      <w:tr>
        <w:tc>
          <w:tcPr>
            <w:tcW w:type="dxa" w:w="4536"/>
          </w:tcPr>
          <w:p>
            <w:r>
              <w:t>XGBoost</w:t>
            </w:r>
          </w:p>
        </w:tc>
        <w:tc>
          <w:tcPr>
            <w:tcW w:type="dxa" w:w="4536"/>
          </w:tcPr>
          <w:p>
            <w:r>
              <w:t>Extreme Gradient Boosting — Algorithme d'ensemble d'arbres</w:t>
            </w:r>
          </w:p>
        </w:tc>
      </w:tr>
      <w:tr>
        <w:tc>
          <w:tcPr>
            <w:tcW w:type="dxa" w:w="4536"/>
          </w:tcPr>
          <w:p>
            <w:r>
              <w:t>EMH</w:t>
            </w:r>
          </w:p>
        </w:tc>
        <w:tc>
          <w:tcPr>
            <w:tcW w:type="dxa" w:w="4536"/>
          </w:tcPr>
          <w:p>
            <w:r>
              <w:t>Efficient Market Hypothesis — Hypothèse d'Efficience des Marchés</w:t>
            </w:r>
          </w:p>
        </w:tc>
      </w:tr>
    </w:tbl>
    <w:p>
      <w:r>
        <w:rPr>
          <w:b/>
          <w:color w:val="004422"/>
          <w:sz w:val="24"/>
        </w:rPr>
        <w:t>B. Avertissement Légal</w:t>
      </w:r>
    </w:p>
    <w:p>
      <w:r>
        <w:t>Ce rapport est produit à des fins exclusivement éducatives et de recherche académique. Les prédictions et analyses présentées ne constituent en aucun cas un conseil en investissement, une recommandation d'achat ou de vente de titres, ni une sollicitation à investir. Les performances passées ne préjugent pas des performances futures. Tout investissement en bourse comporte un risque de perte en capital. L'auteur décline toute responsabilité quant à l'utilisation des informations contenues dans ce document à des fins d'investissement réel.</w:t>
      </w:r>
    </w:p>
    <w:sectPr w:rsidR="00FC693F" w:rsidRPr="0006063C" w:rsidSect="00034616">
      <w:footerReference w:type="default" r:id="rId13"/>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20"/>
      </w:rPr>
      <w:t xml:space="preserve">Page </w:t>
    </w:r>
    <w:r>
      <w:rPr>
        <w:sz w:val="20"/>
      </w:rPr>
      <w:fldChar w:fldCharType="begin"/>
      <w:instrText xml:space="preserve">PAGE</w:instrText>
      <w:fldChar w:fldCharType="end"/>
    </w:r>
    <w:r>
      <w:rPr>
        <w:sz w:val="20"/>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