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C70" w:rsidRPr="00B753B4" w:rsidRDefault="00B753B4" w:rsidP="00B753B4">
      <w:pPr>
        <w:spacing w:line="360" w:lineRule="auto"/>
        <w:jc w:val="center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浙商生</w:t>
      </w:r>
      <w:r>
        <w:rPr>
          <w:b/>
          <w:sz w:val="28"/>
        </w:rPr>
        <w:t>猪</w:t>
      </w:r>
      <w:proofErr w:type="gramEnd"/>
      <w:r>
        <w:rPr>
          <w:b/>
          <w:sz w:val="28"/>
        </w:rPr>
        <w:t>饲料成本</w:t>
      </w:r>
      <w:r w:rsidRPr="00B753B4">
        <w:rPr>
          <w:b/>
          <w:sz w:val="28"/>
        </w:rPr>
        <w:t>价格指数</w:t>
      </w:r>
      <w:r w:rsidRPr="00B753B4">
        <w:rPr>
          <w:rFonts w:hint="eastAsia"/>
          <w:b/>
          <w:sz w:val="28"/>
        </w:rPr>
        <w:t>编制方案</w:t>
      </w:r>
    </w:p>
    <w:p w:rsidR="00B753B4" w:rsidRPr="00A31115" w:rsidRDefault="00B753B4" w:rsidP="00B753B4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指数</w:t>
      </w:r>
      <w:r w:rsidRPr="00A31115">
        <w:rPr>
          <w:b/>
          <w:sz w:val="28"/>
        </w:rPr>
        <w:t>名称和代码</w:t>
      </w:r>
    </w:p>
    <w:p w:rsidR="00B753B4" w:rsidRDefault="00B753B4" w:rsidP="00B753B4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中文全称</w:t>
      </w:r>
      <w:r>
        <w:rPr>
          <w:sz w:val="24"/>
        </w:rPr>
        <w:t>：</w:t>
      </w:r>
      <w:proofErr w:type="gramStart"/>
      <w:r>
        <w:rPr>
          <w:sz w:val="24"/>
        </w:rPr>
        <w:t>浙商</w:t>
      </w:r>
      <w:r>
        <w:rPr>
          <w:rFonts w:hint="eastAsia"/>
          <w:sz w:val="24"/>
        </w:rPr>
        <w:t>生猪</w:t>
      </w:r>
      <w:proofErr w:type="gramEnd"/>
      <w:r>
        <w:rPr>
          <w:rFonts w:hint="eastAsia"/>
          <w:sz w:val="24"/>
        </w:rPr>
        <w:t>饲料</w:t>
      </w:r>
      <w:r>
        <w:rPr>
          <w:sz w:val="24"/>
        </w:rPr>
        <w:t>成本价格指数</w:t>
      </w:r>
    </w:p>
    <w:p w:rsidR="00B753B4" w:rsidRDefault="00B753B4" w:rsidP="00B753B4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中文简称</w:t>
      </w:r>
      <w:r>
        <w:rPr>
          <w:sz w:val="24"/>
        </w:rPr>
        <w:t>：</w:t>
      </w:r>
      <w:proofErr w:type="gramStart"/>
      <w:r>
        <w:rPr>
          <w:sz w:val="24"/>
        </w:rPr>
        <w:t>浙商猪</w:t>
      </w:r>
      <w:proofErr w:type="gramEnd"/>
      <w:r>
        <w:rPr>
          <w:sz w:val="24"/>
        </w:rPr>
        <w:t>饲料指数</w:t>
      </w:r>
    </w:p>
    <w:p w:rsidR="00B753B4" w:rsidRDefault="00B753B4" w:rsidP="00B753B4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英文全称</w:t>
      </w:r>
      <w:r>
        <w:rPr>
          <w:sz w:val="24"/>
        </w:rPr>
        <w:t>：</w:t>
      </w:r>
      <w:r w:rsidRPr="00A31115">
        <w:rPr>
          <w:color w:val="FF0000"/>
          <w:sz w:val="24"/>
        </w:rPr>
        <w:t>待定</w:t>
      </w:r>
      <w:r w:rsidRPr="00A31115">
        <w:rPr>
          <w:rFonts w:hint="eastAsia"/>
          <w:color w:val="FF0000"/>
          <w:sz w:val="24"/>
        </w:rPr>
        <w:t xml:space="preserve"> </w:t>
      </w:r>
      <w:r w:rsidRPr="00A31115">
        <w:rPr>
          <w:rFonts w:hint="eastAsia"/>
          <w:color w:val="FF0000"/>
          <w:sz w:val="24"/>
        </w:rPr>
        <w:t>（</w:t>
      </w:r>
      <w:r w:rsidRPr="00A31115">
        <w:rPr>
          <w:rFonts w:hint="eastAsia"/>
          <w:color w:val="FF0000"/>
          <w:sz w:val="24"/>
        </w:rPr>
        <w:t>ZS</w:t>
      </w:r>
      <w:r w:rsidRPr="00A31115">
        <w:rPr>
          <w:color w:val="FF0000"/>
          <w:sz w:val="24"/>
        </w:rPr>
        <w:t xml:space="preserve"> Hog Feed Cost Index</w:t>
      </w:r>
      <w:r w:rsidRPr="00A31115">
        <w:rPr>
          <w:rFonts w:hint="eastAsia"/>
          <w:color w:val="FF0000"/>
          <w:sz w:val="24"/>
        </w:rPr>
        <w:t>）</w:t>
      </w:r>
    </w:p>
    <w:p w:rsidR="00040DD7" w:rsidRPr="00A31115" w:rsidRDefault="00040DD7" w:rsidP="00B753B4">
      <w:pPr>
        <w:spacing w:line="360" w:lineRule="auto"/>
        <w:ind w:left="480"/>
        <w:rPr>
          <w:color w:val="FF0000"/>
          <w:sz w:val="24"/>
        </w:rPr>
      </w:pPr>
      <w:r>
        <w:rPr>
          <w:rFonts w:hint="eastAsia"/>
          <w:sz w:val="24"/>
        </w:rPr>
        <w:t>英文简称</w:t>
      </w:r>
      <w:r>
        <w:rPr>
          <w:sz w:val="24"/>
        </w:rPr>
        <w:t>：</w:t>
      </w:r>
      <w:r w:rsidRPr="00A31115">
        <w:rPr>
          <w:color w:val="FF0000"/>
          <w:sz w:val="24"/>
        </w:rPr>
        <w:t>待定</w:t>
      </w:r>
    </w:p>
    <w:p w:rsidR="00040DD7" w:rsidRPr="00A31115" w:rsidRDefault="00040DD7" w:rsidP="00040DD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基期和基点</w:t>
      </w:r>
    </w:p>
    <w:p w:rsidR="00040DD7" w:rsidRDefault="00040DD7" w:rsidP="00040DD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31115">
        <w:rPr>
          <w:rFonts w:hint="eastAsia"/>
          <w:b/>
          <w:sz w:val="24"/>
        </w:rPr>
        <w:t>基期</w:t>
      </w:r>
      <w:r>
        <w:rPr>
          <w:sz w:val="24"/>
        </w:rPr>
        <w:t>：</w:t>
      </w:r>
      <w:r w:rsidR="005E04C0"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月</w:t>
      </w:r>
      <w:r w:rsidR="005E04C0">
        <w:rPr>
          <w:rFonts w:hint="eastAsia"/>
          <w:sz w:val="24"/>
        </w:rPr>
        <w:t>31</w:t>
      </w:r>
      <w:r>
        <w:rPr>
          <w:rFonts w:hint="eastAsia"/>
          <w:sz w:val="24"/>
        </w:rPr>
        <w:t>日</w:t>
      </w:r>
      <w:r w:rsidR="00FE1CC4">
        <w:rPr>
          <w:rFonts w:hint="eastAsia"/>
          <w:sz w:val="24"/>
        </w:rPr>
        <w:t>（</w:t>
      </w:r>
      <w:r w:rsidR="00FE1CC4" w:rsidRPr="00A31115">
        <w:rPr>
          <w:rFonts w:hint="eastAsia"/>
          <w:color w:val="FF0000"/>
          <w:sz w:val="24"/>
        </w:rPr>
        <w:t>待定</w:t>
      </w:r>
      <w:r w:rsidR="00FE1CC4">
        <w:rPr>
          <w:rFonts w:hint="eastAsia"/>
          <w:sz w:val="24"/>
        </w:rPr>
        <w:t>）</w:t>
      </w:r>
    </w:p>
    <w:p w:rsidR="00040DD7" w:rsidRDefault="00040DD7" w:rsidP="00040DD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31115">
        <w:rPr>
          <w:rFonts w:hint="eastAsia"/>
          <w:b/>
          <w:sz w:val="24"/>
        </w:rPr>
        <w:t>基点</w:t>
      </w:r>
      <w:r>
        <w:rPr>
          <w:sz w:val="24"/>
        </w:rPr>
        <w:t>：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点</w:t>
      </w:r>
    </w:p>
    <w:p w:rsidR="00040DD7" w:rsidRPr="00A31115" w:rsidRDefault="00040DD7" w:rsidP="00040DD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品种选择</w:t>
      </w:r>
    </w:p>
    <w:p w:rsidR="00040DD7" w:rsidRDefault="00040DD7" w:rsidP="00040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选取</w:t>
      </w:r>
      <w:r>
        <w:rPr>
          <w:sz w:val="24"/>
        </w:rPr>
        <w:t>在大连商品交易所上市的</w:t>
      </w:r>
      <w:r>
        <w:rPr>
          <w:rFonts w:hint="eastAsia"/>
          <w:sz w:val="24"/>
        </w:rPr>
        <w:t>玉米和</w:t>
      </w:r>
      <w:r>
        <w:rPr>
          <w:sz w:val="24"/>
        </w:rPr>
        <w:t>豆</w:t>
      </w:r>
      <w:proofErr w:type="gramStart"/>
      <w:r>
        <w:rPr>
          <w:sz w:val="24"/>
        </w:rPr>
        <w:t>粕</w:t>
      </w:r>
      <w:proofErr w:type="gramEnd"/>
      <w:r>
        <w:rPr>
          <w:sz w:val="24"/>
        </w:rPr>
        <w:t>期货主力合约。</w:t>
      </w:r>
    </w:p>
    <w:p w:rsidR="00040DD7" w:rsidRPr="00A31115" w:rsidRDefault="00040DD7" w:rsidP="00040DD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权重设置与调整</w:t>
      </w:r>
    </w:p>
    <w:p w:rsidR="007D46EC" w:rsidRPr="00A31115" w:rsidRDefault="007D46EC" w:rsidP="007D46EC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权重设置</w:t>
      </w:r>
    </w:p>
    <w:p w:rsidR="00040DD7" w:rsidRDefault="00040DD7" w:rsidP="00FE1CC4">
      <w:pPr>
        <w:spacing w:line="360" w:lineRule="auto"/>
        <w:ind w:firstLineChars="200" w:firstLine="480"/>
        <w:rPr>
          <w:sz w:val="24"/>
        </w:rPr>
      </w:pPr>
      <w:r w:rsidRPr="00040DD7">
        <w:rPr>
          <w:rFonts w:hint="eastAsia"/>
          <w:sz w:val="24"/>
        </w:rPr>
        <w:t>根据</w:t>
      </w:r>
      <w:r w:rsidR="00FE1CC4">
        <w:rPr>
          <w:rFonts w:hint="eastAsia"/>
          <w:sz w:val="24"/>
        </w:rPr>
        <w:t>饲料配方</w:t>
      </w:r>
      <w:r w:rsidR="00FE1CC4">
        <w:rPr>
          <w:sz w:val="24"/>
        </w:rPr>
        <w:t>，</w:t>
      </w:r>
      <w:r w:rsidR="00FE1CC4">
        <w:rPr>
          <w:rFonts w:hint="eastAsia"/>
          <w:sz w:val="24"/>
        </w:rPr>
        <w:t>设定指数成分中</w:t>
      </w:r>
      <w:r>
        <w:rPr>
          <w:rFonts w:hint="eastAsia"/>
          <w:sz w:val="24"/>
        </w:rPr>
        <w:t>两</w:t>
      </w:r>
      <w:r>
        <w:rPr>
          <w:sz w:val="24"/>
        </w:rPr>
        <w:t>期货价格权重分别为：</w:t>
      </w:r>
    </w:p>
    <w:p w:rsidR="00040DD7" w:rsidRPr="00040DD7" w:rsidRDefault="00040DD7" w:rsidP="007D46EC">
      <w:pPr>
        <w:spacing w:line="600" w:lineRule="auto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玉米期货</m:t>
          </m:r>
          <m:r>
            <m:rPr>
              <m:sty m:val="p"/>
            </m:rPr>
            <w:rPr>
              <w:rFonts w:ascii="Cambria Math" w:hAnsi="Cambria Math"/>
              <w:sz w:val="24"/>
            </w:rPr>
            <m:t>价格权重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68%</m:t>
              </m:r>
            </m:num>
            <m:den>
              <m:r>
                <w:rPr>
                  <w:rFonts w:ascii="Cambria Math" w:hAnsi="Cambria Math"/>
                  <w:sz w:val="24"/>
                </w:rPr>
                <m:t>88%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 ≈77%</m:t>
          </m:r>
        </m:oMath>
      </m:oMathPara>
    </w:p>
    <w:p w:rsidR="00040DD7" w:rsidRPr="007D46EC" w:rsidRDefault="00040DD7" w:rsidP="007D46EC">
      <w:pPr>
        <w:spacing w:line="360" w:lineRule="auto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豆粕期货</m:t>
          </m:r>
          <m:r>
            <m:rPr>
              <m:sty m:val="p"/>
            </m:rPr>
            <w:rPr>
              <w:rFonts w:ascii="Cambria Math" w:hAnsi="Cambria Math"/>
              <w:sz w:val="24"/>
            </w:rPr>
            <m:t>价格权重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20%</m:t>
              </m:r>
            </m:num>
            <m:den>
              <m:r>
                <w:rPr>
                  <w:rFonts w:ascii="Cambria Math" w:hAnsi="Cambria Math"/>
                  <w:sz w:val="24"/>
                </w:rPr>
                <m:t>88%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 ≈23%</m:t>
          </m:r>
        </m:oMath>
      </m:oMathPara>
    </w:p>
    <w:p w:rsidR="007D46EC" w:rsidRDefault="007D46EC" w:rsidP="007D46EC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权重调整</w:t>
      </w:r>
    </w:p>
    <w:p w:rsidR="008E2D5B" w:rsidRPr="008E2D5B" w:rsidRDefault="008E2D5B" w:rsidP="008E2D5B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）固定时间</w:t>
      </w:r>
      <w:r>
        <w:rPr>
          <w:b/>
          <w:sz w:val="24"/>
        </w:rPr>
        <w:t>调整：</w:t>
      </w:r>
      <w:r w:rsidRPr="008E2D5B">
        <w:rPr>
          <w:rFonts w:hint="eastAsia"/>
          <w:sz w:val="24"/>
        </w:rPr>
        <w:t>权重</w:t>
      </w:r>
      <w:r>
        <w:rPr>
          <w:rFonts w:hint="eastAsia"/>
          <w:sz w:val="24"/>
        </w:rPr>
        <w:t>原则上</w:t>
      </w:r>
      <w:r w:rsidRPr="008E2D5B">
        <w:rPr>
          <w:rFonts w:hint="eastAsia"/>
          <w:sz w:val="24"/>
        </w:rPr>
        <w:t>每年</w:t>
      </w:r>
      <w:r>
        <w:rPr>
          <w:rFonts w:hint="eastAsia"/>
          <w:sz w:val="24"/>
        </w:rPr>
        <w:t>根据</w:t>
      </w:r>
      <w:r>
        <w:rPr>
          <w:sz w:val="24"/>
        </w:rPr>
        <w:t>情况</w:t>
      </w:r>
      <w:r>
        <w:rPr>
          <w:rFonts w:hint="eastAsia"/>
          <w:sz w:val="24"/>
        </w:rPr>
        <w:t>由</w:t>
      </w:r>
      <w:r>
        <w:rPr>
          <w:sz w:val="24"/>
        </w:rPr>
        <w:t>______</w:t>
      </w:r>
      <w:r>
        <w:rPr>
          <w:rFonts w:hint="eastAsia"/>
          <w:sz w:val="24"/>
        </w:rPr>
        <w:t>审查决定</w:t>
      </w:r>
      <w:r>
        <w:rPr>
          <w:sz w:val="24"/>
        </w:rPr>
        <w:t>是否调整</w:t>
      </w:r>
      <w:r w:rsidRPr="008E2D5B"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审查日</w:t>
      </w:r>
      <w:proofErr w:type="gramEnd"/>
      <w:r>
        <w:rPr>
          <w:rFonts w:hint="eastAsia"/>
          <w:sz w:val="24"/>
        </w:rPr>
        <w:t>为</w:t>
      </w:r>
      <w:r w:rsidRPr="008E2D5B">
        <w:rPr>
          <w:rFonts w:hint="eastAsia"/>
          <w:sz w:val="24"/>
        </w:rPr>
        <w:t>每年</w:t>
      </w:r>
      <w:r w:rsidRPr="008E2D5B">
        <w:rPr>
          <w:rFonts w:hint="eastAsia"/>
          <w:sz w:val="24"/>
        </w:rPr>
        <w:t>7</w:t>
      </w:r>
      <w:r w:rsidRPr="008E2D5B">
        <w:rPr>
          <w:rFonts w:hint="eastAsia"/>
          <w:sz w:val="24"/>
        </w:rPr>
        <w:t>月的第一个交易日。</w:t>
      </w:r>
      <w:proofErr w:type="gramStart"/>
      <w:r>
        <w:rPr>
          <w:rFonts w:hint="eastAsia"/>
          <w:sz w:val="24"/>
        </w:rPr>
        <w:t>若决定</w:t>
      </w:r>
      <w:proofErr w:type="gramEnd"/>
      <w:r>
        <w:rPr>
          <w:rFonts w:hint="eastAsia"/>
          <w:sz w:val="24"/>
        </w:rPr>
        <w:t>调整则会将</w:t>
      </w:r>
      <w:r>
        <w:rPr>
          <w:sz w:val="24"/>
        </w:rPr>
        <w:t>调整方案提前两周公布。</w:t>
      </w:r>
    </w:p>
    <w:p w:rsidR="007D46EC" w:rsidRPr="00A31115" w:rsidRDefault="00A75262" w:rsidP="00A75262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b/>
          <w:sz w:val="28"/>
        </w:rPr>
        <w:t>合约选择与展期</w:t>
      </w:r>
    </w:p>
    <w:p w:rsidR="00A75262" w:rsidRPr="00A31115" w:rsidRDefault="00A75262" w:rsidP="00A75262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成分合约</w:t>
      </w:r>
    </w:p>
    <w:p w:rsidR="00A75262" w:rsidRDefault="00A75262" w:rsidP="00A7526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各品种</w:t>
      </w:r>
      <w:r>
        <w:rPr>
          <w:sz w:val="24"/>
        </w:rPr>
        <w:t>成分合约为主力合约，</w:t>
      </w:r>
      <w:r>
        <w:rPr>
          <w:rFonts w:hint="eastAsia"/>
          <w:sz w:val="24"/>
        </w:rPr>
        <w:t>即</w:t>
      </w:r>
      <w:r>
        <w:rPr>
          <w:sz w:val="24"/>
        </w:rPr>
        <w:t>持仓量最大的合约</w:t>
      </w:r>
      <w:r>
        <w:rPr>
          <w:rFonts w:hint="eastAsia"/>
          <w:sz w:val="24"/>
        </w:rPr>
        <w:t>，</w:t>
      </w:r>
      <w:r w:rsidRPr="00A75262">
        <w:rPr>
          <w:rFonts w:hint="eastAsia"/>
          <w:sz w:val="24"/>
        </w:rPr>
        <w:t>持仓量相同时选择成交量大的合约，成交量</w:t>
      </w:r>
      <w:proofErr w:type="gramStart"/>
      <w:r w:rsidRPr="00A75262">
        <w:rPr>
          <w:rFonts w:hint="eastAsia"/>
          <w:sz w:val="24"/>
        </w:rPr>
        <w:t>再相同</w:t>
      </w:r>
      <w:proofErr w:type="gramEnd"/>
      <w:r w:rsidRPr="00A75262">
        <w:rPr>
          <w:rFonts w:hint="eastAsia"/>
          <w:sz w:val="24"/>
        </w:rPr>
        <w:t>则选择远月合约</w:t>
      </w:r>
      <w:r>
        <w:rPr>
          <w:rFonts w:hint="eastAsia"/>
          <w:sz w:val="24"/>
        </w:rPr>
        <w:t>。</w:t>
      </w:r>
    </w:p>
    <w:p w:rsidR="00A75262" w:rsidRPr="00A31115" w:rsidRDefault="00A75262" w:rsidP="00A75262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展期方式</w:t>
      </w:r>
    </w:p>
    <w:p w:rsidR="00A75262" w:rsidRDefault="00A75262" w:rsidP="00FE1CC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判断天数</w:t>
      </w:r>
      <w:r w:rsidRPr="00A31115">
        <w:rPr>
          <w:rFonts w:hint="eastAsia"/>
          <w:color w:val="FF0000"/>
          <w:sz w:val="24"/>
        </w:rPr>
        <w:t>2</w:t>
      </w:r>
      <w:r>
        <w:rPr>
          <w:rFonts w:hint="eastAsia"/>
          <w:sz w:val="24"/>
        </w:rPr>
        <w:t>天</w:t>
      </w:r>
      <w:r>
        <w:rPr>
          <w:sz w:val="24"/>
        </w:rPr>
        <w:t>，展期天数</w:t>
      </w:r>
      <w:r w:rsidRPr="00A31115">
        <w:rPr>
          <w:rFonts w:hint="eastAsia"/>
          <w:color w:val="FF0000"/>
          <w:sz w:val="24"/>
        </w:rPr>
        <w:t>5</w:t>
      </w:r>
      <w:r>
        <w:rPr>
          <w:rFonts w:hint="eastAsia"/>
          <w:sz w:val="24"/>
        </w:rPr>
        <w:t>天</w:t>
      </w:r>
      <w:r>
        <w:rPr>
          <w:sz w:val="24"/>
        </w:rPr>
        <w:t>。</w:t>
      </w:r>
      <w:proofErr w:type="gramStart"/>
      <w:r>
        <w:rPr>
          <w:rFonts w:hint="eastAsia"/>
          <w:sz w:val="24"/>
        </w:rPr>
        <w:t>当</w:t>
      </w:r>
      <w:r>
        <w:rPr>
          <w:sz w:val="24"/>
        </w:rPr>
        <w:t>品种</w:t>
      </w:r>
      <w:proofErr w:type="spellStart"/>
      <w:proofErr w:type="gramEnd"/>
      <w:r>
        <w:rPr>
          <w:sz w:val="24"/>
        </w:rPr>
        <w:t>i</w:t>
      </w:r>
      <w:proofErr w:type="spellEnd"/>
      <w:r w:rsidR="005E04C0">
        <w:rPr>
          <w:rFonts w:hint="eastAsia"/>
          <w:sz w:val="24"/>
        </w:rPr>
        <w:t>远</w:t>
      </w:r>
      <w:r>
        <w:rPr>
          <w:rFonts w:hint="eastAsia"/>
          <w:sz w:val="24"/>
        </w:rPr>
        <w:t>月合约</w:t>
      </w:r>
      <w:r w:rsidR="005E04C0">
        <w:rPr>
          <w:sz w:val="24"/>
        </w:rPr>
        <w:t>的持仓量连续两天</w:t>
      </w:r>
      <w:r w:rsidR="005E04C0">
        <w:rPr>
          <w:rFonts w:hint="eastAsia"/>
          <w:sz w:val="24"/>
        </w:rPr>
        <w:t>大</w:t>
      </w:r>
      <w:r w:rsidR="005E04C0">
        <w:rPr>
          <w:sz w:val="24"/>
        </w:rPr>
        <w:t>于</w:t>
      </w:r>
      <w:r w:rsidR="005E04C0">
        <w:rPr>
          <w:rFonts w:hint="eastAsia"/>
          <w:sz w:val="24"/>
        </w:rPr>
        <w:t>近</w:t>
      </w:r>
      <w:r>
        <w:rPr>
          <w:sz w:val="24"/>
        </w:rPr>
        <w:t>月合约持仓量，</w:t>
      </w:r>
      <w:r>
        <w:rPr>
          <w:rFonts w:hint="eastAsia"/>
          <w:sz w:val="24"/>
        </w:rPr>
        <w:t>认定品种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进入</w:t>
      </w:r>
      <w:r>
        <w:rPr>
          <w:rFonts w:hint="eastAsia"/>
          <w:sz w:val="24"/>
        </w:rPr>
        <w:t>展期周期</w:t>
      </w:r>
      <w:r>
        <w:rPr>
          <w:sz w:val="24"/>
        </w:rPr>
        <w:t>。</w:t>
      </w:r>
    </w:p>
    <w:p w:rsidR="00A75262" w:rsidRDefault="00A75262" w:rsidP="00FE1CC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展期周期</w:t>
      </w:r>
      <w:r>
        <w:rPr>
          <w:sz w:val="24"/>
        </w:rPr>
        <w:t>为随后的</w:t>
      </w:r>
      <w:r>
        <w:rPr>
          <w:rFonts w:hint="eastAsia"/>
          <w:sz w:val="24"/>
        </w:rPr>
        <w:t>第一个至第五个交易日</w:t>
      </w:r>
      <w:r w:rsidR="00FE1CC4">
        <w:rPr>
          <w:rFonts w:hint="eastAsia"/>
          <w:sz w:val="24"/>
        </w:rPr>
        <w:t>。前四个</w:t>
      </w:r>
      <w:r w:rsidR="00FE1CC4">
        <w:rPr>
          <w:sz w:val="24"/>
        </w:rPr>
        <w:t>交易日</w:t>
      </w:r>
      <w:r w:rsidR="00FE1CC4">
        <w:rPr>
          <w:rFonts w:hint="eastAsia"/>
          <w:sz w:val="24"/>
        </w:rPr>
        <w:t>收盘后</w:t>
      </w:r>
      <w:r w:rsidR="00FE1CC4">
        <w:rPr>
          <w:sz w:val="24"/>
        </w:rPr>
        <w:t>近月合约持仓量占总持仓比例为</w:t>
      </w:r>
      <w:r w:rsidR="00FE1CC4">
        <w:rPr>
          <w:rFonts w:hint="eastAsia"/>
          <w:sz w:val="24"/>
        </w:rPr>
        <w:t>4/5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3/5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2/5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1/5</w:t>
      </w:r>
      <w:r w:rsidR="00FE1CC4">
        <w:rPr>
          <w:rFonts w:hint="eastAsia"/>
          <w:sz w:val="24"/>
        </w:rPr>
        <w:t>；</w:t>
      </w:r>
      <w:r w:rsidR="00FE1CC4">
        <w:rPr>
          <w:sz w:val="24"/>
        </w:rPr>
        <w:t>远月合约持仓比例为</w:t>
      </w:r>
      <w:r w:rsidR="00FE1CC4">
        <w:rPr>
          <w:rFonts w:hint="eastAsia"/>
          <w:sz w:val="24"/>
        </w:rPr>
        <w:t>1/5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2/5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3/5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4/5</w:t>
      </w:r>
      <w:r w:rsidR="00FE1CC4">
        <w:rPr>
          <w:rFonts w:hint="eastAsia"/>
          <w:sz w:val="24"/>
        </w:rPr>
        <w:t>。第五个交易日</w:t>
      </w:r>
      <w:r w:rsidR="00FE1CC4">
        <w:rPr>
          <w:sz w:val="24"/>
        </w:rPr>
        <w:t>收盘后，</w:t>
      </w:r>
      <w:r w:rsidR="00FE1CC4">
        <w:rPr>
          <w:rFonts w:hint="eastAsia"/>
          <w:sz w:val="24"/>
        </w:rPr>
        <w:t>原远月合约</w:t>
      </w:r>
      <w:r w:rsidR="00FE1CC4">
        <w:rPr>
          <w:sz w:val="24"/>
        </w:rPr>
        <w:t>正式成为指数成分</w:t>
      </w:r>
      <w:r w:rsidR="00FE1CC4">
        <w:rPr>
          <w:rFonts w:hint="eastAsia"/>
          <w:sz w:val="24"/>
        </w:rPr>
        <w:t>，</w:t>
      </w:r>
      <w:r w:rsidR="00FE1CC4">
        <w:rPr>
          <w:sz w:val="24"/>
        </w:rPr>
        <w:t>原近月合约从指数中剔除。</w:t>
      </w:r>
    </w:p>
    <w:p w:rsidR="00CE24CE" w:rsidRDefault="00CE24CE" w:rsidP="00FE1CC4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若在判断周期</w:t>
      </w:r>
      <w:r>
        <w:rPr>
          <w:sz w:val="24"/>
        </w:rPr>
        <w:t>和展期周期</w:t>
      </w:r>
      <w:r>
        <w:rPr>
          <w:rFonts w:hint="eastAsia"/>
          <w:sz w:val="24"/>
        </w:rPr>
        <w:t>中交易所未</w:t>
      </w:r>
      <w:r>
        <w:rPr>
          <w:sz w:val="24"/>
        </w:rPr>
        <w:t>开市或因其他情况导致</w:t>
      </w:r>
      <w:r>
        <w:rPr>
          <w:rFonts w:hint="eastAsia"/>
          <w:sz w:val="24"/>
        </w:rPr>
        <w:t>当日</w:t>
      </w:r>
      <w:r>
        <w:rPr>
          <w:sz w:val="24"/>
        </w:rPr>
        <w:t>近远月合约价格无法获取，则</w:t>
      </w:r>
      <w:r>
        <w:rPr>
          <w:rFonts w:hint="eastAsia"/>
          <w:sz w:val="24"/>
        </w:rPr>
        <w:t>从下一个</w:t>
      </w:r>
      <w:r w:rsidR="00F47C2C">
        <w:rPr>
          <w:rFonts w:hint="eastAsia"/>
          <w:sz w:val="24"/>
        </w:rPr>
        <w:t>非异常交易日</w:t>
      </w:r>
      <w:r w:rsidR="00F47C2C">
        <w:rPr>
          <w:sz w:val="24"/>
        </w:rPr>
        <w:t>开始</w:t>
      </w:r>
      <w:r w:rsidR="00F47C2C">
        <w:rPr>
          <w:rFonts w:hint="eastAsia"/>
          <w:sz w:val="24"/>
        </w:rPr>
        <w:t>继续</w:t>
      </w:r>
      <w:r w:rsidR="00F47C2C">
        <w:rPr>
          <w:sz w:val="24"/>
        </w:rPr>
        <w:t>该周期</w:t>
      </w:r>
      <w:r w:rsidR="00F47C2C">
        <w:rPr>
          <w:rFonts w:hint="eastAsia"/>
          <w:sz w:val="24"/>
        </w:rPr>
        <w:t>。</w:t>
      </w:r>
      <w:r w:rsidR="00F47C2C">
        <w:rPr>
          <w:sz w:val="24"/>
        </w:rPr>
        <w:t>若</w:t>
      </w:r>
      <w:r w:rsidR="00F47C2C">
        <w:rPr>
          <w:rFonts w:hint="eastAsia"/>
          <w:sz w:val="24"/>
        </w:rPr>
        <w:t>出现</w:t>
      </w:r>
      <w:r w:rsidR="00F47C2C">
        <w:rPr>
          <w:sz w:val="24"/>
        </w:rPr>
        <w:t>连续超过三天无法获取价格数据</w:t>
      </w:r>
      <w:r w:rsidR="00F47C2C">
        <w:rPr>
          <w:rFonts w:hint="eastAsia"/>
          <w:sz w:val="24"/>
        </w:rPr>
        <w:t>的情况</w:t>
      </w:r>
      <w:r w:rsidR="00F47C2C">
        <w:rPr>
          <w:sz w:val="24"/>
        </w:rPr>
        <w:t>则归入下列</w:t>
      </w:r>
      <w:r w:rsidR="00F47C2C" w:rsidRPr="00F47C2C">
        <w:rPr>
          <w:b/>
          <w:sz w:val="24"/>
        </w:rPr>
        <w:t>“</w:t>
      </w:r>
      <w:r w:rsidR="00F47C2C" w:rsidRPr="00F47C2C">
        <w:rPr>
          <w:rFonts w:hint="eastAsia"/>
          <w:b/>
          <w:sz w:val="24"/>
        </w:rPr>
        <w:t>七</w:t>
      </w:r>
      <w:r w:rsidR="00F47C2C" w:rsidRPr="00F47C2C">
        <w:rPr>
          <w:b/>
          <w:sz w:val="24"/>
        </w:rPr>
        <w:t>、异常情况</w:t>
      </w:r>
      <w:r w:rsidR="00F47C2C" w:rsidRPr="00F47C2C">
        <w:rPr>
          <w:b/>
          <w:sz w:val="24"/>
        </w:rPr>
        <w:t>”</w:t>
      </w:r>
      <w:r w:rsidR="00F47C2C">
        <w:rPr>
          <w:rFonts w:hint="eastAsia"/>
          <w:sz w:val="24"/>
        </w:rPr>
        <w:t>处理</w:t>
      </w:r>
      <w:r w:rsidR="00F47C2C">
        <w:rPr>
          <w:sz w:val="24"/>
        </w:rPr>
        <w:t>。</w:t>
      </w:r>
    </w:p>
    <w:p w:rsidR="00FE1CC4" w:rsidRPr="00A31115" w:rsidRDefault="00FE1CC4" w:rsidP="00FE1CC4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强制展期</w:t>
      </w:r>
    </w:p>
    <w:p w:rsidR="00FE1CC4" w:rsidRDefault="00FE1CC4" w:rsidP="00F7768F">
      <w:pPr>
        <w:spacing w:line="360" w:lineRule="auto"/>
        <w:ind w:firstLineChars="200" w:firstLine="480"/>
        <w:rPr>
          <w:sz w:val="24"/>
        </w:rPr>
      </w:pPr>
      <w:r w:rsidRPr="00FE1CC4">
        <w:rPr>
          <w:rFonts w:hint="eastAsia"/>
          <w:sz w:val="24"/>
        </w:rPr>
        <w:t>若主力合约在交割月前</w:t>
      </w:r>
      <w:r w:rsidRPr="00F47C2C">
        <w:rPr>
          <w:rFonts w:hint="eastAsia"/>
          <w:sz w:val="24"/>
          <w:highlight w:val="yellow"/>
        </w:rPr>
        <w:t>两个月最后一个交易日</w:t>
      </w:r>
      <w:r w:rsidRPr="00FE1CC4">
        <w:rPr>
          <w:rFonts w:hint="eastAsia"/>
          <w:sz w:val="24"/>
        </w:rPr>
        <w:t>仍然无法判定从下一个交易日起开始展期，则从下一个交易日起，按</w:t>
      </w:r>
      <w:r w:rsidRPr="00FE1CC4">
        <w:rPr>
          <w:sz w:val="24"/>
        </w:rPr>
        <w:t>上述展期规则</w:t>
      </w:r>
      <w:r w:rsidRPr="00FE1CC4">
        <w:rPr>
          <w:rFonts w:hint="eastAsia"/>
          <w:sz w:val="24"/>
        </w:rPr>
        <w:t>展期至</w:t>
      </w:r>
      <w:proofErr w:type="gramStart"/>
      <w:r w:rsidRPr="00FE1CC4">
        <w:rPr>
          <w:rFonts w:hint="eastAsia"/>
          <w:sz w:val="24"/>
        </w:rPr>
        <w:t>远月次主力</w:t>
      </w:r>
      <w:proofErr w:type="gramEnd"/>
      <w:r w:rsidRPr="00FE1CC4">
        <w:rPr>
          <w:rFonts w:hint="eastAsia"/>
          <w:sz w:val="24"/>
        </w:rPr>
        <w:t>合约。</w:t>
      </w:r>
    </w:p>
    <w:p w:rsidR="00FE1CC4" w:rsidRPr="00A31115" w:rsidRDefault="00FE1CC4" w:rsidP="00FE1CC4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指数计算</w:t>
      </w:r>
    </w:p>
    <w:p w:rsidR="00FE1CC4" w:rsidRDefault="00F7768F" w:rsidP="00F7768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指数单位为指数点</w:t>
      </w:r>
      <w:r>
        <w:rPr>
          <w:sz w:val="24"/>
        </w:rPr>
        <w:t>，精确到小数点后两位</w:t>
      </w:r>
      <w:r w:rsidRPr="00F7768F">
        <w:rPr>
          <w:rFonts w:hint="eastAsia"/>
          <w:sz w:val="24"/>
        </w:rPr>
        <w:t>，采用实时计算。同时</w:t>
      </w:r>
      <w:r>
        <w:rPr>
          <w:rFonts w:hint="eastAsia"/>
          <w:sz w:val="24"/>
        </w:rPr>
        <w:t>每日收盘后计算发布结算价指数</w:t>
      </w:r>
      <w:r w:rsidRPr="00F7768F">
        <w:rPr>
          <w:rFonts w:hint="eastAsia"/>
          <w:sz w:val="24"/>
        </w:rPr>
        <w:t>结算价指数由各成分合约的结算价计算</w:t>
      </w:r>
      <w:r>
        <w:rPr>
          <w:rFonts w:hint="eastAsia"/>
          <w:sz w:val="24"/>
        </w:rPr>
        <w:t>而</w:t>
      </w:r>
      <w:r w:rsidRPr="00F7768F">
        <w:rPr>
          <w:rFonts w:hint="eastAsia"/>
          <w:sz w:val="24"/>
        </w:rPr>
        <w:t>得。</w:t>
      </w:r>
      <w:r w:rsidR="002C5D7F">
        <w:rPr>
          <w:rFonts w:hint="eastAsia"/>
          <w:sz w:val="24"/>
        </w:rPr>
        <w:t>指数</w:t>
      </w:r>
      <w:r w:rsidR="002C5D7F">
        <w:rPr>
          <w:sz w:val="24"/>
        </w:rPr>
        <w:t>采取链式计算法则，</w:t>
      </w:r>
      <w:r>
        <w:rPr>
          <w:rFonts w:hint="eastAsia"/>
          <w:sz w:val="24"/>
        </w:rPr>
        <w:t>具体计算方法为</w:t>
      </w:r>
      <w:r w:rsidR="002C5D7F">
        <w:rPr>
          <w:sz w:val="24"/>
        </w:rPr>
        <w:t>：</w:t>
      </w:r>
    </w:p>
    <w:p w:rsidR="002C5D7F" w:rsidRPr="002C5D7F" w:rsidRDefault="00C52C84" w:rsidP="002C5D7F">
      <w:pPr>
        <w:spacing w:line="360" w:lineRule="auto"/>
        <w:ind w:firstLineChars="200" w:firstLine="560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i,t-1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</w:rPr>
            <m:t>×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t-1</m:t>
              </m:r>
            </m:sub>
          </m:sSub>
        </m:oMath>
      </m:oMathPara>
    </w:p>
    <w:p w:rsidR="002C5D7F" w:rsidRPr="002C5D7F" w:rsidRDefault="00C52C84" w:rsidP="002C5D7F">
      <w:pPr>
        <w:spacing w:line="360" w:lineRule="auto"/>
        <w:ind w:firstLineChars="200" w:firstLine="560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=1000</m:t>
          </m:r>
        </m:oMath>
      </m:oMathPara>
    </w:p>
    <w:p w:rsidR="002C5D7F" w:rsidRPr="002C5D7F" w:rsidRDefault="002C5D7F" w:rsidP="002C5D7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i,t</m:t>
            </m:r>
          </m:sub>
        </m:sSub>
      </m:oMath>
      <w:r w:rsidRPr="002C5D7F">
        <w:rPr>
          <w:rFonts w:hint="eastAsia"/>
          <w:sz w:val="24"/>
        </w:rPr>
        <w:t>表示品种</w:t>
      </w:r>
      <w:proofErr w:type="spellStart"/>
      <w:r w:rsidRPr="002C5D7F">
        <w:rPr>
          <w:rFonts w:hint="eastAsia"/>
          <w:sz w:val="24"/>
        </w:rPr>
        <w:t>i</w:t>
      </w:r>
      <w:proofErr w:type="spellEnd"/>
      <w:r w:rsidR="00606885">
        <w:rPr>
          <w:rFonts w:hint="eastAsia"/>
          <w:sz w:val="24"/>
        </w:rPr>
        <w:t>第</w:t>
      </w:r>
      <w:r w:rsidR="00606885">
        <w:rPr>
          <w:rFonts w:hint="eastAsia"/>
          <w:sz w:val="24"/>
        </w:rPr>
        <w:t>t</w:t>
      </w:r>
      <w:r w:rsidR="00606885">
        <w:rPr>
          <w:rFonts w:hint="eastAsia"/>
          <w:sz w:val="24"/>
        </w:rPr>
        <w:t>日</w:t>
      </w:r>
      <w:r w:rsidRPr="002C5D7F">
        <w:rPr>
          <w:rFonts w:hint="eastAsia"/>
          <w:sz w:val="24"/>
        </w:rPr>
        <w:t>的</w:t>
      </w:r>
      <w:r w:rsidRPr="002C5D7F">
        <w:rPr>
          <w:sz w:val="24"/>
        </w:rPr>
        <w:t>权重因子，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</m:oMath>
      <w:r w:rsidRPr="002C5D7F">
        <w:rPr>
          <w:rFonts w:hint="eastAsia"/>
          <w:sz w:val="24"/>
        </w:rPr>
        <w:t>为</w:t>
      </w:r>
      <w:r w:rsidRPr="002C5D7F">
        <w:rPr>
          <w:sz w:val="24"/>
        </w:rPr>
        <w:t>第</w:t>
      </w:r>
      <w:r w:rsidRPr="002C5D7F">
        <w:rPr>
          <w:rFonts w:hint="eastAsia"/>
          <w:sz w:val="24"/>
        </w:rPr>
        <w:t>t</w:t>
      </w:r>
      <w:r w:rsidRPr="002C5D7F">
        <w:rPr>
          <w:rFonts w:hint="eastAsia"/>
          <w:sz w:val="24"/>
        </w:rPr>
        <w:t>日</w:t>
      </w:r>
      <w:r w:rsidRPr="002C5D7F">
        <w:rPr>
          <w:sz w:val="24"/>
        </w:rPr>
        <w:t>指数点数，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2C5D7F">
        <w:rPr>
          <w:rFonts w:hint="eastAsia"/>
          <w:sz w:val="24"/>
        </w:rPr>
        <w:t>为</w:t>
      </w:r>
      <w:r w:rsidRPr="002C5D7F">
        <w:rPr>
          <w:sz w:val="24"/>
        </w:rPr>
        <w:t>基期点数。</w:t>
      </w:r>
    </w:p>
    <w:p w:rsidR="002C5D7F" w:rsidRDefault="002C5D7F" w:rsidP="00AA630C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proofErr w:type="gramStart"/>
      <w:r w:rsidRPr="00AA630C">
        <w:rPr>
          <w:rFonts w:hint="eastAsia"/>
          <w:sz w:val="24"/>
        </w:rPr>
        <w:t>当品种</w:t>
      </w:r>
      <w:proofErr w:type="spellStart"/>
      <w:proofErr w:type="gramEnd"/>
      <w:r w:rsidRPr="00AA630C">
        <w:rPr>
          <w:sz w:val="24"/>
        </w:rPr>
        <w:t>i</w:t>
      </w:r>
      <w:proofErr w:type="spellEnd"/>
      <w:r w:rsidRPr="00AA630C">
        <w:rPr>
          <w:sz w:val="24"/>
        </w:rPr>
        <w:t>不处于展期周期时：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i,t</m:t>
            </m:r>
          </m:sub>
        </m:sSub>
      </m:oMath>
      <w:r w:rsidRPr="00AA630C">
        <w:rPr>
          <w:rFonts w:hint="eastAsia"/>
          <w:sz w:val="24"/>
          <w:szCs w:val="24"/>
        </w:rPr>
        <w:t>为</w:t>
      </w:r>
      <w:r w:rsidRPr="00AA630C">
        <w:rPr>
          <w:sz w:val="24"/>
          <w:szCs w:val="24"/>
        </w:rPr>
        <w:t>指数所持有的品种</w:t>
      </w:r>
      <w:proofErr w:type="spellStart"/>
      <w:r w:rsidRPr="00AA630C">
        <w:rPr>
          <w:rFonts w:hint="eastAsia"/>
          <w:sz w:val="24"/>
          <w:szCs w:val="24"/>
        </w:rPr>
        <w:t>i</w:t>
      </w:r>
      <w:proofErr w:type="spellEnd"/>
      <w:r w:rsidRPr="00AA630C">
        <w:rPr>
          <w:rFonts w:hint="eastAsia"/>
          <w:sz w:val="24"/>
          <w:szCs w:val="24"/>
        </w:rPr>
        <w:t>近月</w:t>
      </w:r>
      <w:proofErr w:type="gramStart"/>
      <w:r w:rsidRPr="00AA630C">
        <w:rPr>
          <w:rFonts w:hint="eastAsia"/>
          <w:sz w:val="24"/>
          <w:szCs w:val="24"/>
        </w:rPr>
        <w:t>合约</w:t>
      </w:r>
      <w:r w:rsidRPr="00AA630C">
        <w:rPr>
          <w:sz w:val="24"/>
          <w:szCs w:val="24"/>
        </w:rPr>
        <w:t>第</w:t>
      </w:r>
      <w:proofErr w:type="gramEnd"/>
      <w:r w:rsidRPr="00AA630C">
        <w:rPr>
          <w:rFonts w:hint="eastAsia"/>
          <w:sz w:val="24"/>
          <w:szCs w:val="24"/>
        </w:rPr>
        <w:t>t</w:t>
      </w:r>
      <w:r w:rsidRPr="00AA630C">
        <w:rPr>
          <w:rFonts w:hint="eastAsia"/>
          <w:sz w:val="24"/>
          <w:szCs w:val="24"/>
        </w:rPr>
        <w:t>日</w:t>
      </w:r>
      <w:r w:rsidRPr="00AA630C">
        <w:rPr>
          <w:sz w:val="24"/>
          <w:szCs w:val="24"/>
        </w:rPr>
        <w:t>的计算价格（</w:t>
      </w:r>
      <w:r w:rsidRPr="00AA630C">
        <w:rPr>
          <w:rFonts w:hint="eastAsia"/>
          <w:sz w:val="24"/>
          <w:szCs w:val="24"/>
        </w:rPr>
        <w:t>收盘点位以结算价为准</w:t>
      </w:r>
      <w:r w:rsidRPr="00AA630C">
        <w:rPr>
          <w:sz w:val="24"/>
          <w:szCs w:val="24"/>
        </w:rPr>
        <w:t>，实时点位以实时成交价为准，</w:t>
      </w:r>
      <w:r w:rsidRPr="00AA630C">
        <w:rPr>
          <w:sz w:val="24"/>
        </w:rPr>
        <w:t>下同）</w:t>
      </w:r>
      <w:r w:rsidRPr="00AA630C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i,t-1</m:t>
            </m:r>
          </m:sub>
        </m:sSub>
      </m:oMath>
      <w:r w:rsidRPr="00AA630C">
        <w:rPr>
          <w:rFonts w:hint="eastAsia"/>
          <w:sz w:val="24"/>
        </w:rPr>
        <w:t>为</w:t>
      </w:r>
      <w:r w:rsidRPr="00AA630C">
        <w:rPr>
          <w:sz w:val="24"/>
        </w:rPr>
        <w:t>指数持有的品种</w:t>
      </w:r>
      <w:proofErr w:type="spellStart"/>
      <w:r w:rsidRPr="00AA630C">
        <w:rPr>
          <w:rFonts w:hint="eastAsia"/>
          <w:sz w:val="24"/>
        </w:rPr>
        <w:t>i</w:t>
      </w:r>
      <w:proofErr w:type="spellEnd"/>
      <w:r w:rsidRPr="00AA630C">
        <w:rPr>
          <w:rFonts w:hint="eastAsia"/>
          <w:sz w:val="24"/>
        </w:rPr>
        <w:t>近月</w:t>
      </w:r>
      <w:proofErr w:type="gramStart"/>
      <w:r w:rsidRPr="00AA630C">
        <w:rPr>
          <w:rFonts w:hint="eastAsia"/>
          <w:sz w:val="24"/>
        </w:rPr>
        <w:t>合约</w:t>
      </w:r>
      <w:r w:rsidRPr="00AA630C">
        <w:rPr>
          <w:sz w:val="24"/>
        </w:rPr>
        <w:t>第</w:t>
      </w:r>
      <w:proofErr w:type="gramEnd"/>
      <w:r w:rsidRPr="00AA630C">
        <w:rPr>
          <w:rFonts w:hint="eastAsia"/>
          <w:sz w:val="24"/>
        </w:rPr>
        <w:t>t-1</w:t>
      </w:r>
      <w:r w:rsidRPr="00AA630C">
        <w:rPr>
          <w:rFonts w:hint="eastAsia"/>
          <w:sz w:val="24"/>
        </w:rPr>
        <w:t>日</w:t>
      </w:r>
      <w:r w:rsidRPr="00AA630C">
        <w:rPr>
          <w:sz w:val="24"/>
        </w:rPr>
        <w:t>的结算价。</w:t>
      </w:r>
    </w:p>
    <w:p w:rsidR="00AA630C" w:rsidRPr="00AA630C" w:rsidRDefault="00AA630C" w:rsidP="00AA630C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proofErr w:type="gramStart"/>
      <w:r w:rsidRPr="00AA630C">
        <w:rPr>
          <w:rFonts w:hint="eastAsia"/>
          <w:sz w:val="24"/>
        </w:rPr>
        <w:t>当品种</w:t>
      </w:r>
      <w:proofErr w:type="spellStart"/>
      <w:proofErr w:type="gramEnd"/>
      <w:r w:rsidRPr="00AA630C">
        <w:rPr>
          <w:sz w:val="24"/>
        </w:rPr>
        <w:t>i</w:t>
      </w:r>
      <w:proofErr w:type="spellEnd"/>
      <w:r w:rsidRPr="00AA630C">
        <w:rPr>
          <w:sz w:val="24"/>
        </w:rPr>
        <w:t>处于展期周期时：</w:t>
      </w:r>
    </w:p>
    <w:p w:rsidR="00AA630C" w:rsidRPr="00AA630C" w:rsidRDefault="00C52C84" w:rsidP="002C5D7F">
      <w:pPr>
        <w:spacing w:line="360" w:lineRule="auto"/>
        <w:ind w:firstLineChars="200" w:firstLine="5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近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近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远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远</m:t>
              </m:r>
            </m:sup>
          </m:sSubSup>
        </m:oMath>
      </m:oMathPara>
    </w:p>
    <w:p w:rsidR="00AA630C" w:rsidRPr="00AA630C" w:rsidRDefault="00C52C84" w:rsidP="00AA630C">
      <w:pPr>
        <w:spacing w:line="360" w:lineRule="auto"/>
        <w:ind w:firstLineChars="200" w:firstLine="5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近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i,t-1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近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远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i,t-1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远</m:t>
              </m:r>
            </m:sup>
          </m:sSubSup>
        </m:oMath>
      </m:oMathPara>
    </w:p>
    <w:p w:rsidR="00A31115" w:rsidRDefault="00AA630C" w:rsidP="00A31115">
      <w:pPr>
        <w:spacing w:line="360" w:lineRule="auto"/>
        <w:ind w:firstLineChars="200" w:firstLine="480"/>
        <w:rPr>
          <w:sz w:val="24"/>
          <w:szCs w:val="24"/>
        </w:rPr>
      </w:pPr>
      <w:r w:rsidRPr="00AA630C">
        <w:rPr>
          <w:rFonts w:hint="eastAsia"/>
          <w:sz w:val="24"/>
          <w:szCs w:val="24"/>
        </w:rPr>
        <w:t>其中</w:t>
      </w:r>
      <w:r w:rsidRPr="00AA630C">
        <w:rPr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近</m:t>
            </m:r>
          </m:sup>
        </m:sSubSup>
      </m:oMath>
      <w:r w:rsidRPr="00AA630C">
        <w:rPr>
          <w:rFonts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近</m:t>
            </m:r>
          </m:sup>
        </m:sSubSup>
      </m:oMath>
      <w:r w:rsidRPr="00AA630C">
        <w:rPr>
          <w:rFonts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近</m:t>
            </m:r>
          </m:sup>
        </m:sSubSup>
      </m:oMath>
      <w:r w:rsidRPr="00AA630C">
        <w:rPr>
          <w:rFonts w:hint="eastAsia"/>
          <w:sz w:val="24"/>
          <w:szCs w:val="24"/>
        </w:rPr>
        <w:t>为</w:t>
      </w:r>
      <w:r w:rsidRPr="00AA630C">
        <w:rPr>
          <w:sz w:val="24"/>
          <w:szCs w:val="24"/>
        </w:rPr>
        <w:t>指数持有品种</w:t>
      </w:r>
      <w:proofErr w:type="spellStart"/>
      <w:r w:rsidRPr="00AA630C">
        <w:rPr>
          <w:sz w:val="24"/>
          <w:szCs w:val="24"/>
        </w:rPr>
        <w:t>i</w:t>
      </w:r>
      <w:proofErr w:type="spellEnd"/>
      <w:r w:rsidRPr="00AA630C">
        <w:rPr>
          <w:sz w:val="24"/>
          <w:szCs w:val="24"/>
        </w:rPr>
        <w:t>近月</w:t>
      </w:r>
      <w:proofErr w:type="gramStart"/>
      <w:r w:rsidRPr="00AA630C">
        <w:rPr>
          <w:sz w:val="24"/>
          <w:szCs w:val="24"/>
        </w:rPr>
        <w:t>合约第</w:t>
      </w:r>
      <w:proofErr w:type="gramEnd"/>
      <w:r w:rsidRPr="00AA630C">
        <w:rPr>
          <w:rFonts w:hint="eastAsia"/>
          <w:sz w:val="24"/>
          <w:szCs w:val="24"/>
        </w:rPr>
        <w:t>t</w:t>
      </w:r>
      <w:r w:rsidRPr="00AA630C">
        <w:rPr>
          <w:rFonts w:hint="eastAsia"/>
          <w:sz w:val="24"/>
          <w:szCs w:val="24"/>
        </w:rPr>
        <w:t>日</w:t>
      </w:r>
      <w:r w:rsidRPr="00AA630C">
        <w:rPr>
          <w:sz w:val="24"/>
          <w:szCs w:val="24"/>
        </w:rPr>
        <w:t>的计算价格、结算价格及持仓比例（</w:t>
      </w:r>
      <w:r w:rsidRPr="00AA630C">
        <w:rPr>
          <w:rFonts w:hint="eastAsia"/>
          <w:sz w:val="24"/>
          <w:szCs w:val="24"/>
        </w:rPr>
        <w:t>持仓比例</w:t>
      </w:r>
      <w:r w:rsidRPr="00AA630C">
        <w:rPr>
          <w:sz w:val="24"/>
          <w:szCs w:val="24"/>
        </w:rPr>
        <w:t>按上述展期规则计算）</w:t>
      </w:r>
      <w:r w:rsidRPr="00AA630C">
        <w:rPr>
          <w:rFonts w:hint="eastAsia"/>
          <w:sz w:val="24"/>
          <w:szCs w:val="24"/>
        </w:rPr>
        <w:t>；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远</m:t>
            </m:r>
          </m:sup>
        </m:sSubSup>
      </m:oMath>
      <w:r w:rsidRPr="00AA630C">
        <w:rPr>
          <w:rFonts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远</m:t>
            </m:r>
          </m:sup>
        </m:sSubSup>
      </m:oMath>
      <w:r w:rsidRPr="00AA630C">
        <w:rPr>
          <w:rFonts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远</m:t>
            </m:r>
          </m:sup>
        </m:sSubSup>
      </m:oMath>
      <w:r w:rsidRPr="00AA630C">
        <w:rPr>
          <w:rFonts w:hint="eastAsia"/>
          <w:sz w:val="24"/>
          <w:szCs w:val="24"/>
        </w:rPr>
        <w:t>为</w:t>
      </w:r>
      <w:r w:rsidRPr="00AA630C">
        <w:rPr>
          <w:sz w:val="24"/>
          <w:szCs w:val="24"/>
        </w:rPr>
        <w:t>指数持有品种</w:t>
      </w:r>
      <w:proofErr w:type="spellStart"/>
      <w:r w:rsidRPr="00AA630C">
        <w:rPr>
          <w:sz w:val="24"/>
          <w:szCs w:val="24"/>
        </w:rPr>
        <w:lastRenderedPageBreak/>
        <w:t>i</w:t>
      </w:r>
      <w:proofErr w:type="spellEnd"/>
      <w:r w:rsidRPr="00AA630C">
        <w:rPr>
          <w:rFonts w:hint="eastAsia"/>
          <w:sz w:val="24"/>
          <w:szCs w:val="24"/>
        </w:rPr>
        <w:t>远</w:t>
      </w:r>
      <w:r w:rsidRPr="00AA630C">
        <w:rPr>
          <w:sz w:val="24"/>
          <w:szCs w:val="24"/>
        </w:rPr>
        <w:t>月</w:t>
      </w:r>
      <w:proofErr w:type="gramStart"/>
      <w:r w:rsidRPr="00AA630C">
        <w:rPr>
          <w:sz w:val="24"/>
          <w:szCs w:val="24"/>
        </w:rPr>
        <w:t>合约第</w:t>
      </w:r>
      <w:proofErr w:type="gramEnd"/>
      <w:r w:rsidRPr="00AA630C">
        <w:rPr>
          <w:rFonts w:hint="eastAsia"/>
          <w:sz w:val="24"/>
          <w:szCs w:val="24"/>
        </w:rPr>
        <w:t>t</w:t>
      </w:r>
      <w:r w:rsidRPr="00AA630C">
        <w:rPr>
          <w:rFonts w:hint="eastAsia"/>
          <w:sz w:val="24"/>
          <w:szCs w:val="24"/>
        </w:rPr>
        <w:t>日</w:t>
      </w:r>
      <w:r w:rsidRPr="00AA630C">
        <w:rPr>
          <w:sz w:val="24"/>
          <w:szCs w:val="24"/>
        </w:rPr>
        <w:t>的计算价格、结算价格及持仓比例（</w:t>
      </w:r>
      <w:r w:rsidRPr="00AA630C">
        <w:rPr>
          <w:rFonts w:hint="eastAsia"/>
          <w:sz w:val="24"/>
          <w:szCs w:val="24"/>
        </w:rPr>
        <w:t>持仓比例</w:t>
      </w:r>
      <w:r w:rsidRPr="00AA630C">
        <w:rPr>
          <w:sz w:val="24"/>
          <w:szCs w:val="24"/>
        </w:rPr>
        <w:t>按上述展期规则计算）</w:t>
      </w:r>
      <w:r w:rsidR="00A03017">
        <w:rPr>
          <w:rFonts w:hint="eastAsia"/>
          <w:sz w:val="24"/>
          <w:szCs w:val="24"/>
        </w:rPr>
        <w:t>。</w:t>
      </w:r>
    </w:p>
    <w:p w:rsidR="00B845F6" w:rsidRPr="00F47C2C" w:rsidRDefault="00F47C2C" w:rsidP="00F47C2C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F47C2C">
        <w:rPr>
          <w:sz w:val="24"/>
          <w:szCs w:val="24"/>
        </w:rPr>
        <w:t>异常处理</w:t>
      </w:r>
    </w:p>
    <w:p w:rsidR="00F47C2C" w:rsidRPr="00F47C2C" w:rsidRDefault="00F47C2C" w:rsidP="00F47C2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F47C2C">
        <w:rPr>
          <w:rFonts w:hint="eastAsia"/>
          <w:sz w:val="24"/>
          <w:szCs w:val="24"/>
        </w:rPr>
        <w:t>本方案所指的异常情况包括：</w:t>
      </w:r>
    </w:p>
    <w:p w:rsidR="00F47C2C" w:rsidRPr="00F47C2C" w:rsidRDefault="00F47C2C" w:rsidP="00F47C2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F47C2C">
        <w:rPr>
          <w:rFonts w:hint="eastAsia"/>
          <w:sz w:val="24"/>
          <w:szCs w:val="24"/>
        </w:rPr>
        <w:t>①</w:t>
      </w:r>
      <w:r w:rsidRPr="00F47C2C">
        <w:rPr>
          <w:rFonts w:hint="eastAsia"/>
          <w:sz w:val="24"/>
          <w:szCs w:val="24"/>
        </w:rPr>
        <w:t>成分合约突然被强制摘牌（非正常到期摘牌）；</w:t>
      </w:r>
    </w:p>
    <w:p w:rsidR="00F47C2C" w:rsidRPr="00F47C2C" w:rsidRDefault="00F47C2C" w:rsidP="00F47C2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F47C2C"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展期判断周期及展期周期</w:t>
      </w:r>
      <w:r>
        <w:rPr>
          <w:sz w:val="24"/>
          <w:szCs w:val="24"/>
        </w:rPr>
        <w:t>中出现超过连续三天无法获取相应合约价格数据；</w:t>
      </w:r>
    </w:p>
    <w:p w:rsidR="00F47C2C" w:rsidRPr="00F47C2C" w:rsidRDefault="00F47C2C" w:rsidP="00F47C2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公司</w:t>
      </w:r>
      <w:r w:rsidRPr="00F47C2C">
        <w:rPr>
          <w:rFonts w:hint="eastAsia"/>
          <w:sz w:val="24"/>
          <w:szCs w:val="24"/>
        </w:rPr>
        <w:t>将根据实际情况，实施应对措施。</w:t>
      </w:r>
      <w:r>
        <w:rPr>
          <w:rFonts w:hint="eastAsia"/>
          <w:sz w:val="24"/>
          <w:szCs w:val="24"/>
        </w:rPr>
        <w:t>情况严重的</w:t>
      </w:r>
      <w:r>
        <w:rPr>
          <w:sz w:val="24"/>
          <w:szCs w:val="24"/>
        </w:rPr>
        <w:t>将暂停指数报价。</w:t>
      </w:r>
      <w:bookmarkStart w:id="0" w:name="_GoBack"/>
      <w:bookmarkEnd w:id="0"/>
    </w:p>
    <w:sectPr w:rsidR="00F47C2C" w:rsidRPr="00F47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75D8"/>
    <w:multiLevelType w:val="hybridMultilevel"/>
    <w:tmpl w:val="8EF03AC8"/>
    <w:lvl w:ilvl="0" w:tplc="E4F646B2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5C224A3"/>
    <w:multiLevelType w:val="hybridMultilevel"/>
    <w:tmpl w:val="8ACC46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97C14C8"/>
    <w:multiLevelType w:val="hybridMultilevel"/>
    <w:tmpl w:val="1FD6AAEA"/>
    <w:lvl w:ilvl="0" w:tplc="7B4CA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16143"/>
    <w:multiLevelType w:val="hybridMultilevel"/>
    <w:tmpl w:val="036ED5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23E5ABD"/>
    <w:multiLevelType w:val="hybridMultilevel"/>
    <w:tmpl w:val="7FF663BC"/>
    <w:lvl w:ilvl="0" w:tplc="D53E3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2A9123C"/>
    <w:multiLevelType w:val="hybridMultilevel"/>
    <w:tmpl w:val="AEBACBDE"/>
    <w:lvl w:ilvl="0" w:tplc="C2CE0B7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B327160"/>
    <w:multiLevelType w:val="hybridMultilevel"/>
    <w:tmpl w:val="3CF88B14"/>
    <w:lvl w:ilvl="0" w:tplc="66A66F16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720322E"/>
    <w:multiLevelType w:val="hybridMultilevel"/>
    <w:tmpl w:val="671E63A6"/>
    <w:lvl w:ilvl="0" w:tplc="5734B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FF1D5F"/>
    <w:multiLevelType w:val="hybridMultilevel"/>
    <w:tmpl w:val="7876D3FE"/>
    <w:lvl w:ilvl="0" w:tplc="4FF4DAB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4D"/>
    <w:rsid w:val="00040DD7"/>
    <w:rsid w:val="002C5D7F"/>
    <w:rsid w:val="005E04C0"/>
    <w:rsid w:val="0060564D"/>
    <w:rsid w:val="00606885"/>
    <w:rsid w:val="00630D58"/>
    <w:rsid w:val="007D46EC"/>
    <w:rsid w:val="008E2D5B"/>
    <w:rsid w:val="009B7B51"/>
    <w:rsid w:val="00A03017"/>
    <w:rsid w:val="00A31115"/>
    <w:rsid w:val="00A75262"/>
    <w:rsid w:val="00AA630C"/>
    <w:rsid w:val="00B753B4"/>
    <w:rsid w:val="00B845F6"/>
    <w:rsid w:val="00C52C84"/>
    <w:rsid w:val="00CE24CE"/>
    <w:rsid w:val="00E76C70"/>
    <w:rsid w:val="00F47C2C"/>
    <w:rsid w:val="00F7768F"/>
    <w:rsid w:val="00FE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08BD2-D8F3-4364-9E6C-80FF77B4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3B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0DD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30D5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0D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224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cp:lastPrinted>2018-01-17T07:45:00Z</cp:lastPrinted>
  <dcterms:created xsi:type="dcterms:W3CDTF">2018-01-17T00:41:00Z</dcterms:created>
  <dcterms:modified xsi:type="dcterms:W3CDTF">2018-01-17T09:33:00Z</dcterms:modified>
</cp:coreProperties>
</file>