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Hoover High School</w:t>
        <w:tab/>
        <w:tab/>
        <w:t xml:space="preserve">     VAPA Lead: Romela Khachikyan (AP) </w:t>
      </w:r>
      <w:hyperlink r:id="rId9">
        <w:r w:rsidDel="00000000" w:rsidR="00000000" w:rsidRPr="00000000">
          <w:rPr>
            <w:b w:val="1"/>
            <w:bCs w:val="1"/>
            <w:color w:val="0000ee"/>
            <w:u w:val="single"/>
            <w:rtl w:val="0"/>
          </w:rPr>
          <w:t xml:space="preserve">Melissa Campbell</w:t>
        </w:r>
      </w:hyperlink>
      <w:r w:rsidDel="00000000" w:rsidR="00000000" w:rsidRPr="00000000">
        <w:rPr>
          <w:b w:val="1"/>
          <w:bCs w:val="1"/>
          <w:rtl w:val="0"/>
        </w:rPr>
        <w:t xml:space="preserve"> (Chair)</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$269,891</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gridCol w:w="1185"/>
        <w:gridCol w:w="1410"/>
        <w:gridCol w:w="1335"/>
        <w:gridCol w:w="1350"/>
        <w:gridCol w:w="1350"/>
        <w:gridCol w:w="1455"/>
        <w:tblGridChange w:id="0">
          <w:tblGrid>
            <w:gridCol w:w="6300"/>
            <w:gridCol w:w="1185"/>
            <w:gridCol w:w="1410"/>
            <w:gridCol w:w="1335"/>
            <w:gridCol w:w="1350"/>
            <w:gridCol w:w="1350"/>
            <w:gridCol w:w="145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Educational workshops for VAPA classes x4 workshops.</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allocation for VAPA educational workshops covers comprehensive instructional fees for our Hoover teachers. Each session is budgeted to include all consumable materials and specialized supplies that exceed standard classroom inventories. By investing in these high-impact sessions, the department provides equitable access to industry-standard techniques and career-technical insights that bridge the gap between classroom theory and professional creative practice. These workshops are also an opportunity to invite students to experience the arts in an effort to recruit for our programs.</w:t>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150</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w:t>
            </w:r>
          </w:p>
        </w:tc>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Assistants (band, orchestra, choir, ceramics, drama, and entertainment tech).</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budget for VAPA Instructional Assistants covers essential support for high-enrollment and high-risk technical courses including Band, Orchestra, Choir, Ceramics, Drama, and Entertainment Tech. These positions provide specialized sectional coaching and real-time technical feedback, allowing for differentiated instruction that a single lead teacher cannot provide in a large ensemble or studio setting. Beyond direct student interaction, these assistants manage critical operational tasks: from the tuning and minor repair of delicate instruments in strings and brass, to the hazardous materials handling and kiln firing required in Ceramics. In Drama and Entertainment Tech, they often serve as Safety Supervisors, overseeing the operation of power tools, fly systems, and electrical rigging. This investment ensures that our creative spaces remain safe, professional, and pedagogically effective for every student.</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$158,000</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$158,000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w:t>
            </w:r>
            <w:r w:rsidDel="00000000" w:rsidR="00000000" w:rsidRPr="00000000">
              <w:rPr>
                <w:rFonts w:ascii="Calibri" w:cs="Calibri" w:eastAsia="Calibri" w:hAnsi="Calibri"/>
                <w:b w:val="1"/>
                <w:bCs w:val="1"/>
                <w:sz w:val="24"/>
                <w:szCs w:val="24"/>
                <w:rtl w:val="0"/>
              </w:rPr>
              <w:t xml:space="preserve">teacher</w:t>
            </w:r>
            <w:r w:rsidDel="00000000" w:rsidR="00000000" w:rsidRPr="00000000">
              <w:rPr>
                <w:rFonts w:ascii="Calibri" w:cs="Calibri" w:eastAsia="Calibri" w:hAnsi="Calibri"/>
                <w:b w:val="1"/>
                <w:bCs w:val="1"/>
                <w:sz w:val="24"/>
                <w:szCs w:val="24"/>
                <w:rtl w:val="0"/>
              </w:rPr>
              <w:t xml:space="preserve"> extra hourly for instructional time outside of regular classes and stipends.</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VAPA Teacher Extra Hourly covers essential instructional time that occurs outside of the standard school day, including after-school practices and technical theater "build days." This hourly rate compensates certificated staff for direct student contact time that exceeds their contractual load. These extra hours are designated for the leadership and administrative responsibilities inherent in the arts, and ensures that the school maintains a competitive and professional-caliber arts program.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$4,500</w:t>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VAPA/AME teacher collaboration pull-out day (at school site) x2 days.</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two VAPA/AME Teacher Collaboration Pull-out Days provides the essential "off-platform" time required for cross-curricular alignment and industry-standard program development. These dedicated days allow VAPA (Visual and Performing Arts) and AME (Arts, Media, and Entertainment) faculty to synchronize their instructional sequences, ensuring that traditional artistic foundations directly support technical AME applications. During these sessions, staff will conduct deep-dive curriculum mapping, integrate Career Technical Education (CTE) standards, and develop shared performance rubrics for interdisciplinary projects. By funding on-site substitutes for these two days, the department ensures that teachers can engage in high-level strategic planning—such as coordinating major productions, digital portfolio reviews, and industry guest speaker series—without disrupting the continuity of student learning.</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$2,600</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$2,600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Music/Drama collaboration pull-out day (with other school sites) x2 days.</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two Music/Drama Inter-Site Collaboration Days facilitates a unified approach to performing arts excellence across the district. By meeting in person, faculty can establish vertical alignment, ensuring that middle school students are technically prepared for the rigors of high school ensembles and theater productions. Furthermore, these sessions provide a dedicated forum to allow directors to share best practices for our respective fields. Funding these sessions ensures a cohesive, high-quality VAPA experience for all students, regardless of their home campus, and fosters a collaborative rather than competitive district culture.</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$1,200</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teacher </w:t>
            </w:r>
            <w:r w:rsidDel="00000000" w:rsidR="00000000" w:rsidRPr="00000000">
              <w:rPr>
                <w:rFonts w:ascii="Calibri" w:cs="Calibri" w:eastAsia="Calibri" w:hAnsi="Calibri"/>
                <w:b w:val="1"/>
                <w:bCs w:val="1"/>
                <w:sz w:val="24"/>
                <w:szCs w:val="24"/>
                <w:rtl w:val="0"/>
              </w:rPr>
              <w:t xml:space="preserve">trainings</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VAPA Teacher Training ensures that instructional staff remain at the forefront of arts pedagogy and industry-standard technical skills. By funding these PD opportunities, the district invests in high-leverage instructional strategies that directly impact student engagement, such as trauma-informed arts practices and culturally responsive repertoire selection. Furthermore, these trainings provide teachers with the necessary hours to maintain CTE (Career Technical Education) credentials, ensuring that AME pathways remain eligible for state funding.</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w:t>
            </w:r>
          </w:p>
        </w:tc>
        <w:tc>
          <w:tcPr>
            <w:tcMar>
              <w:top w:w="100.0" w:type="dxa"/>
              <w:left w:w="100.0" w:type="dxa"/>
              <w:bottom w:w="100.0" w:type="dxa"/>
              <w:right w:w="100.0" w:type="dxa"/>
            </w:tcMar>
          </w:tcPr>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teacher conferences.</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VAPA Teacher Conferences is a critical investment in maintaining the technical and pedagogical competitive edge of our arts programs. These state and national convenings provide intensive, hands-on workshops that are unavailable through standard district professional development, covering specialized topics. Participation in these conferences ensures that our faculty remain state-certified and industry-aligned, particularly for AME pathways where teachers must bridge the gap between classroom instruction and professional workforce expectations.</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classroom supplies &amp; materials (approx. $1,000 per VAPA teacher), including:</w:t>
            </w:r>
          </w:p>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 supplies, such as paints, brushes, clay, glazes, and canvases for visual arts classes.</w:t>
            </w:r>
          </w:p>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-Music supplies, such as sheet music, reeds, strings, and microphones for choir and band/orchestra.</w:t>
            </w:r>
          </w:p>
          <w:p w:rsidR="00000000" w:rsidDel="00000000" w:rsidP="00000000" w:rsidRDefault="00000000" w:rsidRPr="00000000" w14:paraId="000000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-Theatre/AME supplies, such as props, costume pieces, lighting gels, or media arts equipment.</w:t>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request for $1,000 per VAPA teacher covers the essential consumable materials and specialized small-equipment maintenance required to facilitate daily hands-on learning. This funding ensures that no student is barred from participation due to an inability to provide their own professional-grade equipment. Furthermore, these funds support the "technical health" of our equipment—covering the replacement of items that endure high wear-and-tear, ensuring that our studio and performance spaces remain functional and safe throughout the academic year.</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$12,000</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rtl w:val="0"/>
              </w:rPr>
              <w:t xml:space="preserve">Field trip expenses - </w:t>
            </w:r>
            <w:r w:rsidDel="00000000" w:rsidR="00000000" w:rsidRPr="00000000">
              <w:rPr>
                <w:rFonts w:ascii="Calibri" w:cs="Calibri" w:eastAsia="Calibri" w:hAnsi="Calibri"/>
                <w:b w:val="1"/>
                <w:bCs w:val="1"/>
                <w:sz w:val="24"/>
                <w:szCs w:val="24"/>
                <w:highlight w:val="white"/>
                <w:rtl w:val="0"/>
              </w:rPr>
              <w:t xml:space="preserve">buses and registration fees for arts-related performances/events, museum visits, and adjudications.</w:t>
            </w:r>
          </w:p>
          <w:p w:rsidR="00000000" w:rsidDel="00000000" w:rsidP="00000000" w:rsidRDefault="00000000" w:rsidRPr="00000000" w14:paraId="0000005F">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allocation for VAPA Field Trip Expenses covers the essential logistics and entrance requirements for off-site artistic immersion, including professional performances, museum exhibitions, and competitive adjudications. Furthermore, funding for district transportation (buses) ensures equitable access, allowing all students to experience world-class art and professional theater. These trips bridge the gap between classroom practice and professional reality, offering students a "front-row seat" to the career pathways available in the Arts, Media, and Entertainment (AME) sectors.</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$35,000</w:t>
            </w:r>
          </w:p>
        </w:tc>
        <w:tc>
          <w:tcPr>
            <w:tcMar>
              <w:top w:w="100.0" w:type="dxa"/>
              <w:left w:w="100.0" w:type="dxa"/>
              <w:bottom w:w="100.0" w:type="dxa"/>
              <w:right w:w="100.0" w:type="dxa"/>
            </w:tcMar>
          </w:tcPr>
          <w:p w:rsidR="00000000" w:rsidDel="00000000" w:rsidP="00000000" w:rsidRDefault="00000000" w:rsidRPr="00000000" w14:paraId="000000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Performance Space AV Upgrade (performance bond).</w:t>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the Performance Space AV Upgrade includes a Performance Bond, which serves as a critical financial guarantee for the successful completion of the project. This bond protects the school’s investment by ensuring that the contracted AV integrator delivers the hardware, installation, and system programming according to the approved technical specifications and timeline. If the contractor defaults or fails to meet the quality standards, the surety company is legally obligated to provide the funds or the personnel to finish the upgrade at no additional cost to the school.</w:t>
            </w:r>
          </w:p>
        </w:tc>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$5,212.70</w:t>
            </w:r>
          </w:p>
        </w:tc>
        <w:tc>
          <w:tcPr>
            <w:tcMar>
              <w:top w:w="100.0" w:type="dxa"/>
              <w:left w:w="100.0" w:type="dxa"/>
              <w:bottom w:w="100.0" w:type="dxa"/>
              <w:right w:w="100.0" w:type="dxa"/>
            </w:tcMar>
          </w:tcPr>
          <w:p w:rsidR="00000000" w:rsidDel="00000000" w:rsidP="00000000" w:rsidRDefault="00000000" w:rsidRPr="00000000" w14:paraId="000000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$5,212.70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Performance Space AV Upgrade (using 23-24 waiver funds) - auditorium and little theater upgrades.</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utilizes 2023-24 Prop 28 waiver funds to modernize the primary performance venues at Hoover High School, including the Main Auditorium and the Little Theater. The upgrade shifts these spaces from outdated analog systems to industry-standard digital environments, directly supporting the Media Arts and Entertainment (AME) curriculum. This project is a one-time capital investment that significantly expands the capacity for student exhibitions, performances, and interdisciplinary digital media projects, fulfilling the Prop 28 mandate to supplement and enhance arts education.</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$173,000</w:t>
            </w:r>
          </w:p>
        </w:tc>
        <w:tc>
          <w:tcPr>
            <w:tcMar>
              <w:top w:w="100.0" w:type="dxa"/>
              <w:left w:w="100.0" w:type="dxa"/>
              <w:bottom w:w="100.0" w:type="dxa"/>
              <w:right w:w="100.0" w:type="dxa"/>
            </w:tcMar>
          </w:tcPr>
          <w:p w:rsidR="00000000" w:rsidDel="00000000" w:rsidP="00000000" w:rsidRDefault="00000000" w:rsidRPr="00000000" w14:paraId="0000007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Instrument Repair Costs - Bertrand’s Music.</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Instrument Repair budget ensures the longevity and playability of the school’s permanent instrument inventory. Unlike general equipment maintenance, woodwind, brass, and string instruments require specialized service from certified technicians to address air leaks, valve alignment, and structural integrity. Regular servicing through a verified professional partner like Bertrand's prevents costly full-instrument replacements and preserves the district’s long-term capital investment.</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85</w:t>
            </w:r>
          </w:p>
        </w:tc>
        <w:tc>
          <w:tcPr>
            <w:tcMar>
              <w:top w:w="100.0" w:type="dxa"/>
              <w:left w:w="100.0" w:type="dxa"/>
              <w:bottom w:w="100.0" w:type="dxa"/>
              <w:right w:w="100.0" w:type="dxa"/>
            </w:tcMar>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Band and Choir Educational Opportunity Performance Trip - students will perform and attend a masterclass workshop at Disneyland with professional musicians and entertainers.</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funding for the Band and Choir Educational Performance Trip covers a multi-faceted industry immersion at the Disneyland Resort through the Disney Imagination Campus. During the performance phase, students are treated as "honorary cast members," performing for an international audience on a world-class stage supported by professional Disney technicians. This experience fulfills several National Core Arts Standards and provides students with direct access to career-technical insights from working professionals in the global entertainment industry.</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75</w:t>
            </w:r>
          </w:p>
        </w:tc>
        <w:tc>
          <w:tcPr>
            <w:tcMar>
              <w:top w:w="100.0" w:type="dxa"/>
              <w:left w:w="100.0" w:type="dxa"/>
              <w:bottom w:w="100.0" w:type="dxa"/>
              <w:right w:w="100.0" w:type="dxa"/>
            </w:tcMar>
          </w:tcPr>
          <w:p w:rsidR="00000000" w:rsidDel="00000000" w:rsidP="00000000" w:rsidRDefault="00000000" w:rsidRPr="00000000" w14:paraId="0000008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w:t>
            </w:r>
          </w:p>
        </w:tc>
        <w:tc>
          <w:tcPr>
            <w:tcMar>
              <w:top w:w="100.0" w:type="dxa"/>
              <w:left w:w="100.0" w:type="dxa"/>
              <w:bottom w:w="100.0" w:type="dxa"/>
              <w:right w:w="100.0" w:type="dxa"/>
            </w:tcMar>
          </w:tcPr>
          <w:p w:rsidR="00000000" w:rsidDel="00000000" w:rsidP="00000000" w:rsidRDefault="00000000" w:rsidRPr="00000000" w14:paraId="0000008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Window wraps and banners to highlight VAPA programs on Hoover’s campus.</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allocation for campus window wraps and banners utilizes 2023-24 Prop 28 waiver funds to transform Hoover’s physical environment into a dedicated "Arts Hub." By installing professional-grade window wraps and high-impact banners, the school defines and enhances its specialized VAPA gallery and performance display areas, creating a clear distinction between standard classrooms and professional creative spaces. This investment strengthens the instructional environment by mimicking the branding and curation found in professional galleries and conservatories, fostering a sense of artistic identity and increases the visual conditions across the campus community.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$22,000</w:t>
            </w:r>
          </w:p>
        </w:tc>
        <w:tc>
          <w:tcPr>
            <w:tcMar>
              <w:top w:w="100.0" w:type="dxa"/>
              <w:left w:w="100.0" w:type="dxa"/>
              <w:bottom w:w="100.0" w:type="dxa"/>
              <w:right w:w="100.0" w:type="dxa"/>
            </w:tcMar>
          </w:tcPr>
          <w:p w:rsidR="00000000" w:rsidDel="00000000" w:rsidP="00000000" w:rsidRDefault="00000000" w:rsidRPr="00000000" w14:paraId="0000008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VAPA Department instructional materials, including: large format poster printers, colored printer ink, and professional grade bond paper to print and display student work and promotional materials.</w:t>
            </w:r>
          </w:p>
          <w:p w:rsidR="00000000" w:rsidDel="00000000" w:rsidP="00000000" w:rsidRDefault="00000000" w:rsidRPr="00000000" w14:paraId="0000008F">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These additional materials support the high-output printing and display needs of the Visual Arts, Media Arts, and Performing Arts departments. By investing in large-format poster printers and professional-grade bond paper, the department can move beyond standard letter-sized printing to create gallery-quality exhibitions of student work. This equipment is essential for teaching Media Arts and Graphic Design standards. Furthermore, these materials are used to produce professional promotional materials (concert posters, theater playbills, and exhibition signage), which elevates the visibility of the VAPA program and mimics the marketing workflows of professional arts organizations. This investment ensures that student achievements are showcased with the technical polish expected in the modern creative industry.</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500+</w:t>
            </w:r>
          </w:p>
        </w:tc>
        <w:tc>
          <w:tcPr>
            <w:tcMar>
              <w:top w:w="100.0" w:type="dxa"/>
              <w:left w:w="100.0" w:type="dxa"/>
              <w:bottom w:w="100.0" w:type="dxa"/>
              <w:right w:w="100.0" w:type="dxa"/>
            </w:tcMar>
          </w:tcPr>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3D Printing Post-Processing units for Digital Arts program.</w:t>
            </w:r>
          </w:p>
          <w:p w:rsidR="00000000" w:rsidDel="00000000" w:rsidP="00000000" w:rsidRDefault="00000000" w:rsidRPr="00000000" w14:paraId="00000097">
            <w:pPr>
              <w:spacing w:line="276"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request for the Form Wash V2 and Form Cure V2 provides the necessary industrial infrastructure to complete the Stereolithography (SLA) 3D printing workflow. Resin printing requires a precise two-stage post-processing cycle: first, the Form Wash V2 automates the removal of uncured resin using a timed solvent bath, ensuring student projects have crisp details and a tack-free surface without the hazards of manual chemical handling. Second, the Form Cure V2 utilizes a calibrated chamber of 405nm UV light and convective heat to finalize the chemical polymerization of the parts. This curing process is essential for students to achieve the maximum mechanical properties of the resin—transforming brittle "green" prints into durable, functional prototypes for theater props, jewelry design, and mechanical engineering. By automating these stages, the department ensures a repeatable, professional-grade output while maintaining a clean and safe laboratory environment.</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tcMar>
              <w:top w:w="100.0" w:type="dxa"/>
              <w:left w:w="100.0" w:type="dxa"/>
              <w:bottom w:w="100.0" w:type="dxa"/>
              <w:right w:w="100.0" w:type="dxa"/>
            </w:tcMar>
          </w:tcPr>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$22,500</w:t>
            </w:r>
          </w:p>
        </w:tc>
        <w:tc>
          <w:tcP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$22,500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E">
            <w:pP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Concert Shells for Hoover Auditorium</w:t>
            </w:r>
          </w:p>
          <w:p w:rsidR="00000000" w:rsidDel="00000000" w:rsidP="00000000" w:rsidRDefault="00000000" w:rsidRPr="00000000" w14:paraId="0000009F">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request for a Concert Shell System is a critical infrastructure investment designed to transform the Hoover Auditorium into a professional-grade acoustic environment. These specialized, high-density composite shells create a mobile acoustic chamber that reflects sound back to the performers (improving intonation and ensemble timing) and projects it forward into the audience with clarity and balanced frequency response. Furthermore, the portable, collapsible design ensures the auditorium remains a multi-use space, allowing for rapid transitions between theatrical productions and musical concerts.</w:t>
            </w:r>
          </w:p>
        </w:tc>
        <w:tc>
          <w:tcP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w:t>
            </w:r>
          </w:p>
        </w:tc>
        <w:tc>
          <w:tcPr>
            <w:tcMar>
              <w:top w:w="100.0" w:type="dxa"/>
              <w:left w:w="100.0" w:type="dxa"/>
              <w:bottom w:w="100.0" w:type="dxa"/>
              <w:right w:w="100.0" w:type="dxa"/>
            </w:tcMar>
          </w:tcPr>
          <w:p w:rsidR="00000000" w:rsidDel="00000000" w:rsidP="00000000" w:rsidRDefault="00000000" w:rsidRPr="00000000" w14:paraId="000000A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VAPA </w:t>
            </w:r>
            <w:r w:rsidDel="00000000" w:rsidR="00000000" w:rsidRPr="00000000">
              <w:rPr>
                <w:rFonts w:ascii="Calibri" w:cs="Calibri" w:eastAsia="Calibri" w:hAnsi="Calibri"/>
                <w:b w:val="1"/>
                <w:bCs w:val="1"/>
                <w:sz w:val="24"/>
                <w:szCs w:val="24"/>
                <w:rtl w:val="0"/>
              </w:rPr>
              <w:t xml:space="preserve">teacher</w:t>
            </w:r>
            <w:r w:rsidDel="00000000" w:rsidR="00000000" w:rsidRPr="00000000">
              <w:rPr>
                <w:rFonts w:ascii="Calibri" w:cs="Calibri" w:eastAsia="Calibri" w:hAnsi="Calibri"/>
                <w:b w:val="1"/>
                <w:bCs w:val="1"/>
                <w:sz w:val="24"/>
                <w:szCs w:val="24"/>
                <w:rtl w:val="0"/>
              </w:rPr>
              <w:t xml:space="preserve"> extra hourly for instructional time during summer months.</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a portion of the remaining 2025-26 AMS funds, the allocation for VAPA Teacher Extra Hourly covers essential instructional time that occurs during the summer months to continue student education within the visual and performing arts. This hourly rate compensates certificated staff for direct student contact time that exceeds their contractual load. These extra hours are designated for the leadership and administrative responsibilities inherent in the arts, and ensures that the school maintains a competitive and professional-caliber arts program.</w:t>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200+</w:t>
            </w:r>
          </w:p>
        </w:tc>
        <w:tc>
          <w:tcPr>
            <w:tcMar>
              <w:top w:w="100.0" w:type="dxa"/>
              <w:left w:w="100.0" w:type="dxa"/>
              <w:bottom w:w="100.0" w:type="dxa"/>
              <w:right w:w="100.0" w:type="dxa"/>
            </w:tcMar>
          </w:tcPr>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$522,012.70</w:t>
            </w:r>
          </w:p>
        </w:tc>
      </w:tr>
    </w:tbl>
    <w:p w:rsidR="00000000" w:rsidDel="00000000" w:rsidP="00000000" w:rsidRDefault="00000000" w:rsidRPr="00000000" w14:paraId="000000B5">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elissacampbell@gusd.net"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cmRqh50TBAZOK6pMlgQYrPbwRw==">CgMxLjA4AHIhMURDa3RSYlZ6aTFfXzk2SmVjclFFX3dKTTc1R25UdnJH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