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b/>
          <w:color w:val="117C88"/>
          <w:sz w:val="22"/>
        </w:rPr>
        <w:t>ENTERPRISE INFORMATION GOVERNANCE</w:t>
      </w:r>
    </w:p>
    <w:p>
      <w:pPr>
        <w:pStyle w:val="Title"/>
      </w:pPr>
      <w:r>
        <w:t>Implementation Roles</w:t>
        <w:br/>
        <w:t>and Cross-Functional</w:t>
        <w:br/>
        <w:t>Product Assessment</w:t>
      </w:r>
    </w:p>
    <w:p>
      <w:pPr>
        <w:spacing w:after="480"/>
      </w:pPr>
      <w:r>
        <w:rPr>
          <w:sz w:val="24"/>
        </w:rPr>
        <w:t>A role-led, threat-aware implementation review of the existing 346-feature Enterprise KMS blueprint.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736"/>
            <w:vAlign w:val="center"/>
            <w:shd w:fill="14273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BASELINE</w:t>
            </w:r>
          </w:p>
        </w:tc>
        <w:tc>
          <w:tcPr>
            <w:tcW w:type="dxa" w:w="7200"/>
            <w:vAlign w:val="center"/>
            <w:shd w:fill="14273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REVIEW INVENTORY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Existing scope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22 modules  •  346 previously defined feature requirements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Implementation structure</w:t>
            </w:r>
          </w:p>
        </w:tc>
        <w:tc>
          <w:tcPr>
            <w:tcW w:type="dxa" w:w="7200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44 specialist responsibilities  •  26 operational role templates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Assurance and decisions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35 tracked product risks  •  22 architecture decisions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Change analysis</w:t>
            </w:r>
          </w:p>
        </w:tc>
        <w:tc>
          <w:tcPr>
            <w:tcW w:type="dxa" w:w="7200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14 conditional baseline-priority revisions  •  15 design conflicts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Reference date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20 October 2026  •  proposed requirements, not implemented software</w:t>
            </w:r>
          </w:p>
        </w:tc>
      </w:tr>
    </w:tbl>
    <w:p>
      <w:pPr>
        <w:spacing w:after="40"/>
      </w:pPr>
    </w:p>
    <w:p>
      <w:pPr/>
      <w:r>
        <w:t>Prepared to accompany, not replace, the Enterprise KMS 346-Feature Requirements Blueprint and Tracker. This document does not constitute a security certification, compliance finding or software delivery.</w:t>
      </w:r>
    </w:p>
    <w:p>
      <w:pPr/>
      <w:r>
        <w:t>Role IDs, module IDs, decision IDs, risk IDs and gate IDs are reusable keys for procurement, staffing, engineering tickets, test cases and formal signoffs.</w:t>
      </w:r>
    </w:p>
    <w:p>
      <w:pPr>
        <w:pStyle w:val="Heading1"/>
        <w:pageBreakBefore/>
      </w:pPr>
      <w:r>
        <w:t>1. Scope and interpretation</w:t>
      </w:r>
    </w:p>
    <w:p>
      <w:pPr/>
      <w:r>
        <w:t>The proposed product combines independent subsidiary governance, enterprise DMS/KMS functionality, optional Zero-Knowledge content, records controls, AI-assisted discovery and multilingual interfaces. Its trust model includes a WordPress integration boundary and an independent document/identity service. A WordPress administrator is NOT by default a repository administrator or decryption authority.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interpretation: </w:t>
      </w:r>
      <w:r>
        <w:t>An implementation role is an accountable discipline, not necessarily a distinct full-time employee. A single team member may cover several compatible roles; independent assessors, key trustees, and conflict-of-interest checks must not be collapsed into the people they verify.</w:t>
      </w:r>
    </w:p>
    <w:p>
      <w:pPr>
        <w:pStyle w:val="ReviewBody"/>
        <w:ind w:left="245"/>
      </w:pPr>
      <w:r>
        <w:rPr>
          <w:b/>
          <w:color w:val="117C88"/>
        </w:rPr>
        <w:t xml:space="preserve">Assessment method: </w:t>
      </w:r>
      <w:r>
        <w:t>Reviewed the 22 module headings and 346 feature IDs in the supplied blueprint; mapped required specialists to module ownership, cryptographic/authorization consequences, operating roles, evidence, and phase gates.</w:t>
      </w:r>
    </w:p>
    <w:p>
      <w:pPr>
        <w:pStyle w:val="ReviewBody"/>
        <w:ind w:left="245"/>
      </w:pPr>
      <w:r>
        <w:rPr>
          <w:b/>
          <w:color w:val="117C88"/>
        </w:rPr>
        <w:t xml:space="preserve">Risk vocabulary: </w:t>
      </w:r>
      <w:r>
        <w:t>Blocker = cannot claim high-assurance production readiness until resolved. High = address before affected feature is enabled or formally govern residual risk. Medium = planned control and tracked verification. No software can be promised defect-free.</w:t>
      </w:r>
    </w:p>
    <w:p>
      <w:pPr>
        <w:pStyle w:val="ReviewBody"/>
        <w:ind w:left="245"/>
      </w:pPr>
      <w:r>
        <w:rPr>
          <w:b/>
          <w:color w:val="117C88"/>
        </w:rPr>
        <w:t xml:space="preserve">Core architectural constraint: </w:t>
      </w:r>
      <w:r>
        <w:t>Zero-Knowledge contents cannot be meaningfully processed by ordinary server-side OCR, AI, converters or malware scanners without exposing plaintext or adopting a different threat model. The feature availability matrix must be enforced, not implied.</w:t>
      </w:r>
    </w:p>
    <w:p>
      <w:pPr>
        <w:pStyle w:val="ReviewBody"/>
        <w:ind w:left="245"/>
      </w:pPr>
      <w:r>
        <w:rPr>
          <w:b/>
          <w:color w:val="117C88"/>
        </w:rPr>
        <w:t xml:space="preserve">Scope boundaries: </w:t>
      </w:r>
      <w:r>
        <w:t>Local regulatory regimes, deployment country, number and sensitivity of users, identity-provider choice, data volumes, hosting model, security certifications, procurement contracts, and numerical SLOs still require sponsor signoff.</w:t>
      </w:r>
    </w:p>
    <w:p>
      <w:pPr>
        <w:pStyle w:val="Heading1"/>
      </w:pPr>
      <w:r>
        <w:t>2. Implementation role catalog</w:t>
      </w:r>
    </w:p>
    <w:p>
      <w:pPr/>
      <w:r>
        <w:t>44 distinct responsibilities are grouped into strategy, business information governance, security/assurance and engineering. Prioritize the R07/R19/R20/R21/R28/R29/R31/R37 trust-boundary work before expanding AI or visual features.</w:t>
      </w:r>
    </w:p>
    <w:p>
      <w:pPr>
        <w:pStyle w:val="Heading2"/>
      </w:pPr>
      <w:r>
        <w:t>Strategy &amp; delivery  (10)</w:t>
      </w:r>
    </w:p>
    <w:p>
      <w:pPr>
        <w:pStyle w:val="SmallCaps"/>
      </w:pPr>
      <w:r>
        <w:t>R01  EXECUTIVE SPONSOR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Own business case, funding, risk appetite and final business authorization.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Approved charter; budget envelope; risk acceptance boundaries.</w:t>
      </w:r>
      <w:r>
        <w:rPr>
          <w:b/>
          <w:color w:val="117C88"/>
        </w:rPr>
        <w:t xml:space="preserve">     Engagement: </w:t>
      </w:r>
      <w:r>
        <w:t>Decision-maker; All.</w:t>
      </w:r>
    </w:p>
    <w:p>
      <w:pPr>
        <w:pStyle w:val="SmallCaps"/>
      </w:pPr>
      <w:r>
        <w:t>R02  HOLDING-COMPANY GOVERNANCE CHAIR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Resolve conflicts between group oversight and subsidiary autonomy.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Group governance policy; escalation and veto process.</w:t>
      </w:r>
      <w:r>
        <w:rPr>
          <w:b/>
          <w:color w:val="117C88"/>
        </w:rPr>
        <w:t xml:space="preserve">     Engagement: </w:t>
      </w:r>
      <w:r>
        <w:t>Decision-maker; All.</w:t>
      </w:r>
    </w:p>
    <w:p>
      <w:pPr>
        <w:pStyle w:val="SmallCaps"/>
      </w:pPr>
      <w:r>
        <w:t>R03  PRODUCT OWNER / PRODUCT DIRECTOR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Own roadmap, value hypotheses, scope, acceptance and product trade-offs.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Product vision; prioritization; signed acceptance criteria.</w:t>
      </w:r>
      <w:r>
        <w:rPr>
          <w:b/>
          <w:color w:val="117C88"/>
        </w:rPr>
        <w:t xml:space="preserve">     Engagement: </w:t>
      </w:r>
      <w:r>
        <w:t>Core; All.</w:t>
      </w:r>
    </w:p>
    <w:p>
      <w:pPr>
        <w:pStyle w:val="SmallCaps"/>
      </w:pPr>
      <w:r>
        <w:t>R04  PROGRAM / DELIVERY MANAGER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Run dependencies, milestones, resourcing, delivery risks and release governance.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Integrated program plan; RAID log; gate evidence pack.</w:t>
      </w:r>
      <w:r>
        <w:rPr>
          <w:b/>
          <w:color w:val="117C88"/>
        </w:rPr>
        <w:t xml:space="preserve">     Engagement: </w:t>
      </w:r>
      <w:r>
        <w:t>Core; All.</w:t>
      </w:r>
    </w:p>
    <w:p>
      <w:pPr>
        <w:pStyle w:val="SmallCaps"/>
      </w:pPr>
      <w:r>
        <w:t>R05  BUSINESS ANALYST / REQUIREMENTS ENGINEER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Convert workflows into detailed, testable specifications across entities.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Process maps; user stories; traceability; acceptance scenarios.</w:t>
      </w:r>
      <w:r>
        <w:rPr>
          <w:b/>
          <w:color w:val="117C88"/>
        </w:rPr>
        <w:t xml:space="preserve">     Engagement: </w:t>
      </w:r>
      <w:r>
        <w:t>Core; Discovery–release.</w:t>
      </w:r>
    </w:p>
    <w:p>
      <w:pPr>
        <w:pStyle w:val="SmallCaps"/>
      </w:pPr>
      <w:r>
        <w:t>R06  ENTERPRISE ARCHITECT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Ensure integration with IT strategy, identity estate and governance framework.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Architecture principles; capability map; integration boundaries.</w:t>
      </w:r>
      <w:r>
        <w:rPr>
          <w:b/>
          <w:color w:val="117C88"/>
        </w:rPr>
        <w:t xml:space="preserve">     Engagement: </w:t>
      </w:r>
      <w:r>
        <w:t>Core / fractional; Discovery–design.</w:t>
      </w:r>
    </w:p>
    <w:p>
      <w:pPr>
        <w:pStyle w:val="SmallCaps"/>
      </w:pPr>
      <w:r>
        <w:t>R07  SOLUTION ARCHITECT / TECHNICAL LEAD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Own system-wide design, architecture decision records and interfaces.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Threat-aware architecture; API boundaries; ADRs.</w:t>
      </w:r>
      <w:r>
        <w:rPr>
          <w:b/>
          <w:color w:val="117C88"/>
        </w:rPr>
        <w:t xml:space="preserve">     Engagement: </w:t>
      </w:r>
      <w:r>
        <w:t>Core; Design–release.</w:t>
      </w:r>
    </w:p>
    <w:p>
      <w:pPr>
        <w:pStyle w:val="SmallCaps"/>
      </w:pPr>
      <w:r>
        <w:t>R08  FINOPS / FINANCIAL ANALYST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Model storage, compute, OCR, AI, network egress, keys and long-term cost.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TCO model; tenant chargeback and budget guardrails.</w:t>
      </w:r>
      <w:r>
        <w:rPr>
          <w:b/>
          <w:color w:val="117C88"/>
        </w:rPr>
        <w:t xml:space="preserve">     Engagement: </w:t>
      </w:r>
      <w:r>
        <w:t>Fractional; Planning–operations.</w:t>
      </w:r>
    </w:p>
    <w:p>
      <w:pPr>
        <w:pStyle w:val="SmallCaps"/>
      </w:pPr>
      <w:r>
        <w:t>R09  PROCUREMENT AND THIRD-PARTY RISK LEAD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Assess IdP, hosting, KMS, converters, AI and signature vendors.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Vendor due diligence; DPAs; exit conditions and SLAs.</w:t>
      </w:r>
      <w:r>
        <w:rPr>
          <w:b/>
          <w:color w:val="117C88"/>
        </w:rPr>
        <w:t xml:space="preserve">     Engagement: </w:t>
      </w:r>
      <w:r>
        <w:t>Fractional; Design–operations.</w:t>
      </w:r>
    </w:p>
    <w:p>
      <w:pPr>
        <w:pStyle w:val="SmallCaps"/>
      </w:pPr>
      <w:r>
        <w:t>R10  CHANGE AND ADOPTION MANAGER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Lead stakeholder engagement, phased rollout, communications and training.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Adoption plan; pilot feedback; organizational readiness.</w:t>
      </w:r>
      <w:r>
        <w:rPr>
          <w:b/>
          <w:color w:val="117C88"/>
        </w:rPr>
        <w:t xml:space="preserve">     Engagement: </w:t>
      </w:r>
      <w:r>
        <w:t>Core / fractional; Pilot–operations.</w:t>
      </w:r>
    </w:p>
    <w:p>
      <w:pPr>
        <w:pStyle w:val="Heading2"/>
      </w:pPr>
      <w:r>
        <w:t>Business &amp; information  (8)</w:t>
      </w:r>
    </w:p>
    <w:p>
      <w:pPr>
        <w:pStyle w:val="SmallCaps"/>
      </w:pPr>
      <w:r>
        <w:t>R11  SUBSIDIARY REPRESENTATIVES / UAT LEADS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Represent each company and validate delegated administration workflows.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10-tenant UAT scenarios; local policy signoffs.</w:t>
      </w:r>
      <w:r>
        <w:rPr>
          <w:b/>
          <w:color w:val="117C88"/>
        </w:rPr>
        <w:t xml:space="preserve">     Engagement: </w:t>
      </w:r>
      <w:r>
        <w:t>Distributed business owners; Discovery–pilot.</w:t>
      </w:r>
    </w:p>
    <w:p>
      <w:pPr>
        <w:pStyle w:val="SmallCaps"/>
      </w:pPr>
      <w:r>
        <w:t>R12  RECORDS AND INFORMATION GOVERNANCE LEAD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Own classification, controlled records, retention, legal holds and disposition.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File plan; schedules; disposition protocol; audit evidence.</w:t>
      </w:r>
      <w:r>
        <w:rPr>
          <w:b/>
          <w:color w:val="117C88"/>
        </w:rPr>
        <w:t xml:space="preserve">     Engagement: </w:t>
      </w:r>
      <w:r>
        <w:t>Required domain owner; Design–operations.</w:t>
      </w:r>
    </w:p>
    <w:p>
      <w:pPr>
        <w:pStyle w:val="SmallCaps"/>
      </w:pPr>
      <w:r>
        <w:t>R13  LEGAL COUNSEL AND EDISCOVERY SPECIALIST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Define statutory records, electronic evidence and contractual sharing rights.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Jurisdiction matrix; legal holds; signature rules; disclosure playbooks.</w:t>
      </w:r>
      <w:r>
        <w:rPr>
          <w:b/>
          <w:color w:val="117C88"/>
        </w:rPr>
        <w:t xml:space="preserve">     Engagement: </w:t>
      </w:r>
      <w:r>
        <w:t>Specialist / legal signoff; Design–operations.</w:t>
      </w:r>
    </w:p>
    <w:p>
      <w:pPr>
        <w:pStyle w:val="SmallCaps"/>
      </w:pPr>
      <w:r>
        <w:t>R14  PRIVACY OFFICER / DPO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Resolve controller/processor duties, minimization, transfers and subject requests.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DPIA; lawful-basis map; erasure and transfer procedures.</w:t>
      </w:r>
      <w:r>
        <w:rPr>
          <w:b/>
          <w:color w:val="117C88"/>
        </w:rPr>
        <w:t xml:space="preserve">     Engagement: </w:t>
      </w:r>
      <w:r>
        <w:t>Independent oversight; Design–operations.</w:t>
      </w:r>
    </w:p>
    <w:p>
      <w:pPr>
        <w:pStyle w:val="SmallCaps"/>
      </w:pPr>
      <w:r>
        <w:t>R15  KNOWLEDGE ARCHITECT / TAXONOMY SPECIALIST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Structure wiki, canonical policy knowledge, metadata quality and ownership.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Taxonomy; editorial governance; content quality indicators.</w:t>
      </w:r>
      <w:r>
        <w:rPr>
          <w:b/>
          <w:color w:val="117C88"/>
        </w:rPr>
        <w:t xml:space="preserve">     Engagement: </w:t>
      </w:r>
      <w:r>
        <w:t>Core / fractional; Design–operations.</w:t>
      </w:r>
    </w:p>
    <w:p>
      <w:pPr>
        <w:pStyle w:val="SmallCaps"/>
      </w:pPr>
      <w:r>
        <w:t>R16  UX RESEARCHER / PRODUCT DESIGNER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Design usable multi-tenant workflows and high-stakes warnings.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Journey maps; interaction prototypes; usability research.</w:t>
      </w:r>
      <w:r>
        <w:rPr>
          <w:b/>
          <w:color w:val="117C88"/>
        </w:rPr>
        <w:t xml:space="preserve">     Engagement: </w:t>
      </w:r>
      <w:r>
        <w:t>Core; Discovery–release.</w:t>
      </w:r>
    </w:p>
    <w:p>
      <w:pPr>
        <w:pStyle w:val="SmallCaps"/>
      </w:pPr>
      <w:r>
        <w:t>R17  LOCALIZATION LEAD AND 13-LANGUAGE REVIEWERS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Own locale glossary, native review, RTL, linguistic correctness.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Locale specification; translation memory; signoff for 13 languages.</w:t>
      </w:r>
      <w:r>
        <w:rPr>
          <w:b/>
          <w:color w:val="117C88"/>
        </w:rPr>
        <w:t xml:space="preserve">     Engagement: </w:t>
      </w:r>
      <w:r>
        <w:t>Specialists; not 13 full-time staff; Design–release.</w:t>
      </w:r>
    </w:p>
    <w:p>
      <w:pPr>
        <w:pStyle w:val="SmallCaps"/>
      </w:pPr>
      <w:r>
        <w:t>R18  ACCESSIBILITY SPECIALIST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Measure keyboard, screen-reader, cognitive and bidirectional usability.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WCAG 2.2 AA audit; manual assistive-technology reports.</w:t>
      </w:r>
      <w:r>
        <w:rPr>
          <w:b/>
          <w:color w:val="117C88"/>
        </w:rPr>
        <w:t xml:space="preserve">     Engagement: </w:t>
      </w:r>
      <w:r>
        <w:t>Specialist / independent test; Design–release.</w:t>
      </w:r>
    </w:p>
    <w:p>
      <w:pPr>
        <w:pStyle w:val="Heading2"/>
      </w:pPr>
      <w:r>
        <w:t>Security &amp; assurance  (9)</w:t>
      </w:r>
    </w:p>
    <w:p>
      <w:pPr>
        <w:pStyle w:val="SmallCaps"/>
      </w:pPr>
      <w:r>
        <w:t>R19  APPLICATION SECURITY AND THREAT-MODEL ARCHITECT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Threat-model every entry point, isolation boundary and document operation.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Threat model; abuse cases; ASVS verification mapping.</w:t>
      </w:r>
      <w:r>
        <w:rPr>
          <w:b/>
          <w:color w:val="117C88"/>
        </w:rPr>
        <w:t xml:space="preserve">     Engagement: </w:t>
      </w:r>
      <w:r>
        <w:t>Core / independent review; Design–operations.</w:t>
      </w:r>
    </w:p>
    <w:p>
      <w:pPr>
        <w:pStyle w:val="SmallCaps"/>
      </w:pPr>
      <w:r>
        <w:t>R20  CRYPTOGRAPHIC PROTOCOL ENGINEER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Design E2EE, recipient identity, keys, recovery and algorithm agility.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Protocol design; test vectors; client integrity assumptions.</w:t>
      </w:r>
      <w:r>
        <w:rPr>
          <w:b/>
          <w:color w:val="117C88"/>
        </w:rPr>
        <w:t xml:space="preserve">     Engagement: </w:t>
      </w:r>
      <w:r>
        <w:t>Specialist; critical; Design–security acceptance.</w:t>
      </w:r>
    </w:p>
    <w:p>
      <w:pPr>
        <w:pStyle w:val="SmallCaps"/>
      </w:pPr>
      <w:r>
        <w:t>R21  IAM / PAM ARCHITECT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Own SSO, SCIM, tenant memberships, policy evaluation and privilege boundaries.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Identity model; policy decision specification; SoD rules.</w:t>
      </w:r>
      <w:r>
        <w:rPr>
          <w:b/>
          <w:color w:val="117C88"/>
        </w:rPr>
        <w:t xml:space="preserve">     Engagement: </w:t>
      </w:r>
      <w:r>
        <w:t>Core / specialist; Design–operations.</w:t>
      </w:r>
    </w:p>
    <w:p>
      <w:pPr>
        <w:pStyle w:val="SmallCaps"/>
      </w:pPr>
      <w:r>
        <w:t>R22  CLOUD AND PLATFORM SECURITY ENGINEER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Harden storage, KMS, network, secret handling, workloads and tenancy.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Least privilege policies; hardening baselines; attack-path tests.</w:t>
      </w:r>
      <w:r>
        <w:rPr>
          <w:b/>
          <w:color w:val="117C88"/>
        </w:rPr>
        <w:t xml:space="preserve">     Engagement: </w:t>
      </w:r>
      <w:r>
        <w:t>Core / specialist; Design–operations.</w:t>
      </w:r>
    </w:p>
    <w:p>
      <w:pPr>
        <w:pStyle w:val="SmallCaps"/>
      </w:pPr>
      <w:r>
        <w:t>R23  SOC AND INCIDENT-RESPONSE LEAD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Define detection, triage, containment, evidence and breach notifications.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Detection rules; playbooks; response exercises.</w:t>
      </w:r>
      <w:r>
        <w:rPr>
          <w:b/>
          <w:color w:val="117C88"/>
        </w:rPr>
        <w:t xml:space="preserve">     Engagement: </w:t>
      </w:r>
      <w:r>
        <w:t>Operational owner; Pilot–operations.</w:t>
      </w:r>
    </w:p>
    <w:p>
      <w:pPr>
        <w:pStyle w:val="SmallCaps"/>
      </w:pPr>
      <w:r>
        <w:t>R24  INDEPENDENT PENETRATION TESTER / RED TEAM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Attempt cross-tenant access, WordPress takeover and lateral movement.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Independent findings; retest attestation; exploit-based proof.</w:t>
      </w:r>
      <w:r>
        <w:rPr>
          <w:b/>
          <w:color w:val="117C88"/>
        </w:rPr>
        <w:t xml:space="preserve">     Engagement: </w:t>
      </w:r>
      <w:r>
        <w:t>Independent; release-blocking; Pre-release &amp; periodic.</w:t>
      </w:r>
    </w:p>
    <w:p>
      <w:pPr>
        <w:pStyle w:val="SmallCaps"/>
      </w:pPr>
      <w:r>
        <w:t>R25  INDEPENDENT CRYPTOGRAPHY/SECURITY ASSESSOR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Challenge protocol, device trust, key recovery and claims independently.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Assurance report; review of threat model and test vectors.</w:t>
      </w:r>
      <w:r>
        <w:rPr>
          <w:b/>
          <w:color w:val="117C88"/>
        </w:rPr>
        <w:t xml:space="preserve">     Engagement: </w:t>
      </w:r>
      <w:r>
        <w:t>Independent; release-blocking; Design &amp; pre-release.</w:t>
      </w:r>
    </w:p>
    <w:p>
      <w:pPr>
        <w:pStyle w:val="SmallCaps"/>
      </w:pPr>
      <w:r>
        <w:t>R26  KEY RECOVERY TRUSTEE / CUSTODIAL COMMITTEE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Approve exceptional key recovery with quorum and conflict-of-interest controls.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Trustee roster; dual-control runbook; recovery drill evidence.</w:t>
      </w:r>
      <w:r>
        <w:rPr>
          <w:b/>
          <w:color w:val="117C88"/>
        </w:rPr>
        <w:t xml:space="preserve">     Engagement: </w:t>
      </w:r>
      <w:r>
        <w:t>Operational; separate from engineering; Pilot–operations.</w:t>
      </w:r>
    </w:p>
    <w:p>
      <w:pPr>
        <w:pStyle w:val="SmallCaps"/>
      </w:pPr>
      <w:r>
        <w:t>R27  COMPLIANCE / INTERNAL AUDIT LEAD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Assess control design and effectiveness, evidence and audit independence.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Control matrix; exception register; audit plan.</w:t>
      </w:r>
      <w:r>
        <w:rPr>
          <w:b/>
          <w:color w:val="117C88"/>
        </w:rPr>
        <w:t xml:space="preserve">     Engagement: </w:t>
      </w:r>
      <w:r>
        <w:t>Oversight / independent; Design–operations.</w:t>
      </w:r>
    </w:p>
    <w:p>
      <w:pPr>
        <w:pStyle w:val="Heading2"/>
      </w:pPr>
      <w:r>
        <w:t>Product engineering  (17)</w:t>
      </w:r>
    </w:p>
    <w:p>
      <w:pPr>
        <w:pStyle w:val="SmallCaps"/>
      </w:pPr>
      <w:r>
        <w:t>R28  WORDPRESS PLUGIN ENGINEER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Build low-privilege integration, admin links, secure upgrades and REST bridge.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Signed plugin; WP capability boundaries; upgrade tests.</w:t>
      </w:r>
      <w:r>
        <w:rPr>
          <w:b/>
          <w:color w:val="117C88"/>
        </w:rPr>
        <w:t xml:space="preserve">     Engagement: </w:t>
      </w:r>
      <w:r>
        <w:t>Core; Build–operations.</w:t>
      </w:r>
    </w:p>
    <w:p>
      <w:pPr>
        <w:pStyle w:val="SmallCaps"/>
      </w:pPr>
      <w:r>
        <w:t>R29  BACKEND AND API ENGINEER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Implement tenants, entitlements, document and lifecycle APIs.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Versioned API; authorization middleware; event flows.</w:t>
      </w:r>
      <w:r>
        <w:rPr>
          <w:b/>
          <w:color w:val="117C88"/>
        </w:rPr>
        <w:t xml:space="preserve">     Engagement: </w:t>
      </w:r>
      <w:r>
        <w:t>Core, multiple; Build–operations.</w:t>
      </w:r>
    </w:p>
    <w:p>
      <w:pPr>
        <w:pStyle w:val="SmallCaps"/>
      </w:pPr>
      <w:r>
        <w:t>R30  WEB FRONTEND ENGINEER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Build dashboards, dialogs, document workflows and accessibility.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Responsive, internationalized web client and component library.</w:t>
      </w:r>
      <w:r>
        <w:rPr>
          <w:b/>
          <w:color w:val="117C88"/>
        </w:rPr>
        <w:t xml:space="preserve">     Engagement: </w:t>
      </w:r>
      <w:r>
        <w:t>Core, multiple; Build–operations.</w:t>
      </w:r>
    </w:p>
    <w:p>
      <w:pPr>
        <w:pStyle w:val="SmallCaps"/>
      </w:pPr>
      <w:r>
        <w:t>R31  DATA ARCHITECT / DATABASE ENGINEER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Define tenant isolation, metadata evolution, transactions and query controls.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Logical model; isolation constraints; data lifecycle design.</w:t>
      </w:r>
      <w:r>
        <w:rPr>
          <w:b/>
          <w:color w:val="117C88"/>
        </w:rPr>
        <w:t xml:space="preserve">     Engagement: </w:t>
      </w:r>
      <w:r>
        <w:t>Core; Design–operations.</w:t>
      </w:r>
    </w:p>
    <w:p>
      <w:pPr>
        <w:pStyle w:val="SmallCaps"/>
      </w:pPr>
      <w:r>
        <w:t>R32  STORAGE, CONVERSION AND FILE-PROCESSING ENGINEER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Build encrypted object paths, import pipeline and sandboxed previews.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Storage adapters; scanning/quarantine; conversion sandboxes.</w:t>
      </w:r>
      <w:r>
        <w:rPr>
          <w:b/>
          <w:color w:val="117C88"/>
        </w:rPr>
        <w:t xml:space="preserve">     Engagement: </w:t>
      </w:r>
      <w:r>
        <w:t>Core; Build–operations.</w:t>
      </w:r>
    </w:p>
    <w:p>
      <w:pPr>
        <w:pStyle w:val="SmallCaps"/>
      </w:pPr>
      <w:r>
        <w:t>R33  WORKFLOW / BUSINESS-PROCESS ENGINEER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Implement state machines, approval delegation, retries and audit binding.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Versioned workflow engine; simulation and escalation tests.</w:t>
      </w:r>
      <w:r>
        <w:rPr>
          <w:b/>
          <w:color w:val="117C88"/>
        </w:rPr>
        <w:t xml:space="preserve">     Engagement: </w:t>
      </w:r>
      <w:r>
        <w:t>Core / specialist; Build–operations.</w:t>
      </w:r>
    </w:p>
    <w:p>
      <w:pPr>
        <w:pStyle w:val="SmallCaps"/>
      </w:pPr>
      <w:r>
        <w:t>R34  SEARCH / INFORMATION RETRIEVAL ENGINEER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Handle metadata search, multilingual analyzers and mode-appropriate indexing.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Search design; relevance evaluation; index isolation tests.</w:t>
      </w:r>
      <w:r>
        <w:rPr>
          <w:b/>
          <w:color w:val="117C88"/>
        </w:rPr>
        <w:t xml:space="preserve">     Engagement: </w:t>
      </w:r>
      <w:r>
        <w:t>Specialist; Enterprise phase.</w:t>
      </w:r>
    </w:p>
    <w:p>
      <w:pPr>
        <w:pStyle w:val="SmallCaps"/>
      </w:pPr>
      <w:r>
        <w:t>R35  AI / ML ENGINEERING LEAD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Build permission-trimmed retrieval, evaluation, output controls and provider policy.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AI risk tests; grounded retrieval; model and cost governance.</w:t>
      </w:r>
      <w:r>
        <w:rPr>
          <w:b/>
          <w:color w:val="117C88"/>
        </w:rPr>
        <w:t xml:space="preserve">     Engagement: </w:t>
      </w:r>
      <w:r>
        <w:t>Specialist; Enterprise phase.</w:t>
      </w:r>
    </w:p>
    <w:p>
      <w:pPr>
        <w:pStyle w:val="SmallCaps"/>
      </w:pPr>
      <w:r>
        <w:t>R36  INTEGRATION / CONNECTOR ENGINEER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Build OIDC/SAML/SCIM, M365, webhooks and enterprise connectors.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Connector contracts; event replay; permission mapping tests.</w:t>
      </w:r>
      <w:r>
        <w:rPr>
          <w:b/>
          <w:color w:val="117C88"/>
        </w:rPr>
        <w:t xml:space="preserve">     Engagement: </w:t>
      </w:r>
      <w:r>
        <w:t>Core / specialist; Build–operations.</w:t>
      </w:r>
    </w:p>
    <w:p>
      <w:pPr>
        <w:pStyle w:val="SmallCaps"/>
      </w:pPr>
      <w:r>
        <w:t>R37  TRUSTED-CLIENT AND MOBILE/DESKTOP ENGINEER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Build independent signed client, E2EE device enrollment, offline protection.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Trusted client; release signing; platform key storage and sync tests.</w:t>
      </w:r>
      <w:r>
        <w:rPr>
          <w:b/>
          <w:color w:val="117C88"/>
        </w:rPr>
        <w:t xml:space="preserve">     Engagement: </w:t>
      </w:r>
      <w:r>
        <w:t>Core; critical for E2EE; Design–operations.</w:t>
      </w:r>
    </w:p>
    <w:p>
      <w:pPr>
        <w:pStyle w:val="SmallCaps"/>
      </w:pPr>
      <w:r>
        <w:t>R38  DEVOPS / PLATFORM ENGINEER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Build infrastructure-as-code, CI/CD, isolated environments and delivery chain.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IaC; provenance; scans; rollback and deployment pipelines.</w:t>
      </w:r>
      <w:r>
        <w:rPr>
          <w:b/>
          <w:color w:val="117C88"/>
        </w:rPr>
        <w:t xml:space="preserve">     Engagement: </w:t>
      </w:r>
      <w:r>
        <w:t>Core; Build–operations.</w:t>
      </w:r>
    </w:p>
    <w:p>
      <w:pPr>
        <w:pStyle w:val="SmallCaps"/>
      </w:pPr>
      <w:r>
        <w:t>R39  SRE / DISASTER-RECOVERY ENGINEER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Engineer SLOs, backup recoverability, observability and controlled restoration.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SLO design; RTO/RPO drills; runbooks; capacity forecasts.</w:t>
      </w:r>
      <w:r>
        <w:rPr>
          <w:b/>
          <w:color w:val="117C88"/>
        </w:rPr>
        <w:t xml:space="preserve">     Engagement: </w:t>
      </w:r>
      <w:r>
        <w:t>Core / specialist; Build–operations.</w:t>
      </w:r>
    </w:p>
    <w:p>
      <w:pPr>
        <w:pStyle w:val="SmallCaps"/>
      </w:pPr>
      <w:r>
        <w:t>R40  QA AUTOMATION / TEST ARCHITECT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Own unit, integration, security regression, contract and E2E coverage.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Test pyramid; requirement-to-test traceability; release reports.</w:t>
      </w:r>
      <w:r>
        <w:rPr>
          <w:b/>
          <w:color w:val="117C88"/>
        </w:rPr>
        <w:t xml:space="preserve">     Engagement: </w:t>
      </w:r>
      <w:r>
        <w:t>Core, multiple; Build–operations.</w:t>
      </w:r>
    </w:p>
    <w:p>
      <w:pPr>
        <w:pStyle w:val="SmallCaps"/>
      </w:pPr>
      <w:r>
        <w:t>R41  PERFORMANCE / CAPACITY ENGINEER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Test upload, search, 10-tenant concurrency, worst-case workflows.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Load model; benchmarks; capacity limits and budgets.</w:t>
      </w:r>
      <w:r>
        <w:rPr>
          <w:b/>
          <w:color w:val="117C88"/>
        </w:rPr>
        <w:t xml:space="preserve">     Engagement: </w:t>
      </w:r>
      <w:r>
        <w:t>Specialist; Before pilot &amp; scale.</w:t>
      </w:r>
    </w:p>
    <w:p>
      <w:pPr>
        <w:pStyle w:val="SmallCaps"/>
      </w:pPr>
      <w:r>
        <w:t>R42  MIGRATION AND DATA-QUALITY ENGINEER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Move legacy documents, ACLs, versions and metadata without leakage.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Dry-run reports; integrity manifests; reconciliation.</w:t>
      </w:r>
      <w:r>
        <w:rPr>
          <w:b/>
          <w:color w:val="117C88"/>
        </w:rPr>
        <w:t xml:space="preserve">     Engagement: </w:t>
      </w:r>
      <w:r>
        <w:t>Specialist; Pilot–rollout.</w:t>
      </w:r>
    </w:p>
    <w:p>
      <w:pPr>
        <w:pStyle w:val="SmallCaps"/>
      </w:pPr>
      <w:r>
        <w:t>R43  TECHNICAL WRITER AND TRAINING DESIGNER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Explain end-user actions, admin policies, supported security modes and limits.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Product documentation; API docs; localized training materials.</w:t>
      </w:r>
      <w:r>
        <w:rPr>
          <w:b/>
          <w:color w:val="117C88"/>
        </w:rPr>
        <w:t xml:space="preserve">     Engagement: </w:t>
      </w:r>
      <w:r>
        <w:t>Specialist; Build–operations.</w:t>
      </w:r>
    </w:p>
    <w:p>
      <w:pPr>
        <w:pStyle w:val="SmallCaps"/>
      </w:pPr>
      <w:r>
        <w:t>R44  SUPPORT / CUSTOMER SUCCESS ENGINEER</w:t>
      </w:r>
    </w:p>
    <w:p>
      <w:pPr>
        <w:pStyle w:val="ReviewBody"/>
        <w:ind w:left="245"/>
      </w:pPr>
      <w:r>
        <w:rPr>
          <w:b/>
          <w:color w:val="117C88"/>
        </w:rPr>
        <w:t xml:space="preserve">Mission: </w:t>
      </w:r>
      <w:r>
        <w:t>Design safe diagnostics, support access and long-term service adoption.</w:t>
      </w:r>
    </w:p>
    <w:p>
      <w:pPr>
        <w:pStyle w:val="ReviewBody"/>
        <w:ind w:left="245"/>
      </w:pPr>
      <w:r>
        <w:rPr>
          <w:b/>
          <w:color w:val="117C88"/>
        </w:rPr>
        <w:t xml:space="preserve">Outputs: </w:t>
      </w:r>
      <w:r>
        <w:t>Support playbooks; escalation; no-plaintext debug tools.</w:t>
      </w:r>
      <w:r>
        <w:rPr>
          <w:b/>
          <w:color w:val="117C88"/>
        </w:rPr>
        <w:t xml:space="preserve">     Engagement: </w:t>
      </w:r>
      <w:r>
        <w:t>Operational; Pilot–operations.</w:t>
      </w:r>
    </w:p>
    <w:p>
      <w:pPr>
        <w:pStyle w:val="Heading1"/>
        <w:pageBreakBefore/>
      </w:pPr>
      <w:r>
        <w:t>3. Staffing model and accountability separation</w:t>
      </w:r>
    </w:p>
    <w:p>
      <w:pPr/>
      <w:r>
        <w:t>This program requires multiple concurrent workstreams, not 44 permanent employees. The roles above can be organized as the following teams; capacity depends on document volume, security assurance level, supported integrations, delivery timeline and implementation model.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2232"/>
            <w:vAlign w:val="center"/>
            <w:shd w:fill="14273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4608"/>
            <w:vAlign w:val="center"/>
            <w:shd w:fill="14273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Lead and core disciplines</w:t>
            </w:r>
          </w:p>
        </w:tc>
        <w:tc>
          <w:tcPr>
            <w:tcW w:type="dxa" w:w="3024"/>
            <w:vAlign w:val="center"/>
            <w:shd w:fill="14273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Non-delegable decision / independent reviewer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Product and governance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R03, R04, R05, R11, R12, R13, R14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R01 funds and accepts risk; R02 resolves group/subsidiary policy conflicts.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Identity and isolation</w:t>
            </w:r>
          </w:p>
        </w:tc>
        <w:tc>
          <w:tcPr>
            <w:tcW w:type="dxa" w:w="4608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R07, R21, R29, R31</w:t>
            </w:r>
          </w:p>
        </w:tc>
        <w:tc>
          <w:tcPr>
            <w:tcW w:type="dxa" w:w="302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Independent AppSec review by R19 and attack testing by R24.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Cryptography and trusted clients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R20, R37, R32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R25 independently evaluates protocol; R26 separately governs recovery.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Document, workflows and records</w:t>
            </w:r>
          </w:p>
        </w:tc>
        <w:tc>
          <w:tcPr>
            <w:tcW w:type="dxa" w:w="4608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R12, R29, R32, R33</w:t>
            </w:r>
          </w:p>
        </w:tc>
        <w:tc>
          <w:tcPr>
            <w:tcW w:type="dxa" w:w="302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Counsel R13 signs legal holds and evidence semantics.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Experience and localization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R16, R17, R18, R30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Native speakers and accessibility testers sign usability evidence.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Cloud, security and assurance</w:t>
            </w:r>
          </w:p>
        </w:tc>
        <w:tc>
          <w:tcPr>
            <w:tcW w:type="dxa" w:w="4608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R19, R22, R23, R38, R39, R40</w:t>
            </w:r>
          </w:p>
        </w:tc>
        <w:tc>
          <w:tcPr>
            <w:tcW w:type="dxa" w:w="302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R24 and R25 cannot self-certify code they implemented.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Discovery, AI and integrations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R34, R35, R36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Privacy R14 and crypto R20 approve mode compatibility.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Migration, rollout and support</w:t>
            </w:r>
          </w:p>
        </w:tc>
        <w:tc>
          <w:tcPr>
            <w:tcW w:type="dxa" w:w="4608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R10, R11, R42, R43, R44</w:t>
            </w:r>
          </w:p>
        </w:tc>
        <w:tc>
          <w:tcPr>
            <w:tcW w:type="dxa" w:w="302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Subsidiary business owners sign access and records reconciliation.</w:t>
            </w:r>
          </w:p>
        </w:tc>
      </w:tr>
    </w:tbl>
    <w:p>
      <w:pPr>
        <w:spacing w:after="40"/>
      </w:pPr>
    </w:p>
    <w:p>
      <w:pPr/>
      <w:r>
        <w:t>A practical initial core team has a dedicated product owner, technical architect, delivery manager, business analyst, backend/API engineers, WordPress engineer, web/client engineers, platform/DevOps, test automation, UX and security engineering. Records, legal, DPO, cryptography specialist, native-language reviewers and independent test teams contribute at specific gates. This is a work allocation recommendation, not a priced staffing forecast.</w:t>
      </w:r>
    </w:p>
    <w:p>
      <w:pPr/>
      <w:r>
        <w:t>Separation of duties must be operationally credible. In particular, (a) the person who implements cryptography does not issue the only cryptographic assurance report; (b) release engineers cannot unilaterally override security go/no-go; (c) the holding administrator is not a recovery trustee merely because of seniority; and (d) the document author cannot approve their own controlled publication.</w:t>
      </w:r>
    </w:p>
    <w:p>
      <w:pPr>
        <w:pStyle w:val="Heading1"/>
        <w:pageBreakBefore/>
      </w:pPr>
      <w:r>
        <w:t>4. Roles inside the deployed system</w:t>
      </w:r>
    </w:p>
    <w:p>
      <w:pPr/>
      <w:r>
        <w:t>26 suggested operational role templates. These are capability bundles with explicit scopes, not immutable WordPress roles. A single person may have separate memberships and roles in different subsidiaries; the user interface and APIs must make the active tenant unambiguous.</w:t>
      </w:r>
    </w:p>
    <w:p>
      <w:pPr>
        <w:pStyle w:val="SmallCaps"/>
      </w:pPr>
      <w:r>
        <w:t>HOLDING GOVERNANCE ADMINISTRATOR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Group control plane — Provision/suspend entities; set minimum policies.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No default subsidiary-content read or decryption.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Tenant owner + separate board approval for major changes</w:t>
      </w:r>
    </w:p>
    <w:p>
      <w:pPr>
        <w:pStyle w:val="SmallCaps"/>
      </w:pPr>
      <w:r>
        <w:t>HOLDING POLICY ADMINISTRATOR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Group control plane — Manage mandatory security/retention configuration baselines.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Cannot grant own document access; policy cannot defeat holds.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Risk/records approval for exceptions</w:t>
      </w:r>
    </w:p>
    <w:p>
      <w:pPr>
        <w:pStyle w:val="SmallCaps"/>
      </w:pPr>
      <w:r>
        <w:t>HOLDING SECURITY OVERSIGHT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Group security — View posture, incidents and scoped security events.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No automatic content; sensitive tenant audit fields redacted.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Separate from holder of recovery keys</w:t>
      </w:r>
    </w:p>
    <w:p>
      <w:pPr>
        <w:pStyle w:val="SmallCaps"/>
      </w:pPr>
      <w:r>
        <w:t>GROUP INTERNAL AUDITOR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Group audit — Review approved controls/evidence and aggregates.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No default business document access.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Independence from admins and approvers</w:t>
      </w:r>
    </w:p>
    <w:p>
      <w:pPr>
        <w:pStyle w:val="SmallCaps"/>
      </w:pPr>
      <w:r>
        <w:t>PLATFORM OPERATOR / SRE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Infrastructure only — Deploy, monitor, scale and restore infrastructure.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No routine decrypted document content or user impersonation.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Dual control on critical production changes</w:t>
      </w:r>
    </w:p>
    <w:p>
      <w:pPr>
        <w:pStyle w:val="SmallCaps"/>
      </w:pPr>
      <w:r>
        <w:t>SUBSIDIARY OWNER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One subsidiary — Approve local governance/tenant closure and custodians.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Cannot weaken global minimum controls.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Cannot self-approve exceptional disclosure</w:t>
      </w:r>
    </w:p>
    <w:p>
      <w:pPr>
        <w:pStyle w:val="SmallCaps"/>
      </w:pPr>
      <w:r>
        <w:t>SUBSIDIARY ADMINISTRATOR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One subsidiary — Invite users, create groups and configure libraries.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No universal decrypt right; no cross-tenant reach.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Role-grant approvals for high privileges</w:t>
      </w:r>
    </w:p>
    <w:p>
      <w:pPr>
        <w:pStyle w:val="SmallCaps"/>
      </w:pPr>
      <w:r>
        <w:t>USER AND GROUP ADMINISTRATOR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One subsidiary — Manage memberships, employment-state updates.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No content read via membership management alone.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No self-privilege escalation</w:t>
      </w:r>
    </w:p>
    <w:p>
      <w:pPr>
        <w:pStyle w:val="SmallCaps"/>
      </w:pPr>
      <w:r>
        <w:t>ROLE / ACCESS POLICY MANAGER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One subsidiary — Create custom roles and ACL templates.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Cannot override legal holds and group hard-denies.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Another approver for high-risk policy changes</w:t>
      </w:r>
    </w:p>
    <w:p>
      <w:pPr>
        <w:pStyle w:val="SmallCaps"/>
      </w:pPr>
      <w:r>
        <w:t>DEPARTMENT MANAGER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Own department — Manage own teams and delegated workspaces.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Delegation limited to preset domain and role subset.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No grant beyond own authority</w:t>
      </w:r>
    </w:p>
    <w:p>
      <w:pPr>
        <w:pStyle w:val="SmallCaps"/>
      </w:pPr>
      <w:r>
        <w:t>RECORDS MANAGER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One subsidiary / record set — Control classification, retention and disposition.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Cannot unilaterally lift legal hold.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Disposition reviewer separate from executor</w:t>
      </w:r>
    </w:p>
    <w:p>
      <w:pPr>
        <w:pStyle w:val="SmallCaps"/>
      </w:pPr>
      <w:r>
        <w:t>LEGAL-HOLD OFFICER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Approved matters — Place/lift holds under legal process.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No content access unless separately authorized.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Counsel approval and dual-review on releases</w:t>
      </w:r>
    </w:p>
    <w:p>
      <w:pPr>
        <w:pStyle w:val="SmallCaps"/>
      </w:pPr>
      <w:r>
        <w:t>PRIVACY OFFICER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Legal entity / approved scope — Process privacy requests, DPIAs and data mappings.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No blanket document access for privacy role.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Lawful hold/exemption review</w:t>
      </w:r>
    </w:p>
    <w:p>
      <w:pPr>
        <w:pStyle w:val="SmallCaps"/>
      </w:pPr>
      <w:r>
        <w:t>SUBSIDIARY SECURITY OFFICER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One subsidiary — Monitor local access, incidents and classification alerts.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No default access to protected documents.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Independent security and incident review</w:t>
      </w:r>
    </w:p>
    <w:p>
      <w:pPr>
        <w:pStyle w:val="SmallCaps"/>
      </w:pPr>
      <w:r>
        <w:t>DOCUMENT CONTROLLER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Assigned library — Register, classify, version and release controlled records.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Cannot circumvent approval or holds.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Separate approver for publication</w:t>
      </w:r>
    </w:p>
    <w:p>
      <w:pPr>
        <w:pStyle w:val="SmallCaps"/>
      </w:pPr>
      <w:r>
        <w:t>DOCUMENT CUSTODIAN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Named document or collection — Own access, classification and retention contact.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No unrestricted group-wide rights.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Share approval for restricted documents</w:t>
      </w:r>
    </w:p>
    <w:p>
      <w:pPr>
        <w:pStyle w:val="SmallCaps"/>
      </w:pPr>
      <w:r>
        <w:t>CONTRIBUTOR / EDITOR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Granted documents — Upload and edit working copies.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Cannot approve own controlled release.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Maker/checker on controlled documents</w:t>
      </w:r>
    </w:p>
    <w:p>
      <w:pPr>
        <w:pStyle w:val="SmallCaps"/>
      </w:pPr>
      <w:r>
        <w:t>REVIEWER / COMMENTATOR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Assigned documents — Comment, request changes, review versions.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No self-grant or release rights.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Independent of author where required</w:t>
      </w:r>
    </w:p>
    <w:p>
      <w:pPr>
        <w:pStyle w:val="SmallCaps"/>
      </w:pPr>
      <w:r>
        <w:t>APPROVER / PUBLISHER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Assigned workflow — Approve immutable hashes and publish approved revision.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No edit of signed approved bytes.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Must meet quorum / SoD</w:t>
      </w:r>
    </w:p>
    <w:p>
      <w:pPr>
        <w:pStyle w:val="SmallCaps"/>
      </w:pPr>
      <w:r>
        <w:t>KNOWLEDGE STEWARD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Assigned KB space — Maintain canonical articles and scheduled reviews.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No cross-entity search or publish beyond grants.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Independent approval of controlled SOPs</w:t>
      </w:r>
    </w:p>
    <w:p>
      <w:pPr>
        <w:pStyle w:val="SmallCaps"/>
      </w:pPr>
      <w:r>
        <w:t>WORKFLOW DESIGNER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Approved workflow domain — Configure versioned state machines/routing.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Cannot approve by modifying live workflow.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Change approval plus staging simulation</w:t>
      </w:r>
    </w:p>
    <w:p>
      <w:pPr>
        <w:pStyle w:val="SmallCaps"/>
      </w:pPr>
      <w:r>
        <w:t>READ-ONLY VIEWER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Granted documents — View permitted content and acknowledge required reading.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No editing, exports or shares unless explicitly granted.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Document-specific authorization</w:t>
      </w:r>
    </w:p>
    <w:p>
      <w:pPr>
        <w:pStyle w:val="SmallCaps"/>
      </w:pPr>
      <w:r>
        <w:t>EXTERNAL GUEST / AUDITOR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Specific collaboration — Review invited folders / evidence packages.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No tenant enumeration or rights to other guests.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Identity validation, expiry, NDA if needed</w:t>
      </w:r>
    </w:p>
    <w:p>
      <w:pPr>
        <w:pStyle w:val="SmallCaps"/>
      </w:pPr>
      <w:r>
        <w:t>SERVICE/WORKLOAD IDENTITY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Specific tenant + API scopes — Execute narrow automation and connector jobs.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No interactive login; no universal multi-tenant API key.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Secret rotation and workload approval</w:t>
      </w:r>
    </w:p>
    <w:p>
      <w:pPr>
        <w:pStyle w:val="SmallCaps"/>
      </w:pPr>
      <w:r>
        <w:t>KEY-RECOVERY TRUSTEE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Key domain + approved case — Participate in quorum recovery, never solo.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No routine content access or invisible recovery.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Quorum, legal basis, immutable event</w:t>
      </w:r>
    </w:p>
    <w:p>
      <w:pPr>
        <w:pStyle w:val="SmallCaps"/>
      </w:pPr>
      <w:r>
        <w:t>EMERGENCY INCIDENT RESPONDER</w:t>
      </w:r>
    </w:p>
    <w:p>
      <w:pPr>
        <w:pStyle w:val="ReviewBody"/>
        <w:ind w:left="245"/>
      </w:pPr>
      <w:r>
        <w:rPr>
          <w:b/>
          <w:color w:val="117C88"/>
        </w:rPr>
        <w:t xml:space="preserve">Scope / allowed: </w:t>
      </w:r>
      <w:r>
        <w:t>Time-limited scope — Contain incidents and revoke sessions.</w:t>
      </w:r>
    </w:p>
    <w:p>
      <w:pPr>
        <w:pStyle w:val="ReviewBody"/>
        <w:ind w:left="245"/>
      </w:pPr>
      <w:r>
        <w:rPr>
          <w:b/>
          <w:color w:val="117C88"/>
        </w:rPr>
        <w:t xml:space="preserve">Denied by default: </w:t>
      </w:r>
      <w:r>
        <w:t>No automatic plaintext/key bypass; only approved exceptional grants.</w:t>
      </w:r>
    </w:p>
    <w:p>
      <w:pPr>
        <w:pStyle w:val="ReviewBody"/>
        <w:ind w:left="245"/>
      </w:pPr>
      <w:r>
        <w:rPr>
          <w:b/>
          <w:color w:val="117C88"/>
        </w:rPr>
        <w:t xml:space="preserve">Approval / SoD: </w:t>
      </w:r>
      <w:r>
        <w:t>Ticket, dual control and postmortem</w:t>
      </w:r>
    </w:p>
    <w:p>
      <w:pPr>
        <w:pStyle w:val="Heading2"/>
      </w:pPr>
      <w:r>
        <w:t>Authorization semantics to implement exactly</w:t>
      </w:r>
    </w:p>
    <w:p>
      <w:pPr>
        <w:pStyle w:val="ReviewBody"/>
        <w:ind w:left="245"/>
      </w:pPr>
      <w:r>
        <w:rPr>
          <w:b/>
          <w:color w:val="117C88"/>
        </w:rPr>
        <w:t xml:space="preserve">Identifiers: </w:t>
      </w:r>
      <w:r>
        <w:t>Immutable principal_id, tenant_id, group_id, document_id and document_version_id, never guessed from a client-selected tenant alone.</w:t>
      </w:r>
    </w:p>
    <w:p>
      <w:pPr>
        <w:pStyle w:val="ReviewBody"/>
        <w:ind w:left="245"/>
      </w:pPr>
      <w:r>
        <w:rPr>
          <w:b/>
          <w:color w:val="117C88"/>
        </w:rPr>
        <w:t xml:space="preserve">Evaluation order: </w:t>
      </w:r>
      <w:r>
        <w:t>Authentication + device status → tenant membership → mandatory group and legal holds → document classification and ACL/ABAC → context and token caveats → permit or deny; explicit deny wins.</w:t>
      </w:r>
    </w:p>
    <w:p>
      <w:pPr>
        <w:pStyle w:val="ReviewBody"/>
        <w:ind w:left="245"/>
      </w:pPr>
      <w:r>
        <w:rPr>
          <w:b/>
          <w:color w:val="117C88"/>
        </w:rPr>
        <w:t xml:space="preserve">Policy timing: </w:t>
      </w:r>
      <w:r>
        <w:t>Authorization is re-evaluated for each sensitive operation, background export, preview, key-wrap issuance, restore and potentially long-running job.</w:t>
      </w:r>
    </w:p>
    <w:p>
      <w:pPr>
        <w:pStyle w:val="ReviewBody"/>
        <w:ind w:left="245"/>
      </w:pPr>
      <w:r>
        <w:rPr>
          <w:b/>
          <w:color w:val="117C88"/>
        </w:rPr>
        <w:t xml:space="preserve">Administrator separation: </w:t>
      </w:r>
      <w:r>
        <w:t>Ability to manage a tenant or rotate a system certificate is not equivalent to ability to read documents, remove holds or reconstruct private keys.</w:t>
      </w:r>
    </w:p>
    <w:p>
      <w:pPr>
        <w:pStyle w:val="ReviewBody"/>
        <w:ind w:left="245"/>
      </w:pPr>
      <w:r>
        <w:rPr>
          <w:b/>
          <w:color w:val="117C88"/>
        </w:rPr>
        <w:t xml:space="preserve">Impersonation and emergency access: </w:t>
      </w:r>
      <w:r>
        <w:t>No silent impersonation. Time-bounded emergency operations require approved reason, dual control, exact scope, independent logging and post-incident review.</w:t>
      </w:r>
    </w:p>
    <w:p>
      <w:pPr>
        <w:pStyle w:val="ReviewBody"/>
        <w:ind w:left="245"/>
      </w:pPr>
      <w:r>
        <w:rPr>
          <w:b/>
          <w:color w:val="117C88"/>
        </w:rPr>
        <w:t xml:space="preserve">Revocation reality: </w:t>
      </w:r>
      <w:r>
        <w:t>Revoke future sessions, grants and key distribution, but disclose that earlier plaintext or keys copied outside the service may persist.</w:t>
      </w:r>
    </w:p>
    <w:p>
      <w:pPr>
        <w:pStyle w:val="Heading1"/>
      </w:pPr>
      <w:r>
        <w:t>5. Ownership map for the 22 modules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5"/>
        <w:gridCol w:w="2415"/>
        <w:gridCol w:w="2415"/>
        <w:gridCol w:w="2415"/>
      </w:tblGrid>
      <w:tr>
        <w:trPr>
          <w:tblHeader w:val="true"/>
        </w:trPr>
        <w:tc>
          <w:tcPr>
            <w:tcW w:type="dxa" w:w="1368"/>
            <w:vAlign w:val="center"/>
            <w:shd w:fill="14273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ID / features</w:t>
            </w:r>
          </w:p>
        </w:tc>
        <w:tc>
          <w:tcPr>
            <w:tcW w:type="dxa" w:w="1584"/>
            <w:vAlign w:val="center"/>
            <w:shd w:fill="14273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Business accountable</w:t>
            </w:r>
          </w:p>
        </w:tc>
        <w:tc>
          <w:tcPr>
            <w:tcW w:type="dxa" w:w="3240"/>
            <w:vAlign w:val="center"/>
            <w:shd w:fill="14273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Build owners</w:t>
            </w:r>
          </w:p>
        </w:tc>
        <w:tc>
          <w:tcPr>
            <w:tcW w:type="dxa" w:w="3744"/>
            <w:vAlign w:val="center"/>
            <w:shd w:fill="14273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Mandatory reviewers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TEN / 14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R02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R07, R29, R31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R11, R12, R21, R19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IAM / 17</w:t>
            </w:r>
          </w:p>
        </w:tc>
        <w:tc>
          <w:tcPr>
            <w:tcW w:type="dxa" w:w="158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R21</w:t>
            </w:r>
          </w:p>
        </w:tc>
        <w:tc>
          <w:tcPr>
            <w:tcW w:type="dxa" w:w="3240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R29, R31, R30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R02, R19, R11, R27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AUT / 13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R21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R36, R37, R29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R19, R22, R23, R14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DOC / 22</w:t>
            </w:r>
          </w:p>
        </w:tc>
        <w:tc>
          <w:tcPr>
            <w:tcW w:type="dxa" w:w="158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R03</w:t>
            </w:r>
          </w:p>
        </w:tc>
        <w:tc>
          <w:tcPr>
            <w:tcW w:type="dxa" w:w="3240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R32, R29, R31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R12, R19, R20, R11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MET / 16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R15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R34, R31, R29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R20, R14, R17, R19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COL / 16</w:t>
            </w:r>
          </w:p>
        </w:tc>
        <w:tc>
          <w:tcPr>
            <w:tcW w:type="dxa" w:w="158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R03</w:t>
            </w:r>
          </w:p>
        </w:tc>
        <w:tc>
          <w:tcPr>
            <w:tcW w:type="dxa" w:w="3240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R30, R29, R37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R20, R12, R19, R18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KNO / 16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R15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R30, R29, R34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R11, R12, R17, R18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WFL / 19</w:t>
            </w:r>
          </w:p>
        </w:tc>
        <w:tc>
          <w:tcPr>
            <w:tcW w:type="dxa" w:w="158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R03</w:t>
            </w:r>
          </w:p>
        </w:tc>
        <w:tc>
          <w:tcPr>
            <w:tcW w:type="dxa" w:w="3240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R33, R29, R30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R21, R12, R13, R19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REC / 18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R12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R29, R31, R32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R13, R14, R20, R27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ENC / 20</w:t>
            </w:r>
          </w:p>
        </w:tc>
        <w:tc>
          <w:tcPr>
            <w:tcW w:type="dxa" w:w="158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R20</w:t>
            </w:r>
          </w:p>
        </w:tc>
        <w:tc>
          <w:tcPr>
            <w:tcW w:type="dxa" w:w="3240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R37, R32, R29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R25, R19, R21, R26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SEC / 16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R19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R22, R23, R28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R24, R25, R27, R14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EXT / 13</w:t>
            </w:r>
          </w:p>
        </w:tc>
        <w:tc>
          <w:tcPr>
            <w:tcW w:type="dxa" w:w="158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R03</w:t>
            </w:r>
          </w:p>
        </w:tc>
        <w:tc>
          <w:tcPr>
            <w:tcW w:type="dxa" w:w="3240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R29, R37, R30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R13, R14, R20, R21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RPT / 14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R27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R29, R31, R23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R14, R12, R19, R02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AIX / 17</w:t>
            </w:r>
          </w:p>
        </w:tc>
        <w:tc>
          <w:tcPr>
            <w:tcW w:type="dxa" w:w="158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R03</w:t>
            </w:r>
          </w:p>
        </w:tc>
        <w:tc>
          <w:tcPr>
            <w:tcW w:type="dxa" w:w="3240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R35, R34, R29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R14, R20, R19, R13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L10 / 15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R17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R30, R37, R43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R18, R16, R11, R15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API / 17</w:t>
            </w:r>
          </w:p>
        </w:tc>
        <w:tc>
          <w:tcPr>
            <w:tcW w:type="dxa" w:w="158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R07</w:t>
            </w:r>
          </w:p>
        </w:tc>
        <w:tc>
          <w:tcPr>
            <w:tcW w:type="dxa" w:w="3240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R36, R29, R28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R21, R19, R22, R09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UX / 13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R16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R30, R37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R18, R17, R11, R20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MOB / 12</w:t>
            </w:r>
          </w:p>
        </w:tc>
        <w:tc>
          <w:tcPr>
            <w:tcW w:type="dxa" w:w="158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R37</w:t>
            </w:r>
          </w:p>
        </w:tc>
        <w:tc>
          <w:tcPr>
            <w:tcW w:type="dxa" w:w="3240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R30, R36, R39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R20, R21, R22, R18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PRV / 14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R14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R29, R31, R39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R13, R12, R27, R09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OPS / 21</w:t>
            </w:r>
          </w:p>
        </w:tc>
        <w:tc>
          <w:tcPr>
            <w:tcW w:type="dxa" w:w="158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R39</w:t>
            </w:r>
          </w:p>
        </w:tc>
        <w:tc>
          <w:tcPr>
            <w:tcW w:type="dxa" w:w="3240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R38, R22, R40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R23, R25, R08, R27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MIG / 13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R10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R42, R36, R40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R11, R12, R14, R17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VRP / 10</w:t>
            </w:r>
          </w:p>
        </w:tc>
        <w:tc>
          <w:tcPr>
            <w:tcW w:type="dxa" w:w="158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R03</w:t>
            </w:r>
          </w:p>
        </w:tc>
        <w:tc>
          <w:tcPr>
            <w:tcW w:type="dxa" w:w="3240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R33, R29, R30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R13, R12, R11, R20</w:t>
            </w:r>
          </w:p>
        </w:tc>
      </w:tr>
    </w:tbl>
    <w:p>
      <w:pPr>
        <w:spacing w:after="40"/>
      </w:pPr>
    </w:p>
    <w:p>
      <w:pPr/>
      <w:r>
        <w:t>Accountable = owner of domain acceptance and policy decisions; Build owners = engineering workstream; Reviewers = specialties needed for approval and verification. R01 and R03 retain global business authorization. Assignment of individuals to these role IDs is a separate staffing decision.</w:t>
      </w:r>
    </w:p>
    <w:p>
      <w:pPr>
        <w:pStyle w:val="Heading1"/>
        <w:pageBreakBefore/>
      </w:pPr>
      <w:r>
        <w:t>6. Role-led assessment of every feature module</w:t>
      </w:r>
    </w:p>
    <w:p>
      <w:pPr/>
      <w:r>
        <w:t>Each entry states the additional engineering design considerations that the specialist team must resolve beyond the existence of the named 346 baseline requirements. Modules marked Critical require an explicit pre-production demonstration, not only a feature walkthrough.</w:t>
      </w:r>
    </w:p>
    <w:p>
      <w:pPr>
        <w:pStyle w:val="Heading2"/>
      </w:pPr>
      <w:r>
        <w:t>TEN  |  Tenant governance / subsidiaries  (14 features)</w:t>
      </w:r>
    </w:p>
    <w:p>
      <w:pPr>
        <w:pStyle w:val="ReviewBody"/>
      </w:pPr>
      <w:r>
        <w:rPr>
          <w:b/>
          <w:color w:val="9D3F45"/>
        </w:rPr>
        <w:t xml:space="preserve">Risk: Critical. </w:t>
      </w:r>
      <w:r>
        <w:t>Accountable: R02. Build: R07, R29, R31. Consult: R11, R12, R21, R19.</w:t>
      </w:r>
    </w:p>
    <w:p>
      <w:pPr>
        <w:pStyle w:val="ReviewBody"/>
        <w:ind w:left="245"/>
      </w:pPr>
      <w:r>
        <w:rPr>
          <w:b/>
          <w:color w:val="117C88"/>
        </w:rPr>
        <w:t xml:space="preserve">Design considerations: </w:t>
      </w:r>
      <w:r>
        <w:t>Model legal company boundaries, groups and project spaces separately; prohibit implicit holding-admin document access; apply group minimum policies without silent privilege expansion; isolate DB, object storage, queues, search, logs, backups, and caches; design mergers/splits as supervised migrations.</w:t>
      </w:r>
    </w:p>
    <w:p>
      <w:pPr>
        <w:pStyle w:val="ReviewBody"/>
        <w:ind w:left="245"/>
      </w:pPr>
      <w:r>
        <w:rPr>
          <w:b/>
          <w:color w:val="117C88"/>
        </w:rPr>
        <w:t xml:space="preserve">Minimum acceptance evidence: </w:t>
      </w:r>
      <w:r>
        <w:t>A cross-tenant user, cache key, search request, export job or backup restore never reveals unauthorized tenant material.</w:t>
      </w:r>
    </w:p>
    <w:p>
      <w:pPr>
        <w:pStyle w:val="Heading2"/>
      </w:pPr>
      <w:r>
        <w:t>IAM  |  Membership, roles and policy  (17 features)</w:t>
      </w:r>
    </w:p>
    <w:p>
      <w:pPr>
        <w:pStyle w:val="ReviewBody"/>
      </w:pPr>
      <w:r>
        <w:rPr>
          <w:b/>
          <w:color w:val="9D3F45"/>
        </w:rPr>
        <w:t xml:space="preserve">Risk: Critical. </w:t>
      </w:r>
      <w:r>
        <w:t>Accountable: R21. Build: R29, R31, R30. Consult: R02, R19, R11, R27.</w:t>
      </w:r>
    </w:p>
    <w:p>
      <w:pPr>
        <w:pStyle w:val="ReviewBody"/>
        <w:ind w:left="245"/>
      </w:pPr>
      <w:r>
        <w:rPr>
          <w:b/>
          <w:color w:val="117C88"/>
        </w:rPr>
        <w:t xml:space="preserve">Design considerations: </w:t>
      </w:r>
      <w:r>
        <w:t>Formalize RBAC + ABAC + ACL evaluation order, global hard-deny, explicit deny, inheritance and policy versioning; enforce separation of duties; prevent self-grants and delegation loops; invalidate permissions in jobs, URLs and offline clients; provide decision explanations without leaking titles.</w:t>
      </w:r>
    </w:p>
    <w:p>
      <w:pPr>
        <w:pStyle w:val="ReviewBody"/>
        <w:ind w:left="245"/>
      </w:pPr>
      <w:r>
        <w:rPr>
          <w:b/>
          <w:color w:val="117C88"/>
        </w:rPr>
        <w:t xml:space="preserve">Minimum acceptance evidence: </w:t>
      </w:r>
      <w:r>
        <w:t>For each permission state, API, previews, exports, mobile, workers and search enforce the same decision after revocation.</w:t>
      </w:r>
    </w:p>
    <w:p>
      <w:pPr>
        <w:pStyle w:val="Heading2"/>
      </w:pPr>
      <w:r>
        <w:t>AUT  |  Authentication and devices  (13 features)</w:t>
      </w:r>
    </w:p>
    <w:p>
      <w:pPr>
        <w:pStyle w:val="ReviewBody"/>
      </w:pPr>
      <w:r>
        <w:rPr>
          <w:b/>
          <w:color w:val="9D3F45"/>
        </w:rPr>
        <w:t xml:space="preserve">Risk: Critical. </w:t>
      </w:r>
      <w:r>
        <w:t>Accountable: R21. Build: R36, R37, R29. Consult: R19, R22, R23, R14.</w:t>
      </w:r>
    </w:p>
    <w:p>
      <w:pPr>
        <w:pStyle w:val="ReviewBody"/>
        <w:ind w:left="245"/>
      </w:pPr>
      <w:r>
        <w:rPr>
          <w:b/>
          <w:color w:val="117C88"/>
        </w:rPr>
        <w:t xml:space="preserve">Design considerations: </w:t>
      </w:r>
      <w:r>
        <w:t>Use enterprise IdP and phishing-resistant factors for privileged access; separate WordPress and document-service sessions; map IdP identity to immutable tenant memberships; lifecycle-sync join/move/leave; sign and verify E2EE device public keys; specify lost-device and IdP-outage handling.</w:t>
      </w:r>
    </w:p>
    <w:p>
      <w:pPr>
        <w:pStyle w:val="ReviewBody"/>
        <w:ind w:left="245"/>
      </w:pPr>
      <w:r>
        <w:rPr>
          <w:b/>
          <w:color w:val="117C88"/>
        </w:rPr>
        <w:t xml:space="preserve">Minimum acceptance evidence: </w:t>
      </w:r>
      <w:r>
        <w:t>Compromised WordPress cookies cannot mint a document-system privileged identity or enroll an unapproved E2EE device.</w:t>
      </w:r>
    </w:p>
    <w:p>
      <w:pPr>
        <w:pStyle w:val="Heading2"/>
      </w:pPr>
      <w:r>
        <w:t>DOC  |  Document capture and lifecycle  (22 features)</w:t>
      </w:r>
    </w:p>
    <w:p>
      <w:pPr>
        <w:pStyle w:val="ReviewBody"/>
      </w:pPr>
      <w:r>
        <w:rPr>
          <w:b/>
          <w:color w:val="9D3F45"/>
        </w:rPr>
        <w:t xml:space="preserve">Risk: Critical. </w:t>
      </w:r>
      <w:r>
        <w:t>Accountable: R03. Build: R32, R29, R31. Consult: R12, R19, R20, R11.</w:t>
      </w:r>
    </w:p>
    <w:p>
      <w:pPr>
        <w:pStyle w:val="ReviewBody"/>
        <w:ind w:left="245"/>
      </w:pPr>
      <w:r>
        <w:rPr>
          <w:b/>
          <w:color w:val="117C88"/>
        </w:rPr>
        <w:t xml:space="preserve">Design considerations: </w:t>
      </w:r>
      <w:r>
        <w:t>Version documents immutably with content integrity and provenance; quarantine new uploads; validate type by content; sandbox all converters; make document metadata, previews and exports classification-aware; guarantee idempotency and quota enforcement on resumable uploads.</w:t>
      </w:r>
    </w:p>
    <w:p>
      <w:pPr>
        <w:pStyle w:val="ReviewBody"/>
        <w:ind w:left="245"/>
      </w:pPr>
      <w:r>
        <w:rPr>
          <w:b/>
          <w:color w:val="117C88"/>
        </w:rPr>
        <w:t xml:space="preserve">Minimum acceptance evidence: </w:t>
      </w:r>
      <w:r>
        <w:t>Malformed file, aborted upload, version race or failed scan cannot expose partially processed plaintext or bypass approval.</w:t>
      </w:r>
    </w:p>
    <w:p>
      <w:pPr>
        <w:pStyle w:val="Heading2"/>
      </w:pPr>
      <w:r>
        <w:t>MET  |  Metadata, taxonomy and search  (16 features)</w:t>
      </w:r>
    </w:p>
    <w:p>
      <w:pPr>
        <w:pStyle w:val="ReviewBody"/>
      </w:pPr>
      <w:r>
        <w:rPr>
          <w:b/>
          <w:color w:val="A15D16"/>
        </w:rPr>
        <w:t xml:space="preserve">Risk: High. </w:t>
      </w:r>
      <w:r>
        <w:t>Accountable: R15. Build: R34, R31, R29. Consult: R20, R14, R17, R19.</w:t>
      </w:r>
    </w:p>
    <w:p>
      <w:pPr>
        <w:pStyle w:val="ReviewBody"/>
        <w:ind w:left="245"/>
      </w:pPr>
      <w:r>
        <w:rPr>
          <w:b/>
          <w:color w:val="117C88"/>
        </w:rPr>
        <w:t xml:space="preserve">Design considerations: </w:t>
      </w:r>
      <w:r>
        <w:t>Version metadata schemas and taxonomies; specify encrypted/public fields and side-channel leakage budgets; tenant-scope autosuggest, indexes, caches and analytics; support locale-specific word segmentation; keep E2EE content search on trusted clients or explicitly approved leakage-limited protocols.</w:t>
      </w:r>
    </w:p>
    <w:p>
      <w:pPr>
        <w:pStyle w:val="ReviewBody"/>
        <w:ind w:left="245"/>
      </w:pPr>
      <w:r>
        <w:rPr>
          <w:b/>
          <w:color w:val="117C88"/>
        </w:rPr>
        <w:t xml:space="preserve">Minimum acceptance evidence: </w:t>
      </w:r>
      <w:r>
        <w:t>Search returns only authorized resources and cannot reveal confidential filenames, snippets or existence through autocomplete.</w:t>
      </w:r>
    </w:p>
    <w:p>
      <w:pPr>
        <w:pStyle w:val="Heading2"/>
      </w:pPr>
      <w:r>
        <w:t>COL  |  Editing and collaboration  (16 features)</w:t>
      </w:r>
    </w:p>
    <w:p>
      <w:pPr>
        <w:pStyle w:val="ReviewBody"/>
      </w:pPr>
      <w:r>
        <w:rPr>
          <w:b/>
          <w:color w:val="A15D16"/>
        </w:rPr>
        <w:t xml:space="preserve">Risk: High. </w:t>
      </w:r>
      <w:r>
        <w:t>Accountable: R03. Build: R30, R29, R37. Consult: R20, R12, R19, R18.</w:t>
      </w:r>
    </w:p>
    <w:p>
      <w:pPr>
        <w:pStyle w:val="ReviewBody"/>
        <w:ind w:left="245"/>
      </w:pPr>
      <w:r>
        <w:rPr>
          <w:b/>
          <w:color w:val="117C88"/>
        </w:rPr>
        <w:t xml:space="preserve">Design considerations: </w:t>
      </w:r>
      <w:r>
        <w:t>Separate draft collaboration from immutable approved record; resolve locks, autosaves, failed merges and approvals; sandbox third-party editors; make E2EE collaborative editing a separate approved protocol; treat watermarks and screenshot controls as deterrents, not guarantees.</w:t>
      </w:r>
    </w:p>
    <w:p>
      <w:pPr>
        <w:pStyle w:val="ReviewBody"/>
        <w:ind w:left="245"/>
      </w:pPr>
      <w:r>
        <w:rPr>
          <w:b/>
          <w:color w:val="117C88"/>
        </w:rPr>
        <w:t xml:space="preserve">Minimum acceptance evidence: </w:t>
      </w:r>
      <w:r>
        <w:t>Unauthorized reviewer cannot change an approved hash or gain editor plaintext through preview/editor callback.</w:t>
      </w:r>
    </w:p>
    <w:p>
      <w:pPr>
        <w:pStyle w:val="Heading2"/>
      </w:pPr>
      <w:r>
        <w:t>KNO  |  Knowledge management / wiki  (16 features)</w:t>
      </w:r>
    </w:p>
    <w:p>
      <w:pPr>
        <w:pStyle w:val="ReviewBody"/>
      </w:pPr>
      <w:r>
        <w:rPr>
          <w:b/>
          <w:color w:val="A15D16"/>
        </w:rPr>
        <w:t xml:space="preserve">Risk: High. </w:t>
      </w:r>
      <w:r>
        <w:t>Accountable: R15. Build: R30, R29, R34. Consult: R11, R12, R17, R18.</w:t>
      </w:r>
    </w:p>
    <w:p>
      <w:pPr>
        <w:pStyle w:val="ReviewBody"/>
        <w:ind w:left="245"/>
      </w:pPr>
      <w:r>
        <w:rPr>
          <w:b/>
          <w:color w:val="117C88"/>
        </w:rPr>
        <w:t xml:space="preserve">Design considerations: </w:t>
      </w:r>
      <w:r>
        <w:t>Assign content steward and periodic validation; separate canonical policies from discussion threads; enforce link traversal rights; maintain multilingual article versions and fallback markers; prove read-and-attest evidence binds a specific version and language.</w:t>
      </w:r>
    </w:p>
    <w:p>
      <w:pPr>
        <w:pStyle w:val="ReviewBody"/>
        <w:ind w:left="245"/>
      </w:pPr>
      <w:r>
        <w:rPr>
          <w:b/>
          <w:color w:val="117C88"/>
        </w:rPr>
        <w:t xml:space="preserve">Minimum acceptance evidence: </w:t>
      </w:r>
      <w:r>
        <w:t>Users see only permitted linked knowledge; acknowledgment is linked to exact approved revision, not mutable draft.</w:t>
      </w:r>
    </w:p>
    <w:p>
      <w:pPr>
        <w:pStyle w:val="Heading2"/>
      </w:pPr>
      <w:r>
        <w:t>WFL  |  Workflow and approvals  (19 features)</w:t>
      </w:r>
    </w:p>
    <w:p>
      <w:pPr>
        <w:pStyle w:val="ReviewBody"/>
      </w:pPr>
      <w:r>
        <w:rPr>
          <w:b/>
          <w:color w:val="A15D16"/>
        </w:rPr>
        <w:t xml:space="preserve">Risk: High. </w:t>
      </w:r>
      <w:r>
        <w:t>Accountable: R03. Build: R33, R29, R30. Consult: R21, R12, R13, R19.</w:t>
      </w:r>
    </w:p>
    <w:p>
      <w:pPr>
        <w:pStyle w:val="ReviewBody"/>
        <w:ind w:left="245"/>
      </w:pPr>
      <w:r>
        <w:rPr>
          <w:b/>
          <w:color w:val="117C88"/>
        </w:rPr>
        <w:t xml:space="preserve">Design considerations: </w:t>
      </w:r>
      <w:r>
        <w:t>Design versioned state machines with explicit retry/idempotency semantics; enforce maker/checker, approval quorum and delegated-authority limits; bind approval to document hash/policy; protect confidential notification payload; distinguish internal approval from legally qualified e-signature.</w:t>
      </w:r>
    </w:p>
    <w:p>
      <w:pPr>
        <w:pStyle w:val="ReviewBody"/>
        <w:ind w:left="245"/>
      </w:pPr>
      <w:r>
        <w:rPr>
          <w:b/>
          <w:color w:val="117C88"/>
        </w:rPr>
        <w:t xml:space="preserve">Minimum acceptance evidence: </w:t>
      </w:r>
      <w:r>
        <w:t>Workflow cannot be self-approved through race conditions, delegation cycles, replayed jobs or version swaps.</w:t>
      </w:r>
    </w:p>
    <w:p>
      <w:pPr>
        <w:pStyle w:val="Heading2"/>
      </w:pPr>
      <w:r>
        <w:t>REC  |  Records, holds, eDiscovery  (18 features)</w:t>
      </w:r>
    </w:p>
    <w:p>
      <w:pPr>
        <w:pStyle w:val="ReviewBody"/>
      </w:pPr>
      <w:r>
        <w:rPr>
          <w:b/>
          <w:color w:val="9D3F45"/>
        </w:rPr>
        <w:t xml:space="preserve">Risk: Critical. </w:t>
      </w:r>
      <w:r>
        <w:t>Accountable: R12. Build: R29, R31, R32. Consult: R13, R14, R20, R27.</w:t>
      </w:r>
    </w:p>
    <w:p>
      <w:pPr>
        <w:pStyle w:val="ReviewBody"/>
        <w:ind w:left="245"/>
      </w:pPr>
      <w:r>
        <w:rPr>
          <w:b/>
          <w:color w:val="117C88"/>
        </w:rPr>
        <w:t xml:space="preserve">Design considerations: </w:t>
      </w:r>
      <w:r>
        <w:t>Capture jurisdictional retention rules, classification events, WORM scopes and legal hold precedence; define conflicts with subject erasure, backups and cryptographic deletion; assess whether E2EE discovery requires trustee-based access or custodian-driven client export.</w:t>
      </w:r>
    </w:p>
    <w:p>
      <w:pPr>
        <w:pStyle w:val="ReviewBody"/>
        <w:ind w:left="245"/>
      </w:pPr>
      <w:r>
        <w:rPr>
          <w:b/>
          <w:color w:val="117C88"/>
        </w:rPr>
        <w:t xml:space="preserve">Minimum acceptance evidence: </w:t>
      </w:r>
      <w:r>
        <w:t>Hold blocks destructive operations across versions, exports, backup expiry and crypto-erasure until lawfully released.</w:t>
      </w:r>
    </w:p>
    <w:p>
      <w:pPr>
        <w:pStyle w:val="Heading2"/>
      </w:pPr>
      <w:r>
        <w:t>ENC  |  Encryption / keys / E2EE  (20 features)</w:t>
      </w:r>
    </w:p>
    <w:p>
      <w:pPr>
        <w:pStyle w:val="ReviewBody"/>
      </w:pPr>
      <w:r>
        <w:rPr>
          <w:b/>
          <w:color w:val="9D3F45"/>
        </w:rPr>
        <w:t xml:space="preserve">Risk: Critical. </w:t>
      </w:r>
      <w:r>
        <w:t>Accountable: R20. Build: R37, R32, R29. Consult: R25, R19, R21, R26.</w:t>
      </w:r>
    </w:p>
    <w:p>
      <w:pPr>
        <w:pStyle w:val="ReviewBody"/>
        <w:ind w:left="245"/>
      </w:pPr>
      <w:r>
        <w:rPr>
          <w:b/>
          <w:color w:val="117C88"/>
        </w:rPr>
        <w:t xml:space="preserve">Design considerations: </w:t>
      </w:r>
      <w:r>
        <w:t>Independent trusted code distribution must withstand a WordPress breach; use reviewed AEAD and per-version keys, authenticated document context, verified recipient identities, rekey and recovery models; explicitly expose recovery-vs-zero-access trade-off; test WordPress takeover.</w:t>
      </w:r>
    </w:p>
    <w:p>
      <w:pPr>
        <w:pStyle w:val="ReviewBody"/>
        <w:ind w:left="245"/>
      </w:pPr>
      <w:r>
        <w:rPr>
          <w:b/>
          <w:color w:val="117C88"/>
        </w:rPr>
        <w:t xml:space="preserve">Minimum acceptance evidence: </w:t>
      </w:r>
      <w:r>
        <w:t>External reviewers reproduce crypto vectors; simulated WordPress RCE cannot decrypt protected records or forge recipients.</w:t>
      </w:r>
    </w:p>
    <w:p>
      <w:pPr>
        <w:pStyle w:val="Heading2"/>
      </w:pPr>
      <w:r>
        <w:t>SEC  |  Threat prevention and detection  (16 features)</w:t>
      </w:r>
    </w:p>
    <w:p>
      <w:pPr>
        <w:pStyle w:val="ReviewBody"/>
      </w:pPr>
      <w:r>
        <w:rPr>
          <w:b/>
          <w:color w:val="9D3F45"/>
        </w:rPr>
        <w:t xml:space="preserve">Risk: Critical. </w:t>
      </w:r>
      <w:r>
        <w:t>Accountable: R19. Build: R22, R23, R28. Consult: R24, R25, R27, R14.</w:t>
      </w:r>
    </w:p>
    <w:p>
      <w:pPr>
        <w:pStyle w:val="ReviewBody"/>
        <w:ind w:left="245"/>
      </w:pPr>
      <w:r>
        <w:rPr>
          <w:b/>
          <w:color w:val="117C88"/>
        </w:rPr>
        <w:t xml:space="preserve">Design considerations: </w:t>
      </w:r>
      <w:r>
        <w:t>Threat-model tenant enumeration, malicious file parsing, SSRF, DLP gaps, supply-chain compromise, secrets leakage and abuse; segregate malware scanners and audit pipelines; produce signed SBOM/release provenance and vulnerability response process.</w:t>
      </w:r>
    </w:p>
    <w:p>
      <w:pPr>
        <w:pStyle w:val="ReviewBody"/>
        <w:ind w:left="245"/>
      </w:pPr>
      <w:r>
        <w:rPr>
          <w:b/>
          <w:color w:val="117C88"/>
        </w:rPr>
        <w:t xml:space="preserve">Minimum acceptance evidence: </w:t>
      </w:r>
      <w:r>
        <w:t>A full red-team sequence includes cross-tenant, malicious-file, compromised plug-in and service-credential compromise.</w:t>
      </w:r>
    </w:p>
    <w:p>
      <w:pPr>
        <w:pStyle w:val="Heading2"/>
      </w:pPr>
      <w:r>
        <w:t>EXT  |  Guests, sharing, data rooms  (13 features)</w:t>
      </w:r>
    </w:p>
    <w:p>
      <w:pPr>
        <w:pStyle w:val="ReviewBody"/>
      </w:pPr>
      <w:r>
        <w:rPr>
          <w:b/>
          <w:color w:val="A15D16"/>
        </w:rPr>
        <w:t xml:space="preserve">Risk: High. </w:t>
      </w:r>
      <w:r>
        <w:t>Accountable: R03. Build: R29, R37, R30. Consult: R13, R14, R20, R21.</w:t>
      </w:r>
    </w:p>
    <w:p>
      <w:pPr>
        <w:pStyle w:val="ReviewBody"/>
        <w:ind w:left="245"/>
      </w:pPr>
      <w:r>
        <w:rPr>
          <w:b/>
          <w:color w:val="117C88"/>
        </w:rPr>
        <w:t xml:space="preserve">Design considerations: </w:t>
      </w:r>
      <w:r>
        <w:t>Verify external key ownership and legal recipient identity; require source-tenant consent for intercompany disclosure; set expiry, purpose, review and download policy; prevent cross-bidder leakage; treat guest offboarding and past downloads separately.</w:t>
      </w:r>
    </w:p>
    <w:p>
      <w:pPr>
        <w:pStyle w:val="ReviewBody"/>
        <w:ind w:left="245"/>
      </w:pPr>
      <w:r>
        <w:rPr>
          <w:b/>
          <w:color w:val="117C88"/>
        </w:rPr>
        <w:t xml:space="preserve">Minimum acceptance evidence: </w:t>
      </w:r>
      <w:r>
        <w:t>Sharing to Subsidiary B never creates blanket rights for B or leaks material via email or data-room logs.</w:t>
      </w:r>
    </w:p>
    <w:p>
      <w:pPr>
        <w:pStyle w:val="Heading2"/>
      </w:pPr>
      <w:r>
        <w:t>RPT  |  Audit, oversight and analytics  (14 features)</w:t>
      </w:r>
    </w:p>
    <w:p>
      <w:pPr>
        <w:pStyle w:val="ReviewBody"/>
      </w:pPr>
      <w:r>
        <w:rPr>
          <w:b/>
          <w:color w:val="9D3F45"/>
        </w:rPr>
        <w:t xml:space="preserve">Risk: Critical. </w:t>
      </w:r>
      <w:r>
        <w:t>Accountable: R27. Build: R29, R31, R23. Consult: R14, R12, R19, R02.</w:t>
      </w:r>
    </w:p>
    <w:p>
      <w:pPr>
        <w:pStyle w:val="ReviewBody"/>
        <w:ind w:left="245"/>
      </w:pPr>
      <w:r>
        <w:rPr>
          <w:b/>
          <w:color w:val="117C88"/>
        </w:rPr>
        <w:t xml:space="preserve">Design considerations: </w:t>
      </w:r>
      <w:r>
        <w:t>Write independently retained and integrity-protected events; choose event schema, clock synchronization and redaction; separate subsidiary record-level audit from group aggregate reporting; limit queryable metadata to avoid inference; define audit retention and regulator access.</w:t>
      </w:r>
    </w:p>
    <w:p>
      <w:pPr>
        <w:pStyle w:val="ReviewBody"/>
        <w:ind w:left="245"/>
      </w:pPr>
      <w:r>
        <w:rPr>
          <w:b/>
          <w:color w:val="117C88"/>
        </w:rPr>
        <w:t xml:space="preserve">Minimum acceptance evidence: </w:t>
      </w:r>
      <w:r>
        <w:t>Neither WordPress admin nor subsidiary admin can erase evidence of their access or infer confidential sibling tenants.</w:t>
      </w:r>
    </w:p>
    <w:p>
      <w:pPr>
        <w:pStyle w:val="Heading2"/>
      </w:pPr>
      <w:r>
        <w:t>AIX  |  AI and decision support  (17 features)</w:t>
      </w:r>
    </w:p>
    <w:p>
      <w:pPr>
        <w:pStyle w:val="ReviewBody"/>
      </w:pPr>
      <w:r>
        <w:rPr>
          <w:b/>
          <w:color w:val="A15D16"/>
        </w:rPr>
        <w:t xml:space="preserve">Risk: High. </w:t>
      </w:r>
      <w:r>
        <w:t>Accountable: R03. Build: R35, R34, R29. Consult: R14, R20, R19, R13.</w:t>
      </w:r>
    </w:p>
    <w:p>
      <w:pPr>
        <w:pStyle w:val="ReviewBody"/>
        <w:ind w:left="245"/>
      </w:pPr>
      <w:r>
        <w:rPr>
          <w:b/>
          <w:color w:val="117C88"/>
        </w:rPr>
        <w:t xml:space="preserve">Design considerations: </w:t>
      </w:r>
      <w:r>
        <w:t>Default deny on highly classified material and E2EE server inference; permission-check at retrieval and generation, not just indexing; protect embeddings, prompts and outputs; defend prompt injection, track models/providers, evaluate accuracy by language; require human approval for consequential decisions.</w:t>
      </w:r>
    </w:p>
    <w:p>
      <w:pPr>
        <w:pStyle w:val="ReviewBody"/>
        <w:ind w:left="245"/>
      </w:pPr>
      <w:r>
        <w:rPr>
          <w:b/>
          <w:color w:val="117C88"/>
        </w:rPr>
        <w:t xml:space="preserve">Minimum acceptance evidence: </w:t>
      </w:r>
      <w:r>
        <w:t>Revoked document cannot appear in RAG retrieval, answer citations, embeddings or cached model responses.</w:t>
      </w:r>
    </w:p>
    <w:p>
      <w:pPr>
        <w:pStyle w:val="Heading2"/>
      </w:pPr>
      <w:r>
        <w:t>L10  |  13 languages and accessibility  (15 features)</w:t>
      </w:r>
    </w:p>
    <w:p>
      <w:pPr>
        <w:pStyle w:val="ReviewBody"/>
      </w:pPr>
      <w:r>
        <w:rPr>
          <w:b/>
          <w:color w:val="A15D16"/>
        </w:rPr>
        <w:t xml:space="preserve">Risk: High. </w:t>
      </w:r>
      <w:r>
        <w:t>Accountable: R17. Build: R30, R37, R43. Consult: R18, R16, R11, R15.</w:t>
      </w:r>
    </w:p>
    <w:p>
      <w:pPr>
        <w:pStyle w:val="ReviewBody"/>
        <w:ind w:left="245"/>
      </w:pPr>
      <w:r>
        <w:rPr>
          <w:b/>
          <w:color w:val="117C88"/>
        </w:rPr>
        <w:t xml:space="preserve">Design considerations: </w:t>
      </w:r>
      <w:r>
        <w:t>Native review for English, Persian, French, Turkish, Russian, Simplified Chinese, German, Portuguese, Spanish, Hindi, Japanese, Arabic and Armenian; define regional variants; handle Unicode normalization, RTL text mixing, calendars/time zones, plural forms, fonts and WCAG 2.2 AA.</w:t>
      </w:r>
    </w:p>
    <w:p>
      <w:pPr>
        <w:pStyle w:val="ReviewBody"/>
        <w:ind w:left="245"/>
      </w:pPr>
      <w:r>
        <w:rPr>
          <w:b/>
          <w:color w:val="117C88"/>
        </w:rPr>
        <w:t xml:space="preserve">Minimum acceptance evidence: </w:t>
      </w:r>
      <w:r>
        <w:t>Every core journey passes native-speaker QA and keyboard/screen-reader testing in both RTL and LTR.</w:t>
      </w:r>
    </w:p>
    <w:p>
      <w:pPr>
        <w:pStyle w:val="Heading2"/>
      </w:pPr>
      <w:r>
        <w:t>API  |  External APIs and connectors  (17 features)</w:t>
      </w:r>
    </w:p>
    <w:p>
      <w:pPr>
        <w:pStyle w:val="ReviewBody"/>
      </w:pPr>
      <w:r>
        <w:rPr>
          <w:b/>
          <w:color w:val="9D3F45"/>
        </w:rPr>
        <w:t xml:space="preserve">Risk: Critical. </w:t>
      </w:r>
      <w:r>
        <w:t>Accountable: R07. Build: R36, R29, R28. Consult: R21, R19, R22, R09.</w:t>
      </w:r>
    </w:p>
    <w:p>
      <w:pPr>
        <w:pStyle w:val="ReviewBody"/>
        <w:ind w:left="245"/>
      </w:pPr>
      <w:r>
        <w:rPr>
          <w:b/>
          <w:color w:val="117C88"/>
        </w:rPr>
        <w:t xml:space="preserve">Design considerations: </w:t>
      </w:r>
      <w:r>
        <w:t>Minimize WordPress bridge privileges; enforce tenant-scoped token audiences and expiry; sign webhooks with replay controls; make retries idempotent; version schemas; prohibit connectors from bypassing legal holds, classification or encryption mode.</w:t>
      </w:r>
    </w:p>
    <w:p>
      <w:pPr>
        <w:pStyle w:val="ReviewBody"/>
        <w:ind w:left="245"/>
      </w:pPr>
      <w:r>
        <w:rPr>
          <w:b/>
          <w:color w:val="117C88"/>
        </w:rPr>
        <w:t xml:space="preserve">Minimum acceptance evidence: </w:t>
      </w:r>
      <w:r>
        <w:t>Forged webhook, compromised plugin, tenantless API key or connector replay cannot perform forbidden operations.</w:t>
      </w:r>
    </w:p>
    <w:p>
      <w:pPr>
        <w:pStyle w:val="Heading2"/>
      </w:pPr>
      <w:r>
        <w:t>UX  |  Experience and productivity  (13 features)</w:t>
      </w:r>
    </w:p>
    <w:p>
      <w:pPr>
        <w:pStyle w:val="ReviewBody"/>
      </w:pPr>
      <w:r>
        <w:rPr>
          <w:b/>
          <w:color w:val="A15D16"/>
        </w:rPr>
        <w:t xml:space="preserve">Risk: High. </w:t>
      </w:r>
      <w:r>
        <w:t>Accountable: R16. Build: R30, R37. Consult: R18, R17, R11, R20.</w:t>
      </w:r>
    </w:p>
    <w:p>
      <w:pPr>
        <w:pStyle w:val="ReviewBody"/>
        <w:ind w:left="245"/>
      </w:pPr>
      <w:r>
        <w:rPr>
          <w:b/>
          <w:color w:val="117C88"/>
        </w:rPr>
        <w:t xml:space="preserve">Design considerations: </w:t>
      </w:r>
      <w:r>
        <w:t>Use unmistakable tenant context and confidentiality-mode cues; explain why an action is denied without disclosing resources; support safe bulk operations, escape hatches, accessible approvals and reliable upload progress; ensure privacy of notifications and recent-item widgets.</w:t>
      </w:r>
    </w:p>
    <w:p>
      <w:pPr>
        <w:pStyle w:val="ReviewBody"/>
        <w:ind w:left="245"/>
      </w:pPr>
      <w:r>
        <w:rPr>
          <w:b/>
          <w:color w:val="117C88"/>
        </w:rPr>
        <w:t xml:space="preserve">Minimum acceptance evidence: </w:t>
      </w:r>
      <w:r>
        <w:t>Usability sessions show administrators do not mistake group-wide authority for permission to view subsidiary content.</w:t>
      </w:r>
    </w:p>
    <w:p>
      <w:pPr>
        <w:pStyle w:val="Heading2"/>
      </w:pPr>
      <w:r>
        <w:t>MOB  |  Mobile, desktop and offline  (12 features)</w:t>
      </w:r>
    </w:p>
    <w:p>
      <w:pPr>
        <w:pStyle w:val="ReviewBody"/>
      </w:pPr>
      <w:r>
        <w:rPr>
          <w:b/>
          <w:color w:val="A15D16"/>
        </w:rPr>
        <w:t xml:space="preserve">Risk: High. </w:t>
      </w:r>
      <w:r>
        <w:t>Accountable: R37. Build: R30, R36, R39. Consult: R20, R21, R22, R18.</w:t>
      </w:r>
    </w:p>
    <w:p>
      <w:pPr>
        <w:pStyle w:val="ReviewBody"/>
        <w:ind w:left="245"/>
      </w:pPr>
      <w:r>
        <w:rPr>
          <w:b/>
          <w:color w:val="117C88"/>
        </w:rPr>
        <w:t xml:space="preserve">Design considerations: </w:t>
      </w:r>
      <w:r>
        <w:t>Implement signed app updates, hardware-backed local secrets where supported, lost-device offboarding, cache quotas, offline expiry, sync conflicts and remote wipe best-effort warnings; test independent trust from WordPress and 13-language UI.</w:t>
      </w:r>
    </w:p>
    <w:p>
      <w:pPr>
        <w:pStyle w:val="ReviewBody"/>
        <w:ind w:left="245"/>
      </w:pPr>
      <w:r>
        <w:rPr>
          <w:b/>
          <w:color w:val="117C88"/>
        </w:rPr>
        <w:t xml:space="preserve">Minimum acceptance evidence: </w:t>
      </w:r>
      <w:r>
        <w:t>Offline user cannot access never-synced files or new versions after revocation; limitations for existing cached files are documented.</w:t>
      </w:r>
    </w:p>
    <w:p>
      <w:pPr>
        <w:pStyle w:val="Heading2"/>
      </w:pPr>
      <w:r>
        <w:t>PRV  |  Privacy, residency and compliance  (14 features)</w:t>
      </w:r>
    </w:p>
    <w:p>
      <w:pPr>
        <w:pStyle w:val="ReviewBody"/>
      </w:pPr>
      <w:r>
        <w:rPr>
          <w:b/>
          <w:color w:val="9D3F45"/>
        </w:rPr>
        <w:t xml:space="preserve">Risk: Critical. </w:t>
      </w:r>
      <w:r>
        <w:t>Accountable: R14. Build: R29, R31, R39. Consult: R13, R12, R27, R09.</w:t>
      </w:r>
    </w:p>
    <w:p>
      <w:pPr>
        <w:pStyle w:val="ReviewBody"/>
        <w:ind w:left="245"/>
      </w:pPr>
      <w:r>
        <w:rPr>
          <w:b/>
          <w:color w:val="117C88"/>
        </w:rPr>
        <w:t xml:space="preserve">Design considerations: </w:t>
      </w:r>
      <w:r>
        <w:t>Identify controller/processor relationships per legal entity, data maps and subprocessors; configure regional storage and key access; reconcile privacy requests with holds; scope analytics; assess incident notification duties and lawful cross-border transfers before deployment.</w:t>
      </w:r>
    </w:p>
    <w:p>
      <w:pPr>
        <w:pStyle w:val="ReviewBody"/>
        <w:ind w:left="245"/>
      </w:pPr>
      <w:r>
        <w:rPr>
          <w:b/>
          <w:color w:val="117C88"/>
        </w:rPr>
        <w:t xml:space="preserve">Minimum acceptance evidence: </w:t>
      </w:r>
      <w:r>
        <w:t>Requests for access, deletion, export and residency evidence complete with recorded lawful exceptions and approvals.</w:t>
      </w:r>
    </w:p>
    <w:p>
      <w:pPr>
        <w:pStyle w:val="Heading2"/>
      </w:pPr>
      <w:r>
        <w:t>OPS  |  Operations, backup and resilience  (21 features)</w:t>
      </w:r>
    </w:p>
    <w:p>
      <w:pPr>
        <w:pStyle w:val="ReviewBody"/>
      </w:pPr>
      <w:r>
        <w:rPr>
          <w:b/>
          <w:color w:val="9D3F45"/>
        </w:rPr>
        <w:t xml:space="preserve">Risk: Critical. </w:t>
      </w:r>
      <w:r>
        <w:t>Accountable: R39. Build: R38, R22, R40. Consult: R23, R25, R08, R27.</w:t>
      </w:r>
    </w:p>
    <w:p>
      <w:pPr>
        <w:pStyle w:val="ReviewBody"/>
        <w:ind w:left="245"/>
      </w:pPr>
      <w:r>
        <w:rPr>
          <w:b/>
          <w:color w:val="117C88"/>
        </w:rPr>
        <w:t xml:space="preserve">Design considerations: </w:t>
      </w:r>
      <w:r>
        <w:t>Define measurable SLO/RTO/RPO by mode, region and tier; verify restoration of data plus recovery keys and permissions; apply infrastructure isolation, immutable backups, provenance signing and supply-chain scanning; run incident, disaster and tenant-departure drills.</w:t>
      </w:r>
    </w:p>
    <w:p>
      <w:pPr>
        <w:pStyle w:val="ReviewBody"/>
        <w:ind w:left="245"/>
      </w:pPr>
      <w:r>
        <w:rPr>
          <w:b/>
          <w:color w:val="117C88"/>
        </w:rPr>
        <w:t xml:space="preserve">Minimum acceptance evidence: </w:t>
      </w:r>
      <w:r>
        <w:t>Restore 10-tenant representative backup without orphaning keys, violating residency, or resurrecting revoked access.</w:t>
      </w:r>
    </w:p>
    <w:p>
      <w:pPr>
        <w:pStyle w:val="Heading2"/>
      </w:pPr>
      <w:r>
        <w:t>MIG  |  Migration and rollout  (13 features)</w:t>
      </w:r>
    </w:p>
    <w:p>
      <w:pPr>
        <w:pStyle w:val="ReviewBody"/>
      </w:pPr>
      <w:r>
        <w:rPr>
          <w:b/>
          <w:color w:val="A15D16"/>
        </w:rPr>
        <w:t xml:space="preserve">Risk: High. </w:t>
      </w:r>
      <w:r>
        <w:t>Accountable: R10. Build: R42, R36, R40. Consult: R11, R12, R14, R17.</w:t>
      </w:r>
    </w:p>
    <w:p>
      <w:pPr>
        <w:pStyle w:val="ReviewBody"/>
        <w:ind w:left="245"/>
      </w:pPr>
      <w:r>
        <w:rPr>
          <w:b/>
          <w:color w:val="117C88"/>
        </w:rPr>
        <w:t xml:space="preserve">Design considerations: </w:t>
      </w:r>
      <w:r>
        <w:t>Inventory legacy records and ACLs, verify metadata semantics, create resumable staging, quarantine unsafe files and check chain of custody; reconcile identity conflicts; pilot at least two subsidiaries with different policies and a representative RTL language.</w:t>
      </w:r>
    </w:p>
    <w:p>
      <w:pPr>
        <w:pStyle w:val="ReviewBody"/>
        <w:ind w:left="245"/>
      </w:pPr>
      <w:r>
        <w:rPr>
          <w:b/>
          <w:color w:val="117C88"/>
        </w:rPr>
        <w:t xml:space="preserve">Minimum acceptance evidence: </w:t>
      </w:r>
      <w:r>
        <w:t>Signed migration manifest shows all versions, records, holds and ACLs reconciled before cutover.</w:t>
      </w:r>
    </w:p>
    <w:p>
      <w:pPr>
        <w:pStyle w:val="Heading2"/>
      </w:pPr>
      <w:r>
        <w:t>VRP  |  Vertical enterprise modules  (10 features)</w:t>
      </w:r>
    </w:p>
    <w:p>
      <w:pPr>
        <w:pStyle w:val="ReviewBody"/>
      </w:pPr>
      <w:r>
        <w:rPr>
          <w:b/>
          <w:color w:val="117C88"/>
        </w:rPr>
        <w:t xml:space="preserve">Risk: Medium. </w:t>
      </w:r>
      <w:r>
        <w:t>Accountable: R03. Build: R33, R29, R30. Consult: R13, R12, R11, R20.</w:t>
      </w:r>
    </w:p>
    <w:p>
      <w:pPr>
        <w:pStyle w:val="ReviewBody"/>
        <w:ind w:left="245"/>
      </w:pPr>
      <w:r>
        <w:rPr>
          <w:b/>
          <w:color w:val="117C88"/>
        </w:rPr>
        <w:t xml:space="preserve">Design considerations: </w:t>
      </w:r>
      <w:r>
        <w:t>Treat board, HR, contracts, quality and procurement as separate domain workflows with distinct legal policies and confidentiality needs; define modular extension API, isolation rules and independent threat review for each added module.</w:t>
      </w:r>
    </w:p>
    <w:p>
      <w:pPr>
        <w:pStyle w:val="ReviewBody"/>
        <w:ind w:left="245"/>
      </w:pPr>
      <w:r>
        <w:rPr>
          <w:b/>
          <w:color w:val="117C88"/>
        </w:rPr>
        <w:t xml:space="preserve">Minimum acceptance evidence: </w:t>
      </w:r>
      <w:r>
        <w:t>A new vertical extension cannot change another tenant’s policies or obtain zero-knowledge plaintext by default.</w:t>
      </w:r>
    </w:p>
    <w:p>
      <w:pPr>
        <w:pStyle w:val="Heading1"/>
        <w:pageBreakBefore/>
      </w:pPr>
      <w:r>
        <w:t>7. Architecture and policy conflicts requiring deliberate trade-offs</w:t>
      </w:r>
    </w:p>
    <w:p>
      <w:pPr/>
      <w:r>
        <w:t>The system cannot safely promise every capability in both encryption modes. These conflicts should become a published mode/feature compatibility matrix and explicit policy warnings in configuration screens.</w:t>
      </w:r>
    </w:p>
    <w:p>
      <w:pPr>
        <w:pStyle w:val="SmallCaps"/>
      </w:pPr>
      <w:r>
        <w:t>CONFLICT 01  ZERO-KNOWLEDGE FILES VS SERVER OCR/SEARCH/AI</w:t>
      </w:r>
    </w:p>
    <w:p>
      <w:pPr>
        <w:pStyle w:val="ReviewBody"/>
        <w:ind w:left="245"/>
      </w:pPr>
      <w:r>
        <w:rPr>
          <w:b/>
          <w:color w:val="117C88"/>
        </w:rPr>
        <w:t xml:space="preserve">Design resolution: </w:t>
      </w:r>
      <w:r>
        <w:t>Use trusted-client processing; otherwise managed mode after explicit classification approval.</w:t>
      </w:r>
    </w:p>
    <w:p>
      <w:pPr>
        <w:pStyle w:val="ReviewBody"/>
        <w:ind w:left="245"/>
      </w:pPr>
      <w:r>
        <w:rPr>
          <w:b/>
          <w:color w:val="117C88"/>
        </w:rPr>
        <w:t xml:space="preserve">Cross-functional owners: </w:t>
      </w:r>
      <w:r>
        <w:t>R20 / R34 / R35</w:t>
      </w:r>
    </w:p>
    <w:p>
      <w:pPr>
        <w:pStyle w:val="SmallCaps"/>
      </w:pPr>
      <w:r>
        <w:t>CONFLICT 02  ZERO-KNOWLEDGE MALWARE INSPECTION VS OPAQUE CIPHERTEXT</w:t>
      </w:r>
    </w:p>
    <w:p>
      <w:pPr>
        <w:pStyle w:val="ReviewBody"/>
        <w:ind w:left="245"/>
      </w:pPr>
      <w:r>
        <w:rPr>
          <w:b/>
          <w:color w:val="117C88"/>
        </w:rPr>
        <w:t xml:space="preserve">Design resolution: </w:t>
      </w:r>
      <w:r>
        <w:t>Admit reduced server assurance; client scan, device posture, staging/quarantine and policy restrictions.</w:t>
      </w:r>
    </w:p>
    <w:p>
      <w:pPr>
        <w:pStyle w:val="ReviewBody"/>
        <w:ind w:left="245"/>
      </w:pPr>
      <w:r>
        <w:rPr>
          <w:b/>
          <w:color w:val="117C88"/>
        </w:rPr>
        <w:t xml:space="preserve">Cross-functional owners: </w:t>
      </w:r>
      <w:r>
        <w:t>R19 / R32</w:t>
      </w:r>
    </w:p>
    <w:p>
      <w:pPr>
        <w:pStyle w:val="SmallCaps"/>
      </w:pPr>
      <w:r>
        <w:t>CONFLICT 03  STRONG CONFIDENTIALITY VS FORGOTTEN KEYS</w:t>
      </w:r>
    </w:p>
    <w:p>
      <w:pPr>
        <w:pStyle w:val="ReviewBody"/>
        <w:ind w:left="245"/>
      </w:pPr>
      <w:r>
        <w:rPr>
          <w:b/>
          <w:color w:val="117C88"/>
        </w:rPr>
        <w:t xml:space="preserve">Design resolution: </w:t>
      </w:r>
      <w:r>
        <w:t>Choose no recovery (permanent loss possible) or independently governed quorum recovery (extra access path).</w:t>
      </w:r>
    </w:p>
    <w:p>
      <w:pPr>
        <w:pStyle w:val="ReviewBody"/>
        <w:ind w:left="245"/>
      </w:pPr>
      <w:r>
        <w:rPr>
          <w:b/>
          <w:color w:val="117C88"/>
        </w:rPr>
        <w:t xml:space="preserve">Cross-functional owners: </w:t>
      </w:r>
      <w:r>
        <w:t>R20 / R26</w:t>
      </w:r>
    </w:p>
    <w:p>
      <w:pPr>
        <w:pStyle w:val="SmallCaps"/>
      </w:pPr>
      <w:r>
        <w:t>CONFLICT 04  AUTHORIZATION REVOCATION VS OFFLINE ACCESS</w:t>
      </w:r>
    </w:p>
    <w:p>
      <w:pPr>
        <w:pStyle w:val="ReviewBody"/>
        <w:ind w:left="245"/>
      </w:pPr>
      <w:r>
        <w:rPr>
          <w:b/>
          <w:color w:val="117C88"/>
        </w:rPr>
        <w:t xml:space="preserve">Design resolution: </w:t>
      </w:r>
      <w:r>
        <w:t>Revoke future delivery; clearly disclose inability to erase previously copied plaintext or keys.</w:t>
      </w:r>
    </w:p>
    <w:p>
      <w:pPr>
        <w:pStyle w:val="ReviewBody"/>
        <w:ind w:left="245"/>
      </w:pPr>
      <w:r>
        <w:rPr>
          <w:b/>
          <w:color w:val="117C88"/>
        </w:rPr>
        <w:t xml:space="preserve">Cross-functional owners: </w:t>
      </w:r>
      <w:r>
        <w:t>R21 / R37</w:t>
      </w:r>
    </w:p>
    <w:p>
      <w:pPr>
        <w:pStyle w:val="SmallCaps"/>
      </w:pPr>
      <w:r>
        <w:t>CONFLICT 05  GROUP CENTRAL OVERSIGHT VS SUBSIDIARY CONFIDENTIALITY</w:t>
      </w:r>
    </w:p>
    <w:p>
      <w:pPr>
        <w:pStyle w:val="ReviewBody"/>
        <w:ind w:left="245"/>
      </w:pPr>
      <w:r>
        <w:rPr>
          <w:b/>
          <w:color w:val="117C88"/>
        </w:rPr>
        <w:t xml:space="preserve">Design resolution: </w:t>
      </w:r>
      <w:r>
        <w:t>Keep control-plane and document-key permissions separate; aggregated group reporting.</w:t>
      </w:r>
    </w:p>
    <w:p>
      <w:pPr>
        <w:pStyle w:val="ReviewBody"/>
        <w:ind w:left="245"/>
      </w:pPr>
      <w:r>
        <w:rPr>
          <w:b/>
          <w:color w:val="117C88"/>
        </w:rPr>
        <w:t xml:space="preserve">Cross-functional owners: </w:t>
      </w:r>
      <w:r>
        <w:t>R02 / R21</w:t>
      </w:r>
    </w:p>
    <w:p>
      <w:pPr>
        <w:pStyle w:val="SmallCaps"/>
      </w:pPr>
      <w:r>
        <w:t>CONFLICT 06  LEGAL HOLD VS RIGHT TO ERASURE / CRYPTO ERASURE</w:t>
      </w:r>
    </w:p>
    <w:p>
      <w:pPr>
        <w:pStyle w:val="ReviewBody"/>
        <w:ind w:left="245"/>
      </w:pPr>
      <w:r>
        <w:rPr>
          <w:b/>
          <w:color w:val="117C88"/>
        </w:rPr>
        <w:t xml:space="preserve">Design resolution: </w:t>
      </w:r>
      <w:r>
        <w:t>Apply jurisdiction-specific priority with recorded legal justification, review and execution gates.</w:t>
      </w:r>
    </w:p>
    <w:p>
      <w:pPr>
        <w:pStyle w:val="ReviewBody"/>
        <w:ind w:left="245"/>
      </w:pPr>
      <w:r>
        <w:rPr>
          <w:b/>
          <w:color w:val="117C88"/>
        </w:rPr>
        <w:t xml:space="preserve">Cross-functional owners: </w:t>
      </w:r>
      <w:r>
        <w:t>R12 / R13 / R14</w:t>
      </w:r>
    </w:p>
    <w:p>
      <w:pPr>
        <w:pStyle w:val="SmallCaps"/>
      </w:pPr>
      <w:r>
        <w:t>CONFLICT 07  E2EE VS COURT-DIRECTED EDISCOVERY</w:t>
      </w:r>
    </w:p>
    <w:p>
      <w:pPr>
        <w:pStyle w:val="ReviewBody"/>
        <w:ind w:left="245"/>
      </w:pPr>
      <w:r>
        <w:rPr>
          <w:b/>
          <w:color w:val="117C88"/>
        </w:rPr>
        <w:t xml:space="preserve">Design resolution: </w:t>
      </w:r>
      <w:r>
        <w:t>Adopt legal custodian export or trustee recovery procedure; do not imply invisible server decryption.</w:t>
      </w:r>
    </w:p>
    <w:p>
      <w:pPr>
        <w:pStyle w:val="ReviewBody"/>
        <w:ind w:left="245"/>
      </w:pPr>
      <w:r>
        <w:rPr>
          <w:b/>
          <w:color w:val="117C88"/>
        </w:rPr>
        <w:t xml:space="preserve">Cross-functional owners: </w:t>
      </w:r>
      <w:r>
        <w:t>R13 / R20</w:t>
      </w:r>
    </w:p>
    <w:p>
      <w:pPr>
        <w:pStyle w:val="SmallCaps"/>
      </w:pPr>
      <w:r>
        <w:t>CONFLICT 08  BROWSER CLIENT E2EE VS COMPROMISED CODE DELIVERY</w:t>
      </w:r>
    </w:p>
    <w:p>
      <w:pPr>
        <w:pStyle w:val="ReviewBody"/>
        <w:ind w:left="245"/>
      </w:pPr>
      <w:r>
        <w:rPr>
          <w:b/>
          <w:color w:val="117C88"/>
        </w:rPr>
        <w:t xml:space="preserve">Design resolution: </w:t>
      </w:r>
      <w:r>
        <w:t>Use independently hosted signed client and verification; do not trust JavaScript supplied by WordPress.</w:t>
      </w:r>
    </w:p>
    <w:p>
      <w:pPr>
        <w:pStyle w:val="ReviewBody"/>
        <w:ind w:left="245"/>
      </w:pPr>
      <w:r>
        <w:rPr>
          <w:b/>
          <w:color w:val="117C88"/>
        </w:rPr>
        <w:t xml:space="preserve">Cross-functional owners: </w:t>
      </w:r>
      <w:r>
        <w:t>R20 / R37</w:t>
      </w:r>
    </w:p>
    <w:p>
      <w:pPr>
        <w:pStyle w:val="SmallCaps"/>
      </w:pPr>
      <w:r>
        <w:t>CONFLICT 09  ENTERPRISE COAUTHORING VS E2EE</w:t>
      </w:r>
    </w:p>
    <w:p>
      <w:pPr>
        <w:pStyle w:val="ReviewBody"/>
        <w:ind w:left="245"/>
      </w:pPr>
      <w:r>
        <w:rPr>
          <w:b/>
          <w:color w:val="117C88"/>
        </w:rPr>
        <w:t xml:space="preserve">Design resolution: </w:t>
      </w:r>
      <w:r>
        <w:t>Use locally trusted E2EE editing protocol or classify as managed collaboration; do not silently downgrade.</w:t>
      </w:r>
    </w:p>
    <w:p>
      <w:pPr>
        <w:pStyle w:val="ReviewBody"/>
        <w:ind w:left="245"/>
      </w:pPr>
      <w:r>
        <w:rPr>
          <w:b/>
          <w:color w:val="117C88"/>
        </w:rPr>
        <w:t xml:space="preserve">Cross-functional owners: </w:t>
      </w:r>
      <w:r>
        <w:t>R30 / R37</w:t>
      </w:r>
    </w:p>
    <w:p>
      <w:pPr>
        <w:pStyle w:val="SmallCaps"/>
      </w:pPr>
      <w:r>
        <w:t>CONFLICT 10  AI ANSWERS VS AUTHORIZATION CHANGES</w:t>
      </w:r>
    </w:p>
    <w:p>
      <w:pPr>
        <w:pStyle w:val="ReviewBody"/>
        <w:ind w:left="245"/>
      </w:pPr>
      <w:r>
        <w:rPr>
          <w:b/>
          <w:color w:val="117C88"/>
        </w:rPr>
        <w:t xml:space="preserve">Design resolution: </w:t>
      </w:r>
      <w:r>
        <w:t>Re-evaluate permissions per source and at answer time, purge embeddings and caches, constrain outputs.</w:t>
      </w:r>
    </w:p>
    <w:p>
      <w:pPr>
        <w:pStyle w:val="ReviewBody"/>
        <w:ind w:left="245"/>
      </w:pPr>
      <w:r>
        <w:rPr>
          <w:b/>
          <w:color w:val="117C88"/>
        </w:rPr>
        <w:t xml:space="preserve">Cross-functional owners: </w:t>
      </w:r>
      <w:r>
        <w:t>R35 / R21</w:t>
      </w:r>
    </w:p>
    <w:p>
      <w:pPr>
        <w:pStyle w:val="SmallCaps"/>
      </w:pPr>
      <w:r>
        <w:t>CONFLICT 11  AUDIT RICHNESS VS PRIVACY AND SUBSIDIARY SECRECY</w:t>
      </w:r>
    </w:p>
    <w:p>
      <w:pPr>
        <w:pStyle w:val="ReviewBody"/>
        <w:ind w:left="245"/>
      </w:pPr>
      <w:r>
        <w:rPr>
          <w:b/>
          <w:color w:val="117C88"/>
        </w:rPr>
        <w:t xml:space="preserve">Design resolution: </w:t>
      </w:r>
      <w:r>
        <w:t>Redact/minimize payloads; permission-tiered logs; independent integrity and retention.</w:t>
      </w:r>
    </w:p>
    <w:p>
      <w:pPr>
        <w:pStyle w:val="ReviewBody"/>
        <w:ind w:left="245"/>
      </w:pPr>
      <w:r>
        <w:rPr>
          <w:b/>
          <w:color w:val="117C88"/>
        </w:rPr>
        <w:t xml:space="preserve">Cross-functional owners: </w:t>
      </w:r>
      <w:r>
        <w:t>R27 / R14</w:t>
      </w:r>
    </w:p>
    <w:p>
      <w:pPr>
        <w:pStyle w:val="SmallCaps"/>
      </w:pPr>
      <w:r>
        <w:t>CONFLICT 12  DIGITAL APPROVAL VS LEGAL ELECTRONIC SIGNATURE</w:t>
      </w:r>
    </w:p>
    <w:p>
      <w:pPr>
        <w:pStyle w:val="ReviewBody"/>
        <w:ind w:left="245"/>
      </w:pPr>
      <w:r>
        <w:rPr>
          <w:b/>
          <w:color w:val="117C88"/>
        </w:rPr>
        <w:t xml:space="preserve">Design resolution: </w:t>
      </w:r>
      <w:r>
        <w:t>Separate workflow acknowledgments from vendor-backed signature evidence and jurisdiction-specific requirements.</w:t>
      </w:r>
    </w:p>
    <w:p>
      <w:pPr>
        <w:pStyle w:val="ReviewBody"/>
        <w:ind w:left="245"/>
      </w:pPr>
      <w:r>
        <w:rPr>
          <w:b/>
          <w:color w:val="117C88"/>
        </w:rPr>
        <w:t xml:space="preserve">Cross-functional owners: </w:t>
      </w:r>
      <w:r>
        <w:t>R13 / R33</w:t>
      </w:r>
    </w:p>
    <w:p>
      <w:pPr>
        <w:pStyle w:val="SmallCaps"/>
      </w:pPr>
      <w:r>
        <w:t>CONFLICT 13  THIRD-PARTY EDITOR VS CONTENT CONFIDENTIALITY</w:t>
      </w:r>
    </w:p>
    <w:p>
      <w:pPr>
        <w:pStyle w:val="ReviewBody"/>
        <w:ind w:left="245"/>
      </w:pPr>
      <w:r>
        <w:rPr>
          <w:b/>
          <w:color w:val="117C88"/>
        </w:rPr>
        <w:t xml:space="preserve">Design resolution: </w:t>
      </w:r>
      <w:r>
        <w:t>Vet data handling and prevent plaintext transfer of protected files to unapproved editors.</w:t>
      </w:r>
    </w:p>
    <w:p>
      <w:pPr>
        <w:pStyle w:val="ReviewBody"/>
        <w:ind w:left="245"/>
      </w:pPr>
      <w:r>
        <w:rPr>
          <w:b/>
          <w:color w:val="117C88"/>
        </w:rPr>
        <w:t xml:space="preserve">Cross-functional owners: </w:t>
      </w:r>
      <w:r>
        <w:t>R09 / R20</w:t>
      </w:r>
    </w:p>
    <w:p>
      <w:pPr>
        <w:pStyle w:val="SmallCaps"/>
      </w:pPr>
      <w:r>
        <w:t>CONFLICT 14  PUBLIC KB PUBLISHING VS HIDDEN TENANT CONTENT</w:t>
      </w:r>
    </w:p>
    <w:p>
      <w:pPr>
        <w:pStyle w:val="ReviewBody"/>
        <w:ind w:left="245"/>
      </w:pPr>
      <w:r>
        <w:rPr>
          <w:b/>
          <w:color w:val="117C88"/>
        </w:rPr>
        <w:t xml:space="preserve">Design resolution: </w:t>
      </w:r>
      <w:r>
        <w:t>Use approved declassification with separate public projection and no anonymous backdoor queries.</w:t>
      </w:r>
    </w:p>
    <w:p>
      <w:pPr>
        <w:pStyle w:val="ReviewBody"/>
        <w:ind w:left="245"/>
      </w:pPr>
      <w:r>
        <w:rPr>
          <w:b/>
          <w:color w:val="117C88"/>
        </w:rPr>
        <w:t xml:space="preserve">Cross-functional owners: </w:t>
      </w:r>
      <w:r>
        <w:t>R15 / R19</w:t>
      </w:r>
    </w:p>
    <w:p>
      <w:pPr>
        <w:pStyle w:val="SmallCaps"/>
      </w:pPr>
      <w:r>
        <w:t>CONFLICT 15  MIGRATION CONVENIENCE VS VERIFIED HISTORICAL ENTITLEMENTS</w:t>
      </w:r>
    </w:p>
    <w:p>
      <w:pPr>
        <w:pStyle w:val="ReviewBody"/>
        <w:ind w:left="245"/>
      </w:pPr>
      <w:r>
        <w:rPr>
          <w:b/>
          <w:color w:val="117C88"/>
        </w:rPr>
        <w:t xml:space="preserve">Design resolution: </w:t>
      </w:r>
      <w:r>
        <w:t>Use signed dry-runs, least-privilege ACL mapping, dual approval and auditable exceptions.</w:t>
      </w:r>
    </w:p>
    <w:p>
      <w:pPr>
        <w:pStyle w:val="ReviewBody"/>
        <w:ind w:left="245"/>
      </w:pPr>
      <w:r>
        <w:rPr>
          <w:b/>
          <w:color w:val="117C88"/>
        </w:rPr>
        <w:t xml:space="preserve">Cross-functional owners: </w:t>
      </w:r>
      <w:r>
        <w:t>R42 / R21</w:t>
      </w:r>
    </w:p>
    <w:p>
      <w:pPr>
        <w:pStyle w:val="Heading1"/>
        <w:pageBreakBefore/>
      </w:pPr>
      <w:r>
        <w:t>8. Conditional revisions to the 346-feature baseline</w:t>
      </w:r>
    </w:p>
    <w:p>
      <w:pPr/>
      <w:r>
        <w:t>The existing inventory is substantial. The recommendations below are not claims that these features are absent; they identify cases where a prior Should/Enterprise label becomes a production prerequisite if the stated condition applies. Preserve original IDs, record the approval, and update the existing requirements tracker.</w:t>
      </w:r>
    </w:p>
    <w:p>
      <w:pPr>
        <w:pStyle w:val="SmallCaps"/>
      </w:pPr>
      <w:r>
        <w:t>ENC-08  |  SHOULD -&gt; launch-blocking for high-assurance E2EE</w:t>
      </w:r>
    </w:p>
    <w:p>
      <w:pPr>
        <w:pStyle w:val="ReviewBody"/>
        <w:ind w:left="245"/>
      </w:pPr>
      <w:r>
        <w:rPr>
          <w:b/>
          <w:color w:val="117C88"/>
        </w:rPr>
        <w:t xml:space="preserve">Reason and condition: </w:t>
      </w:r>
      <w:r>
        <w:t>Verified recipient key identity or equivalently strong external verification must exist before any sensitive cross-device/cross-company sharing.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Accountable: </w:t>
      </w:r>
      <w:r>
        <w:t>R20</w:t>
      </w:r>
    </w:p>
    <w:p>
      <w:pPr>
        <w:pStyle w:val="SmallCaps"/>
      </w:pPr>
      <w:r>
        <w:t>RPT-04  |  SHOULD -&gt; launch-blocking for regulated/auditable deployment</w:t>
      </w:r>
    </w:p>
    <w:p>
      <w:pPr>
        <w:pStyle w:val="ReviewBody"/>
        <w:ind w:left="245"/>
      </w:pPr>
      <w:r>
        <w:rPr>
          <w:b/>
          <w:color w:val="117C88"/>
        </w:rPr>
        <w:t xml:space="preserve">Reason and condition: </w:t>
      </w:r>
      <w:r>
        <w:t>Integrity evidence must be tamper-evident and stored outside WordPress administration.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Accountable: </w:t>
      </w:r>
      <w:r>
        <w:t>R27</w:t>
      </w:r>
    </w:p>
    <w:p>
      <w:pPr>
        <w:pStyle w:val="SmallCaps"/>
      </w:pPr>
      <w:r>
        <w:t>OPS-05  |  SHOULD -&gt; operational go-live prerequisite</w:t>
      </w:r>
    </w:p>
    <w:p>
      <w:pPr>
        <w:pStyle w:val="ReviewBody"/>
        <w:ind w:left="245"/>
      </w:pPr>
      <w:r>
        <w:rPr>
          <w:b/>
          <w:color w:val="117C88"/>
        </w:rPr>
        <w:t xml:space="preserve">Reason and condition: </w:t>
      </w:r>
      <w:r>
        <w:t>RTO/RPO targets and successful restorations are necessary to know whether production is supportable.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Accountable: </w:t>
      </w:r>
      <w:r>
        <w:t>R39</w:t>
      </w:r>
    </w:p>
    <w:p>
      <w:pPr>
        <w:pStyle w:val="SmallCaps"/>
      </w:pPr>
      <w:r>
        <w:t>TEN-13  |  SHOULD -&gt; mandated where contractual/legal residency applies</w:t>
      </w:r>
    </w:p>
    <w:p>
      <w:pPr>
        <w:pStyle w:val="ReviewBody"/>
        <w:ind w:left="245"/>
      </w:pPr>
      <w:r>
        <w:rPr>
          <w:b/>
          <w:color w:val="117C88"/>
        </w:rPr>
        <w:t xml:space="preserve">Reason and condition: </w:t>
      </w:r>
      <w:r>
        <w:t>Residency must cover backups, caches, metrics, keys, support and subprocessors, not only primary objects.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Accountable: </w:t>
      </w:r>
      <w:r>
        <w:t>R14</w:t>
      </w:r>
    </w:p>
    <w:p>
      <w:pPr>
        <w:pStyle w:val="SmallCaps"/>
      </w:pPr>
      <w:r>
        <w:t>PRV-03  |  SHOULD -&gt; mandated if subsidiaries face distinct jurisdictional regimes</w:t>
      </w:r>
    </w:p>
    <w:p>
      <w:pPr>
        <w:pStyle w:val="ReviewBody"/>
        <w:ind w:left="245"/>
      </w:pPr>
      <w:r>
        <w:rPr>
          <w:b/>
          <w:color w:val="117C88"/>
        </w:rPr>
        <w:t xml:space="preserve">Reason and condition: </w:t>
      </w:r>
      <w:r>
        <w:t>Tenant-specific legal profiles needed to avoid invalid uniform retention/disclosure rules.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Accountable: </w:t>
      </w:r>
      <w:r>
        <w:t>R13</w:t>
      </w:r>
    </w:p>
    <w:p>
      <w:pPr>
        <w:pStyle w:val="SmallCaps"/>
      </w:pPr>
      <w:r>
        <w:t>AUT-04  |  SHOULD -&gt; strongly recommended go-live control for enterprise employees</w:t>
      </w:r>
    </w:p>
    <w:p>
      <w:pPr>
        <w:pStyle w:val="ReviewBody"/>
        <w:ind w:left="245"/>
      </w:pPr>
      <w:r>
        <w:rPr>
          <w:b/>
          <w:color w:val="117C88"/>
        </w:rPr>
        <w:t xml:space="preserve">Reason and condition: </w:t>
      </w:r>
      <w:r>
        <w:t>SCIM/event-driven provisioning and timely departure suspension reduce orphan accounts.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Accountable: </w:t>
      </w:r>
      <w:r>
        <w:t>R21</w:t>
      </w:r>
    </w:p>
    <w:p>
      <w:pPr>
        <w:pStyle w:val="SmallCaps"/>
      </w:pPr>
      <w:r>
        <w:t>IAM-16  |  SHOULD -&gt; mandatory for privileged and sensitive periodic reviews</w:t>
      </w:r>
    </w:p>
    <w:p>
      <w:pPr>
        <w:pStyle w:val="ReviewBody"/>
        <w:ind w:left="245"/>
      </w:pPr>
      <w:r>
        <w:rPr>
          <w:b/>
          <w:color w:val="117C88"/>
        </w:rPr>
        <w:t xml:space="preserve">Reason and condition: </w:t>
      </w:r>
      <w:r>
        <w:t>Management needs auditable certifications of elevated access and stale external grants.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Accountable: </w:t>
      </w:r>
      <w:r>
        <w:t>R27</w:t>
      </w:r>
    </w:p>
    <w:p>
      <w:pPr>
        <w:pStyle w:val="SmallCaps"/>
      </w:pPr>
      <w:r>
        <w:t>REC-09  |  SHOULD -&gt; mandatory if a record class must be WORM/immutable</w:t>
      </w:r>
    </w:p>
    <w:p>
      <w:pPr>
        <w:pStyle w:val="ReviewBody"/>
        <w:ind w:left="245"/>
      </w:pPr>
      <w:r>
        <w:rPr>
          <w:b/>
          <w:color w:val="117C88"/>
        </w:rPr>
        <w:t xml:space="preserve">Reason and condition: </w:t>
      </w:r>
      <w:r>
        <w:t>Must be technical rather than process-only where law/contract mandates immutability.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Accountable: </w:t>
      </w:r>
      <w:r>
        <w:t>R12</w:t>
      </w:r>
    </w:p>
    <w:p>
      <w:pPr>
        <w:pStyle w:val="SmallCaps"/>
      </w:pPr>
      <w:r>
        <w:t>REC-13  |  SHOULD -&gt; mandatory if eDiscovery obligations apply</w:t>
      </w:r>
    </w:p>
    <w:p>
      <w:pPr>
        <w:pStyle w:val="ReviewBody"/>
        <w:ind w:left="245"/>
      </w:pPr>
      <w:r>
        <w:rPr>
          <w:b/>
          <w:color w:val="117C88"/>
        </w:rPr>
        <w:t xml:space="preserve">Reason and condition: </w:t>
      </w:r>
      <w:r>
        <w:t>Zero-Knowledge recovery/export plan must be chosen before regulated content is encrypted.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Accountable: </w:t>
      </w:r>
      <w:r>
        <w:t>R13</w:t>
      </w:r>
    </w:p>
    <w:p>
      <w:pPr>
        <w:pStyle w:val="SmallCaps"/>
      </w:pPr>
      <w:r>
        <w:t>AIX-13  |  SHOULD -&gt; mandatory before enabling AI</w:t>
      </w:r>
    </w:p>
    <w:p>
      <w:pPr>
        <w:pStyle w:val="ReviewBody"/>
        <w:ind w:left="245"/>
      </w:pPr>
      <w:r>
        <w:rPr>
          <w:b/>
          <w:color w:val="117C88"/>
        </w:rPr>
        <w:t xml:space="preserve">Reason and condition: </w:t>
      </w:r>
      <w:r>
        <w:t>AI inputs, outputs, source access and provider actions must be auditable.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Accountable: </w:t>
      </w:r>
      <w:r>
        <w:t>R14</w:t>
      </w:r>
    </w:p>
    <w:p>
      <w:pPr>
        <w:pStyle w:val="SmallCaps"/>
      </w:pPr>
      <w:r>
        <w:t>AIX-16  |  SHOULD -&gt; mandatory before sending content to an external model</w:t>
      </w:r>
    </w:p>
    <w:p>
      <w:pPr>
        <w:pStyle w:val="ReviewBody"/>
        <w:ind w:left="245"/>
      </w:pPr>
      <w:r>
        <w:rPr>
          <w:b/>
          <w:color w:val="117C88"/>
        </w:rPr>
        <w:t xml:space="preserve">Reason and condition: </w:t>
      </w:r>
      <w:r>
        <w:t>Provider retention, training exclusion, subprocessors and DPA must be enforceable.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Accountable: </w:t>
      </w:r>
      <w:r>
        <w:t>R14</w:t>
      </w:r>
    </w:p>
    <w:p>
      <w:pPr>
        <w:pStyle w:val="SmallCaps"/>
      </w:pPr>
      <w:r>
        <w:t>MOB-02  |  SHOULD -&gt; mandatory if an independent native client is the selected E2EE trust model</w:t>
      </w:r>
    </w:p>
    <w:p>
      <w:pPr>
        <w:pStyle w:val="ReviewBody"/>
        <w:ind w:left="245"/>
      </w:pPr>
      <w:r>
        <w:rPr>
          <w:b/>
          <w:color w:val="117C88"/>
        </w:rPr>
        <w:t xml:space="preserve">Reason and condition: </w:t>
      </w:r>
      <w:r>
        <w:t>Strong separation from WordPress requires shipped, signed and independently verified client code.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Accountable: </w:t>
      </w:r>
      <w:r>
        <w:t>R37</w:t>
      </w:r>
    </w:p>
    <w:p>
      <w:pPr>
        <w:pStyle w:val="SmallCaps"/>
      </w:pPr>
      <w:r>
        <w:t>SEC-07  |  SHOULD -&gt; assess as mandatory under high ransomware threat</w:t>
      </w:r>
    </w:p>
    <w:p>
      <w:pPr>
        <w:pStyle w:val="ReviewBody"/>
        <w:ind w:left="245"/>
      </w:pPr>
      <w:r>
        <w:rPr>
          <w:b/>
          <w:color w:val="117C88"/>
        </w:rPr>
        <w:t xml:space="preserve">Reason and condition: </w:t>
      </w:r>
      <w:r>
        <w:t>Immutable versions / offline restoration are necessary even if anomaly detection remains optional.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Accountable: </w:t>
      </w:r>
      <w:r>
        <w:t>R23</w:t>
      </w:r>
    </w:p>
    <w:p>
      <w:pPr>
        <w:pStyle w:val="SmallCaps"/>
      </w:pPr>
      <w:r>
        <w:t>PRV-04  |  SHOULD -&gt; mandatory when applicable personal-data rights are triggered</w:t>
      </w:r>
    </w:p>
    <w:p>
      <w:pPr>
        <w:pStyle w:val="ReviewBody"/>
        <w:ind w:left="245"/>
      </w:pPr>
      <w:r>
        <w:rPr>
          <w:b/>
          <w:color w:val="117C88"/>
        </w:rPr>
        <w:t xml:space="preserve">Reason and condition: </w:t>
      </w:r>
      <w:r>
        <w:t>Subject-rights processes cannot be postponed merely because feature phase says Enterprise.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Accountable: </w:t>
      </w:r>
      <w:r>
        <w:t>R14</w:t>
      </w:r>
    </w:p>
    <w:p>
      <w:pPr>
        <w:pStyle w:val="Heading1"/>
      </w:pPr>
      <w:r>
        <w:t>9. Risk and assurance register</w:t>
      </w:r>
    </w:p>
    <w:p>
      <w:pPr/>
      <w:r>
        <w:t>These are risk hypotheses to test, not evidence of vulnerabilities in an existing implementation. Every risk is tied to a responsible discipline and a concrete control test. Risk state starts Open pending architectural decisions and testing.</w:t>
      </w:r>
    </w:p>
    <w:p>
      <w:pPr>
        <w:pStyle w:val="SmallCaps"/>
      </w:pPr>
      <w:r>
        <w:rPr>
          <w:color w:val="9D3F45"/>
        </w:rPr>
        <w:t>K-01  |  BLOCKER  |  COMPROMISED WORDPRESS BYPASSES VAULT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Injected scripts or bridge tokens access plaintext or protected key material.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Independently authenticated signed client; narrow WordPress bridge; hostile-WP tabletop.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R20  •  ENC,API,SEC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WP full-RCE scenario cannot obtain private keys, plaintext or new recipients.</w:t>
      </w:r>
    </w:p>
    <w:p>
      <w:pPr>
        <w:pStyle w:val="SmallCaps"/>
      </w:pPr>
      <w:r>
        <w:rPr>
          <w:color w:val="9D3F45"/>
        </w:rPr>
        <w:t>K-02  |  BLOCKER  |  CROSS-TENANT OBJECT REFERENCE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Tenant A guesses tenant B document/version ID.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Central authorization with immutable tenant binding, scoped storage, negative tests.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R21  •  TEN,IAM,DOC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Fuzz IDs across every API, cache and export path; all blocked.</w:t>
      </w:r>
    </w:p>
    <w:p>
      <w:pPr>
        <w:pStyle w:val="SmallCaps"/>
      </w:pPr>
      <w:r>
        <w:rPr>
          <w:color w:val="9D3F45"/>
        </w:rPr>
        <w:t>K-03  |  BLOCKER  |  HOLDING ADMIN GETS IMPLICIT DECRYPTION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Group-level role maps to content access or recovery.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Separate administrative plane, content grants and independent trustees.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R02  •  TEN,IAM,ENC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Holding admin without explicit grant sees no protected content.</w:t>
      </w:r>
    </w:p>
    <w:p>
      <w:pPr>
        <w:pStyle w:val="SmallCaps"/>
      </w:pPr>
      <w:r>
        <w:rPr>
          <w:color w:val="9D3F45"/>
        </w:rPr>
        <w:t>K-04  |  BLOCKER  |  KEY-DIRECTORY SUBSTITUTION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Server silently replaces an intended recipient public key.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Signed recipient identity, key-transparency or out-of-band device verification.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R20  •  ENC,AUT,EXT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Unauthorized recipient enrollment and key swap detected and rejected.</w:t>
      </w:r>
    </w:p>
    <w:p>
      <w:pPr>
        <w:pStyle w:val="SmallCaps"/>
      </w:pPr>
      <w:r>
        <w:rPr>
          <w:color w:val="9D3F45"/>
        </w:rPr>
        <w:t>K-05  |  BLOCKER  |  LOSING KEYS MEANS LOSING RECORDS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E2EE users lose private keys without recovery plan.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Choose no-recovery vs trustee quorum before roll-out; rehearsed recoveries.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R26  •  ENC,REC,OPS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Recover permitted tenant with quorum; minority cannot recover.</w:t>
      </w:r>
    </w:p>
    <w:p>
      <w:pPr>
        <w:pStyle w:val="SmallCaps"/>
      </w:pPr>
      <w:r>
        <w:rPr>
          <w:color w:val="9D3F45"/>
        </w:rPr>
        <w:t>K-06  |  BLOCKER  |  E2EE MODE LEAKAGE THROUGH DERIVED CONTENT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Previews, thumbnails, search snippets or logs persist plaintext.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Classify derivatives as documents; restrict processing to trusted client.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R20  •  DOC,MET,RPT,SEC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DB, queue and object dump contain no protected derivative plaintext.</w:t>
      </w:r>
    </w:p>
    <w:p>
      <w:pPr>
        <w:pStyle w:val="SmallCaps"/>
      </w:pPr>
      <w:r>
        <w:rPr>
          <w:color w:val="9D3F45"/>
        </w:rPr>
        <w:t>K-07  |  BLOCKER  |  RETENTION AND DESTRUCTION CONFLICT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Legal hold ignored during crypto erasure or object expiration.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Hold priority engine covering backups, versions, exported legal copies.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R12  •  REC,ENC,OPS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Held record cannot be deleted by any supported destruction mechanism.</w:t>
      </w:r>
    </w:p>
    <w:p>
      <w:pPr>
        <w:pStyle w:val="SmallCaps"/>
      </w:pPr>
      <w:r>
        <w:rPr>
          <w:color w:val="9D3F45"/>
        </w:rPr>
        <w:t>K-08  |  BLOCKER  |  SERVER-SIDE MALWARE SCANNER BLIND IN E2EE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Ciphertext bypasses content inspection but labeled safe.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Mode-specific ingestion/scanning policy, quarantine and residual risk disclosure.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R19  •  SEC,DOC,ENC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Opaque E2EE files never get falsely labeled fully server-scanned.</w:t>
      </w:r>
    </w:p>
    <w:p>
      <w:pPr>
        <w:pStyle w:val="SmallCaps"/>
      </w:pPr>
      <w:r>
        <w:rPr>
          <w:color w:val="9D3F45"/>
        </w:rPr>
        <w:t>K-09  |  BLOCKER  |  APPROVAL BYPASS VIA WORKFLOW RACES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Reviewer approves one hash while different file is published.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Immutable version/hash binding; maker/checker; idempotent transactional engine.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R33  •  WFL,COL,REC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Swap, retry and concurrent approval tests fail closed.</w:t>
      </w:r>
    </w:p>
    <w:p>
      <w:pPr>
        <w:pStyle w:val="SmallCaps"/>
      </w:pPr>
      <w:r>
        <w:rPr>
          <w:color w:val="9D3F45"/>
        </w:rPr>
        <w:t>K-10  |  BLOCKER  |  COMPROMISED KEY TRUSTEE OR ESCROW ABUSE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Single trustee or platform operator recovers keys covertly.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Independent quorum approvals, audit, dual control and restricted trustees.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R26  •  ENC,IAM,RPT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No single account can recover; every approved recovery leaves evidence.</w:t>
      </w:r>
    </w:p>
    <w:p>
      <w:pPr>
        <w:pStyle w:val="SmallCaps"/>
      </w:pPr>
      <w:r>
        <w:rPr>
          <w:color w:val="9D3F45"/>
        </w:rPr>
        <w:t>K-11  |  BLOCKER  |  BROKEN RESTORE REINTRODUCES ACCESS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Backup restoration resurrects expired roles, tokens or deleted documents.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Restore reconciliation; revalidate identity/holds; post-restore policy replay.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R39  •  OPS,IAM,REC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Restored tenant honors current revocations and retention policy.</w:t>
      </w:r>
    </w:p>
    <w:p>
      <w:pPr>
        <w:pStyle w:val="SmallCaps"/>
      </w:pPr>
      <w:r>
        <w:rPr>
          <w:color w:val="9D3F45"/>
        </w:rPr>
        <w:t>K-12  |  BLOCKER  |  MALICIOUS CONVERSION PAYLOAD ESCAPES SANDBOX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Untrusted PDF/Office exploit reaches keys or tenant data.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Isolated egress-denied workers, strict quotas and patching.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R22  •  DOC,SEC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Exploit exercises cannot reach KMS, private networks or other tenants.</w:t>
      </w:r>
    </w:p>
    <w:p>
      <w:pPr>
        <w:pStyle w:val="SmallCaps"/>
      </w:pPr>
      <w:r>
        <w:t>K-13  |  HIGH  |  OFFLINE COPIES REMAIN ACCESSIBLE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User expects remote wipe or revocation to destroy previous files.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Explicit revocation semantics; TTL for future refresh; endpoint management guidance.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R37  •  MOB,ENC,IAM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UI and policy disclose unavoidable previously exported/cached copies.</w:t>
      </w:r>
    </w:p>
    <w:p>
      <w:pPr>
        <w:pStyle w:val="SmallCaps"/>
      </w:pPr>
      <w:r>
        <w:t>K-14  |  HIGH  |  CROSS-SUBSIDIARY SHARING LEAKS ROLES/METADATA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Group project accidentally exposes participant members or titles.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Double consent, scoped keys, tenancy-aware notifications and audit.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R21  •  TEN,EXT,RPT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Two buyers in a data room cannot discover each other.</w:t>
      </w:r>
    </w:p>
    <w:p>
      <w:pPr>
        <w:pStyle w:val="SmallCaps"/>
      </w:pPr>
      <w:r>
        <w:t>K-15  |  HIGH  |  SEARCH AND AUTOCOMPLETE EXISTENCE ORACLE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Guessable title, timing or counters reveal secret documents.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Metadata classification, authorization at index/query layer and response controls.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R34  •  MET,SEC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Search enumeration suite finds no unauthorized hits or suggest tokens.</w:t>
      </w:r>
    </w:p>
    <w:p>
      <w:pPr>
        <w:pStyle w:val="SmallCaps"/>
      </w:pPr>
      <w:r>
        <w:t>K-16  |  HIGH  |  AI READS UNAUTHORIZED PRIOR VECTORS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Revoked file still available to RAG, cached responses or embeddings.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Entitlement at retrieval and generation, index invalidation and purge policy.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R35  •  AIX,MET,IAM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Revoked source is absent from retriever, citation and cached answer.</w:t>
      </w:r>
    </w:p>
    <w:p>
      <w:pPr>
        <w:pStyle w:val="SmallCaps"/>
      </w:pPr>
      <w:r>
        <w:t>K-17  |  HIGH  |  PROMPT INJECTION TRIGGERS DANGEROUS WORKFLOW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Malicious document requests export or agent execution.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No autonomous high-impact actions; tools permission-gated; human approval.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R19  •  AIX,WFL,API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Prompt-injection tests cannot send data or elevate permissions.</w:t>
      </w:r>
    </w:p>
    <w:p>
      <w:pPr>
        <w:pStyle w:val="SmallCaps"/>
      </w:pPr>
      <w:r>
        <w:t>K-18  |  HIGH  |  GROUP ANALYTICS IDENTIFIES CONFIDENTIAL ACTIVITY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Small group size or filenames permit cross-tenant inference.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Role-scoped aggregates, aggregation thresholds, suppress sensitive dimensions.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R14  •  RPT,TEN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Holding reporting reveals no individual classified document history.</w:t>
      </w:r>
    </w:p>
    <w:p>
      <w:pPr>
        <w:pStyle w:val="SmallCaps"/>
      </w:pPr>
      <w:r>
        <w:t>K-19  |  HIGH  |  INCORRECT LEGAL JURISDICTION ASSUMPTION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System assumes one controller or retention rule fits all entities.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Company-by-country processing inventory; counsel reviewed policy profiles.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R13  •  PRV,REC,TEN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Each tenant jurisdiction has signed legal policy mapping.</w:t>
      </w:r>
    </w:p>
    <w:p>
      <w:pPr>
        <w:pStyle w:val="SmallCaps"/>
      </w:pPr>
      <w:r>
        <w:t>K-20  |  HIGH  |  PLUGIN/DEPENDENCY SUPPLY-CHAIN COMPROMISE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Signed build or third-party plugin can tamper with bridge or client.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SBOM, provenance, dependency pinning, verified updates and sandboxed bridge.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R38  •  SEC,API,OPS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Release artifacts verified and vulnerable dependencies blocked.</w:t>
      </w:r>
    </w:p>
    <w:p>
      <w:pPr>
        <w:pStyle w:val="SmallCaps"/>
      </w:pPr>
      <w:r>
        <w:t>K-21  |  HIGH  |  STALE ACCESS DECISION CACHE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Revoked membership retains long-lived download link or task access.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Short-lived audience-bound grants, event invalidation, recheck at use.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R21  •  IAM,API,EXT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Rapid revoke during download/export job fails closed at defined points.</w:t>
      </w:r>
    </w:p>
    <w:p>
      <w:pPr>
        <w:pStyle w:val="SmallCaps"/>
      </w:pPr>
      <w:r>
        <w:t>K-22  |  HIGH  |  PRIVILEGED SUPPORT IMPERSONATION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Support staff uses break-glass to open business documents silently.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No-plaintext support diagnostics; dual approval and reason-scoped emergency grants.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R27  •  IAM,OPS,RPT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Support session cannot see content without explicit reviewed access.</w:t>
      </w:r>
    </w:p>
    <w:p>
      <w:pPr>
        <w:pStyle w:val="SmallCaps"/>
      </w:pPr>
      <w:r>
        <w:t>K-23  |  HIGH  |  INACCURATE MULTILINGUAL PERMISSIONS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RTL labels reverse meaning or deny appears as allow.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Native security-UI reviews, isolated tokens, locale-specific format tests.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R17  •  L10,UX,IAM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13-language action/permission translations tested with native reviewers.</w:t>
      </w:r>
    </w:p>
    <w:p>
      <w:pPr>
        <w:pStyle w:val="SmallCaps"/>
      </w:pPr>
      <w:r>
        <w:t>K-24  |  HIGH  |  UNVERIFIABLE DIGITAL SIGNATURE CLAIM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Internal approval labeled qualified/legal e-sign.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Separate approval attestations from vendor/legal e-signature integration.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R13  •  WFL,COL,REC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UI and audit distinguish approval log from legally certified signature.</w:t>
      </w:r>
    </w:p>
    <w:p>
      <w:pPr>
        <w:pStyle w:val="SmallCaps"/>
      </w:pPr>
      <w:r>
        <w:t>K-25  |  HIGH  |  E2EE PREVENTS LEGAL DISCOVERY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Records cannot be produced under lawful order or required audit.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Jurisdiction-approved trustee recovery or documented custodian-produced export.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R13  •  ENC,REC,PRV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Legal discovery drill produces permitted records with chain of custody.</w:t>
      </w:r>
    </w:p>
    <w:p>
      <w:pPr>
        <w:pStyle w:val="SmallCaps"/>
      </w:pPr>
      <w:r>
        <w:t>K-26  |  HIGH  |  UNAUTHORIZED TENANT MIGRATION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Subsidiary merge/export changes scope or key ownership without approval.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Signed corporate transaction workflow, counsel hold checks, rollback.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R02  •  TEN,MIG,ENC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Migration dry-run reconciles keys, content, holds and memberships.</w:t>
      </w:r>
    </w:p>
    <w:p>
      <w:pPr>
        <w:pStyle w:val="SmallCaps"/>
      </w:pPr>
      <w:r>
        <w:t>K-27  |  HIGH  |  THIRD-PARTY EDITOR RECEIVES CLASSIFIED PLAINTEXT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Office integration or preview vendor sees material unexpectedly.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Mode compatibility matrix, vendor risk review, explicit scoped transfer.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R09  •  COL,API,DOC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Zero-Knowledge files cannot open in unapproved cloud editor.</w:t>
      </w:r>
    </w:p>
    <w:p>
      <w:pPr>
        <w:pStyle w:val="SmallCaps"/>
      </w:pPr>
      <w:r>
        <w:t>K-28  |  HIGH  |  BROKEN OWNERSHIP FOR KNOWLEDGE ARTIFACTS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Policies go stale and employees attest wrong revision.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Named steward, expiry/review, canonical version and attestation binding.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R15  •  KNO,COL,WFL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Attestation tied to exact approved content hash and language.</w:t>
      </w:r>
    </w:p>
    <w:p>
      <w:pPr>
        <w:pStyle w:val="SmallCaps"/>
      </w:pPr>
      <w:r>
        <w:t>K-29  |  HIGH  |  MIGRATION BRINGS WRONG ACCESS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Source ACL mapping creates inappropriate grants in new system.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Dry-run, least-privilege mapping, dual validation and exception resolution.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R42  •  MIG,IAM,TEN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All privileged mappings signed off and exceptions resolved.</w:t>
      </w:r>
    </w:p>
    <w:p>
      <w:pPr>
        <w:pStyle w:val="SmallCaps"/>
      </w:pPr>
      <w:r>
        <w:t>K-30  |  HIGH  |  NO RELIABLE RTO/RPO / BACKUPS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Data restored but keys, policy or critical event log missing.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Full restore drills with crypto trustee participation; per-mode SLOs.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R39  •  OPS,ENC,RPT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Recover data, versions, permissions, keys and audit consistently.</w:t>
      </w:r>
    </w:p>
    <w:p>
      <w:pPr>
        <w:pStyle w:val="SmallCaps"/>
      </w:pPr>
      <w:r>
        <w:t>K-31  |  MEDIUM  |  LOCALIZATION LACKS REGIONAL DEFINITIONS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zh/pt/Arabic calendars and dates inconsistent.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Define locale codes, calendars, plural rules and canonical UTC storage.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R17  •  L10,UX,MET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Locale regression covers filenames, dates, search and notifications.</w:t>
      </w:r>
    </w:p>
    <w:p>
      <w:pPr>
        <w:pStyle w:val="SmallCaps"/>
      </w:pPr>
      <w:r>
        <w:t>K-32  |  MEDIUM  |  COST OF BROAD FEATURES EXCEEDS BUDGET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Coauthoring, OCR, vector search and 13-language review arrive prematurely.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Dependency-driven release slices and FinOps metering.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R03  •  AIX,COL,OPS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Phased roadmap has capacity and cost evidence before commitment.</w:t>
      </w:r>
    </w:p>
    <w:p>
      <w:pPr>
        <w:pStyle w:val="SmallCaps"/>
      </w:pPr>
      <w:r>
        <w:t>K-33  |  HIGH  |  INSECURE SERVICE ACCOUNT SCOPES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Connector token accesses all tenants or overprivileged storage.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Workload identities with tenant+action restrictions and rotation.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R21  •  IAM,API,OPS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Stolen test connector credential cannot read unrelated tenants.</w:t>
      </w:r>
    </w:p>
    <w:p>
      <w:pPr>
        <w:pStyle w:val="SmallCaps"/>
      </w:pPr>
      <w:r>
        <w:t>K-34  |  HIGH  |  PRIVACY REQUESTS CONFLICT WITH IMMUTABLE COPIES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Delete request not reconciled with legal holds or backup retention.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Document lawful exceptions, selective deletion and retention flow.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R14  •  PRV,REC,OPS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DPO process outputs decision, evidence and actionable execution state.</w:t>
      </w:r>
    </w:p>
    <w:p>
      <w:pPr>
        <w:pStyle w:val="SmallCaps"/>
      </w:pPr>
      <w:r>
        <w:t>K-35  |  HIGH  |  INADEQUATE INDEPENDENT ASSURANCE</w:t>
      </w:r>
    </w:p>
    <w:p>
      <w:pPr>
        <w:pStyle w:val="ReviewBody"/>
        <w:ind w:left="245"/>
      </w:pPr>
      <w:r>
        <w:rPr>
          <w:b/>
          <w:color w:val="117C88"/>
        </w:rPr>
        <w:t xml:space="preserve">Failure scenario: </w:t>
      </w:r>
      <w:r>
        <w:t>Development team certifies its own crypto/tenant isolation.</w:t>
      </w:r>
    </w:p>
    <w:p>
      <w:pPr>
        <w:pStyle w:val="ReviewBody"/>
        <w:ind w:left="245"/>
      </w:pPr>
      <w:r>
        <w:rPr>
          <w:b/>
          <w:color w:val="117C88"/>
        </w:rPr>
        <w:t xml:space="preserve">Required control: </w:t>
      </w:r>
      <w:r>
        <w:t>Contract independent crypto and red-team assessments; close blockers.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modules: </w:t>
      </w:r>
      <w:r>
        <w:t>R25  •  ENC,SEC,OPS</w:t>
      </w:r>
    </w:p>
    <w:p>
      <w:pPr>
        <w:pStyle w:val="ReviewBody"/>
        <w:ind w:left="245"/>
      </w:pPr>
      <w:r>
        <w:rPr>
          <w:b/>
          <w:color w:val="117C88"/>
        </w:rPr>
        <w:t xml:space="preserve">Evidence: </w:t>
      </w:r>
      <w:r>
        <w:t>Independent retest attests all release blockers closed.</w:t>
      </w:r>
    </w:p>
    <w:p>
      <w:pPr>
        <w:pStyle w:val="Heading1"/>
      </w:pPr>
      <w:r>
        <w:t>10. Architecture decision register</w:t>
      </w:r>
    </w:p>
    <w:p>
      <w:pPr/>
      <w:r>
        <w:t>Before writing production code, decision owners should document alternatives, impact on encryption modes, data flows, failure states, security and legal review, and consequences for the feature scope.</w:t>
      </w:r>
    </w:p>
    <w:p>
      <w:pPr>
        <w:pStyle w:val="SmallCaps"/>
      </w:pPr>
      <w:r>
        <w:t>D-01  WHAT DOES A FULL WORDPRESS COMPROMISE MEAN IN THREAT MODEL?</w:t>
      </w:r>
    </w:p>
    <w:p>
      <w:pPr>
        <w:pStyle w:val="ReviewBody"/>
        <w:ind w:left="245"/>
      </w:pPr>
      <w:r>
        <w:rPr>
          <w:b/>
          <w:color w:val="117C88"/>
        </w:rPr>
        <w:t xml:space="preserve">Recommended default: </w:t>
      </w:r>
      <w:r>
        <w:t>Assume arbitrary plugin/PHP execution and site administrator; vault remains a separate trust boundary.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related modules: </w:t>
      </w:r>
      <w:r>
        <w:t>R19  •  ENC,SEC,API</w:t>
      </w:r>
    </w:p>
    <w:p>
      <w:pPr>
        <w:pStyle w:val="SmallCaps"/>
      </w:pPr>
      <w:r>
        <w:t>D-02  HOW IS ZERO-KNOWLEDGE CODE DELIVERED AND AUTHENTICATED?</w:t>
      </w:r>
    </w:p>
    <w:p>
      <w:pPr>
        <w:pStyle w:val="ReviewBody"/>
        <w:ind w:left="245"/>
      </w:pPr>
      <w:r>
        <w:rPr>
          <w:b/>
          <w:color w:val="117C88"/>
        </w:rPr>
        <w:t xml:space="preserve">Recommended default: </w:t>
      </w:r>
      <w:r>
        <w:t>Separate audited/signed client and independent origin; direct client login; no trust in WP script.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related modules: </w:t>
      </w:r>
      <w:r>
        <w:t>R20  •  ENC,MOB,AUT</w:t>
      </w:r>
    </w:p>
    <w:p>
      <w:pPr>
        <w:pStyle w:val="SmallCaps"/>
      </w:pPr>
      <w:r>
        <w:t>D-03  WHICH DOCUMENTS REQUIRE ZERO-KNOWLEDGE MODE?</w:t>
      </w:r>
    </w:p>
    <w:p>
      <w:pPr>
        <w:pStyle w:val="ReviewBody"/>
        <w:ind w:left="245"/>
      </w:pPr>
      <w:r>
        <w:rPr>
          <w:b/>
          <w:color w:val="117C88"/>
        </w:rPr>
        <w:t xml:space="preserve">Recommended default: </w:t>
      </w:r>
      <w:r>
        <w:t>Default managed mode only when justified; mandate E2EE by classification / subsidiaries.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related modules: </w:t>
      </w:r>
      <w:r>
        <w:t>R02  •  ENC,SEC,PRV</w:t>
      </w:r>
    </w:p>
    <w:p>
      <w:pPr>
        <w:pStyle w:val="SmallCaps"/>
      </w:pPr>
      <w:r>
        <w:t>D-04  IS ENTERPRISE RECOVERY PERMITTED?</w:t>
      </w:r>
    </w:p>
    <w:p>
      <w:pPr>
        <w:pStyle w:val="ReviewBody"/>
        <w:ind w:left="245"/>
      </w:pPr>
      <w:r>
        <w:rPr>
          <w:b/>
          <w:color w:val="117C88"/>
        </w:rPr>
        <w:t xml:space="preserve">Recommended default: </w:t>
      </w:r>
      <w:r>
        <w:t>Offer distinct no-recovery and trustee-quorum profiles; truthful assurance claim.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related modules: </w:t>
      </w:r>
      <w:r>
        <w:t>R26  •  ENC,REC,OPS</w:t>
      </w:r>
    </w:p>
    <w:p>
      <w:pPr>
        <w:pStyle w:val="SmallCaps"/>
      </w:pPr>
      <w:r>
        <w:t>D-05  WHO IS ACCOUNTABLE FOR SUBSIDIARY DATA?</w:t>
      </w:r>
    </w:p>
    <w:p>
      <w:pPr>
        <w:pStyle w:val="ReviewBody"/>
        <w:ind w:left="245"/>
      </w:pPr>
      <w:r>
        <w:rPr>
          <w:b/>
          <w:color w:val="117C88"/>
        </w:rPr>
        <w:t xml:space="preserve">Recommended default: </w:t>
      </w:r>
      <w:r>
        <w:t>Record controller/processor + custodian per legal entity; holding has policy but no implicit decryption.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related modules: </w:t>
      </w:r>
      <w:r>
        <w:t>R14  •  TEN,PRV,IAM</w:t>
      </w:r>
    </w:p>
    <w:p>
      <w:pPr>
        <w:pStyle w:val="SmallCaps"/>
      </w:pPr>
      <w:r>
        <w:t>D-06  WHAT IS THE EXACT PERMISSION EVALUATION ORDER?</w:t>
      </w:r>
    </w:p>
    <w:p>
      <w:pPr>
        <w:pStyle w:val="ReviewBody"/>
        <w:ind w:left="245"/>
      </w:pPr>
      <w:r>
        <w:rPr>
          <w:b/>
          <w:color w:val="117C88"/>
        </w:rPr>
        <w:t xml:space="preserve">Recommended default: </w:t>
      </w:r>
      <w:r>
        <w:t>Global immutable safety policy -&gt; tenant boundary -&gt; classification/legal hold -&gt; RBAC/ABAC/ACL -&gt; contextual restrictions; explicit deny wins.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related modules: </w:t>
      </w:r>
      <w:r>
        <w:t>R21  •  IAM,TEN,REC</w:t>
      </w:r>
    </w:p>
    <w:p>
      <w:pPr>
        <w:pStyle w:val="SmallCaps"/>
      </w:pPr>
      <w:r>
        <w:t>D-07  WHICH OPERATIONS ARE ELIGIBLE FOR BREAK-GLASS?</w:t>
      </w:r>
    </w:p>
    <w:p>
      <w:pPr>
        <w:pStyle w:val="ReviewBody"/>
        <w:ind w:left="245"/>
      </w:pPr>
      <w:r>
        <w:rPr>
          <w:b/>
          <w:color w:val="117C88"/>
        </w:rPr>
        <w:t xml:space="preserve">Recommended default: </w:t>
      </w:r>
      <w:r>
        <w:t>Restrict to control-plane admin; no silent document/key recovery; dual authorization.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related modules: </w:t>
      </w:r>
      <w:r>
        <w:t>R27  •  IAM,AUT,ENC</w:t>
      </w:r>
    </w:p>
    <w:p>
      <w:pPr>
        <w:pStyle w:val="SmallCaps"/>
      </w:pPr>
      <w:r>
        <w:t>D-08  WHICH METADATA REMAINS VISIBLE TO SERVERS?</w:t>
      </w:r>
    </w:p>
    <w:p>
      <w:pPr>
        <w:pStyle w:val="ReviewBody"/>
        <w:ind w:left="245"/>
      </w:pPr>
      <w:r>
        <w:rPr>
          <w:b/>
          <w:color w:val="117C88"/>
        </w:rPr>
        <w:t xml:space="preserve">Recommended default: </w:t>
      </w:r>
      <w:r>
        <w:t>Minimize: tenant, object token, ciphertext size/time where unavoidable; encrypt titles/comments/classification-specific fields.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related modules: </w:t>
      </w:r>
      <w:r>
        <w:t>R20  •  MET,DOC,ENC</w:t>
      </w:r>
    </w:p>
    <w:p>
      <w:pPr>
        <w:pStyle w:val="SmallCaps"/>
      </w:pPr>
      <w:r>
        <w:t>D-09  HOW CAN CONFIDENTIAL CONTENT BE SEARCHED?</w:t>
      </w:r>
    </w:p>
    <w:p>
      <w:pPr>
        <w:pStyle w:val="ReviewBody"/>
        <w:ind w:left="245"/>
      </w:pPr>
      <w:r>
        <w:rPr>
          <w:b/>
          <w:color w:val="117C88"/>
        </w:rPr>
        <w:t xml:space="preserve">Recommended default: </w:t>
      </w:r>
      <w:r>
        <w:t>Managed: secured index; Zero-Knowledge: trusted-client index with explicitly bounded metadata leakage.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related modules: </w:t>
      </w:r>
      <w:r>
        <w:t>R34  •  MET,ENC,AIX</w:t>
      </w:r>
    </w:p>
    <w:p>
      <w:pPr>
        <w:pStyle w:val="SmallCaps"/>
      </w:pPr>
      <w:r>
        <w:t>D-10  WHAT IS E2EE MALWARE ASSURANCE?</w:t>
      </w:r>
    </w:p>
    <w:p>
      <w:pPr>
        <w:pStyle w:val="ReviewBody"/>
        <w:ind w:left="245"/>
      </w:pPr>
      <w:r>
        <w:rPr>
          <w:b/>
          <w:color w:val="117C88"/>
        </w:rPr>
        <w:t xml:space="preserve">Recommended default: </w:t>
      </w:r>
      <w:r>
        <w:t>Never assert full server scanning; local scanning + recipient/device policy + quarantine risk disclosure.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related modules: </w:t>
      </w:r>
      <w:r>
        <w:t>R19  •  SEC,DOC,ENC</w:t>
      </w:r>
    </w:p>
    <w:p>
      <w:pPr>
        <w:pStyle w:val="SmallCaps"/>
      </w:pPr>
      <w:r>
        <w:t>D-11  WHAT IS THE APPROACH TO EXTERNAL E2EE SHARING?</w:t>
      </w:r>
    </w:p>
    <w:p>
      <w:pPr>
        <w:pStyle w:val="ReviewBody"/>
        <w:ind w:left="245"/>
      </w:pPr>
      <w:r>
        <w:rPr>
          <w:b/>
          <w:color w:val="117C88"/>
        </w:rPr>
        <w:t xml:space="preserve">Recommended default: </w:t>
      </w:r>
      <w:r>
        <w:t>Verified recipient keys; origin approval; purpose, term and immutable share evidence.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related modules: </w:t>
      </w:r>
      <w:r>
        <w:t>R20  •  EXT,ENC,IAM</w:t>
      </w:r>
    </w:p>
    <w:p>
      <w:pPr>
        <w:pStyle w:val="SmallCaps"/>
      </w:pPr>
      <w:r>
        <w:t>D-12  WHO CAN AUTHORIZE A DOCUMENT FOR LEGAL DISCOVERY?</w:t>
      </w:r>
    </w:p>
    <w:p>
      <w:pPr>
        <w:pStyle w:val="ReviewBody"/>
        <w:ind w:left="245"/>
      </w:pPr>
      <w:r>
        <w:rPr>
          <w:b/>
          <w:color w:val="117C88"/>
        </w:rPr>
        <w:t xml:space="preserve">Recommended default: </w:t>
      </w:r>
      <w:r>
        <w:t>Use counsel-directed custodian export or audited trustee protocol governed by jurisdiction.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related modules: </w:t>
      </w:r>
      <w:r>
        <w:t>R13  •  REC,ENC,PRV</w:t>
      </w:r>
    </w:p>
    <w:p>
      <w:pPr>
        <w:pStyle w:val="SmallCaps"/>
      </w:pPr>
      <w:r>
        <w:t>D-13  WHEN DOES RETENTION OUTRANK DELETION?</w:t>
      </w:r>
    </w:p>
    <w:p>
      <w:pPr>
        <w:pStyle w:val="ReviewBody"/>
        <w:ind w:left="245"/>
      </w:pPr>
      <w:r>
        <w:rPr>
          <w:b/>
          <w:color w:val="117C88"/>
        </w:rPr>
        <w:t xml:space="preserve">Recommended default: </w:t>
      </w:r>
      <w:r>
        <w:t>Counsel-approved precedence; legal hold blocks disposition and key destruction.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related modules: </w:t>
      </w:r>
      <w:r>
        <w:t>R12  •  REC,PRV,OPS</w:t>
      </w:r>
    </w:p>
    <w:p>
      <w:pPr>
        <w:pStyle w:val="SmallCaps"/>
      </w:pPr>
      <w:r>
        <w:t>D-14  WHAT ARE THE 13 EXACT LOCALE CODES AND VARIANTS?</w:t>
      </w:r>
    </w:p>
    <w:p>
      <w:pPr>
        <w:pStyle w:val="ReviewBody"/>
        <w:ind w:left="245"/>
      </w:pPr>
      <w:r>
        <w:rPr>
          <w:b/>
          <w:color w:val="117C88"/>
        </w:rPr>
        <w:t xml:space="preserve">Recommended default: </w:t>
      </w:r>
      <w:r>
        <w:t>Agree mapping: English, Persian, French, Turkish, Russian, zh-Hans, German, Portuguese variant, Spanish, Hindi, Japanese, Arabic, Armenian; regional options.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related modules: </w:t>
      </w:r>
      <w:r>
        <w:t>R17  •  L10,MET,UX</w:t>
      </w:r>
    </w:p>
    <w:p>
      <w:pPr>
        <w:pStyle w:val="SmallCaps"/>
      </w:pPr>
      <w:r>
        <w:t>D-15  WHAT IS THE DEFINITION OF DIGITAL SIGNING?</w:t>
      </w:r>
    </w:p>
    <w:p>
      <w:pPr>
        <w:pStyle w:val="ReviewBody"/>
        <w:ind w:left="245"/>
      </w:pPr>
      <w:r>
        <w:rPr>
          <w:b/>
          <w:color w:val="117C88"/>
        </w:rPr>
        <w:t xml:space="preserve">Recommended default: </w:t>
      </w:r>
      <w:r>
        <w:t>Separate internal approvals from applicable qualified digital signature vendors/requirements.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related modules: </w:t>
      </w:r>
      <w:r>
        <w:t>R13  •  WFL,COL,REC</w:t>
      </w:r>
    </w:p>
    <w:p>
      <w:pPr>
        <w:pStyle w:val="SmallCaps"/>
      </w:pPr>
      <w:r>
        <w:t>D-16  HOW DO GROUP-WIDE DASHBOARDS PRESERVE CONFIDENTIALITY?</w:t>
      </w:r>
    </w:p>
    <w:p>
      <w:pPr>
        <w:pStyle w:val="ReviewBody"/>
        <w:ind w:left="245"/>
      </w:pPr>
      <w:r>
        <w:rPr>
          <w:b/>
          <w:color w:val="117C88"/>
        </w:rPr>
        <w:t xml:space="preserve">Recommended default: </w:t>
      </w:r>
      <w:r>
        <w:t>Group sees posture aggregates; document audit requires legally/policy authorized scoped access.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related modules: </w:t>
      </w:r>
      <w:r>
        <w:t>R27  •  RPT,TEN,PRV</w:t>
      </w:r>
    </w:p>
    <w:p>
      <w:pPr>
        <w:pStyle w:val="SmallCaps"/>
      </w:pPr>
      <w:r>
        <w:t>D-17  WHAT ARE TARGET SLO, RTO, RPO AND TENANT SCALE?</w:t>
      </w:r>
    </w:p>
    <w:p>
      <w:pPr>
        <w:pStyle w:val="ReviewBody"/>
        <w:ind w:left="245"/>
      </w:pPr>
      <w:r>
        <w:rPr>
          <w:b/>
          <w:color w:val="117C88"/>
        </w:rPr>
        <w:t xml:space="preserve">Recommended default: </w:t>
      </w:r>
      <w:r>
        <w:t>Benchmark agreed file mix, users, tenant data volumes and geography; publish per-mode targets.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related modules: </w:t>
      </w:r>
      <w:r>
        <w:t>R39  •  OPS,DOC,MET</w:t>
      </w:r>
    </w:p>
    <w:p>
      <w:pPr>
        <w:pStyle w:val="SmallCaps"/>
      </w:pPr>
      <w:r>
        <w:t>D-18  WHICH CONNECTORS/CLOUD EDITOR PROVIDERS ARE ALLOWED?</w:t>
      </w:r>
    </w:p>
    <w:p>
      <w:pPr>
        <w:pStyle w:val="ReviewBody"/>
        <w:ind w:left="245"/>
      </w:pPr>
      <w:r>
        <w:rPr>
          <w:b/>
          <w:color w:val="117C88"/>
        </w:rPr>
        <w:t xml:space="preserve">Recommended default: </w:t>
      </w:r>
      <w:r>
        <w:t>Approved vendor matrix; prohibit unmanaged external document decryption; scope tokens by tenant.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related modules: </w:t>
      </w:r>
      <w:r>
        <w:t>R09  •  API,COL,DOC</w:t>
      </w:r>
    </w:p>
    <w:p>
      <w:pPr>
        <w:pStyle w:val="SmallCaps"/>
      </w:pPr>
      <w:r>
        <w:t>D-19  WHAT IS THE COMPANY MERGER/SPLIT PROCEDURE?</w:t>
      </w:r>
    </w:p>
    <w:p>
      <w:pPr>
        <w:pStyle w:val="ReviewBody"/>
        <w:ind w:left="245"/>
      </w:pPr>
      <w:r>
        <w:rPr>
          <w:b/>
          <w:color w:val="117C88"/>
        </w:rPr>
        <w:t xml:space="preserve">Recommended default: </w:t>
      </w:r>
      <w:r>
        <w:t>Approvals from origin/recipient tenant custodians, counsel, security, key trustees as necessary.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related modules: </w:t>
      </w:r>
      <w:r>
        <w:t>R02  •  TEN,MIG,ENC</w:t>
      </w:r>
    </w:p>
    <w:p>
      <w:pPr>
        <w:pStyle w:val="SmallCaps"/>
      </w:pPr>
      <w:r>
        <w:t>D-20  WHEN ARE AI FUNCTIONS PERMISSIBLE?</w:t>
      </w:r>
    </w:p>
    <w:p>
      <w:pPr>
        <w:pStyle w:val="ReviewBody"/>
        <w:ind w:left="245"/>
      </w:pPr>
      <w:r>
        <w:rPr>
          <w:b/>
          <w:color w:val="117C88"/>
        </w:rPr>
        <w:t xml:space="preserve">Recommended default: </w:t>
      </w:r>
      <w:r>
        <w:t>Opt-in by tenant/classification; managed-only or trusted client local; no training with company data by default.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related modules: </w:t>
      </w:r>
      <w:r>
        <w:t>R14  •  AIX,SEC,ENC</w:t>
      </w:r>
    </w:p>
    <w:p>
      <w:pPr>
        <w:pStyle w:val="SmallCaps"/>
      </w:pPr>
      <w:r>
        <w:t>D-21  WHAT IS THE LICENSED DEPLOYMENT MODEL?</w:t>
      </w:r>
    </w:p>
    <w:p>
      <w:pPr>
        <w:pStyle w:val="ReviewBody"/>
        <w:ind w:left="245"/>
      </w:pPr>
      <w:r>
        <w:rPr>
          <w:b/>
          <w:color w:val="117C88"/>
        </w:rPr>
        <w:t xml:space="preserve">Recommended default: </w:t>
      </w:r>
      <w:r>
        <w:t>Private managed service, self-hosted, hybrid; define update chain, residency and customer responsibilities.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related modules: </w:t>
      </w:r>
      <w:r>
        <w:t>R03  •  OPS,API,PRV</w:t>
      </w:r>
    </w:p>
    <w:p>
      <w:pPr>
        <w:pStyle w:val="SmallCaps"/>
      </w:pPr>
      <w:r>
        <w:t>D-22  WHO MAKES FINAL PRODUCTION GO/NO-GO DECISION?</w:t>
      </w:r>
    </w:p>
    <w:p>
      <w:pPr>
        <w:pStyle w:val="ReviewBody"/>
        <w:ind w:left="245"/>
      </w:pPr>
      <w:r>
        <w:rPr>
          <w:b/>
          <w:color w:val="117C88"/>
        </w:rPr>
        <w:t xml:space="preserve">Recommended default: </w:t>
      </w:r>
      <w:r>
        <w:t>Sponsor + PO after independent security, legal/privacy, records and DR gate sign-offs.</w:t>
      </w:r>
    </w:p>
    <w:p>
      <w:pPr>
        <w:pStyle w:val="ReviewBody"/>
        <w:ind w:left="245"/>
      </w:pPr>
      <w:r>
        <w:rPr>
          <w:b/>
          <w:color w:val="117C88"/>
        </w:rPr>
        <w:t xml:space="preserve">Accountable / related modules: </w:t>
      </w:r>
      <w:r>
        <w:t>R01  •  OPS,SEC,PRV</w:t>
      </w:r>
    </w:p>
    <w:p>
      <w:pPr>
        <w:pStyle w:val="Heading1"/>
      </w:pPr>
      <w:r>
        <w:t>11. Release gates, evidence and signoff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5"/>
        <w:gridCol w:w="2415"/>
        <w:gridCol w:w="2415"/>
        <w:gridCol w:w="2415"/>
      </w:tblGrid>
      <w:tr>
        <w:trPr>
          <w:tblHeader w:val="true"/>
        </w:trPr>
        <w:tc>
          <w:tcPr>
            <w:tcW w:type="dxa" w:w="792"/>
            <w:vAlign w:val="center"/>
            <w:shd w:fill="14273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1800"/>
            <w:vAlign w:val="center"/>
            <w:shd w:fill="14273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1008"/>
            <w:vAlign w:val="center"/>
            <w:shd w:fill="14273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Sign-off</w:t>
            </w:r>
          </w:p>
        </w:tc>
        <w:tc>
          <w:tcPr>
            <w:tcW w:type="dxa" w:w="6120"/>
            <w:vAlign w:val="center"/>
            <w:shd w:fill="14273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Definition of done / evidence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G0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Charter and authority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R01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Funding/risk appetite; 10 legal entities and operating jurisdictions; responsible data controllers named. Evidence: Approved charter, entity list, governance and decision log.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G1</w:t>
            </w:r>
          </w:p>
        </w:tc>
        <w:tc>
          <w:tcPr>
            <w:tcW w:type="dxa" w:w="1800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Threat model and design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R19</w:t>
            </w:r>
          </w:p>
        </w:tc>
        <w:tc>
          <w:tcPr>
            <w:tcW w:type="dxa" w:w="6120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Agree WordPress threat boundary, protection modes, data flows, abuse cases and legal constraints. Evidence: Reviewed diagrams; ADRs; product-mode compatibility matrix.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G2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Tenant and access proof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R21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Prove isolation and formal permission order, independent identity, limited WordPress bridge. Evidence: Policy test harness; API fuzzing results; negative tenant tests.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G3</w:t>
            </w:r>
          </w:p>
        </w:tc>
        <w:tc>
          <w:tcPr>
            <w:tcW w:type="dxa" w:w="1800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Cryptographic assurance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R25</w:t>
            </w:r>
          </w:p>
        </w:tc>
        <w:tc>
          <w:tcPr>
            <w:tcW w:type="dxa" w:w="6120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Confirm independent trusted-client distribution, E2EE protocol, key identity, recovery and trust limits. Evidence: Third-party crypto report; protocol vectors; WordPress-RCE red-team scenario.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G4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Core document lifecycle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R03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Upload, quarantine, immutable versions, approval, audit and download all tested end-to-end. Evidence: Traceability to core requirements; E2E automation; malicious-file tests.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G5</w:t>
            </w:r>
          </w:p>
        </w:tc>
        <w:tc>
          <w:tcPr>
            <w:tcW w:type="dxa" w:w="1800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Governance and resilience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R12</w:t>
            </w:r>
          </w:p>
        </w:tc>
        <w:tc>
          <w:tcPr>
            <w:tcW w:type="dxa" w:w="6120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Retention/holds/DSRs, 13 languages, WCAG, backup/keys/identity restore all validated. Evidence: Legal/privacy signoffs; translated UAT; DR and retention tabletop.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G6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Subsidiary pilot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R11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Test multiple separate subsidiaries (including RTL), different roles and cross-company share path. Evidence: Signed tenant UAT, support runbooks and resolved high-severity defects.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G7</w:t>
            </w:r>
          </w:p>
        </w:tc>
        <w:tc>
          <w:tcPr>
            <w:tcW w:type="dxa" w:w="1800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Independent production go/no-go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R01</w:t>
            </w:r>
          </w:p>
        </w:tc>
        <w:tc>
          <w:tcPr>
            <w:tcW w:type="dxa" w:w="6120"/>
            <w:vAlign w:val="center"/>
            <w:shd w:fill="F2F5F8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No unresolved critical vulnerabilities; approved exceptions; operations and incident readiness. Evidence: Independent pen-test, security signoff, restore results and release checklist.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G8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Enterprise expansion change gate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R03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b w:val="0"/>
                <w:color w:val="14273B"/>
                <w:sz w:val="16"/>
              </w:rPr>
              <w:t>New AI, coauthoring, mobile, and vertical modules receive mode-specific security/review tests. Evidence: Per-module ADR, impact assessment, signed regression and training.</w:t>
            </w:r>
          </w:p>
        </w:tc>
      </w:tr>
    </w:tbl>
    <w:p>
      <w:pPr>
        <w:spacing w:after="40"/>
      </w:pPr>
    </w:p>
    <w:p>
      <w:pPr/>
      <w:r>
        <w:t>Launch veto: A release with an unresolved blocker (particularly WordPress trust isolation, cross-tenant authorization, key verification/recovery or records/backup integrity) cannot claim the agreed security posture. Business acceptance does not supersede independent technical evidence.</w:t>
      </w:r>
    </w:p>
    <w:p>
      <w:pPr>
        <w:pStyle w:val="Heading1"/>
        <w:pageBreakBefore/>
      </w:pPr>
      <w:r>
        <w:t>12. High-value cross-functional acceptance tests</w:t>
      </w:r>
    </w:p>
    <w:p>
      <w:pPr>
        <w:pStyle w:val="SmallCaps"/>
      </w:pPr>
      <w:r>
        <w:t>TEST 01 — ISOLATION  [TEN,IAM,API,RPT]</w:t>
      </w:r>
    </w:p>
    <w:p>
      <w:pPr>
        <w:pStyle w:val="ReviewBody"/>
        <w:ind w:left="245"/>
      </w:pPr>
      <w:r>
        <w:rPr>
          <w:b/>
          <w:color w:val="117C88"/>
        </w:rPr>
        <w:t xml:space="preserve">Attack or operational scenario: </w:t>
      </w:r>
      <w:r>
        <w:t>Tenant A admin guesses Tenant B document/version/metadata/queue ID</w:t>
      </w:r>
    </w:p>
    <w:p>
      <w:pPr>
        <w:pStyle w:val="ReviewBody"/>
        <w:ind w:left="245"/>
      </w:pPr>
      <w:r>
        <w:rPr>
          <w:b/>
          <w:color w:val="117C88"/>
        </w:rPr>
        <w:t xml:space="preserve">Expected proof: </w:t>
      </w:r>
      <w:r>
        <w:t>All paths deny and independent audit has evidence.</w:t>
      </w:r>
    </w:p>
    <w:p>
      <w:pPr>
        <w:pStyle w:val="SmallCaps"/>
      </w:pPr>
      <w:r>
        <w:t>TEST 02 — E2EE CODE INTEGRITY  [ENC,API,MOB]</w:t>
      </w:r>
    </w:p>
    <w:p>
      <w:pPr>
        <w:pStyle w:val="ReviewBody"/>
        <w:ind w:left="245"/>
      </w:pPr>
      <w:r>
        <w:rPr>
          <w:b/>
          <w:color w:val="117C88"/>
        </w:rPr>
        <w:t xml:space="preserve">Attack or operational scenario: </w:t>
      </w:r>
      <w:r>
        <w:t>WordPress administrator modifies WP theme/plugin to serve malicious JS</w:t>
      </w:r>
    </w:p>
    <w:p>
      <w:pPr>
        <w:pStyle w:val="ReviewBody"/>
        <w:ind w:left="245"/>
      </w:pPr>
      <w:r>
        <w:rPr>
          <w:b/>
          <w:color w:val="117C88"/>
        </w:rPr>
        <w:t xml:space="preserve">Expected proof: </w:t>
      </w:r>
      <w:r>
        <w:t>Trusted client neither executes injected code nor releases keys or plaintext.</w:t>
      </w:r>
    </w:p>
    <w:p>
      <w:pPr>
        <w:pStyle w:val="SmallCaps"/>
      </w:pPr>
      <w:r>
        <w:t>TEST 03 — RECIPIENT AUTHENTICITY  [ENC,AUT,EXT]</w:t>
      </w:r>
    </w:p>
    <w:p>
      <w:pPr>
        <w:pStyle w:val="ReviewBody"/>
        <w:ind w:left="245"/>
      </w:pPr>
      <w:r>
        <w:rPr>
          <w:b/>
          <w:color w:val="117C88"/>
        </w:rPr>
        <w:t xml:space="preserve">Attack or operational scenario: </w:t>
      </w:r>
      <w:r>
        <w:t>Attacker substitutes public key in key directory</w:t>
      </w:r>
    </w:p>
    <w:p>
      <w:pPr>
        <w:pStyle w:val="ReviewBody"/>
        <w:ind w:left="245"/>
      </w:pPr>
      <w:r>
        <w:rPr>
          <w:b/>
          <w:color w:val="117C88"/>
        </w:rPr>
        <w:t xml:space="preserve">Expected proof: </w:t>
      </w:r>
      <w:r>
        <w:t>Trusted client blocks unverified recipient and alerts owner.</w:t>
      </w:r>
    </w:p>
    <w:p>
      <w:pPr>
        <w:pStyle w:val="SmallCaps"/>
      </w:pPr>
      <w:r>
        <w:t>TEST 04 — PRIVILEGE ESCALATION  [IAM,TEN]</w:t>
      </w:r>
    </w:p>
    <w:p>
      <w:pPr>
        <w:pStyle w:val="ReviewBody"/>
        <w:ind w:left="245"/>
      </w:pPr>
      <w:r>
        <w:rPr>
          <w:b/>
          <w:color w:val="117C88"/>
        </w:rPr>
        <w:t xml:space="preserve">Attack or operational scenario: </w:t>
      </w:r>
      <w:r>
        <w:t>Subsidiary admin grants self group-wide auditor/escrow role</w:t>
      </w:r>
    </w:p>
    <w:p>
      <w:pPr>
        <w:pStyle w:val="ReviewBody"/>
        <w:ind w:left="245"/>
      </w:pPr>
      <w:r>
        <w:rPr>
          <w:b/>
          <w:color w:val="117C88"/>
        </w:rPr>
        <w:t xml:space="preserve">Expected proof: </w:t>
      </w:r>
      <w:r>
        <w:t>Permission creation rejected; privileged change requires separate approval.</w:t>
      </w:r>
    </w:p>
    <w:p>
      <w:pPr>
        <w:pStyle w:val="SmallCaps"/>
      </w:pPr>
      <w:r>
        <w:t>TEST 05 — PERMISSION RACE  [IAM,DOC,WFL]</w:t>
      </w:r>
    </w:p>
    <w:p>
      <w:pPr>
        <w:pStyle w:val="ReviewBody"/>
        <w:ind w:left="245"/>
      </w:pPr>
      <w:r>
        <w:rPr>
          <w:b/>
          <w:color w:val="117C88"/>
        </w:rPr>
        <w:t xml:space="preserve">Attack or operational scenario: </w:t>
      </w:r>
      <w:r>
        <w:t>Revoke user while export, preview, workflow and search requests run</w:t>
      </w:r>
    </w:p>
    <w:p>
      <w:pPr>
        <w:pStyle w:val="ReviewBody"/>
        <w:ind w:left="245"/>
      </w:pPr>
      <w:r>
        <w:rPr>
          <w:b/>
          <w:color w:val="117C88"/>
        </w:rPr>
        <w:t xml:space="preserve">Expected proof: </w:t>
      </w:r>
      <w:r>
        <w:t>Defined consistency window enforced; no fresh unauthorized copy completed after final check.</w:t>
      </w:r>
    </w:p>
    <w:p>
      <w:pPr>
        <w:pStyle w:val="SmallCaps"/>
      </w:pPr>
      <w:r>
        <w:t>TEST 06 — MALICIOUS DOCUMENT  [DOC,SEC]</w:t>
      </w:r>
    </w:p>
    <w:p>
      <w:pPr>
        <w:pStyle w:val="ReviewBody"/>
        <w:ind w:left="245"/>
      </w:pPr>
      <w:r>
        <w:rPr>
          <w:b/>
          <w:color w:val="117C88"/>
        </w:rPr>
        <w:t xml:space="preserve">Attack or operational scenario: </w:t>
      </w:r>
      <w:r>
        <w:t>Upload malformed Office/PDF designed to exploit converter</w:t>
      </w:r>
    </w:p>
    <w:p>
      <w:pPr>
        <w:pStyle w:val="ReviewBody"/>
        <w:ind w:left="245"/>
      </w:pPr>
      <w:r>
        <w:rPr>
          <w:b/>
          <w:color w:val="117C88"/>
        </w:rPr>
        <w:t xml:space="preserve">Expected proof: </w:t>
      </w:r>
      <w:r>
        <w:t>Quarantine and isolated sandbox prevents network/file/key compromise.</w:t>
      </w:r>
    </w:p>
    <w:p>
      <w:pPr>
        <w:pStyle w:val="SmallCaps"/>
      </w:pPr>
      <w:r>
        <w:t>TEST 07 — CONFIDENTIAL PREVIEW  [ENC,DOC,UX]</w:t>
      </w:r>
    </w:p>
    <w:p>
      <w:pPr>
        <w:pStyle w:val="ReviewBody"/>
        <w:ind w:left="245"/>
      </w:pPr>
      <w:r>
        <w:rPr>
          <w:b/>
          <w:color w:val="117C88"/>
        </w:rPr>
        <w:t xml:space="preserve">Attack or operational scenario: </w:t>
      </w:r>
      <w:r>
        <w:t>Request E2EE preview via ordinary WP dashboard</w:t>
      </w:r>
    </w:p>
    <w:p>
      <w:pPr>
        <w:pStyle w:val="ReviewBody"/>
        <w:ind w:left="245"/>
      </w:pPr>
      <w:r>
        <w:rPr>
          <w:b/>
          <w:color w:val="117C88"/>
        </w:rPr>
        <w:t xml:space="preserve">Expected proof: </w:t>
      </w:r>
      <w:r>
        <w:t>System presents independent trusted viewer; no WP origin sees plaintext.</w:t>
      </w:r>
    </w:p>
    <w:p>
      <w:pPr>
        <w:pStyle w:val="SmallCaps"/>
      </w:pPr>
      <w:r>
        <w:t>TEST 08 — LEGAL HOLD  [REC,ENC,OPS]</w:t>
      </w:r>
    </w:p>
    <w:p>
      <w:pPr>
        <w:pStyle w:val="ReviewBody"/>
        <w:ind w:left="245"/>
      </w:pPr>
      <w:r>
        <w:rPr>
          <w:b/>
          <w:color w:val="117C88"/>
        </w:rPr>
        <w:t xml:space="preserve">Attack or operational scenario: </w:t>
      </w:r>
      <w:r>
        <w:t>Place hold, then attempt deletion, retention expiry and crypto-erasure</w:t>
      </w:r>
    </w:p>
    <w:p>
      <w:pPr>
        <w:pStyle w:val="ReviewBody"/>
        <w:ind w:left="245"/>
      </w:pPr>
      <w:r>
        <w:rPr>
          <w:b/>
          <w:color w:val="117C88"/>
        </w:rPr>
        <w:t xml:space="preserve">Expected proof: </w:t>
      </w:r>
      <w:r>
        <w:t>All destructive paths deny with preserved evidence.</w:t>
      </w:r>
    </w:p>
    <w:p>
      <w:pPr>
        <w:pStyle w:val="SmallCaps"/>
      </w:pPr>
      <w:r>
        <w:t>TEST 09 — KEY RECOVERY  [ENC,AUT]</w:t>
      </w:r>
    </w:p>
    <w:p>
      <w:pPr>
        <w:pStyle w:val="ReviewBody"/>
        <w:ind w:left="245"/>
      </w:pPr>
      <w:r>
        <w:rPr>
          <w:b/>
          <w:color w:val="117C88"/>
        </w:rPr>
        <w:t xml:space="preserve">Attack or operational scenario: </w:t>
      </w:r>
      <w:r>
        <w:t>Lose device; request recovery with one trustee instead of quorum</w:t>
      </w:r>
    </w:p>
    <w:p>
      <w:pPr>
        <w:pStyle w:val="ReviewBody"/>
        <w:ind w:left="245"/>
      </w:pPr>
      <w:r>
        <w:rPr>
          <w:b/>
          <w:color w:val="117C88"/>
        </w:rPr>
        <w:t xml:space="preserve">Expected proof: </w:t>
      </w:r>
      <w:r>
        <w:t>Fails until independently approved quorum, then audited recovery succeeds.</w:t>
      </w:r>
    </w:p>
    <w:p>
      <w:pPr>
        <w:pStyle w:val="SmallCaps"/>
      </w:pPr>
      <w:r>
        <w:t>TEST 10 — DEVICE COMPROMISE  [MOB,ENC,IAM]</w:t>
      </w:r>
    </w:p>
    <w:p>
      <w:pPr>
        <w:pStyle w:val="ReviewBody"/>
        <w:ind w:left="245"/>
      </w:pPr>
      <w:r>
        <w:rPr>
          <w:b/>
          <w:color w:val="117C88"/>
        </w:rPr>
        <w:t xml:space="preserve">Attack or operational scenario: </w:t>
      </w:r>
      <w:r>
        <w:t>User loses previously synced phone and is deprovisioned</w:t>
      </w:r>
    </w:p>
    <w:p>
      <w:pPr>
        <w:pStyle w:val="ReviewBody"/>
        <w:ind w:left="245"/>
      </w:pPr>
      <w:r>
        <w:rPr>
          <w:b/>
          <w:color w:val="117C88"/>
        </w:rPr>
        <w:t xml:space="preserve">Expected proof: </w:t>
      </w:r>
      <w:r>
        <w:t>New versions and future distribution denied; prior offline data limitation displayed.</w:t>
      </w:r>
    </w:p>
    <w:p>
      <w:pPr>
        <w:pStyle w:val="SmallCaps"/>
      </w:pPr>
      <w:r>
        <w:t>TEST 11 — CROSS-COMPANY PROJECT  [EXT,TEN,IAM]</w:t>
      </w:r>
    </w:p>
    <w:p>
      <w:pPr>
        <w:pStyle w:val="ReviewBody"/>
        <w:ind w:left="245"/>
      </w:pPr>
      <w:r>
        <w:rPr>
          <w:b/>
          <w:color w:val="117C88"/>
        </w:rPr>
        <w:t xml:space="preserve">Attack or operational scenario: </w:t>
      </w:r>
      <w:r>
        <w:t>Tenant A shares selected file with Tenant B group</w:t>
      </w:r>
    </w:p>
    <w:p>
      <w:pPr>
        <w:pStyle w:val="ReviewBody"/>
        <w:ind w:left="245"/>
      </w:pPr>
      <w:r>
        <w:rPr>
          <w:b/>
          <w:color w:val="117C88"/>
        </w:rPr>
        <w:t xml:space="preserve">Expected proof: </w:t>
      </w:r>
      <w:r>
        <w:t>Named members only, approvals and keys verified, no blanket B rights.</w:t>
      </w:r>
    </w:p>
    <w:p>
      <w:pPr>
        <w:pStyle w:val="SmallCaps"/>
      </w:pPr>
      <w:r>
        <w:t>TEST 12 — AUDIT TAMPERING  [RPT,SEC]</w:t>
      </w:r>
    </w:p>
    <w:p>
      <w:pPr>
        <w:pStyle w:val="ReviewBody"/>
        <w:ind w:left="245"/>
      </w:pPr>
      <w:r>
        <w:rPr>
          <w:b/>
          <w:color w:val="117C88"/>
        </w:rPr>
        <w:t xml:space="preserve">Attack or operational scenario: </w:t>
      </w:r>
      <w:r>
        <w:t>WP admin tries to delete download and authorization failure events</w:t>
      </w:r>
    </w:p>
    <w:p>
      <w:pPr>
        <w:pStyle w:val="ReviewBody"/>
        <w:ind w:left="245"/>
      </w:pPr>
      <w:r>
        <w:rPr>
          <w:b/>
          <w:color w:val="117C88"/>
        </w:rPr>
        <w:t xml:space="preserve">Expected proof: </w:t>
      </w:r>
      <w:r>
        <w:t>Independent audit continues to show original events and tampering alarm.</w:t>
      </w:r>
    </w:p>
    <w:p>
      <w:pPr>
        <w:pStyle w:val="SmallCaps"/>
      </w:pPr>
      <w:r>
        <w:t>TEST 13 — AI LEAKAGE  [AIX,MET,IAM]</w:t>
      </w:r>
    </w:p>
    <w:p>
      <w:pPr>
        <w:pStyle w:val="ReviewBody"/>
        <w:ind w:left="245"/>
      </w:pPr>
      <w:r>
        <w:rPr>
          <w:b/>
          <w:color w:val="117C88"/>
        </w:rPr>
        <w:t xml:space="preserve">Attack or operational scenario: </w:t>
      </w:r>
      <w:r>
        <w:t>Revoked document exists in vector index and cached answer</w:t>
      </w:r>
    </w:p>
    <w:p>
      <w:pPr>
        <w:pStyle w:val="ReviewBody"/>
        <w:ind w:left="245"/>
      </w:pPr>
      <w:r>
        <w:rPr>
          <w:b/>
          <w:color w:val="117C88"/>
        </w:rPr>
        <w:t xml:space="preserve">Expected proof: </w:t>
      </w:r>
      <w:r>
        <w:t>Retrieval, cache and output no longer expose that source.</w:t>
      </w:r>
    </w:p>
    <w:p>
      <w:pPr>
        <w:pStyle w:val="SmallCaps"/>
      </w:pPr>
      <w:r>
        <w:t>TEST 14 — PROMPT INJECTION  [AIX,WFL,SEC]</w:t>
      </w:r>
    </w:p>
    <w:p>
      <w:pPr>
        <w:pStyle w:val="ReviewBody"/>
        <w:ind w:left="245"/>
      </w:pPr>
      <w:r>
        <w:rPr>
          <w:b/>
          <w:color w:val="117C88"/>
        </w:rPr>
        <w:t xml:space="preserve">Attack or operational scenario: </w:t>
      </w:r>
      <w:r>
        <w:t>Malicious document instructs AI agent to email private file</w:t>
      </w:r>
    </w:p>
    <w:p>
      <w:pPr>
        <w:pStyle w:val="ReviewBody"/>
        <w:ind w:left="245"/>
      </w:pPr>
      <w:r>
        <w:rPr>
          <w:b/>
          <w:color w:val="117C88"/>
        </w:rPr>
        <w:t xml:space="preserve">Expected proof: </w:t>
      </w:r>
      <w:r>
        <w:t>No autonomous export, tool grant or workflow approval.</w:t>
      </w:r>
    </w:p>
    <w:p>
      <w:pPr>
        <w:pStyle w:val="SmallCaps"/>
      </w:pPr>
      <w:r>
        <w:t>TEST 15 — BACKUP RESTORE  [OPS,IAM,REC]</w:t>
      </w:r>
    </w:p>
    <w:p>
      <w:pPr>
        <w:pStyle w:val="ReviewBody"/>
        <w:ind w:left="245"/>
      </w:pPr>
      <w:r>
        <w:rPr>
          <w:b/>
          <w:color w:val="117C88"/>
        </w:rPr>
        <w:t xml:space="preserve">Attack or operational scenario: </w:t>
      </w:r>
      <w:r>
        <w:t>Restore tenant from old snapshot including revoked roles</w:t>
      </w:r>
    </w:p>
    <w:p>
      <w:pPr>
        <w:pStyle w:val="ReviewBody"/>
        <w:ind w:left="245"/>
      </w:pPr>
      <w:r>
        <w:rPr>
          <w:b/>
          <w:color w:val="117C88"/>
        </w:rPr>
        <w:t xml:space="preserve">Expected proof: </w:t>
      </w:r>
      <w:r>
        <w:t>Reconciles current policy/hold/revocations before opening restored tenant.</w:t>
      </w:r>
    </w:p>
    <w:p>
      <w:pPr>
        <w:pStyle w:val="SmallCaps"/>
      </w:pPr>
      <w:r>
        <w:t>TEST 16 — LOCALIZATION  [L10,UX]</w:t>
      </w:r>
    </w:p>
    <w:p>
      <w:pPr>
        <w:pStyle w:val="ReviewBody"/>
        <w:ind w:left="245"/>
      </w:pPr>
      <w:r>
        <w:rPr>
          <w:b/>
          <w:color w:val="117C88"/>
        </w:rPr>
        <w:t xml:space="preserve">Attack or operational scenario: </w:t>
      </w:r>
      <w:r>
        <w:t>Persian and Arabic RTL document sharing, approval and permission UI</w:t>
      </w:r>
    </w:p>
    <w:p>
      <w:pPr>
        <w:pStyle w:val="ReviewBody"/>
        <w:ind w:left="245"/>
      </w:pPr>
      <w:r>
        <w:rPr>
          <w:b/>
          <w:color w:val="117C88"/>
        </w:rPr>
        <w:t xml:space="preserve">Expected proof: </w:t>
      </w:r>
      <w:r>
        <w:t>Native validation finds no reversed affordances/IDs; screen-reader correct.</w:t>
      </w:r>
    </w:p>
    <w:p>
      <w:pPr>
        <w:pStyle w:val="SmallCaps"/>
      </w:pPr>
      <w:r>
        <w:t>TEST 17 — MIGRATION  [MIG,IAM]</w:t>
      </w:r>
    </w:p>
    <w:p>
      <w:pPr>
        <w:pStyle w:val="ReviewBody"/>
        <w:ind w:left="245"/>
      </w:pPr>
      <w:r>
        <w:rPr>
          <w:b/>
          <w:color w:val="117C88"/>
        </w:rPr>
        <w:t xml:space="preserve">Attack or operational scenario: </w:t>
      </w:r>
      <w:r>
        <w:t>Import historic documents with mismatched identity and denied ACLs</w:t>
      </w:r>
    </w:p>
    <w:p>
      <w:pPr>
        <w:pStyle w:val="ReviewBody"/>
        <w:ind w:left="245"/>
      </w:pPr>
      <w:r>
        <w:rPr>
          <w:b/>
          <w:color w:val="117C88"/>
        </w:rPr>
        <w:t xml:space="preserve">Expected proof: </w:t>
      </w:r>
      <w:r>
        <w:t>Dry run reports exceptions; no overly broad grants; provenance preserved.</w:t>
      </w:r>
    </w:p>
    <w:p>
      <w:pPr>
        <w:pStyle w:val="SmallCaps"/>
      </w:pPr>
      <w:r>
        <w:t>TEST 18 — COMPANY SEPARATION  [TEN,REC,ENC]</w:t>
      </w:r>
    </w:p>
    <w:p>
      <w:pPr>
        <w:pStyle w:val="ReviewBody"/>
        <w:ind w:left="245"/>
      </w:pPr>
      <w:r>
        <w:rPr>
          <w:b/>
          <w:color w:val="117C88"/>
        </w:rPr>
        <w:t xml:space="preserve">Attack or operational scenario: </w:t>
      </w:r>
      <w:r>
        <w:t>Split one subsidiary into two while legal hold exists</w:t>
      </w:r>
    </w:p>
    <w:p>
      <w:pPr>
        <w:pStyle w:val="ReviewBody"/>
        <w:ind w:left="245"/>
      </w:pPr>
      <w:r>
        <w:rPr>
          <w:b/>
          <w:color w:val="117C88"/>
        </w:rPr>
        <w:t xml:space="preserve">Expected proof: </w:t>
      </w:r>
      <w:r>
        <w:t>Approved custody, key rewrap, audit trail and retention remain valid.</w:t>
      </w:r>
    </w:p>
    <w:p>
      <w:pPr>
        <w:pStyle w:val="SmallCaps"/>
      </w:pPr>
      <w:r>
        <w:t>TEST 19 — CLOUD EDITOR  [COL,ENC,API]</w:t>
      </w:r>
    </w:p>
    <w:p>
      <w:pPr>
        <w:pStyle w:val="ReviewBody"/>
        <w:ind w:left="245"/>
      </w:pPr>
      <w:r>
        <w:rPr>
          <w:b/>
          <w:color w:val="117C88"/>
        </w:rPr>
        <w:t xml:space="preserve">Attack or operational scenario: </w:t>
      </w:r>
      <w:r>
        <w:t>Attempt to open E2EE file in external online editor</w:t>
      </w:r>
    </w:p>
    <w:p>
      <w:pPr>
        <w:pStyle w:val="ReviewBody"/>
        <w:ind w:left="245"/>
      </w:pPr>
      <w:r>
        <w:rPr>
          <w:b/>
          <w:color w:val="117C88"/>
        </w:rPr>
        <w:t xml:space="preserve">Expected proof: </w:t>
      </w:r>
      <w:r>
        <w:t>Blocked unless approved conversion and explicit authorized disclosure.</w:t>
      </w:r>
    </w:p>
    <w:p>
      <w:pPr>
        <w:pStyle w:val="SmallCaps"/>
      </w:pPr>
      <w:r>
        <w:t>TEST 20 — DISASTER RECOVERY  [OPS,ENC,RPT]</w:t>
      </w:r>
    </w:p>
    <w:p>
      <w:pPr>
        <w:pStyle w:val="ReviewBody"/>
        <w:ind w:left="245"/>
      </w:pPr>
      <w:r>
        <w:rPr>
          <w:b/>
          <w:color w:val="117C88"/>
        </w:rPr>
        <w:t xml:space="preserve">Attack or operational scenario: </w:t>
      </w:r>
      <w:r>
        <w:t>Simulate regional outage with KMS outage and independent logs</w:t>
      </w:r>
    </w:p>
    <w:p>
      <w:pPr>
        <w:pStyle w:val="ReviewBody"/>
        <w:ind w:left="245"/>
      </w:pPr>
      <w:r>
        <w:rPr>
          <w:b/>
          <w:color w:val="117C88"/>
        </w:rPr>
        <w:t xml:space="preserve">Expected proof: </w:t>
      </w:r>
      <w:r>
        <w:t>System follows declared RTO/RPO without fail-open; keys/audit recover.</w:t>
      </w:r>
    </w:p>
    <w:p>
      <w:pPr>
        <w:pStyle w:val="Heading1"/>
        <w:pageBreakBefore/>
      </w:pPr>
      <w:r>
        <w:t>13. Recommended implementation sequence</w:t>
      </w:r>
    </w:p>
    <w:p>
      <w:pPr>
        <w:pStyle w:val="Heading2"/>
      </w:pPr>
      <w:r>
        <w:t>Discover and govern</w:t>
      </w:r>
    </w:p>
    <w:p>
      <w:pPr/>
      <w:r>
        <w:t>Resolve data ownership, tenant/legal structure, deployment jurisdiction, classification and data volumes. Select independent decision-makers and counsel.</w:t>
      </w:r>
    </w:p>
    <w:p>
      <w:pPr>
        <w:pStyle w:val="Heading2"/>
      </w:pPr>
      <w:r>
        <w:t>Prove boundaries before features</w:t>
      </w:r>
    </w:p>
    <w:p>
      <w:pPr/>
      <w:r>
        <w:t>Build a security spike: WordPress bridge, independent identity, ten separate tenants, formal authorization checks and secure trusted-client key envelope.</w:t>
      </w:r>
    </w:p>
    <w:p>
      <w:pPr>
        <w:pStyle w:val="Heading2"/>
      </w:pPr>
      <w:r>
        <w:t>Demonstrate protected document lifecycle</w:t>
      </w:r>
    </w:p>
    <w:p>
      <w:pPr/>
      <w:r>
        <w:t>Implement upload, quarantine, verified versions, document grants, separate modes, signed client, audit, key recovery decision, storage and restore.</w:t>
      </w:r>
    </w:p>
    <w:p>
      <w:pPr>
        <w:pStyle w:val="Heading2"/>
      </w:pPr>
      <w:r>
        <w:t>Implement records and guided user experience</w:t>
      </w:r>
    </w:p>
    <w:p>
      <w:pPr/>
      <w:r>
        <w:t>Add reliable legal holds, approvals, search restricted to mode, multilingual core UX, WCAG audits and operational runbooks.</w:t>
      </w:r>
    </w:p>
    <w:p>
      <w:pPr>
        <w:pStyle w:val="Heading2"/>
      </w:pPr>
      <w:r>
        <w:t>Pilot subsidiary independence</w:t>
      </w:r>
    </w:p>
    <w:p>
      <w:pPr/>
      <w:r>
        <w:t>Test two or more subsidiaries with different rules, then the remaining companies in waves; include an RTL pilot, cross-company collaboration and offboarding.</w:t>
      </w:r>
    </w:p>
    <w:p>
      <w:pPr>
        <w:pStyle w:val="Heading2"/>
      </w:pPr>
      <w:r>
        <w:t>Expand after independent assurance</w:t>
      </w:r>
    </w:p>
    <w:p>
      <w:pPr/>
      <w:r>
        <w:t>Add full-text/AI/advanced editing, mobile sync, integrations and vertical modules only with individual threat and privacy reviews.</w:t>
      </w:r>
    </w:p>
    <w:p>
      <w:pPr/>
      <w:r>
        <w:t>Do not present the full 140 baseline Core items as a small MVP. The first shippable slice should deliberately contain only the minimum working vertical flow plus the security and legal controls necessary for that flow; independent reviewers must approve expansion.</w:t>
      </w:r>
    </w:p>
    <w:p>
      <w:pPr>
        <w:pStyle w:val="Heading1"/>
        <w:pageBreakBefore/>
      </w:pPr>
      <w:r>
        <w:t>14. Independent standards and source references</w:t>
      </w:r>
    </w:p>
    <w:p>
      <w:pPr/>
      <w:r>
        <w:t>References are design guidance and baseline material, not a certification statement. Jurisdiction-specific law requires counsel confirmation; security-standard versions must be frozen in the project's test plan at design signoff.</w:t>
      </w:r>
    </w:p>
    <w:p>
      <w:pPr>
        <w:pStyle w:val="SmallCaps"/>
      </w:pPr>
      <w:r>
        <w:t>OWASP ASVS 5.0.0</w:t>
      </w:r>
    </w:p>
    <w:p>
      <w:pPr/>
      <w:r>
        <w:t>Application security verification criteria</w:t>
      </w:r>
    </w:p>
    <w:p>
      <w:pPr>
        <w:spacing w:after="180"/>
      </w:pPr>
      <w:r>
        <w:rPr>
          <w:color w:val="117C88"/>
          <w:sz w:val="16"/>
        </w:rPr>
        <w:t>https://owasp.org/www-project-application-security-verification-standard/</w:t>
      </w:r>
    </w:p>
    <w:p>
      <w:pPr>
        <w:pStyle w:val="SmallCaps"/>
      </w:pPr>
      <w:r>
        <w:t>OWASP MULTI-TENANT SECURITY CHEAT SHEET</w:t>
      </w:r>
    </w:p>
    <w:p>
      <w:pPr/>
      <w:r>
        <w:t>Tenant boundaries across storage, cache, queues, logs and APIs</w:t>
      </w:r>
    </w:p>
    <w:p>
      <w:pPr>
        <w:spacing w:after="180"/>
      </w:pPr>
      <w:r>
        <w:rPr>
          <w:color w:val="117C88"/>
          <w:sz w:val="16"/>
        </w:rPr>
        <w:t>https://cheatsheetseries.owasp.org/cheatsheets/Multi_Tenant_Security_Cheat_Sheet.html</w:t>
      </w:r>
    </w:p>
    <w:p>
      <w:pPr>
        <w:pStyle w:val="SmallCaps"/>
      </w:pPr>
      <w:r>
        <w:t>OWASP AUTHORIZATION CHEAT SHEET</w:t>
      </w:r>
    </w:p>
    <w:p>
      <w:pPr/>
      <w:r>
        <w:t>Deny by default, least privilege, object authorization</w:t>
      </w:r>
    </w:p>
    <w:p>
      <w:pPr>
        <w:spacing w:after="180"/>
      </w:pPr>
      <w:r>
        <w:rPr>
          <w:color w:val="117C88"/>
          <w:sz w:val="16"/>
        </w:rPr>
        <w:t>https://cheatsheetseries.owasp.org/cheatsheets/Authorization_Cheat_Sheet.html</w:t>
      </w:r>
    </w:p>
    <w:p>
      <w:pPr>
        <w:pStyle w:val="SmallCaps"/>
      </w:pPr>
      <w:r>
        <w:t>OWASP CRYPTOGRAPHIC STORAGE CHEAT SHEET</w:t>
      </w:r>
    </w:p>
    <w:p>
      <w:pPr/>
      <w:r>
        <w:t>Key separation, authenticated encryption and key lifecycle</w:t>
      </w:r>
    </w:p>
    <w:p>
      <w:pPr>
        <w:spacing w:after="180"/>
      </w:pPr>
      <w:r>
        <w:rPr>
          <w:color w:val="117C88"/>
          <w:sz w:val="16"/>
        </w:rPr>
        <w:t>https://cheatsheetseries.owasp.org/cheatsheets/Cryptographic_Storage_Cheat_Sheet.html</w:t>
      </w:r>
    </w:p>
    <w:p>
      <w:pPr>
        <w:pStyle w:val="SmallCaps"/>
      </w:pPr>
      <w:r>
        <w:t>NIST SP 800-63-4 (FINAL, JULY 2025)</w:t>
      </w:r>
    </w:p>
    <w:p>
      <w:pPr/>
      <w:r>
        <w:t>Digital identity, authentication and federation</w:t>
      </w:r>
    </w:p>
    <w:p>
      <w:pPr>
        <w:spacing w:after="180"/>
      </w:pPr>
      <w:r>
        <w:rPr>
          <w:color w:val="117C88"/>
          <w:sz w:val="16"/>
        </w:rPr>
        <w:t>https://csrc.nist.gov/pubs/sp/800/63/4/final</w:t>
      </w:r>
    </w:p>
    <w:p>
      <w:pPr>
        <w:pStyle w:val="SmallCaps"/>
      </w:pPr>
      <w:r>
        <w:t>NIST SP 800-57 PART 1 REV 5</w:t>
      </w:r>
    </w:p>
    <w:p>
      <w:pPr/>
      <w:r>
        <w:t>Cryptographic key management planning</w:t>
      </w:r>
    </w:p>
    <w:p>
      <w:pPr>
        <w:spacing w:after="180"/>
      </w:pPr>
      <w:r>
        <w:rPr>
          <w:color w:val="117C88"/>
          <w:sz w:val="16"/>
        </w:rPr>
        <w:t>https://csrc.nist.gov/pubs/sp/800/57/pt1/r5/final</w:t>
      </w:r>
    </w:p>
    <w:p>
      <w:pPr>
        <w:pStyle w:val="SmallCaps"/>
      </w:pPr>
      <w:r>
        <w:t>NIST SP 800-218 V1.1 (FINAL); V1.2 IS DRAFT AS OF OCT 2026</w:t>
      </w:r>
    </w:p>
    <w:p>
      <w:pPr/>
      <w:r>
        <w:t>Secure software development / supply chain</w:t>
      </w:r>
    </w:p>
    <w:p>
      <w:pPr>
        <w:spacing w:after="180"/>
      </w:pPr>
      <w:r>
        <w:rPr>
          <w:color w:val="117C88"/>
          <w:sz w:val="16"/>
        </w:rPr>
        <w:t>https://csrc.nist.gov/projects/ssdf/publications</w:t>
      </w:r>
    </w:p>
    <w:p>
      <w:pPr>
        <w:pStyle w:val="SmallCaps"/>
      </w:pPr>
      <w:r>
        <w:t>WORDPRESS REST API HANDBOOK</w:t>
      </w:r>
    </w:p>
    <w:p>
      <w:pPr/>
      <w:r>
        <w:t>Permission callback and endpoint security</w:t>
      </w:r>
    </w:p>
    <w:p>
      <w:pPr>
        <w:spacing w:after="180"/>
      </w:pPr>
      <w:r>
        <w:rPr>
          <w:color w:val="117C88"/>
          <w:sz w:val="16"/>
        </w:rPr>
        <w:t>https://developer.wordpress.org/rest-api/extending-the-rest-api/adding-custom-endpoints/</w:t>
      </w:r>
    </w:p>
    <w:p>
      <w:pPr>
        <w:pStyle w:val="SmallCaps"/>
      </w:pPr>
      <w:r>
        <w:t>WORDPRESS SECURITY NONCES HANDBOOK</w:t>
      </w:r>
    </w:p>
    <w:p>
      <w:pPr/>
      <w:r>
        <w:t>Nonces are not authorization / identity</w:t>
      </w:r>
    </w:p>
    <w:p>
      <w:pPr>
        <w:spacing w:after="180"/>
      </w:pPr>
      <w:r>
        <w:rPr>
          <w:color w:val="117C88"/>
          <w:sz w:val="16"/>
        </w:rPr>
        <w:t>https://developer.wordpress.org/apis/security/nonces/</w:t>
      </w:r>
    </w:p>
    <w:p>
      <w:pPr>
        <w:pStyle w:val="SmallCaps"/>
      </w:pPr>
      <w:r>
        <w:t>W3C WCAG 2.2</w:t>
      </w:r>
    </w:p>
    <w:p>
      <w:pPr/>
      <w:r>
        <w:t>Accessibility acceptance benchmark</w:t>
      </w:r>
    </w:p>
    <w:p>
      <w:pPr>
        <w:spacing w:after="180"/>
      </w:pPr>
      <w:r>
        <w:rPr>
          <w:color w:val="117C88"/>
          <w:sz w:val="16"/>
        </w:rPr>
        <w:t>https://www.w3.org/TR/WCAG22/</w:t>
      </w:r>
    </w:p>
    <w:p>
      <w:pPr>
        <w:pStyle w:val="SmallCaps"/>
      </w:pPr>
      <w:r>
        <w:t>ISO 15489-1:2016</w:t>
      </w:r>
    </w:p>
    <w:p>
      <w:pPr/>
      <w:r>
        <w:t>Records governance principles</w:t>
      </w:r>
    </w:p>
    <w:p>
      <w:pPr>
        <w:spacing w:after="180"/>
      </w:pPr>
      <w:r>
        <w:rPr>
          <w:color w:val="117C88"/>
          <w:sz w:val="16"/>
        </w:rPr>
        <w:t>https://www.iso.org/standard/62542.html</w:t>
      </w:r>
    </w:p>
    <w:p>
      <w:pPr>
        <w:pStyle w:val="SmallCaps"/>
      </w:pPr>
      <w:r>
        <w:t>UK ICO RIGHT TO ERASURE</w:t>
      </w:r>
    </w:p>
    <w:p>
      <w:pPr/>
      <w:r>
        <w:t>Lawful erasure may have applicable exceptions; determine jurisdiction</w:t>
      </w:r>
    </w:p>
    <w:p>
      <w:pPr>
        <w:spacing w:after="180"/>
      </w:pPr>
      <w:r>
        <w:rPr>
          <w:color w:val="117C88"/>
          <w:sz w:val="16"/>
        </w:rPr>
        <w:t>https://ico.org.uk/for-organisations/uk-gdpr-guidance-and-resources/individual-rights/individual-rights/right-to-erasure/</w:t>
      </w:r>
    </w:p>
    <w:p>
      <w:pPr>
        <w:pStyle w:val="SmallCaps"/>
      </w:pPr>
      <w:r>
        <w:t>MOZILLA, TRUSTWORTHY JAVASCRIPT FOR THE OPEN WEB (2026)</w:t>
      </w:r>
    </w:p>
    <w:p>
      <w:pPr/>
      <w:r>
        <w:t>Server-supplied JavaScript integrity and E2EE delivery limitation</w:t>
      </w:r>
    </w:p>
    <w:p>
      <w:pPr>
        <w:spacing w:after="180"/>
      </w:pPr>
      <w:r>
        <w:rPr>
          <w:color w:val="117C88"/>
          <w:sz w:val="16"/>
        </w:rPr>
        <w:t>https://hacks.mozilla.org/2026/05/trustworthy-javascript-for-the-open-web/</w:t>
      </w:r>
    </w:p>
    <w:p>
      <w:pPr>
        <w:pStyle w:val="Heading1"/>
      </w:pPr>
      <w:r>
        <w:t>15. Final design recommendation</w:t>
      </w:r>
    </w:p>
    <w:p>
      <w:pPr/>
      <w:r>
        <w:t>Use the original 346-feature catalog as product inventory; use this review as the ownership, architectural decision and release-assurance companion. Start by demonstrating that (1) a WordPress compromise cannot access Zero-Knowledge plaintext/keys, (2) subsidiary identities and policies never bypass tenant bounds, (3) legal holds/recovery/backup restore remain consistent, and (4) independent reviewers can verify claims using reproducible tests.</w:t>
      </w:r>
    </w:p>
    <w:p>
      <w:pPr/>
      <w:r>
        <w:t>Product differentiation should come from independently governed subsidiaries, transparent permission explanations, honest mode-specific capabilities, strong information-governance controls and accessible multilingual operations — not a claim of absolute security or an arbitrary feature count.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066" w:bottom="1051" w:left="1181" w:header="44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B7B"/>
        <w:sz w:val="14"/>
      </w:rPr>
      <w:t xml:space="preserve">PROPOSED DESIGN • 20 OCT 2026    |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Caps"/>
      <w:jc w:val="right"/>
    </w:pPr>
    <w:r>
      <w:t>ENTERPRISE KMS  /  ROLE &amp; ASSURANCE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1427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7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17C8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4273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4273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s">
    <w:name w:val="SmallCaps"/>
    <w:pPr>
      <w:keepNext/>
      <w:spacing w:before="140" w:after="80"/>
    </w:pPr>
    <w:rPr>
      <w:rFonts w:ascii="Aptos" w:hAnsi="Aptos"/>
      <w:b/>
      <w:color w:val="117C88"/>
      <w:sz w:val="16"/>
    </w:rPr>
  </w:style>
  <w:style w:type="paragraph" w:customStyle="1" w:styleId="ReviewBody">
    <w:name w:val="ReviewBody"/>
    <w:basedOn w:val="Normal"/>
    <w:pPr>
      <w:spacing w:after="1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