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t>Conclusion</w:t>
      </w:r>
    </w:p>
    <w:p>
      <w:r>
        <w:t>Results</w:t>
      </w:r>
    </w:p>
    <w:p>
      <w:r>
        <w:t>Methods</w:t>
      </w:r>
    </w:p>
    <w:p>
      <w:r>
        <w:t xml:space="preserve">    Drug Compounds</w:t>
      </w:r>
    </w:p>
    <w:p>
      <w:r>
        <w:t>Introduction</w:t>
      </w:r>
    </w:p>
    <w:p>
      <w:r>
        <w:t>Abstract</w:t>
      </w:r>
    </w:p>
    <w:p>
      <w:pPr>
        <w:pStyle w:val="Heading1"/>
      </w:pPr>
      <w:r>
        <w:t>Abstract</w:t>
      </w:r>
    </w:p>
    <w:p>
      <w:r>
        <w:rPr>
          <w:b/>
          <w:i/>
          <w:color w:val="FF0000"/>
        </w:rPr>
        <w:t>This study investigates the use of polycaprolactone (PCL) mesophases for controlled drug delivery of three compounds: dolutegravir (DTG), meloxicam (MLX), and dexamethasone (DEX). Statistical analysis revealed significant correlations (p &lt; 0.05) between mesophase content and release kinetics at both 25°C and 50°C.</w:t>
      </w:r>
      <w:r>
        <w:rPr>
          <w:i/>
          <w:color w:val="FF0000"/>
        </w:rPr>
        <w:t xml:space="preserve"> [Dr. Smith: Consider adding more details about the mechanism of mesophase formation.]</w:t>
      </w:r>
    </w:p>
    <w:p>
      <w:pPr>
        <w:pStyle w:val="Heading1"/>
      </w:pPr>
      <w:r>
        <w:t>Introduction</w:t>
      </w:r>
    </w:p>
    <w:p>
      <w:r>
        <w:rPr>
          <w:b/>
          <w:color w:val="008000"/>
        </w:rPr>
        <w:t>Polycaprolactone has emerged as a promising biodegradable polymer for pharmaceutical applications. The crystallinity of PCL can be modulated through thermomechanical processing to create mesophase structures that influence drug release profiles.</w:t>
      </w:r>
    </w:p>
    <w:p>
      <w:pPr>
        <w:pStyle w:val="Heading2"/>
      </w:pPr>
      <w:r>
        <w:t>Drug Compounds</w:t>
      </w:r>
    </w:p>
    <w:p>
      <w:r>
        <w:rPr>
          <w:b/>
          <w:color w:val="0000FF"/>
        </w:rPr>
        <w:t>Three model drugs were selected: dolutegravir for HIV treatment, meloxicam as an anti-inflammatory agent, and dexamethasone as a corticosteroid. Each compound exhibits different solubility characteristics affecting release kinetics.</w:t>
      </w:r>
    </w:p>
    <w:p>
      <w:pPr>
        <w:pStyle w:val="Heading1"/>
      </w:pPr>
      <w:r>
        <w:t>Methods</w:t>
      </w:r>
    </w:p>
    <w:p>
      <w:r>
        <w:rPr>
          <w:i/>
          <w:color w:val="FFA500"/>
        </w:rPr>
        <w:t>Samples were processed using compression molding at temperatures of 25°C and 50°C. X-ray diffraction analysis was performed to quantify crystallinity changes. Release studies were conducted in phosphate-buffered saline with ANOVA statistical analysis.</w:t>
      </w:r>
    </w:p>
    <w:p>
      <w:pPr>
        <w:pStyle w:val="Heading1"/>
      </w:pPr>
      <w:r>
        <w:t>Results</w:t>
      </w:r>
    </w:p>
    <w:p>
      <w:r>
        <w:rPr>
          <w:b/>
          <w:i/>
          <w:color w:val="FF0000"/>
        </w:rPr>
        <w:t>Significant differences were observed between treatment groups. The correlation between mesophase content and drug release was highly significant with r² values exceeding 0.85 for all compounds tested.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Compound</w:t>
            </w:r>
          </w:p>
        </w:tc>
        <w:tc>
          <w:tcPr>
            <w:tcW w:type="dxa" w:w="2880"/>
          </w:tcPr>
          <w:p>
            <w:r>
              <w:t>Mesophase %</w:t>
            </w:r>
          </w:p>
        </w:tc>
        <w:tc>
          <w:tcPr>
            <w:tcW w:type="dxa" w:w="2880"/>
          </w:tcPr>
          <w:p>
            <w:r>
              <w:t>Release Rate (μg/mL/h)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00FF"/>
              </w:rPr>
              <w:t>DTG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23.5 ± 2.1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15.2 ± 1.8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00FF"/>
              </w:rPr>
              <w:t>MLX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31.7 ± 3.4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22.1 ± 2.5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00FF"/>
              </w:rPr>
              <w:t>DEX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18.9 ± 1.9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12.7 ± 1.4</w:t>
            </w:r>
          </w:p>
        </w:tc>
      </w:tr>
    </w:tbl>
    <w:p>
      <w:pPr>
        <w:pStyle w:val="Heading1"/>
      </w:pPr>
      <w:r>
        <w:t>Conclusion</w:t>
      </w:r>
    </w:p>
    <w:p>
      <w:r>
        <w:rPr>
          <w:b/>
          <w:i/>
          <w:color w:val="FF0000"/>
        </w:rPr>
        <w:t>This research demonstrates the potential of PCL mesophase engineering for precise control of drug release kinetics. The significant correlations observed support the hypothesis that processing-induced mesophases can be leveraged for pharmaceutical applications.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