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  <w:trHeight w:val="8813" w:hRule="atLeast"/>
        </w:trPr>
        <w:tc>
          <w:tcPr>
            <w:vAlign w:val="center"/>
          </w:tcPr>
          <w:p>
            <w:pPr>
              <w:pStyle w:val="Title"/>
            </w:pPr>
            <w:r>
              <w:t xml:space="preserve">Sample Academic Manuscript</w:t>
            </w:r>
          </w:p>
        </w:tc>
      </w:tr>
      <w:tr>
        <w:trPr>
          <w:cantSplit/>
          <w:trHeight w:val="4147" w:hRule="atLeast"/>
        </w:trPr>
        <w:tc>
          <w:tcPr>
            <w:vAlign w:val="bottom"/>
          </w:tcPr>
          <w:tbl>
            <w:tblPr>
              <w:tblW w:type="pct" w:w="100%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3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"/>
                    <w:jc w:val="left"/>
                  </w:pPr>
                  <w:r>
                    <w:rPr>
                      <w:b/>
                      <w:bCs/>
                    </w:rPr>
                    <w:t xml:space="preserve">Author(s)</w:t>
                  </w:r>
                </w:p>
              </w:tc>
              <w:tc>
                <w:tcPr>
                  <w:tcW w:type="pct" w:w="7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"/>
                    <w:jc w:val="left"/>
                  </w:pPr>
                  <w:r>
                    <w:t xml:space="preserve">Jane Doe, John Smith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"/>
                    <w:jc w:val="left"/>
                  </w:pPr>
                  <w:r>
                    <w:rPr>
                      <w:b/>
                      <w:bCs/>
                    </w:rPr>
                    <w:t xml:space="preserve">Affiliation</w:t>
                  </w:r>
                </w:p>
              </w:tc>
              <w:tc>
                <w:tcPr>
                  <w:tcW w:type="pct" w:w="7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"/>
                    <w:jc w:val="left"/>
                  </w:pPr>
                  <w:r>
                    <w:t xml:space="preserve">Example University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"/>
                    <w:jc w:val="left"/>
                  </w:pPr>
                  <w:r>
                    <w:rPr>
                      <w:b/>
                      <w:bCs/>
                    </w:rPr>
                    <w:t xml:space="preserve">Date</w:t>
                  </w:r>
                </w:p>
              </w:tc>
              <w:tc>
                <w:tcPr>
                  <w:tcW w:type="pct" w:w="7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"/>
                    <w:jc w:val="left"/>
                  </w:pPr>
                  <w:r>
                    <w:t xml:space="preserve">2026-02-19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20" w:footer="720" w:gutter="0"/>
          <w:pgNumType/>
          <w:titlePg/>
          <w:docGrid w:linePitch="360"/>
        </w:sectPr>
      </w:pPr>
    </w:p>
    <w:p>
      <w:pPr>
        <w:pStyle w:val="Heading1"/>
      </w:pPr>
      <w:r>
        <w:t xml:space="preserve">Overview</w:t>
      </w:r>
    </w:p>
    <w:p>
      <w:pPr>
        <w:pStyle w:val="Body"/>
        <w:widowControl/>
      </w:pPr>
      <w:r>
        <w:t xml:space="preserve">This document was generated with docx-enhanced (academic style). It demonstrates headings, body text, lists, tables, and an embedded figure.</w:t>
      </w:r>
    </w:p>
    <w:p>
      <w:pPr>
        <w:pStyle w:val="Heading2"/>
      </w:pPr>
      <w:r>
        <w:t xml:space="preserve">Key points</w:t>
      </w:r>
    </w:p>
    <w:p>
      <w:pPr>
        <w:pStyle w:val="Body"/>
        <w:numPr>
          <w:ilvl w:val="0"/>
          <w:numId w:val="2"/>
        </w:numPr>
      </w:pPr>
      <w:r>
        <w:t xml:space="preserve">All paragraph formatting is style-driven (no manual font fiddling).</w:t>
      </w:r>
    </w:p>
    <w:p>
      <w:pPr>
        <w:pStyle w:val="Body"/>
        <w:numPr>
          <w:ilvl w:val="0"/>
          <w:numId w:val="2"/>
        </w:numPr>
      </w:pPr>
      <w:r>
        <w:t xml:space="preserve">Tables have readable padding, header shading, and repeatable header rows.</w:t>
      </w:r>
    </w:p>
    <w:p>
      <w:pPr>
        <w:pStyle w:val="Body"/>
        <w:numPr>
          <w:ilvl w:val="0"/>
          <w:numId w:val="2"/>
        </w:numPr>
      </w:pPr>
      <w:r>
        <w:t xml:space="preserve">List numbering uses independent instances to avoid counter collisions.</w:t>
      </w:r>
    </w:p>
    <w:p>
      <w:pPr>
        <w:pStyle w:val="Heading2"/>
      </w:pPr>
      <w:r>
        <w:t xml:space="preserve">Example process</w:t>
      </w:r>
    </w:p>
    <w:p>
      <w:pPr>
        <w:pStyle w:val="Body"/>
        <w:numPr>
          <w:ilvl w:val="0"/>
          <w:numId w:val="3"/>
        </w:numPr>
      </w:pPr>
      <w:r>
        <w:t xml:space="preserve">Define the document style system (business/academic/technical).</w:t>
      </w:r>
    </w:p>
    <w:p>
      <w:pPr>
        <w:pStyle w:val="Body"/>
        <w:numPr>
          <w:ilvl w:val="0"/>
          <w:numId w:val="3"/>
        </w:numPr>
      </w:pPr>
      <w:r>
        <w:t xml:space="preserve">Write content using semantic styles (Heading1, Body, Quote).</w:t>
      </w:r>
    </w:p>
    <w:p>
      <w:pPr>
        <w:pStyle w:val="Body"/>
        <w:numPr>
          <w:ilvl w:val="0"/>
          <w:numId w:val="3"/>
        </w:numPr>
      </w:pPr>
      <w:r>
        <w:t xml:space="preserve">Run QA (OOXML lint + PDF composition checks).</w:t>
      </w:r>
    </w:p>
    <w:p>
      <w:pPr>
        <w:pStyle w:val="Heading1"/>
      </w:pPr>
      <w:r>
        <w:t xml:space="preserve">Example table</w:t>
      </w:r>
    </w:p>
    <w:p>
      <w:pPr>
        <w:pStyle w:val="TableCaption"/>
        <w:keepNext/>
      </w:pPr>
      <w:r>
        <w:t xml:space="preserve">Table 1. Example dataset.</w:t>
      </w:r>
    </w:p>
    <w:tbl>
      <w:tblPr>
        <w:tblW w:type="pct" w:w="100%"/>
        <w:jc w:val="center"/>
        <w:tblBorders>
          <w:top w:val="single" w:color="7F7F7F" w:sz="4"/>
          <w:left w:val="none" w:color="auto" w:sz="0"/>
          <w:bottom w:val="single" w:color="7F7F7F" w:sz="4"/>
          <w:right w:val="none" w:color="auto" w:sz="0"/>
          <w:insideH w:val="single" w:color="C7C7C7" w:sz="1"/>
          <w:insideV w:val="none" w:color="auto" w:sz="0"/>
        </w:tblBorders>
        <w:tblLayout w:type="autofit"/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bottom w:val="single" w:color="7F7F7F" w:sz="4"/>
            </w:tcBorders>
            <w:shd w:fill="EDEDED" w:color="auto" w:val="clear"/>
            <w:vAlign w:val="center"/>
          </w:tcPr>
          <w:p>
            <w:pPr>
              <w:pStyle w:val="Body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bottom w:val="single" w:color="7F7F7F" w:sz="4"/>
            </w:tcBorders>
            <w:shd w:fill="EDEDED" w:color="auto" w:val="clear"/>
            <w:vAlign w:val="center"/>
          </w:tcPr>
          <w:p>
            <w:pPr>
              <w:pStyle w:val="Body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Value</w:t>
            </w:r>
          </w:p>
        </w:tc>
        <w:tc>
          <w:tcPr>
            <w:tcBorders>
              <w:bottom w:val="single" w:color="7F7F7F" w:sz="4"/>
            </w:tcBorders>
            <w:shd w:fill="EDEDED" w:color="auto" w:val="clear"/>
            <w:vAlign w:val="center"/>
          </w:tcPr>
          <w:p>
            <w:pPr>
              <w:pStyle w:val="Body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Body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Revenue ($M)</w:t>
            </w:r>
          </w:p>
        </w:tc>
        <w:tc>
          <w:tcPr>
            <w:vAlign w:val="center"/>
          </w:tcPr>
          <w:p>
            <w:pPr>
              <w:pStyle w:val="Body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12.3</w:t>
            </w:r>
          </w:p>
        </w:tc>
        <w:tc>
          <w:tcPr>
            <w:vAlign w:val="center"/>
          </w:tcPr>
          <w:p>
            <w:pPr>
              <w:pStyle w:val="Body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FY2025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Body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Gross margin (%)</w:t>
            </w:r>
          </w:p>
        </w:tc>
        <w:tc>
          <w:tcPr>
            <w:vAlign w:val="center"/>
          </w:tcPr>
          <w:p>
            <w:pPr>
              <w:pStyle w:val="Body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42.1</w:t>
            </w:r>
          </w:p>
        </w:tc>
        <w:tc>
          <w:tcPr>
            <w:vAlign w:val="center"/>
          </w:tcPr>
          <w:p>
            <w:pPr>
              <w:pStyle w:val="Body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Audited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Body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Headcount</w:t>
            </w:r>
          </w:p>
        </w:tc>
        <w:tc>
          <w:tcPr>
            <w:vAlign w:val="center"/>
          </w:tcPr>
          <w:p>
            <w:pPr>
              <w:pStyle w:val="Body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57</w:t>
            </w:r>
          </w:p>
        </w:tc>
        <w:tc>
          <w:tcPr>
            <w:vAlign w:val="center"/>
          </w:tcPr>
          <w:p>
            <w:pPr>
              <w:pStyle w:val="Body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End of Q4</w:t>
            </w:r>
          </w:p>
        </w:tc>
      </w:tr>
    </w:tbl>
    <w:p>
      <w:pPr>
        <w:pStyle w:val="Heading1"/>
      </w:pPr>
      <w:r>
        <w:t xml:space="preserve">Example figure</w:t>
      </w:r>
    </w:p>
    <w:p>
      <w:pPr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keepNext w:val="false"/>
      </w:pPr>
      <w:r>
        <w:t xml:space="preserve">Figure 1. Example trend across months.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0" w:after="60" w:line="276" w:lineRule="auto"/>
        <w:ind w:left="720" w:hanging="360"/>
      </w:pPr>
    </w:lvl>
    <w:lvl w:ilvl="1" w15:tentative="1">
      <w:start w:val="1"/>
      <w:numFmt w:val="bullet"/>
      <w:lvlText w:val="–"/>
      <w:lvlJc w:val="left"/>
      <w:pPr>
        <w:spacing w:before="0" w:after="60" w:line="276" w:lineRule="auto"/>
        <w:ind w:left="1080" w:hanging="360"/>
      </w:pPr>
    </w:lvl>
    <w:lvl w:ilvl="2" w15:tentative="1">
      <w:start w:val="1"/>
      <w:numFmt w:val="bullet"/>
      <w:lvlText w:val="•"/>
      <w:lvlJc w:val="left"/>
      <w:pPr>
        <w:spacing w:before="0" w:after="60" w:line="276" w:lineRule="auto"/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0" w:after="60" w:line="276" w:lineRule="auto"/>
        <w:ind w:left="720" w:hanging="360"/>
      </w:pPr>
    </w:lvl>
    <w:lvl w:ilvl="1" w15:tentative="1">
      <w:start w:val="1"/>
      <w:numFmt w:val="lowerLetter"/>
      <w:lvlText w:val="%2)"/>
      <w:lvlJc w:val="left"/>
      <w:pPr>
        <w:spacing w:before="0" w:after="60" w:line="276" w:lineRule="auto"/>
        <w:ind w:left="1080" w:hanging="360"/>
      </w:pPr>
    </w:lvl>
    <w:lvl w:ilvl="2" w15:tentative="1">
      <w:start w:val="1"/>
      <w:numFmt w:val="lowerRoman"/>
      <w:lvlText w:val="%3."/>
      <w:lvlJc w:val="left"/>
      <w:pPr>
        <w:spacing w:before="0" w:after="60" w:line="276" w:lineRule="auto"/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isLgl/>
      <w:lvlText w:val="%1."/>
      <w:lvlJc w:val="left"/>
      <w:pPr>
        <w:spacing w:before="0" w:after="60" w:line="276" w:lineRule="auto"/>
        <w:ind w:left="720" w:hanging="360"/>
      </w:pPr>
    </w:lvl>
    <w:lvl w:ilvl="1" w15:tentative="1">
      <w:start w:val="1"/>
      <w:numFmt w:val="decimal"/>
      <w:isLgl/>
      <w:lvlText w:val="%1.%2."/>
      <w:lvlJc w:val="left"/>
      <w:pPr>
        <w:spacing w:before="0" w:after="60" w:line="276" w:lineRule="auto"/>
        <w:ind w:left="1080" w:hanging="360"/>
      </w:pPr>
    </w:lvl>
    <w:lvl w:ilvl="2" w15:tentative="1">
      <w:start w:val="1"/>
      <w:numFmt w:val="lowerLetter"/>
      <w:lvlText w:val="(%3)"/>
      <w:lvlJc w:val="left"/>
      <w:pPr>
        <w:spacing w:before="0" w:after="60" w:line="276" w:lineRule="auto"/>
        <w:ind w:left="1440" w:hanging="360"/>
      </w:pPr>
    </w:lvl>
    <w:lvl w:ilvl="3" w15:tentative="1">
      <w:start w:val="1"/>
      <w:numFmt w:val="lowerRoman"/>
      <w:lvlText w:val="(%4)"/>
      <w:lvlJc w:val="left"/>
      <w:pPr>
        <w:spacing w:before="0" w:after="60" w:line="276" w:lineRule="auto"/>
        <w:ind w:left="18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spacing w:before="0" w:after="60" w:line="276" w:lineRule="auto"/>
        <w:ind w:left="720" w:hanging="360"/>
      </w:pPr>
    </w:lvl>
    <w:lvl w:ilvl="1" w15:tentative="1">
      <w:start w:val="1"/>
      <w:numFmt w:val="bullet"/>
      <w:lvlText w:val="☐"/>
      <w:lvlJc w:val="left"/>
      <w:pPr>
        <w:spacing w:before="0" w:after="60" w:line="276" w:lineRule="auto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qFormat/>
    <w:pPr>
      <w:spacing w:after="240" w:line="480" w:lineRule="auto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qFormat/>
    <w:pPr>
      <w:keepNext/>
      <w:spacing w:before="480" w:after="12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qFormat/>
    <w:pPr>
      <w:keepNext/>
      <w:spacing w:before="36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qFormat/>
    <w:pPr>
      <w:keepNext/>
      <w:spacing w:before="240" w:after="12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Body">
    <w:name w:val="Body"/>
    <w:qFormat/>
    <w:pPr>
      <w:spacing w:after="0" w:line="480" w:lineRule="auto"/>
      <w:ind w:firstLine="720"/>
    </w:pPr>
    <w:rPr>
      <w:rFonts w:ascii="Times New Roman" w:cs="Times New Roman" w:eastAsia="Times New Roman" w:hAnsi="Times New Roman"/>
      <w:sz w:val="24"/>
      <w:szCs w:val="24"/>
    </w:rPr>
  </w:style>
  <w:style w:type="paragraph" w:styleId="BlockQuote">
    <w:name w:val="Block Quote"/>
    <w:qFormat/>
    <w:pPr>
      <w:spacing w:before="120" w:after="120" w:line="480" w:lineRule="auto"/>
      <w:ind w:left="720" w:right="720"/>
    </w:pPr>
    <w:rPr>
      <w:rFonts w:ascii="Times New Roman" w:cs="Times New Roman" w:eastAsia="Times New Roman" w:hAnsi="Times New Roman"/>
      <w:sz w:val="24"/>
      <w:szCs w:val="24"/>
    </w:rPr>
  </w:style>
  <w:style w:type="paragraph" w:styleId="FigureCaption">
    <w:name w:val="Figure Caption"/>
    <w:qFormat/>
    <w:pPr>
      <w:keepLines/>
      <w:spacing w:before="120" w:after="240"/>
    </w:pPr>
    <w:rPr>
      <w:rFonts w:ascii="Times New Roman" w:cs="Times New Roman" w:eastAsia="Times New Roman" w:hAnsi="Times New Roman"/>
      <w:sz w:val="20"/>
      <w:szCs w:val="20"/>
    </w:rPr>
  </w:style>
  <w:style w:type="paragraph" w:styleId="TableCaption">
    <w:name w:val="Table Caption"/>
    <w:qFormat/>
    <w:pPr>
      <w:keepNext/>
      <w:spacing w:before="240" w:after="60"/>
    </w:pPr>
    <w:rPr>
      <w:rFonts w:ascii="Times New Roman" w:cs="Times New Roman" w:eastAsia="Times New Roman" w:hAnsi="Times New Roman"/>
      <w:b/>
      <w:bCs/>
      <w:sz w:val="20"/>
      <w:szCs w:val="20"/>
    </w:rPr>
  </w:style>
  <w:style w:type="paragraph" w:styleId="References">
    <w:name w:val="References"/>
    <w:qFormat/>
    <w:pPr>
      <w:spacing w:line="480" w:lineRule="auto"/>
      <w:ind w:left="720" w:hanging="720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uiPriority w:val="99"/>
    <w:unhideWhenUsed/>
    <w:qFormat/>
    <w:rPr>
      <w:rFonts w:ascii="Times New Roman" w:cs="Times New Roman" w:eastAsia="Times New Roman" w:hAnsi="Times New Roman"/>
      <w:i/>
      <w:iCs/>
    </w:rPr>
  </w:style>
  <w:style w:type="character" w:styleId="Strong">
    <w:name w:val="Strong"/>
    <w:uiPriority w:val="99"/>
    <w:unhideWhenUsed/>
    <w:qFormat/>
    <w:rPr>
      <w:rFonts w:ascii="Times New Roman" w:cs="Times New Roman" w:eastAsia="Times New Roman" w:hAnsi="Times New Roman"/>
      <w:b/>
      <w:bCs/>
    </w:rPr>
  </w:style>
  <w:style w:type="character" w:styleId="InlineCode">
    <w:name w:val="Inline Code"/>
    <w:uiPriority w:val="99"/>
    <w:unhideWhenUsed/>
    <w:qFormat/>
    <w:rPr>
      <w:rFonts w:ascii="Courier New" w:cs="Courier New" w:eastAsia="Courier New" w:hAnsi="Courier New"/>
      <w:sz w:val="20"/>
      <w:szCs w:val="20"/>
      <w:shd w:fill="F2F2F2" w:color="auto" w:val="clear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0815a17358a11f1022c0167d5bea60d2b565e036.undefined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2026-02-19T00:22:05.711Z</dcterms:created>
  <dcterms:modified xsi:type="dcterms:W3CDTF">2026-02-19T00:22:05.711Z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