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pPr>
      <w:r>
        <w:rPr>
          <w:rFonts w:ascii="Arial" w:cs="Arial" w:eastAsia="Arial" w:hAnsi="Arial"/>
          <w:b/>
          <w:bCs/>
          <w:color w:val="2C8A8C"/>
          <w:spacing w:val="80"/>
          <w:sz w:val="28"/>
          <w:szCs w:val="28"/>
        </w:rPr>
        <w:t xml:space="preserve">PINGO</w:t>
      </w:r>
    </w:p>
    <w:p>
      <w:pPr>
        <w:spacing w:after="60"/>
      </w:pPr>
      <w:r>
        <w:rPr>
          <w:rFonts w:ascii="Arial" w:cs="Arial" w:eastAsia="Arial" w:hAnsi="Arial"/>
          <w:color w:val="2A2A2A"/>
          <w:sz w:val="24"/>
          <w:szCs w:val="24"/>
        </w:rPr>
        <w:t xml:space="preserve">Lead Generation Campaign Brief</w:t>
      </w:r>
    </w:p>
    <w:p>
      <w:pPr>
        <w:spacing w:after="120" w:before="240"/>
      </w:pPr>
      <w:r>
        <w:rPr>
          <w:rFonts w:ascii="Arial" w:cs="Arial" w:eastAsia="Arial" w:hAnsi="Arial"/>
          <w:b/>
          <w:bCs/>
          <w:color w:val="0F3A5C"/>
          <w:sz w:val="64"/>
          <w:szCs w:val="64"/>
        </w:rPr>
        <w:t xml:space="preserve">Trust Builds</w:t>
      </w:r>
    </w:p>
    <w:p>
      <w:pPr>
        <w:spacing w:after="280"/>
      </w:pPr>
      <w:r>
        <w:rPr>
          <w:rFonts w:ascii="Arial" w:cs="Arial" w:eastAsia="Arial" w:hAnsi="Arial"/>
          <w:b/>
          <w:bCs/>
          <w:color w:val="2C8A8C"/>
          <w:sz w:val="64"/>
          <w:szCs w:val="64"/>
        </w:rPr>
        <w:t xml:space="preserve">Brands.</w:t>
      </w:r>
    </w:p>
    <w:p>
      <w:pPr>
        <w:spacing w:after="600"/>
      </w:pPr>
      <w:r>
        <w:rPr>
          <w:rFonts w:ascii="Arial" w:cs="Arial" w:eastAsia="Arial" w:hAnsi="Arial"/>
          <w:i/>
          <w:iCs/>
          <w:color w:val="2A2A2A"/>
          <w:sz w:val="24"/>
          <w:szCs w:val="24"/>
        </w:rPr>
        <w:t xml:space="preserve">A Facebook lead-generation campaign to bring credibility-led wellness brands — supplements, health food, and telehealth — into Pingo's discovery-call funnel.</w:t>
      </w:r>
    </w:p>
    <w:p>
      <w:pPr>
        <w:pBdr>
          <w:bottom w:val="single" w:color="B8C7C2" w:sz="6" w:space="1"/>
        </w:pBdr>
        <w:spacing w:after="120" w:before="120"/>
      </w:pPr>
      <w:r>
        <w:t xml:space="preserve"/>
      </w:r>
    </w:p>
    <w:p>
      <w:pPr>
        <w:spacing w:after="120" w:line="300"/>
      </w:pPr>
      <w:r>
        <w:rPr>
          <w:rFonts w:ascii="Arial" w:cs="Arial" w:eastAsia="Arial" w:hAnsi="Arial"/>
          <w:b/>
          <w:bCs/>
          <w:color w:val="2A2A2A"/>
          <w:sz w:val="22"/>
          <w:szCs w:val="22"/>
        </w:rPr>
        <w:t xml:space="preserve">Prepared by:  </w:t>
      </w:r>
      <w:r>
        <w:rPr>
          <w:rFonts w:ascii="Arial" w:cs="Arial" w:eastAsia="Arial" w:hAnsi="Arial"/>
          <w:color w:val="2A2A2A"/>
          <w:sz w:val="22"/>
          <w:szCs w:val="22"/>
        </w:rPr>
        <w:t xml:space="preserve">Pingo AI Work Team</w:t>
      </w:r>
    </w:p>
    <w:p>
      <w:pPr>
        <w:spacing w:after="120" w:line="300"/>
      </w:pPr>
      <w:r>
        <w:rPr>
          <w:rFonts w:ascii="Arial" w:cs="Arial" w:eastAsia="Arial" w:hAnsi="Arial"/>
          <w:b/>
          <w:bCs/>
          <w:color w:val="2A2A2A"/>
          <w:sz w:val="22"/>
          <w:szCs w:val="22"/>
        </w:rPr>
        <w:t xml:space="preserve">Date:  </w:t>
      </w:r>
      <w:r>
        <w:rPr>
          <w:rFonts w:ascii="Arial" w:cs="Arial" w:eastAsia="Arial" w:hAnsi="Arial"/>
          <w:color w:val="2A2A2A"/>
          <w:sz w:val="22"/>
          <w:szCs w:val="22"/>
        </w:rPr>
        <w:t xml:space="preserve">25 April 2026</w:t>
      </w:r>
    </w:p>
    <w:p>
      <w:pPr>
        <w:spacing w:after="120" w:line="300"/>
      </w:pPr>
      <w:r>
        <w:rPr>
          <w:rFonts w:ascii="Arial" w:cs="Arial" w:eastAsia="Arial" w:hAnsi="Arial"/>
          <w:b/>
          <w:bCs/>
          <w:color w:val="2A2A2A"/>
          <w:sz w:val="22"/>
          <w:szCs w:val="22"/>
        </w:rPr>
        <w:t xml:space="preserve">Status:  </w:t>
      </w:r>
      <w:r>
        <w:rPr>
          <w:rFonts w:ascii="Arial" w:cs="Arial" w:eastAsia="Arial" w:hAnsi="Arial"/>
          <w:color w:val="2A2A2A"/>
          <w:sz w:val="22"/>
          <w:szCs w:val="22"/>
        </w:rPr>
        <w:t xml:space="preserve">Draft v1 — for internal review</w:t>
      </w:r>
    </w:p>
    <w:p>
      <w:r>
        <w:br w:type="page"/>
      </w:r>
    </w:p>
    <w:p>
      <w:pPr>
        <w:pStyle w:val="Heading1"/>
        <w:spacing w:after="200" w:before="360"/>
      </w:pPr>
      <w:r>
        <w:rPr>
          <w:rFonts w:ascii="Arial" w:cs="Arial" w:eastAsia="Arial" w:hAnsi="Arial"/>
          <w:b/>
          <w:bCs/>
          <w:color w:val="0F3A5C"/>
          <w:sz w:val="36"/>
          <w:szCs w:val="36"/>
        </w:rPr>
        <w:t xml:space="preserve">1. Campaign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0F3A5C"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Field</w:t>
            </w:r>
          </w:p>
        </w:tc>
        <w:tc>
          <w:tcPr>
            <w:tcW w:type="dxa" w:w="6960"/>
            <w:tcBorders>
              <w:top w:val="single" w:color="CCCCCC" w:sz="4"/>
              <w:left w:val="single" w:color="CCCCCC" w:sz="4"/>
              <w:bottom w:val="single" w:color="CCCCCC" w:sz="4"/>
              <w:right w:val="single" w:color="CCCCCC" w:sz="4"/>
            </w:tcBorders>
            <w:shd w:fill="0F3A5C"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Detail</w:t>
            </w:r>
          </w:p>
        </w:tc>
      </w:tr>
      <w:tr>
        <w:tc>
          <w:tcPr>
            <w:tcW w:type="dxa" w:w="24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Campaign name</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Trust Builds Brands</w:t>
            </w:r>
          </w:p>
        </w:tc>
      </w:tr>
      <w:tr>
        <w:tc>
          <w:tcPr>
            <w:tcW w:type="dxa" w:w="24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Client</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Pingo (in-house lead generation)</w:t>
            </w:r>
          </w:p>
        </w:tc>
      </w:tr>
      <w:tr>
        <w:tc>
          <w:tcPr>
            <w:tcW w:type="dxa" w:w="24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Sector focus</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Wellness brands — supplement, health food, and telehealth businesses (DTC and retail)</w:t>
            </w:r>
          </w:p>
        </w:tc>
      </w:tr>
      <w:tr>
        <w:tc>
          <w:tcPr>
            <w:tcW w:type="dxa" w:w="24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Primary platform</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Facebook (Feed, Reels, Lead Form ads, Stories)</w:t>
            </w:r>
          </w:p>
        </w:tc>
      </w:tr>
      <w:tr>
        <w:tc>
          <w:tcPr>
            <w:tcW w:type="dxa" w:w="24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Campaign period</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11 May 2026 – 7 June 2026 (4 weeks)</w:t>
            </w:r>
          </w:p>
        </w:tc>
      </w:tr>
      <w:tr>
        <w:tc>
          <w:tcPr>
            <w:tcW w:type="dxa" w:w="24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Primary goal</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Generate qualified discovery-call bookings with wellness brand decision-makers (founders, CMOs, marketing leads)</w:t>
            </w:r>
          </w:p>
        </w:tc>
      </w:tr>
      <w:tr>
        <w:tc>
          <w:tcPr>
            <w:tcW w:type="dxa" w:w="24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Primary KPI</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45 discovery calls booked at ≤ AUD $145 cost-per-booked-call</w:t>
            </w:r>
          </w:p>
        </w:tc>
      </w:tr>
      <w:tr>
        <w:tc>
          <w:tcPr>
            <w:tcW w:type="dxa" w:w="24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Owner</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Agency Lead, Content Strategist, AI Work Team (Claude)</w:t>
            </w:r>
          </w:p>
        </w:tc>
      </w:tr>
    </w:tbl>
    <w:p>
      <w:pPr>
        <w:pStyle w:val="Heading1"/>
        <w:spacing w:after="200" w:before="360"/>
      </w:pPr>
      <w:r>
        <w:rPr>
          <w:rFonts w:ascii="Arial" w:cs="Arial" w:eastAsia="Arial" w:hAnsi="Arial"/>
          <w:b/>
          <w:bCs/>
          <w:color w:val="0F3A5C"/>
          <w:sz w:val="36"/>
          <w:szCs w:val="36"/>
        </w:rPr>
        <w:t xml:space="preserve">2. Strategic Rationale</w:t>
      </w:r>
    </w:p>
    <w:p>
      <w:pPr>
        <w:spacing w:after="120" w:line="300"/>
      </w:pPr>
      <w:r>
        <w:rPr>
          <w:rFonts w:ascii="Arial" w:cs="Arial" w:eastAsia="Arial" w:hAnsi="Arial"/>
          <w:color w:val="2A2A2A"/>
          <w:sz w:val="22"/>
          <w:szCs w:val="22"/>
        </w:rPr>
        <w:t xml:space="preserve">Pingo's mission is to give credible wellness businesses the social media presence they deserve. Wellness brands sit in a uniquely difficult market: a flooded category where every supplement, functional food, and telehealth platform is competing for the same shrinking pool of consumer trust. Generic agencies don't understand the regulatory and ethical lines that wellness brands cannot cross. Pingo does. This campaign positions Pingo as the only social media partner sector-trained for wellness — trustworthy before trendy, authoritative before aesthetic.</w:t>
      </w:r>
    </w:p>
    <w:p>
      <w:pPr>
        <w:pStyle w:val="Heading3"/>
        <w:spacing w:after="100" w:before="200"/>
      </w:pPr>
      <w:r>
        <w:rPr>
          <w:rFonts w:ascii="Arial" w:cs="Arial" w:eastAsia="Arial" w:hAnsi="Arial"/>
          <w:b/>
          <w:bCs/>
          <w:color w:val="0F3A5C"/>
          <w:sz w:val="22"/>
          <w:szCs w:val="22"/>
        </w:rPr>
        <w:t xml:space="preserve">Why Facebook, why now</w:t>
      </w:r>
    </w:p>
    <w:p>
      <w:pPr>
        <w:pStyle w:val="ListParagraph"/>
        <w:numPr>
          <w:ilvl w:val="0"/>
          <w:numId w:val="2"/>
        </w:numPr>
        <w:spacing w:after="80" w:line="280"/>
      </w:pPr>
      <w:r>
        <w:rPr>
          <w:rFonts w:ascii="Arial" w:cs="Arial" w:eastAsia="Arial" w:hAnsi="Arial"/>
          <w:color w:val="2A2A2A"/>
          <w:sz w:val="22"/>
          <w:szCs w:val="22"/>
        </w:rPr>
        <w:t xml:space="preserve">Facebook is still the highest-intent paid platform for reaching wellness brand operators aged 32–55 — founders, CMOs, and growth leads who actively research agency partners on the platform.</w:t>
      </w:r>
    </w:p>
    <w:p>
      <w:pPr>
        <w:pStyle w:val="ListParagraph"/>
        <w:numPr>
          <w:ilvl w:val="0"/>
          <w:numId w:val="2"/>
        </w:numPr>
        <w:spacing w:after="80" w:line="280"/>
      </w:pPr>
      <w:r>
        <w:rPr>
          <w:rFonts w:ascii="Arial" w:cs="Arial" w:eastAsia="Arial" w:hAnsi="Arial"/>
          <w:color w:val="2A2A2A"/>
          <w:sz w:val="22"/>
          <w:szCs w:val="22"/>
        </w:rPr>
        <w:t xml:space="preserve">Facebook Lead Ads convert well for B2B-style services: brand decision-makers can request an audit in two taps without leaving feed.</w:t>
      </w:r>
    </w:p>
    <w:p>
      <w:pPr>
        <w:pStyle w:val="ListParagraph"/>
        <w:numPr>
          <w:ilvl w:val="0"/>
          <w:numId w:val="2"/>
        </w:numPr>
        <w:spacing w:after="80" w:line="280"/>
      </w:pPr>
      <w:r>
        <w:rPr>
          <w:rFonts w:ascii="Arial" w:cs="Arial" w:eastAsia="Arial" w:hAnsi="Arial"/>
          <w:color w:val="2A2A2A"/>
          <w:sz w:val="22"/>
          <w:szCs w:val="22"/>
        </w:rPr>
        <w:t xml:space="preserve">Wellness brands are increasingly stung by Meta ad-account restrictions for health-claim violations — a pain point this campaign speaks to directly.</w:t>
      </w:r>
    </w:p>
    <w:p>
      <w:pPr>
        <w:pStyle w:val="ListParagraph"/>
        <w:numPr>
          <w:ilvl w:val="0"/>
          <w:numId w:val="2"/>
        </w:numPr>
        <w:spacing w:after="80" w:line="280"/>
      </w:pPr>
      <w:r>
        <w:rPr>
          <w:rFonts w:ascii="Arial" w:cs="Arial" w:eastAsia="Arial" w:hAnsi="Arial"/>
          <w:color w:val="2A2A2A"/>
          <w:sz w:val="22"/>
          <w:szCs w:val="22"/>
        </w:rPr>
        <w:t xml:space="preserve">Q2 2026 is a strategic window: brands are planning H2 marketing budgets and reviewing agency rosters ahead of EOFY (AU).</w:t>
      </w:r>
    </w:p>
    <w:p>
      <w:pPr>
        <w:pStyle w:val="Heading3"/>
        <w:spacing w:after="100" w:before="200"/>
      </w:pPr>
      <w:r>
        <w:rPr>
          <w:rFonts w:ascii="Arial" w:cs="Arial" w:eastAsia="Arial" w:hAnsi="Arial"/>
          <w:b/>
          <w:bCs/>
          <w:color w:val="0F3A5C"/>
          <w:sz w:val="22"/>
          <w:szCs w:val="22"/>
        </w:rPr>
        <w:t xml:space="preserve">What this campaign does NOT do</w:t>
      </w:r>
    </w:p>
    <w:p>
      <w:pPr>
        <w:pStyle w:val="ListParagraph"/>
        <w:numPr>
          <w:ilvl w:val="0"/>
          <w:numId w:val="2"/>
        </w:numPr>
        <w:spacing w:after="80" w:line="280"/>
      </w:pPr>
      <w:r>
        <w:rPr>
          <w:rFonts w:ascii="Arial" w:cs="Arial" w:eastAsia="Arial" w:hAnsi="Arial"/>
          <w:color w:val="2A2A2A"/>
          <w:sz w:val="22"/>
          <w:szCs w:val="22"/>
        </w:rPr>
        <w:t xml:space="preserve">It does not chase virality, vanity metrics, or low-intent followers.</w:t>
      </w:r>
    </w:p>
    <w:p>
      <w:pPr>
        <w:pStyle w:val="ListParagraph"/>
        <w:numPr>
          <w:ilvl w:val="0"/>
          <w:numId w:val="2"/>
        </w:numPr>
        <w:spacing w:after="80" w:line="280"/>
      </w:pPr>
      <w:r>
        <w:rPr>
          <w:rFonts w:ascii="Arial" w:cs="Arial" w:eastAsia="Arial" w:hAnsi="Arial"/>
          <w:color w:val="2A2A2A"/>
          <w:sz w:val="22"/>
          <w:szCs w:val="22"/>
        </w:rPr>
        <w:t xml:space="preserve">It does not promise specific revenue or ROAS outcomes for Pingo's prospective clients (a compliance and trust red flag).</w:t>
      </w:r>
    </w:p>
    <w:p>
      <w:pPr>
        <w:pStyle w:val="ListParagraph"/>
        <w:numPr>
          <w:ilvl w:val="0"/>
          <w:numId w:val="2"/>
        </w:numPr>
        <w:spacing w:after="80" w:line="280"/>
      </w:pPr>
      <w:r>
        <w:rPr>
          <w:rFonts w:ascii="Arial" w:cs="Arial" w:eastAsia="Arial" w:hAnsi="Arial"/>
          <w:color w:val="2A2A2A"/>
          <w:sz w:val="22"/>
          <w:szCs w:val="22"/>
        </w:rPr>
        <w:t xml:space="preserve">It does not target end consumers — only brand decision-makers.</w:t>
      </w:r>
    </w:p>
    <w:p>
      <w:pPr>
        <w:pStyle w:val="ListParagraph"/>
        <w:numPr>
          <w:ilvl w:val="0"/>
          <w:numId w:val="2"/>
        </w:numPr>
        <w:spacing w:after="80" w:line="280"/>
      </w:pPr>
      <w:r>
        <w:rPr>
          <w:rFonts w:ascii="Arial" w:cs="Arial" w:eastAsia="Arial" w:hAnsi="Arial"/>
          <w:color w:val="2A2A2A"/>
          <w:sz w:val="22"/>
          <w:szCs w:val="22"/>
        </w:rPr>
        <w:t xml:space="preserve">It does not court brands whose claims sit outside TGA or FDA boundaries; lead-quality screening filters them out.</w:t>
      </w:r>
    </w:p>
    <w:p>
      <w:pPr>
        <w:pStyle w:val="Heading1"/>
        <w:spacing w:after="200" w:before="360"/>
      </w:pPr>
      <w:r>
        <w:rPr>
          <w:rFonts w:ascii="Arial" w:cs="Arial" w:eastAsia="Arial" w:hAnsi="Arial"/>
          <w:b/>
          <w:bCs/>
          <w:color w:val="0F3A5C"/>
          <w:sz w:val="36"/>
          <w:szCs w:val="36"/>
        </w:rPr>
        <w:t xml:space="preserve">3. Audience</w:t>
      </w:r>
    </w:p>
    <w:p>
      <w:pPr>
        <w:pStyle w:val="Heading2"/>
        <w:spacing w:after="140" w:before="280"/>
      </w:pPr>
      <w:r>
        <w:rPr>
          <w:rFonts w:ascii="Arial" w:cs="Arial" w:eastAsia="Arial" w:hAnsi="Arial"/>
          <w:b/>
          <w:bCs/>
          <w:color w:val="2C8A8C"/>
          <w:sz w:val="26"/>
          <w:szCs w:val="26"/>
        </w:rPr>
        <w:t xml:space="preserve">3.1 Primary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4"/>
              <w:left w:val="single" w:color="CCCCCC" w:sz="4"/>
              <w:bottom w:val="single" w:color="CCCCCC" w:sz="4"/>
              <w:right w:val="single" w:color="CCCCCC" w:sz="4"/>
            </w:tcBorders>
            <w:shd w:fill="0F3A5C"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Segment</w:t>
            </w:r>
          </w:p>
        </w:tc>
        <w:tc>
          <w:tcPr>
            <w:tcW w:type="dxa" w:w="3600"/>
            <w:tcBorders>
              <w:top w:val="single" w:color="CCCCCC" w:sz="4"/>
              <w:left w:val="single" w:color="CCCCCC" w:sz="4"/>
              <w:bottom w:val="single" w:color="CCCCCC" w:sz="4"/>
              <w:right w:val="single" w:color="CCCCCC" w:sz="4"/>
            </w:tcBorders>
            <w:shd w:fill="0F3A5C"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Profile</w:t>
            </w:r>
          </w:p>
        </w:tc>
        <w:tc>
          <w:tcPr>
            <w:tcW w:type="dxa" w:w="3560"/>
            <w:tcBorders>
              <w:top w:val="single" w:color="CCCCCC" w:sz="4"/>
              <w:left w:val="single" w:color="CCCCCC" w:sz="4"/>
              <w:bottom w:val="single" w:color="CCCCCC" w:sz="4"/>
              <w:right w:val="single" w:color="CCCCCC" w:sz="4"/>
            </w:tcBorders>
            <w:shd w:fill="0F3A5C"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Top pain points</w:t>
            </w:r>
          </w:p>
        </w:tc>
      </w:tr>
      <w:tr>
        <w:tc>
          <w:tcPr>
            <w:tcW w:type="dxa" w:w="22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Supplement brands</w:t>
            </w:r>
          </w:p>
        </w:tc>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DTC and retail-led supplement businesses (vitamins, protein, functional formulations). Typically AUD $1M–$15M annual revenue. Founder- or marketing-lead-led. Heavy reliance on Meta paid for acquisition.</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Repeated Meta ad rejections and account flags; sounding indistinguishable from competitors; tightening TGA scrutiny on therapeutic claims.</w:t>
            </w:r>
          </w:p>
        </w:tc>
      </w:tr>
      <w:tr>
        <w:tc>
          <w:tcPr>
            <w:tcW w:type="dxa" w:w="22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Health food brands</w:t>
            </w:r>
          </w:p>
        </w:tc>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Functional and natural food brands (snacks, beverages, pantry staples) sold via supermarket, independents, and DTC. Brand-building stage, often post Series A or self-funded growth.</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Looking like every other “clean” wellness brand; converting in-store discovery to online community; standing out without overclaiming.</w:t>
            </w:r>
          </w:p>
        </w:tc>
      </w:tr>
      <w:tr>
        <w:tc>
          <w:tcPr>
            <w:tcW w:type="dxa" w:w="22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Telehealth platforms</w:t>
            </w:r>
          </w:p>
        </w:tc>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Direct-to-consumer telehealth services (skincare, hormonal health, mental health, GLP-1 access, sleep). Subscription or recurring-script models. High regulatory exposure.</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Building brand trust under regulator scrutiny; retention and re-engagement content; navigating Meta’s restricted-services policies.</w:t>
            </w:r>
          </w:p>
        </w:tc>
      </w:tr>
    </w:tbl>
    <w:p>
      <w:pPr>
        <w:pStyle w:val="Heading2"/>
        <w:spacing w:after="140" w:before="280"/>
      </w:pPr>
      <w:r>
        <w:rPr>
          <w:rFonts w:ascii="Arial" w:cs="Arial" w:eastAsia="Arial" w:hAnsi="Arial"/>
          <w:b/>
          <w:bCs/>
          <w:color w:val="2C8A8C"/>
          <w:sz w:val="26"/>
          <w:szCs w:val="26"/>
        </w:rPr>
        <w:t xml:space="preserve">3.2 Audience insight</w:t>
      </w:r>
    </w:p>
    <w:p>
      <w:pPr>
        <w:pBdr>
          <w:left w:val="single" w:color="2C8A8C" w:sz="18" w:space="8"/>
        </w:pBdr>
        <w:shd w:fill="F2F6F4" w:val="clear"/>
        <w:spacing w:after="200" w:before="200" w:line="320"/>
        <w:ind w:left="360"/>
      </w:pPr>
      <w:r>
        <w:rPr>
          <w:rFonts w:ascii="Arial" w:cs="Arial" w:eastAsia="Arial" w:hAnsi="Arial"/>
          <w:i/>
          <w:iCs/>
          <w:color w:val="0F3A5C"/>
          <w:sz w:val="24"/>
          <w:szCs w:val="24"/>
        </w:rPr>
        <w:t xml:space="preserve">“Our ROAS is fine. Our brand is the problem. Every wellness brand sounds like us, looks like us, and copies us within a quarter. We need a moat that isn’t a discount.” — composite wellness-brand operator</w:t>
      </w:r>
    </w:p>
    <w:p>
      <w:pPr>
        <w:spacing w:after="120" w:line="300"/>
      </w:pPr>
      <w:r>
        <w:rPr>
          <w:rFonts w:ascii="Arial" w:cs="Arial" w:eastAsia="Arial" w:hAnsi="Arial"/>
          <w:color w:val="2A2A2A"/>
          <w:sz w:val="22"/>
          <w:szCs w:val="22"/>
        </w:rPr>
        <w:t xml:space="preserve">Wellness brand operators are not buying “social media” — they are buying defensible brand equity in a category where trust is the only durable moat. They want a partner who can grow their voice without putting their ad accounts (or their reputations) at risk. This campaign positions Pingo as the only agency that combines wellness-sector fluency with platform-native execution — the social partner brands hire when generic performance agencies start hitting the compliance ceiling.</w:t>
      </w:r>
    </w:p>
    <w:p>
      <w:pPr>
        <w:pStyle w:val="Heading2"/>
        <w:spacing w:after="140" w:before="280"/>
      </w:pPr>
      <w:r>
        <w:rPr>
          <w:rFonts w:ascii="Arial" w:cs="Arial" w:eastAsia="Arial" w:hAnsi="Arial"/>
          <w:b/>
          <w:bCs/>
          <w:color w:val="2C8A8C"/>
          <w:sz w:val="26"/>
          <w:szCs w:val="26"/>
        </w:rPr>
        <w:t xml:space="preserve">3.3 Targeting parameters (Facebook Ads Manager)</w:t>
      </w:r>
    </w:p>
    <w:p>
      <w:pPr>
        <w:pStyle w:val="ListParagraph"/>
        <w:numPr>
          <w:ilvl w:val="0"/>
          <w:numId w:val="2"/>
        </w:numPr>
        <w:spacing w:after="80" w:line="280"/>
      </w:pPr>
      <w:r>
        <w:rPr>
          <w:rFonts w:ascii="Arial" w:cs="Arial" w:eastAsia="Arial" w:hAnsi="Arial"/>
          <w:color w:val="2A2A2A"/>
          <w:sz w:val="22"/>
          <w:szCs w:val="22"/>
        </w:rPr>
        <w:t xml:space="preserve">Geography: Australia-wide, with weighted spend in Sydney, Melbourne, Brisbane; secondary tier in Auckland and Singapore for scale-up brands.</w:t>
      </w:r>
    </w:p>
    <w:p>
      <w:pPr>
        <w:pStyle w:val="ListParagraph"/>
        <w:numPr>
          <w:ilvl w:val="0"/>
          <w:numId w:val="2"/>
        </w:numPr>
        <w:spacing w:after="80" w:line="280"/>
      </w:pPr>
      <w:r>
        <w:rPr>
          <w:rFonts w:ascii="Arial" w:cs="Arial" w:eastAsia="Arial" w:hAnsi="Arial"/>
          <w:color w:val="2A2A2A"/>
          <w:sz w:val="22"/>
          <w:szCs w:val="22"/>
        </w:rPr>
        <w:t xml:space="preserve">Age: 30–55.</w:t>
      </w:r>
    </w:p>
    <w:p>
      <w:pPr>
        <w:pStyle w:val="ListParagraph"/>
        <w:numPr>
          <w:ilvl w:val="0"/>
          <w:numId w:val="2"/>
        </w:numPr>
        <w:spacing w:after="80" w:line="280"/>
      </w:pPr>
      <w:r>
        <w:rPr>
          <w:rFonts w:ascii="Arial" w:cs="Arial" w:eastAsia="Arial" w:hAnsi="Arial"/>
          <w:color w:val="2A2A2A"/>
          <w:sz w:val="22"/>
          <w:szCs w:val="22"/>
        </w:rPr>
        <w:t xml:space="preserve">Detailed targeting interests: Shopify, Klaviyo, Triple Whale, Northbeam, Meta Business Manager, TGA, FDA, Beauty Heaven, Mr Vitamins, Australian Made, Naked Wines, Eucalyptus, Mosh, Kin Fertility, The Iconic, Sephora.</w:t>
      </w:r>
    </w:p>
    <w:p>
      <w:pPr>
        <w:pStyle w:val="ListParagraph"/>
        <w:numPr>
          <w:ilvl w:val="0"/>
          <w:numId w:val="2"/>
        </w:numPr>
        <w:spacing w:after="80" w:line="280"/>
      </w:pPr>
      <w:r>
        <w:rPr>
          <w:rFonts w:ascii="Arial" w:cs="Arial" w:eastAsia="Arial" w:hAnsi="Arial"/>
          <w:color w:val="2A2A2A"/>
          <w:sz w:val="22"/>
          <w:szCs w:val="22"/>
        </w:rPr>
        <w:t xml:space="preserve">Job titles: Founder, Co-founder, CMO, Head of Marketing, Head of Growth, Performance Marketing Manager, Brand Manager, E-commerce Manager.</w:t>
      </w:r>
    </w:p>
    <w:p>
      <w:pPr>
        <w:pStyle w:val="ListParagraph"/>
        <w:numPr>
          <w:ilvl w:val="0"/>
          <w:numId w:val="2"/>
        </w:numPr>
        <w:spacing w:after="80" w:line="280"/>
      </w:pPr>
      <w:r>
        <w:rPr>
          <w:rFonts w:ascii="Arial" w:cs="Arial" w:eastAsia="Arial" w:hAnsi="Arial"/>
          <w:color w:val="2A2A2A"/>
          <w:sz w:val="22"/>
          <w:szCs w:val="22"/>
        </w:rPr>
        <w:t xml:space="preserve">Behaviours: Small to mid-sized business owners; engaged with DTC, e-commerce, and CPG industry pages.</w:t>
      </w:r>
    </w:p>
    <w:p>
      <w:pPr>
        <w:pStyle w:val="ListParagraph"/>
        <w:numPr>
          <w:ilvl w:val="0"/>
          <w:numId w:val="2"/>
        </w:numPr>
        <w:spacing w:after="80" w:line="280"/>
      </w:pPr>
      <w:r>
        <w:rPr>
          <w:rFonts w:ascii="Arial" w:cs="Arial" w:eastAsia="Arial" w:hAnsi="Arial"/>
          <w:color w:val="2A2A2A"/>
          <w:sz w:val="22"/>
          <w:szCs w:val="22"/>
        </w:rPr>
        <w:t xml:space="preserve">Exclusions: Existing Pingo clients, employees of pharmaceutical multinationals, agencies (B2A2B leads dilute lead quality).</w:t>
      </w:r>
    </w:p>
    <w:p>
      <w:pPr>
        <w:pStyle w:val="ListParagraph"/>
        <w:numPr>
          <w:ilvl w:val="0"/>
          <w:numId w:val="2"/>
        </w:numPr>
        <w:spacing w:after="80" w:line="280"/>
      </w:pPr>
      <w:r>
        <w:rPr>
          <w:rFonts w:ascii="Arial" w:cs="Arial" w:eastAsia="Arial" w:hAnsi="Arial"/>
          <w:color w:val="2A2A2A"/>
          <w:sz w:val="22"/>
          <w:szCs w:val="22"/>
        </w:rPr>
        <w:t xml:space="preserve">Lookalikes (Week 2 onward): 1% LAL of past Pingo discovery-call bookers and website opt-ins from brand-side prospects.</w:t>
      </w:r>
    </w:p>
    <w:p>
      <w:pPr>
        <w:pStyle w:val="Heading1"/>
        <w:spacing w:after="200" w:before="360"/>
      </w:pPr>
      <w:r>
        <w:rPr>
          <w:rFonts w:ascii="Arial" w:cs="Arial" w:eastAsia="Arial" w:hAnsi="Arial"/>
          <w:b/>
          <w:bCs/>
          <w:color w:val="0F3A5C"/>
          <w:sz w:val="36"/>
          <w:szCs w:val="36"/>
        </w:rPr>
        <w:t xml:space="preserve">4. Positioning &amp; Key Message</w:t>
      </w:r>
    </w:p>
    <w:p>
      <w:pPr>
        <w:pStyle w:val="Heading3"/>
        <w:spacing w:after="100" w:before="200"/>
      </w:pPr>
      <w:r>
        <w:rPr>
          <w:rFonts w:ascii="Arial" w:cs="Arial" w:eastAsia="Arial" w:hAnsi="Arial"/>
          <w:b/>
          <w:bCs/>
          <w:color w:val="0F3A5C"/>
          <w:sz w:val="22"/>
          <w:szCs w:val="22"/>
        </w:rPr>
        <w:t xml:space="preserve">Campaign promise</w:t>
      </w:r>
    </w:p>
    <w:p>
      <w:pPr>
        <w:pBdr>
          <w:left w:val="single" w:color="2C8A8C" w:sz="18" w:space="8"/>
        </w:pBdr>
        <w:shd w:fill="F2F6F4" w:val="clear"/>
        <w:spacing w:after="200" w:before="200" w:line="320"/>
        <w:ind w:left="360"/>
      </w:pPr>
      <w:r>
        <w:rPr>
          <w:rFonts w:ascii="Arial" w:cs="Arial" w:eastAsia="Arial" w:hAnsi="Arial"/>
          <w:i/>
          <w:iCs/>
          <w:color w:val="0F3A5C"/>
          <w:sz w:val="24"/>
          <w:szCs w:val="24"/>
        </w:rPr>
        <w:t xml:space="preserve">In a category where every brand sounds the same, trust is the only moat. We help wellness brands build it — without crossing the line.</w:t>
      </w:r>
    </w:p>
    <w:p>
      <w:pPr>
        <w:pStyle w:val="Heading3"/>
        <w:spacing w:after="100" w:before="200"/>
      </w:pPr>
      <w:r>
        <w:rPr>
          <w:rFonts w:ascii="Arial" w:cs="Arial" w:eastAsia="Arial" w:hAnsi="Arial"/>
          <w:b/>
          <w:bCs/>
          <w:color w:val="0F3A5C"/>
          <w:sz w:val="22"/>
          <w:szCs w:val="22"/>
        </w:rPr>
        <w:t xml:space="preserve">Lead message</w:t>
      </w:r>
    </w:p>
    <w:p>
      <w:pPr>
        <w:spacing w:after="120" w:line="300"/>
      </w:pPr>
      <w:r>
        <w:rPr>
          <w:rFonts w:ascii="Arial" w:cs="Arial" w:eastAsia="Arial" w:hAnsi="Arial"/>
          <w:color w:val="2A2A2A"/>
          <w:sz w:val="22"/>
          <w:szCs w:val="22"/>
        </w:rPr>
        <w:t xml:space="preserve">You built a brand people can believe in. Pingo helps you say it on social — with content that grows your audience, protects your ad accounts, and keeps the regulators on your side.</w:t>
      </w:r>
    </w:p>
    <w:p>
      <w:pPr>
        <w:pStyle w:val="Heading3"/>
        <w:spacing w:after="100" w:before="200"/>
      </w:pPr>
      <w:r>
        <w:rPr>
          <w:rFonts w:ascii="Arial" w:cs="Arial" w:eastAsia="Arial" w:hAnsi="Arial"/>
          <w:b/>
          <w:bCs/>
          <w:color w:val="0F3A5C"/>
          <w:sz w:val="22"/>
          <w:szCs w:val="22"/>
        </w:rPr>
        <w:t xml:space="preserve">Supporting proof points</w:t>
      </w:r>
    </w:p>
    <w:p>
      <w:pPr>
        <w:pStyle w:val="ListParagraph"/>
        <w:numPr>
          <w:ilvl w:val="0"/>
          <w:numId w:val="2"/>
        </w:numPr>
        <w:spacing w:after="80" w:line="280"/>
      </w:pPr>
      <w:r>
        <w:rPr>
          <w:rFonts w:ascii="Arial" w:cs="Arial" w:eastAsia="Arial" w:hAnsi="Arial"/>
          <w:color w:val="2A2A2A"/>
          <w:sz w:val="22"/>
          <w:szCs w:val="22"/>
        </w:rPr>
        <w:t xml:space="preserve">Sector-exclusive: Pingo only works with health and wellness brands.</w:t>
      </w:r>
    </w:p>
    <w:p>
      <w:pPr>
        <w:pStyle w:val="ListParagraph"/>
        <w:numPr>
          <w:ilvl w:val="0"/>
          <w:numId w:val="2"/>
        </w:numPr>
        <w:spacing w:after="80" w:line="280"/>
      </w:pPr>
      <w:r>
        <w:rPr>
          <w:rFonts w:ascii="Arial" w:cs="Arial" w:eastAsia="Arial" w:hAnsi="Arial"/>
          <w:color w:val="2A2A2A"/>
          <w:sz w:val="22"/>
          <w:szCs w:val="22"/>
        </w:rPr>
        <w:t xml:space="preserve">Wellness-trained content team fluent in TGA, FDA, ASA, and Meta health-policy language.</w:t>
      </w:r>
    </w:p>
    <w:p>
      <w:pPr>
        <w:pStyle w:val="ListParagraph"/>
        <w:numPr>
          <w:ilvl w:val="0"/>
          <w:numId w:val="2"/>
        </w:numPr>
        <w:spacing w:after="80" w:line="280"/>
      </w:pPr>
      <w:r>
        <w:rPr>
          <w:rFonts w:ascii="Arial" w:cs="Arial" w:eastAsia="Arial" w:hAnsi="Arial"/>
          <w:color w:val="2A2A2A"/>
          <w:sz w:val="22"/>
          <w:szCs w:val="22"/>
        </w:rPr>
        <w:t xml:space="preserve">Evidence-informed content frameworks — never pseudoscience, never overclaiming.</w:t>
      </w:r>
    </w:p>
    <w:p>
      <w:pPr>
        <w:pStyle w:val="ListParagraph"/>
        <w:numPr>
          <w:ilvl w:val="0"/>
          <w:numId w:val="2"/>
        </w:numPr>
        <w:spacing w:after="80" w:line="280"/>
      </w:pPr>
      <w:r>
        <w:rPr>
          <w:rFonts w:ascii="Arial" w:cs="Arial" w:eastAsia="Arial" w:hAnsi="Arial"/>
          <w:color w:val="2A2A2A"/>
          <w:sz w:val="22"/>
          <w:szCs w:val="22"/>
        </w:rPr>
        <w:t xml:space="preserve">Done-for-you publishing across Instagram, Facebook, TikTok, LinkedIn — with a single brand voice.</w:t>
      </w:r>
    </w:p>
    <w:p>
      <w:pPr>
        <w:pStyle w:val="Heading1"/>
        <w:spacing w:after="200" w:before="360"/>
      </w:pPr>
      <w:r>
        <w:rPr>
          <w:rFonts w:ascii="Arial" w:cs="Arial" w:eastAsia="Arial" w:hAnsi="Arial"/>
          <w:b/>
          <w:bCs/>
          <w:color w:val="0F3A5C"/>
          <w:sz w:val="36"/>
          <w:szCs w:val="36"/>
        </w:rPr>
        <w:t xml:space="preserve">5. Offer &amp; Conversion Path</w:t>
      </w:r>
    </w:p>
    <w:p>
      <w:pPr>
        <w:pStyle w:val="Heading2"/>
        <w:spacing w:after="140" w:before="280"/>
      </w:pPr>
      <w:r>
        <w:rPr>
          <w:rFonts w:ascii="Arial" w:cs="Arial" w:eastAsia="Arial" w:hAnsi="Arial"/>
          <w:b/>
          <w:bCs/>
          <w:color w:val="2C8A8C"/>
          <w:sz w:val="26"/>
          <w:szCs w:val="26"/>
        </w:rPr>
        <w:t xml:space="preserve">5.1 The offer</w:t>
      </w:r>
    </w:p>
    <w:p>
      <w:pPr>
        <w:spacing w:after="120" w:line="300"/>
      </w:pPr>
      <w:r>
        <w:rPr>
          <w:rFonts w:ascii="Arial" w:cs="Arial" w:eastAsia="Arial" w:hAnsi="Arial"/>
          <w:color w:val="2A2A2A"/>
          <w:sz w:val="22"/>
          <w:szCs w:val="22"/>
        </w:rPr>
        <w:t xml:space="preserve">A free 45-minute Wellness Brand Growth Audit: a structured working session with a Pingo strategist that delivers three written take-aways, whether or not the brand becomes a client:</w:t>
      </w:r>
    </w:p>
    <w:p>
      <w:pPr>
        <w:pStyle w:val="ListParagraph"/>
        <w:numPr>
          <w:ilvl w:val="0"/>
          <w:numId w:val="3"/>
        </w:numPr>
        <w:spacing w:after="80" w:line="280"/>
      </w:pPr>
      <w:r>
        <w:rPr>
          <w:rFonts w:ascii="Arial" w:cs="Arial" w:eastAsia="Arial" w:hAnsi="Arial"/>
          <w:color w:val="2A2A2A"/>
          <w:sz w:val="22"/>
          <w:szCs w:val="22"/>
        </w:rPr>
        <w:t xml:space="preserve">A 3-page audit of their current social presence benchmarked against three category leaders.</w:t>
      </w:r>
    </w:p>
    <w:p>
      <w:pPr>
        <w:pStyle w:val="ListParagraph"/>
        <w:numPr>
          <w:ilvl w:val="0"/>
          <w:numId w:val="3"/>
        </w:numPr>
        <w:spacing w:after="80" w:line="280"/>
      </w:pPr>
      <w:r>
        <w:rPr>
          <w:rFonts w:ascii="Arial" w:cs="Arial" w:eastAsia="Arial" w:hAnsi="Arial"/>
          <w:color w:val="2A2A2A"/>
          <w:sz w:val="22"/>
          <w:szCs w:val="22"/>
        </w:rPr>
        <w:t xml:space="preserve">A 90-day Content Opportunity Map highlighting three growth angles their brand can credibly own.</w:t>
      </w:r>
    </w:p>
    <w:p>
      <w:pPr>
        <w:pStyle w:val="ListParagraph"/>
        <w:numPr>
          <w:ilvl w:val="0"/>
          <w:numId w:val="3"/>
        </w:numPr>
        <w:spacing w:after="80" w:line="280"/>
      </w:pPr>
      <w:r>
        <w:rPr>
          <w:rFonts w:ascii="Arial" w:cs="Arial" w:eastAsia="Arial" w:hAnsi="Arial"/>
          <w:color w:val="2A2A2A"/>
          <w:sz w:val="22"/>
          <w:szCs w:val="22"/>
        </w:rPr>
        <w:t xml:space="preserve">A compliance review of the last 30 days of paid and organic content, with flagged risk areas and rewrite suggestions.</w:t>
      </w:r>
    </w:p>
    <w:p>
      <w:pPr>
        <w:spacing w:after="120" w:line="300"/>
      </w:pPr>
      <w:r>
        <w:rPr>
          <w:rFonts w:ascii="Arial" w:cs="Arial" w:eastAsia="Arial" w:hAnsi="Arial"/>
          <w:color w:val="2A2A2A"/>
          <w:sz w:val="22"/>
          <w:szCs w:val="22"/>
        </w:rPr>
        <w:t xml:space="preserve">This is positioned as a value-first session, not a sales pitch. The deliverables stand on their own and are useful to the brand even if they never speak to Pingo again.</w:t>
      </w:r>
    </w:p>
    <w:p>
      <w:pPr>
        <w:pStyle w:val="Heading2"/>
        <w:spacing w:after="140" w:before="280"/>
      </w:pPr>
      <w:r>
        <w:rPr>
          <w:rFonts w:ascii="Arial" w:cs="Arial" w:eastAsia="Arial" w:hAnsi="Arial"/>
          <w:b/>
          <w:bCs/>
          <w:color w:val="2C8A8C"/>
          <w:sz w:val="26"/>
          <w:szCs w:val="26"/>
        </w:rPr>
        <w:t xml:space="preserve">5.2 Conversion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880"/>
        <w:gridCol w:w="2680"/>
      </w:tblGrid>
      <w:tr>
        <w:tc>
          <w:tcPr>
            <w:tcW w:type="dxa" w:w="1400"/>
            <w:tcBorders>
              <w:top w:val="single" w:color="CCCCCC" w:sz="4"/>
              <w:left w:val="single" w:color="CCCCCC" w:sz="4"/>
              <w:bottom w:val="single" w:color="CCCCCC" w:sz="4"/>
              <w:right w:val="single" w:color="CCCCCC" w:sz="4"/>
            </w:tcBorders>
            <w:shd w:fill="0F3A5C"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Step</w:t>
            </w:r>
          </w:p>
        </w:tc>
        <w:tc>
          <w:tcPr>
            <w:tcW w:type="dxa" w:w="2400"/>
            <w:tcBorders>
              <w:top w:val="single" w:color="CCCCCC" w:sz="4"/>
              <w:left w:val="single" w:color="CCCCCC" w:sz="4"/>
              <w:bottom w:val="single" w:color="CCCCCC" w:sz="4"/>
              <w:right w:val="single" w:color="CCCCCC" w:sz="4"/>
            </w:tcBorders>
            <w:shd w:fill="0F3A5C"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Touchpoint</w:t>
            </w:r>
          </w:p>
        </w:tc>
        <w:tc>
          <w:tcPr>
            <w:tcW w:type="dxa" w:w="2880"/>
            <w:tcBorders>
              <w:top w:val="single" w:color="CCCCCC" w:sz="4"/>
              <w:left w:val="single" w:color="CCCCCC" w:sz="4"/>
              <w:bottom w:val="single" w:color="CCCCCC" w:sz="4"/>
              <w:right w:val="single" w:color="CCCCCC" w:sz="4"/>
            </w:tcBorders>
            <w:shd w:fill="0F3A5C"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Action</w:t>
            </w:r>
          </w:p>
        </w:tc>
        <w:tc>
          <w:tcPr>
            <w:tcW w:type="dxa" w:w="2680"/>
            <w:tcBorders>
              <w:top w:val="single" w:color="CCCCCC" w:sz="4"/>
              <w:left w:val="single" w:color="CCCCCC" w:sz="4"/>
              <w:bottom w:val="single" w:color="CCCCCC" w:sz="4"/>
              <w:right w:val="single" w:color="CCCCCC" w:sz="4"/>
            </w:tcBorders>
            <w:shd w:fill="0F3A5C"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Tracking</w:t>
            </w:r>
          </w:p>
        </w:tc>
      </w:tr>
      <w:tr>
        <w:tc>
          <w:tcPr>
            <w:tcW w:type="dxa" w:w="14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1</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Facebook Feed / Reels ad</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Brand operator sees ad, clicks CTA</w:t>
            </w:r>
          </w:p>
        </w:tc>
        <w:tc>
          <w:tcPr>
            <w:tcW w:type="dxa" w:w="2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CTR, CPM, ad-set frequency</w:t>
            </w:r>
          </w:p>
        </w:tc>
      </w:tr>
      <w:tr>
        <w:tc>
          <w:tcPr>
            <w:tcW w:type="dxa" w:w="14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2</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Facebook Lead Form (in-app)</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Submits brand details + audit request</w:t>
            </w:r>
          </w:p>
        </w:tc>
        <w:tc>
          <w:tcPr>
            <w:tcW w:type="dxa" w:w="2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Lead volume, CPL, completion rate</w:t>
            </w:r>
          </w:p>
        </w:tc>
      </w:tr>
      <w:tr>
        <w:tc>
          <w:tcPr>
            <w:tcW w:type="dxa" w:w="14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3</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Automated email + SMS within 5 min</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Receives Calendly link + pre-call audit form</w:t>
            </w:r>
          </w:p>
        </w:tc>
        <w:tc>
          <w:tcPr>
            <w:tcW w:type="dxa" w:w="2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Open rate, click-through to calendar</w:t>
            </w:r>
          </w:p>
        </w:tc>
      </w:tr>
      <w:tr>
        <w:tc>
          <w:tcPr>
            <w:tcW w:type="dxa" w:w="14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4</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Calendly booking</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Selects 45-min slot, completes pre-call form</w:t>
            </w:r>
          </w:p>
        </w:tc>
        <w:tc>
          <w:tcPr>
            <w:tcW w:type="dxa" w:w="2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Booking rate, lead-to-call %</w:t>
            </w:r>
          </w:p>
        </w:tc>
      </w:tr>
      <w:tr>
        <w:tc>
          <w:tcPr>
            <w:tcW w:type="dxa" w:w="14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5</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Growth Audit call (Zoom)</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Pingo strategist walks through the three deliverables</w:t>
            </w:r>
          </w:p>
        </w:tc>
        <w:tc>
          <w:tcPr>
            <w:tcW w:type="dxa" w:w="2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Show-up rate, qualified-lead %</w:t>
            </w:r>
          </w:p>
        </w:tc>
      </w:tr>
      <w:tr>
        <w:tc>
          <w:tcPr>
            <w:tcW w:type="dxa" w:w="14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6</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Follow-up email + scoped proposal (if fit)</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Receives tailored 3-month proposal within 72h</w:t>
            </w:r>
          </w:p>
        </w:tc>
        <w:tc>
          <w:tcPr>
            <w:tcW w:type="dxa" w:w="2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Proposal-sent rate, close rate, AOV</w:t>
            </w:r>
          </w:p>
        </w:tc>
      </w:tr>
    </w:tbl>
    <w:p>
      <w:pPr>
        <w:pStyle w:val="Heading1"/>
        <w:spacing w:after="200" w:before="360"/>
      </w:pPr>
      <w:r>
        <w:rPr>
          <w:rFonts w:ascii="Arial" w:cs="Arial" w:eastAsia="Arial" w:hAnsi="Arial"/>
          <w:b/>
          <w:bCs/>
          <w:color w:val="0F3A5C"/>
          <w:sz w:val="36"/>
          <w:szCs w:val="36"/>
        </w:rPr>
        <w:t xml:space="preserve">6. Content &amp; Creative Plan</w:t>
      </w:r>
    </w:p>
    <w:p>
      <w:pPr>
        <w:pStyle w:val="Heading2"/>
        <w:spacing w:after="140" w:before="280"/>
      </w:pPr>
      <w:r>
        <w:rPr>
          <w:rFonts w:ascii="Arial" w:cs="Arial" w:eastAsia="Arial" w:hAnsi="Arial"/>
          <w:b/>
          <w:bCs/>
          <w:color w:val="2C8A8C"/>
          <w:sz w:val="26"/>
          <w:szCs w:val="26"/>
        </w:rPr>
        <w:t xml:space="preserve">6.1 Messaging pillars</w:t>
      </w:r>
    </w:p>
    <w:p>
      <w:pPr>
        <w:pStyle w:val="ListParagraph"/>
        <w:numPr>
          <w:ilvl w:val="0"/>
          <w:numId w:val="4"/>
        </w:numPr>
        <w:spacing w:after="80" w:line="280"/>
      </w:pPr>
      <w:r>
        <w:rPr>
          <w:rFonts w:ascii="Arial" w:cs="Arial" w:eastAsia="Arial" w:hAnsi="Arial"/>
          <w:color w:val="2A2A2A"/>
          <w:sz w:val="22"/>
          <w:szCs w:val="22"/>
        </w:rPr>
        <w:t xml:space="preserve">Trust is the moat — in a copy-paste category, credibility is the only durable differentiator.</w:t>
      </w:r>
    </w:p>
    <w:p>
      <w:pPr>
        <w:pStyle w:val="ListParagraph"/>
        <w:numPr>
          <w:ilvl w:val="0"/>
          <w:numId w:val="4"/>
        </w:numPr>
        <w:spacing w:after="80" w:line="280"/>
      </w:pPr>
      <w:r>
        <w:rPr>
          <w:rFonts w:ascii="Arial" w:cs="Arial" w:eastAsia="Arial" w:hAnsi="Arial"/>
          <w:color w:val="2A2A2A"/>
          <w:sz w:val="22"/>
          <w:szCs w:val="22"/>
        </w:rPr>
        <w:t xml:space="preserve">Compliance is leverage, not a tax — brands that stay on-side scale further than brands that don’t.</w:t>
      </w:r>
    </w:p>
    <w:p>
      <w:pPr>
        <w:pStyle w:val="ListParagraph"/>
        <w:numPr>
          <w:ilvl w:val="0"/>
          <w:numId w:val="4"/>
        </w:numPr>
        <w:spacing w:after="80" w:line="280"/>
      </w:pPr>
      <w:r>
        <w:rPr>
          <w:rFonts w:ascii="Arial" w:cs="Arial" w:eastAsia="Arial" w:hAnsi="Arial"/>
          <w:color w:val="2A2A2A"/>
          <w:sz w:val="22"/>
          <w:szCs w:val="22"/>
        </w:rPr>
        <w:t xml:space="preserve">Brand voice beats brand volume — one consistent voice outperforms ten loud ones.</w:t>
      </w:r>
    </w:p>
    <w:p>
      <w:pPr>
        <w:pStyle w:val="ListParagraph"/>
        <w:numPr>
          <w:ilvl w:val="0"/>
          <w:numId w:val="4"/>
        </w:numPr>
        <w:spacing w:after="80" w:line="280"/>
      </w:pPr>
      <w:r>
        <w:rPr>
          <w:rFonts w:ascii="Arial" w:cs="Arial" w:eastAsia="Arial" w:hAnsi="Arial"/>
          <w:color w:val="2A2A2A"/>
          <w:sz w:val="22"/>
          <w:szCs w:val="22"/>
        </w:rPr>
        <w:t xml:space="preserve">Sector fluency wins — a wellness-trained partner unlocks growth a generalist agency can’t.</w:t>
      </w:r>
    </w:p>
    <w:p>
      <w:pPr>
        <w:pStyle w:val="Heading2"/>
        <w:spacing w:after="140" w:before="280"/>
      </w:pPr>
      <w:r>
        <w:rPr>
          <w:rFonts w:ascii="Arial" w:cs="Arial" w:eastAsia="Arial" w:hAnsi="Arial"/>
          <w:b/>
          <w:bCs/>
          <w:color w:val="2C8A8C"/>
          <w:sz w:val="26"/>
          <w:szCs w:val="26"/>
        </w:rPr>
        <w:t xml:space="preserve">6.2 Ad creative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600"/>
        <w:gridCol w:w="2860"/>
      </w:tblGrid>
      <w:tr>
        <w:tc>
          <w:tcPr>
            <w:tcW w:type="dxa" w:w="1700"/>
            <w:tcBorders>
              <w:top w:val="single" w:color="CCCCCC" w:sz="4"/>
              <w:left w:val="single" w:color="CCCCCC" w:sz="4"/>
              <w:bottom w:val="single" w:color="CCCCCC" w:sz="4"/>
              <w:right w:val="single" w:color="CCCCCC" w:sz="4"/>
            </w:tcBorders>
            <w:shd w:fill="0F3A5C"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Concept</w:t>
            </w:r>
          </w:p>
        </w:tc>
        <w:tc>
          <w:tcPr>
            <w:tcW w:type="dxa" w:w="2200"/>
            <w:tcBorders>
              <w:top w:val="single" w:color="CCCCCC" w:sz="4"/>
              <w:left w:val="single" w:color="CCCCCC" w:sz="4"/>
              <w:bottom w:val="single" w:color="CCCCCC" w:sz="4"/>
              <w:right w:val="single" w:color="CCCCCC" w:sz="4"/>
            </w:tcBorders>
            <w:shd w:fill="0F3A5C"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Format</w:t>
            </w:r>
          </w:p>
        </w:tc>
        <w:tc>
          <w:tcPr>
            <w:tcW w:type="dxa" w:w="2600"/>
            <w:tcBorders>
              <w:top w:val="single" w:color="CCCCCC" w:sz="4"/>
              <w:left w:val="single" w:color="CCCCCC" w:sz="4"/>
              <w:bottom w:val="single" w:color="CCCCCC" w:sz="4"/>
              <w:right w:val="single" w:color="CCCCCC" w:sz="4"/>
            </w:tcBorders>
            <w:shd w:fill="0F3A5C"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Hook</w:t>
            </w:r>
          </w:p>
        </w:tc>
        <w:tc>
          <w:tcPr>
            <w:tcW w:type="dxa" w:w="2860"/>
            <w:tcBorders>
              <w:top w:val="single" w:color="CCCCCC" w:sz="4"/>
              <w:left w:val="single" w:color="CCCCCC" w:sz="4"/>
              <w:bottom w:val="single" w:color="CCCCCC" w:sz="4"/>
              <w:right w:val="single" w:color="CCCCCC" w:sz="4"/>
            </w:tcBorders>
            <w:shd w:fill="0F3A5C"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Pillar</w:t>
            </w:r>
          </w:p>
        </w:tc>
      </w:tr>
      <w:tr>
        <w:tc>
          <w:tcPr>
            <w:tcW w:type="dxa" w:w="17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A. The Rejected Ad</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Reel (15s)</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"Meta rejected your ad again. Your agency shrugs. We don’t."</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Compliance is leverage</w:t>
            </w:r>
          </w:p>
        </w:tc>
      </w:tr>
      <w:tr>
        <w:tc>
          <w:tcPr>
            <w:tcW w:type="dxa" w:w="17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B. Sea of Sameness</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Static carousel</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"Spot your brand. Now spot your three closest competitors. We can fix that."</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Brand voice beats volume</w:t>
            </w:r>
          </w:p>
        </w:tc>
      </w:tr>
      <w:tr>
        <w:tc>
          <w:tcPr>
            <w:tcW w:type="dxa" w:w="17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C. The Margin Trap</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Reel (20s)</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"You can’t discount your way to a defensible wellness brand."</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Trust is the moat</w:t>
            </w:r>
          </w:p>
        </w:tc>
      </w:tr>
      <w:tr>
        <w:tc>
          <w:tcPr>
            <w:tcW w:type="dxa" w:w="17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D. The Sector-Trained Agency</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Single image</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"Sector-exclusive social. Health and wellness only. That’s the difference."</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Sector fluency wins</w:t>
            </w:r>
          </w:p>
        </w:tc>
      </w:tr>
      <w:tr>
        <w:tc>
          <w:tcPr>
            <w:tcW w:type="dxa" w:w="17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E. The Audit</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Lead-form ad</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"Free 45-min Wellness Brand Growth Audit. Three gaps. One opportunity map. Yours to keep."</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All four</w:t>
            </w:r>
          </w:p>
        </w:tc>
      </w:tr>
    </w:tbl>
    <w:p>
      <w:pPr>
        <w:pStyle w:val="Heading2"/>
        <w:spacing w:after="140" w:before="280"/>
      </w:pPr>
      <w:r>
        <w:rPr>
          <w:rFonts w:ascii="Arial" w:cs="Arial" w:eastAsia="Arial" w:hAnsi="Arial"/>
          <w:b/>
          <w:bCs/>
          <w:color w:val="2C8A8C"/>
          <w:sz w:val="26"/>
          <w:szCs w:val="26"/>
        </w:rPr>
        <w:t xml:space="preserve">6.3 Tone of voice for ad copy</w:t>
      </w:r>
    </w:p>
    <w:p>
      <w:pPr>
        <w:pStyle w:val="ListParagraph"/>
        <w:numPr>
          <w:ilvl w:val="0"/>
          <w:numId w:val="2"/>
        </w:numPr>
        <w:spacing w:after="80" w:line="280"/>
      </w:pPr>
      <w:r>
        <w:rPr>
          <w:rFonts w:ascii="Arial" w:cs="Arial" w:eastAsia="Arial" w:hAnsi="Arial"/>
          <w:color w:val="2A2A2A"/>
          <w:sz w:val="22"/>
          <w:szCs w:val="22"/>
        </w:rPr>
        <w:t xml:space="preserve">Warm — addresses the founder or marketing lead as a peer in the wellness category, not a generic prospect.</w:t>
      </w:r>
    </w:p>
    <w:p>
      <w:pPr>
        <w:pStyle w:val="ListParagraph"/>
        <w:numPr>
          <w:ilvl w:val="0"/>
          <w:numId w:val="2"/>
        </w:numPr>
        <w:spacing w:after="80" w:line="280"/>
      </w:pPr>
      <w:r>
        <w:rPr>
          <w:rFonts w:ascii="Arial" w:cs="Arial" w:eastAsia="Arial" w:hAnsi="Arial"/>
          <w:color w:val="2A2A2A"/>
          <w:sz w:val="22"/>
          <w:szCs w:val="22"/>
        </w:rPr>
        <w:t xml:space="preserve">Credible — references specific operator pain points (Meta restrictions, ROAS plateaus, regulator letters) rather than vague “grow your brand” claims.</w:t>
      </w:r>
    </w:p>
    <w:p>
      <w:pPr>
        <w:pStyle w:val="ListParagraph"/>
        <w:numPr>
          <w:ilvl w:val="0"/>
          <w:numId w:val="2"/>
        </w:numPr>
        <w:spacing w:after="80" w:line="280"/>
      </w:pPr>
      <w:r>
        <w:rPr>
          <w:rFonts w:ascii="Arial" w:cs="Arial" w:eastAsia="Arial" w:hAnsi="Arial"/>
          <w:color w:val="2A2A2A"/>
          <w:sz w:val="22"/>
          <w:szCs w:val="22"/>
        </w:rPr>
        <w:t xml:space="preserve">Empowering — every CTA frames the next step as strategic clarity, not a sales close.</w:t>
      </w:r>
    </w:p>
    <w:p>
      <w:pPr>
        <w:pStyle w:val="ListParagraph"/>
        <w:numPr>
          <w:ilvl w:val="0"/>
          <w:numId w:val="2"/>
        </w:numPr>
        <w:spacing w:after="80" w:line="280"/>
      </w:pPr>
      <w:r>
        <w:rPr>
          <w:rFonts w:ascii="Arial" w:cs="Arial" w:eastAsia="Arial" w:hAnsi="Arial"/>
          <w:color w:val="2A2A2A"/>
          <w:sz w:val="22"/>
          <w:szCs w:val="22"/>
        </w:rPr>
        <w:t xml:space="preserve">No fearmongering, no overclaiming, no urgency manufactured by countdown timers, and no consumer-facing health claims even by allusion.</w:t>
      </w:r>
    </w:p>
    <w:p>
      <w:pPr>
        <w:pStyle w:val="Heading1"/>
        <w:spacing w:after="200" w:before="360"/>
      </w:pPr>
      <w:r>
        <w:rPr>
          <w:rFonts w:ascii="Arial" w:cs="Arial" w:eastAsia="Arial" w:hAnsi="Arial"/>
          <w:b/>
          <w:bCs/>
          <w:color w:val="0F3A5C"/>
          <w:sz w:val="36"/>
          <w:szCs w:val="36"/>
        </w:rPr>
        <w:t xml:space="preserve">7. Compliance Checklist</w:t>
      </w:r>
    </w:p>
    <w:p>
      <w:pPr>
        <w:spacing w:after="120" w:line="300"/>
      </w:pPr>
      <w:r>
        <w:rPr>
          <w:rFonts w:ascii="Arial" w:cs="Arial" w:eastAsia="Arial" w:hAnsi="Arial"/>
          <w:color w:val="2A2A2A"/>
          <w:sz w:val="22"/>
          <w:szCs w:val="22"/>
        </w:rPr>
        <w:t xml:space="preserve">Every asset and every landing page must pass the following review before going live. Wellness brands are an audience that will scrutinise our ads for the same compliance signals we promise to bring to their content.</w:t>
      </w:r>
    </w:p>
    <w:p>
      <w:pPr>
        <w:pStyle w:val="ListParagraph"/>
        <w:numPr>
          <w:ilvl w:val="0"/>
          <w:numId w:val="2"/>
        </w:numPr>
        <w:spacing w:after="80" w:line="280"/>
      </w:pPr>
      <w:r>
        <w:rPr>
          <w:rFonts w:ascii="Arial" w:cs="Arial" w:eastAsia="Arial" w:hAnsi="Arial"/>
          <w:color w:val="2A2A2A"/>
          <w:sz w:val="22"/>
          <w:szCs w:val="22"/>
        </w:rPr>
        <w:t xml:space="preserve">No unqualified health claims (e.g. “will cure”, “guaranteed weight loss”, “clinically proven” without citation) anywhere in ad copy or landing pages.</w:t>
      </w:r>
    </w:p>
    <w:p>
      <w:pPr>
        <w:pStyle w:val="ListParagraph"/>
        <w:numPr>
          <w:ilvl w:val="0"/>
          <w:numId w:val="2"/>
        </w:numPr>
        <w:spacing w:after="80" w:line="280"/>
      </w:pPr>
      <w:r>
        <w:rPr>
          <w:rFonts w:ascii="Arial" w:cs="Arial" w:eastAsia="Arial" w:hAnsi="Arial"/>
          <w:color w:val="2A2A2A"/>
          <w:sz w:val="22"/>
          <w:szCs w:val="22"/>
        </w:rPr>
        <w:t xml:space="preserve">No before/after imagery, weight-loss outcomes, or appearance-based transformations in any creative.</w:t>
      </w:r>
    </w:p>
    <w:p>
      <w:pPr>
        <w:pStyle w:val="ListParagraph"/>
        <w:numPr>
          <w:ilvl w:val="0"/>
          <w:numId w:val="2"/>
        </w:numPr>
        <w:spacing w:after="80" w:line="280"/>
      </w:pPr>
      <w:r>
        <w:rPr>
          <w:rFonts w:ascii="Arial" w:cs="Arial" w:eastAsia="Arial" w:hAnsi="Arial"/>
          <w:color w:val="2A2A2A"/>
          <w:sz w:val="22"/>
          <w:szCs w:val="22"/>
        </w:rPr>
        <w:t xml:space="preserve">Mental health language reviewed for stigma; uses “people experiencing X”, not “sufferers”.</w:t>
      </w:r>
    </w:p>
    <w:p>
      <w:pPr>
        <w:pStyle w:val="ListParagraph"/>
        <w:numPr>
          <w:ilvl w:val="0"/>
          <w:numId w:val="2"/>
        </w:numPr>
        <w:spacing w:after="80" w:line="280"/>
      </w:pPr>
      <w:r>
        <w:rPr>
          <w:rFonts w:ascii="Arial" w:cs="Arial" w:eastAsia="Arial" w:hAnsi="Arial"/>
          <w:color w:val="2A2A2A"/>
          <w:sz w:val="22"/>
          <w:szCs w:val="22"/>
        </w:rPr>
        <w:t xml:space="preserve">Supplement and nutrition references in case studies avoid prescriptive claims and defer to TGA-aligned phrasing; for any US-facing example, FDA “structure/function” language.</w:t>
      </w:r>
    </w:p>
    <w:p>
      <w:pPr>
        <w:pStyle w:val="ListParagraph"/>
        <w:numPr>
          <w:ilvl w:val="0"/>
          <w:numId w:val="2"/>
        </w:numPr>
        <w:spacing w:after="80" w:line="280"/>
      </w:pPr>
      <w:r>
        <w:rPr>
          <w:rFonts w:ascii="Arial" w:cs="Arial" w:eastAsia="Arial" w:hAnsi="Arial"/>
          <w:color w:val="2A2A2A"/>
          <w:sz w:val="22"/>
          <w:szCs w:val="22"/>
        </w:rPr>
        <w:t xml:space="preserve">All testimonials (if used) are from Pingo’s own client base, with written consent on file, and avoid health-outcome promises (focus on agency-side outcomes such as content cadence, audit completion, brand consistency).</w:t>
      </w:r>
    </w:p>
    <w:p>
      <w:pPr>
        <w:pStyle w:val="ListParagraph"/>
        <w:numPr>
          <w:ilvl w:val="0"/>
          <w:numId w:val="2"/>
        </w:numPr>
        <w:spacing w:after="80" w:line="280"/>
      </w:pPr>
      <w:r>
        <w:rPr>
          <w:rFonts w:ascii="Arial" w:cs="Arial" w:eastAsia="Arial" w:hAnsi="Arial"/>
          <w:color w:val="2A2A2A"/>
          <w:sz w:val="22"/>
          <w:szCs w:val="22"/>
        </w:rPr>
        <w:t xml:space="preserve">Lead form privacy notice complies with the Australian Privacy Principles; opt-in for marketing communications is unbundled from the audit request.</w:t>
      </w:r>
    </w:p>
    <w:p>
      <w:pPr>
        <w:pStyle w:val="ListParagraph"/>
        <w:numPr>
          <w:ilvl w:val="0"/>
          <w:numId w:val="2"/>
        </w:numPr>
        <w:spacing w:after="80" w:line="280"/>
      </w:pPr>
      <w:r>
        <w:rPr>
          <w:rFonts w:ascii="Arial" w:cs="Arial" w:eastAsia="Arial" w:hAnsi="Arial"/>
          <w:color w:val="2A2A2A"/>
          <w:sz w:val="22"/>
          <w:szCs w:val="22"/>
        </w:rPr>
        <w:t xml:space="preserve">Meta-restricted-services policies reviewed for telehealth references; no implied access claims to Schedule 4 or restricted medications.</w:t>
      </w:r>
    </w:p>
    <w:p>
      <w:pPr>
        <w:pStyle w:val="ListParagraph"/>
        <w:numPr>
          <w:ilvl w:val="0"/>
          <w:numId w:val="2"/>
        </w:numPr>
        <w:spacing w:after="80" w:line="280"/>
      </w:pPr>
      <w:r>
        <w:rPr>
          <w:rFonts w:ascii="Arial" w:cs="Arial" w:eastAsia="Arial" w:hAnsi="Arial"/>
          <w:color w:val="2A2A2A"/>
          <w:sz w:val="22"/>
          <w:szCs w:val="22"/>
        </w:rPr>
        <w:t xml:space="preserve">All landing copy reviewed against Pingo brand voice and the wellness-content compliance standard in CLAUDE.md.</w:t>
      </w:r>
    </w:p>
    <w:p>
      <w:pPr>
        <w:pStyle w:val="Heading1"/>
        <w:spacing w:after="200" w:before="360"/>
      </w:pPr>
      <w:r>
        <w:rPr>
          <w:rFonts w:ascii="Arial" w:cs="Arial" w:eastAsia="Arial" w:hAnsi="Arial"/>
          <w:b/>
          <w:bCs/>
          <w:color w:val="0F3A5C"/>
          <w:sz w:val="36"/>
          <w:szCs w:val="36"/>
        </w:rPr>
        <w:t xml:space="preserve">8. KPIs &amp; Success Metrics</w:t>
      </w:r>
    </w:p>
    <w:p>
      <w:pPr>
        <w:spacing w:after="120" w:line="300"/>
      </w:pPr>
      <w:r>
        <w:rPr>
          <w:rFonts w:ascii="Arial" w:cs="Arial" w:eastAsia="Arial" w:hAnsi="Arial"/>
          <w:color w:val="2A2A2A"/>
          <w:sz w:val="22"/>
          <w:szCs w:val="22"/>
        </w:rPr>
        <w:t xml:space="preserve">KPIs reflect a smaller, higher-value audience: brand decision-makers convert at higher cost-per-lead than practitioners but represent materially larger contract values, so cost-per-booked-call tolerance is set higher accordingly.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c>
          <w:tcPr>
            <w:tcW w:type="dxa" w:w="3000"/>
            <w:tcBorders>
              <w:top w:val="single" w:color="CCCCCC" w:sz="4"/>
              <w:left w:val="single" w:color="CCCCCC" w:sz="4"/>
              <w:bottom w:val="single" w:color="CCCCCC" w:sz="4"/>
              <w:right w:val="single" w:color="CCCCCC" w:sz="4"/>
            </w:tcBorders>
            <w:shd w:fill="0F3A5C"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Metric</w:t>
            </w:r>
          </w:p>
        </w:tc>
        <w:tc>
          <w:tcPr>
            <w:tcW w:type="dxa" w:w="2200"/>
            <w:tcBorders>
              <w:top w:val="single" w:color="CCCCCC" w:sz="4"/>
              <w:left w:val="single" w:color="CCCCCC" w:sz="4"/>
              <w:bottom w:val="single" w:color="CCCCCC" w:sz="4"/>
              <w:right w:val="single" w:color="CCCCCC" w:sz="4"/>
            </w:tcBorders>
            <w:shd w:fill="0F3A5C"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Target</w:t>
            </w:r>
          </w:p>
        </w:tc>
        <w:tc>
          <w:tcPr>
            <w:tcW w:type="dxa" w:w="2200"/>
            <w:tcBorders>
              <w:top w:val="single" w:color="CCCCCC" w:sz="4"/>
              <w:left w:val="single" w:color="CCCCCC" w:sz="4"/>
              <w:bottom w:val="single" w:color="CCCCCC" w:sz="4"/>
              <w:right w:val="single" w:color="CCCCCC" w:sz="4"/>
            </w:tcBorders>
            <w:shd w:fill="0F3A5C"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Stretch</w:t>
            </w:r>
          </w:p>
        </w:tc>
        <w:tc>
          <w:tcPr>
            <w:tcW w:type="dxa" w:w="1960"/>
            <w:tcBorders>
              <w:top w:val="single" w:color="CCCCCC" w:sz="4"/>
              <w:left w:val="single" w:color="CCCCCC" w:sz="4"/>
              <w:bottom w:val="single" w:color="CCCCCC" w:sz="4"/>
              <w:right w:val="single" w:color="CCCCCC" w:sz="4"/>
            </w:tcBorders>
            <w:shd w:fill="0F3A5C"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Floor</w:t>
            </w:r>
          </w:p>
        </w:tc>
      </w:tr>
      <w:tr>
        <w:tc>
          <w:tcPr>
            <w:tcW w:type="dxa" w:w="30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Reach (unique brand decision-makers)</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150,000</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220,000</w:t>
            </w:r>
          </w:p>
        </w:tc>
        <w:tc>
          <w:tcPr>
            <w:tcW w:type="dxa" w:w="1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100,000</w:t>
            </w:r>
          </w:p>
        </w:tc>
      </w:tr>
      <w:tr>
        <w:tc>
          <w:tcPr>
            <w:tcW w:type="dxa" w:w="30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Click-through rate (link)</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1.4%</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2.0%</w:t>
            </w:r>
          </w:p>
        </w:tc>
        <w:tc>
          <w:tcPr>
            <w:tcW w:type="dxa" w:w="1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0.9%</w:t>
            </w:r>
          </w:p>
        </w:tc>
      </w:tr>
      <w:tr>
        <w:tc>
          <w:tcPr>
            <w:tcW w:type="dxa" w:w="30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Lead form submissions</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160</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230</w:t>
            </w:r>
          </w:p>
        </w:tc>
        <w:tc>
          <w:tcPr>
            <w:tcW w:type="dxa" w:w="1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110</w:t>
            </w:r>
          </w:p>
        </w:tc>
      </w:tr>
      <w:tr>
        <w:tc>
          <w:tcPr>
            <w:tcW w:type="dxa" w:w="30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Cost per lead</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AUD $48</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AUD $36</w:t>
            </w:r>
          </w:p>
        </w:tc>
        <w:tc>
          <w:tcPr>
            <w:tcW w:type="dxa" w:w="1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AUD $62</w:t>
            </w:r>
          </w:p>
        </w:tc>
      </w:tr>
      <w:tr>
        <w:tc>
          <w:tcPr>
            <w:tcW w:type="dxa" w:w="30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Lead-to-booked-call conversion</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30%</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38%</w:t>
            </w:r>
          </w:p>
        </w:tc>
        <w:tc>
          <w:tcPr>
            <w:tcW w:type="dxa" w:w="1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22%</w:t>
            </w:r>
          </w:p>
        </w:tc>
      </w:tr>
      <w:tr>
        <w:tc>
          <w:tcPr>
            <w:tcW w:type="dxa" w:w="30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Discovery calls booked</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45</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70</w:t>
            </w:r>
          </w:p>
        </w:tc>
        <w:tc>
          <w:tcPr>
            <w:tcW w:type="dxa" w:w="1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28</w:t>
            </w:r>
          </w:p>
        </w:tc>
      </w:tr>
      <w:tr>
        <w:tc>
          <w:tcPr>
            <w:tcW w:type="dxa" w:w="30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Show-up rate</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78%</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88%</w:t>
            </w:r>
          </w:p>
        </w:tc>
        <w:tc>
          <w:tcPr>
            <w:tcW w:type="dxa" w:w="1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65%</w:t>
            </w:r>
          </w:p>
        </w:tc>
      </w:tr>
      <w:tr>
        <w:tc>
          <w:tcPr>
            <w:tcW w:type="dxa" w:w="30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Cost per booked call</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AUD $145</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AUD $100</w:t>
            </w:r>
          </w:p>
        </w:tc>
        <w:tc>
          <w:tcPr>
            <w:tcW w:type="dxa" w:w="1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AUD $200</w:t>
            </w:r>
          </w:p>
        </w:tc>
      </w:tr>
      <w:tr>
        <w:tc>
          <w:tcPr>
            <w:tcW w:type="dxa" w:w="30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Qualified-lead rate (post-call)</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55%</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70%</w:t>
            </w:r>
          </w:p>
        </w:tc>
        <w:tc>
          <w:tcPr>
            <w:tcW w:type="dxa" w:w="1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40%</w:t>
            </w:r>
          </w:p>
        </w:tc>
      </w:tr>
      <w:tr>
        <w:tc>
          <w:tcPr>
            <w:tcW w:type="dxa" w:w="30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Proposals sent</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18</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28</w:t>
            </w:r>
          </w:p>
        </w:tc>
        <w:tc>
          <w:tcPr>
            <w:tcW w:type="dxa" w:w="1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10</w:t>
            </w:r>
          </w:p>
        </w:tc>
      </w:tr>
    </w:tbl>
    <w:p>
      <w:pPr>
        <w:pStyle w:val="Heading1"/>
        <w:spacing w:after="200" w:before="360"/>
      </w:pPr>
      <w:r>
        <w:rPr>
          <w:rFonts w:ascii="Arial" w:cs="Arial" w:eastAsia="Arial" w:hAnsi="Arial"/>
          <w:b/>
          <w:bCs/>
          <w:color w:val="0F3A5C"/>
          <w:sz w:val="36"/>
          <w:szCs w:val="36"/>
        </w:rPr>
        <w:t xml:space="preserve">9. Timeline (4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CCCCCC" w:sz="4"/>
              <w:left w:val="single" w:color="CCCCCC" w:sz="4"/>
              <w:bottom w:val="single" w:color="CCCCCC" w:sz="4"/>
              <w:right w:val="single" w:color="CCCCCC" w:sz="4"/>
            </w:tcBorders>
            <w:shd w:fill="0F3A5C"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Week</w:t>
            </w:r>
          </w:p>
        </w:tc>
        <w:tc>
          <w:tcPr>
            <w:tcW w:type="dxa" w:w="2400"/>
            <w:tcBorders>
              <w:top w:val="single" w:color="CCCCCC" w:sz="4"/>
              <w:left w:val="single" w:color="CCCCCC" w:sz="4"/>
              <w:bottom w:val="single" w:color="CCCCCC" w:sz="4"/>
              <w:right w:val="single" w:color="CCCCCC" w:sz="4"/>
            </w:tcBorders>
            <w:shd w:fill="0F3A5C"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Phase</w:t>
            </w:r>
          </w:p>
        </w:tc>
        <w:tc>
          <w:tcPr>
            <w:tcW w:type="dxa" w:w="5560"/>
            <w:tcBorders>
              <w:top w:val="single" w:color="CCCCCC" w:sz="4"/>
              <w:left w:val="single" w:color="CCCCCC" w:sz="4"/>
              <w:bottom w:val="single" w:color="CCCCCC" w:sz="4"/>
              <w:right w:val="single" w:color="CCCCCC" w:sz="4"/>
            </w:tcBorders>
            <w:shd w:fill="0F3A5C"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Activities</w:t>
            </w:r>
          </w:p>
        </w:tc>
      </w:tr>
      <w:tr>
        <w:tc>
          <w:tcPr>
            <w:tcW w:type="dxa" w:w="14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Pre-launch</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Setup (4 May – 10 May)</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Final creative production; pixel + Conversions API check; Lead Form + Calendly + email automation live; legal/compliance sign-off; team brief.</w:t>
            </w:r>
          </w:p>
        </w:tc>
      </w:tr>
      <w:tr>
        <w:tc>
          <w:tcPr>
            <w:tcW w:type="dxa" w:w="14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Week 1</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Test &amp; learn</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Launch concepts A–E in parallel ad sets at 60% planned daily spend. Daily monitoring of CTR, CPL, frequency. No audience expansion.</w:t>
            </w:r>
          </w:p>
        </w:tc>
      </w:tr>
      <w:tr>
        <w:tc>
          <w:tcPr>
            <w:tcW w:type="dxa" w:w="14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Week 2</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Optimise</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Pause bottom-quartile creative; scale top performers to 100% spend; introduce 1% LAL of past discovery-call bookers; first weekly performance review.</w:t>
            </w:r>
          </w:p>
        </w:tc>
      </w:tr>
      <w:tr>
        <w:tc>
          <w:tcPr>
            <w:tcW w:type="dxa" w:w="14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Week 3</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Scale</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Add retargeting ad set for ad-engaged-non-converters; refresh top creative variants; mid-campaign report to internal stakeholders.</w:t>
            </w:r>
          </w:p>
        </w:tc>
      </w:tr>
      <w:tr>
        <w:tc>
          <w:tcPr>
            <w:tcW w:type="dxa" w:w="14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Week 4</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Land</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Final push: “last week to claim” copy variant (no false scarcity); ensure follow-ups on all unbooked leads; close with proposal pipeline review.</w:t>
            </w:r>
          </w:p>
        </w:tc>
      </w:tr>
      <w:tr>
        <w:tc>
          <w:tcPr>
            <w:tcW w:type="dxa" w:w="14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Post</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Wrap (8 Jun – 14 Jun)</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Performance report against KPIs; learnings memo; case study draft; carry-forward retargeting plan for July nurture.</w:t>
            </w:r>
          </w:p>
        </w:tc>
      </w:tr>
    </w:tbl>
    <w:p>
      <w:pPr>
        <w:pStyle w:val="Heading1"/>
        <w:spacing w:after="200" w:before="360"/>
      </w:pPr>
      <w:r>
        <w:rPr>
          <w:rFonts w:ascii="Arial" w:cs="Arial" w:eastAsia="Arial" w:hAnsi="Arial"/>
          <w:b/>
          <w:bCs/>
          <w:color w:val="0F3A5C"/>
          <w:sz w:val="36"/>
          <w:szCs w:val="36"/>
        </w:rPr>
        <w:t xml:space="preserve">10. Budget Framework</w:t>
      </w:r>
    </w:p>
    <w:p>
      <w:pPr>
        <w:spacing w:after="120" w:line="300"/>
      </w:pPr>
      <w:r>
        <w:rPr>
          <w:rFonts w:ascii="Arial" w:cs="Arial" w:eastAsia="Arial" w:hAnsi="Arial"/>
          <w:color w:val="2A2A2A"/>
          <w:sz w:val="22"/>
          <w:szCs w:val="22"/>
        </w:rPr>
        <w:t xml:space="preserve">Indicative four-week budget. The slightly heavier production and strategist line reflects the audit deliverable, which is built before each call. Final amounts subject to Agency Lead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400"/>
        <w:gridCol w:w="2560"/>
      </w:tblGrid>
      <w:tr>
        <w:tc>
          <w:tcPr>
            <w:tcW w:type="dxa" w:w="4400"/>
            <w:tcBorders>
              <w:top w:val="single" w:color="CCCCCC" w:sz="4"/>
              <w:left w:val="single" w:color="CCCCCC" w:sz="4"/>
              <w:bottom w:val="single" w:color="CCCCCC" w:sz="4"/>
              <w:right w:val="single" w:color="CCCCCC" w:sz="4"/>
            </w:tcBorders>
            <w:shd w:fill="0F3A5C"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Line item</w:t>
            </w:r>
          </w:p>
        </w:tc>
        <w:tc>
          <w:tcPr>
            <w:tcW w:type="dxa" w:w="2400"/>
            <w:tcBorders>
              <w:top w:val="single" w:color="CCCCCC" w:sz="4"/>
              <w:left w:val="single" w:color="CCCCCC" w:sz="4"/>
              <w:bottom w:val="single" w:color="CCCCCC" w:sz="4"/>
              <w:right w:val="single" w:color="CCCCCC" w:sz="4"/>
            </w:tcBorders>
            <w:shd w:fill="0F3A5C"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Amount (AUD)</w:t>
            </w:r>
          </w:p>
        </w:tc>
        <w:tc>
          <w:tcPr>
            <w:tcW w:type="dxa" w:w="2560"/>
            <w:tcBorders>
              <w:top w:val="single" w:color="CCCCCC" w:sz="4"/>
              <w:left w:val="single" w:color="CCCCCC" w:sz="4"/>
              <w:bottom w:val="single" w:color="CCCCCC" w:sz="4"/>
              <w:right w:val="single" w:color="CCCCCC" w:sz="4"/>
            </w:tcBorders>
            <w:shd w:fill="0F3A5C"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 of total</w:t>
            </w:r>
          </w:p>
        </w:tc>
      </w:tr>
      <w:tr>
        <w:tc>
          <w:tcPr>
            <w:tcW w:type="dxa" w:w="44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Facebook ad spend</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$6,500</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65%</w:t>
            </w:r>
          </w:p>
        </w:tc>
      </w:tr>
      <w:tr>
        <w:tc>
          <w:tcPr>
            <w:tcW w:type="dxa" w:w="44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Creative production (5 concepts × 2 variants)</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$1,800</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18%</w:t>
            </w:r>
          </w:p>
        </w:tc>
      </w:tr>
      <w:tr>
        <w:tc>
          <w:tcPr>
            <w:tcW w:type="dxa" w:w="44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Landing + automation tooling</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$300</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3%</w:t>
            </w:r>
          </w:p>
        </w:tc>
      </w:tr>
      <w:tr>
        <w:tc>
          <w:tcPr>
            <w:tcW w:type="dxa" w:w="44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Strategist time (audit prep + delivery)</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$1,000</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10%</w:t>
            </w:r>
          </w:p>
        </w:tc>
      </w:tr>
      <w:tr>
        <w:tc>
          <w:tcPr>
            <w:tcW w:type="dxa" w:w="44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Contingency (4%)</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$400</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4%</w:t>
            </w:r>
          </w:p>
        </w:tc>
      </w:tr>
      <w:tr>
        <w:tc>
          <w:tcPr>
            <w:tcW w:type="dxa" w:w="44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Total</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$10,000</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100%</w:t>
            </w:r>
          </w:p>
        </w:tc>
      </w:tr>
    </w:tbl>
    <w:p>
      <w:pPr>
        <w:pStyle w:val="Heading1"/>
        <w:spacing w:after="200" w:before="360"/>
      </w:pPr>
      <w:r>
        <w:rPr>
          <w:rFonts w:ascii="Arial" w:cs="Arial" w:eastAsia="Arial" w:hAnsi="Arial"/>
          <w:b/>
          <w:bCs/>
          <w:color w:val="0F3A5C"/>
          <w:sz w:val="36"/>
          <w:szCs w:val="36"/>
        </w:rP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CCCCCC" w:sz="4"/>
              <w:left w:val="single" w:color="CCCCCC" w:sz="4"/>
              <w:bottom w:val="single" w:color="CCCCCC" w:sz="4"/>
              <w:right w:val="single" w:color="CCCCCC" w:sz="4"/>
            </w:tcBorders>
            <w:shd w:fill="0F3A5C"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Risk</w:t>
            </w:r>
          </w:p>
        </w:tc>
        <w:tc>
          <w:tcPr>
            <w:tcW w:type="dxa" w:w="2800"/>
            <w:tcBorders>
              <w:top w:val="single" w:color="CCCCCC" w:sz="4"/>
              <w:left w:val="single" w:color="CCCCCC" w:sz="4"/>
              <w:bottom w:val="single" w:color="CCCCCC" w:sz="4"/>
              <w:right w:val="single" w:color="CCCCCC" w:sz="4"/>
            </w:tcBorders>
            <w:shd w:fill="0F3A5C"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Likelihood / Impact</w:t>
            </w:r>
          </w:p>
        </w:tc>
        <w:tc>
          <w:tcPr>
            <w:tcW w:type="dxa" w:w="3360"/>
            <w:tcBorders>
              <w:top w:val="single" w:color="CCCCCC" w:sz="4"/>
              <w:left w:val="single" w:color="CCCCCC" w:sz="4"/>
              <w:bottom w:val="single" w:color="CCCCCC" w:sz="4"/>
              <w:right w:val="single" w:color="CCCCCC" w:sz="4"/>
            </w:tcBorders>
            <w:shd w:fill="0F3A5C"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Mitigation</w:t>
            </w:r>
          </w:p>
        </w:tc>
      </w:tr>
      <w:tr>
        <w:tc>
          <w:tcPr>
            <w:tcW w:type="dxa" w:w="32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High CPL early in campaign</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Medium / Medium</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Phased budget release; week-1 only at 60% spend; pause bottom-quartile creative by Day 5.</w:t>
            </w:r>
          </w:p>
        </w:tc>
      </w:tr>
      <w:tr>
        <w:tc>
          <w:tcPr>
            <w:tcW w:type="dxa" w:w="32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Meta ad-account flag on Pingo’s ads (irony risk)</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Medium / High</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All copy pre-reviewed against Meta health-policy checklist; back-up domain ready; second ad account warmed in case of restriction.</w:t>
            </w:r>
          </w:p>
        </w:tc>
      </w:tr>
      <w:tr>
        <w:tc>
          <w:tcPr>
            <w:tcW w:type="dxa" w:w="32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Low show-up rate on audit calls</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Medium / High</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Two reminder messages (24h + 1h); audit pre-deliverable sent before the call so brands feel they’ve already received value.</w:t>
            </w:r>
          </w:p>
        </w:tc>
      </w:tr>
      <w:tr>
        <w:tc>
          <w:tcPr>
            <w:tcW w:type="dxa" w:w="32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Lead-quality drift (agencies, students, consumers)</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Medium / Medium</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Lead form qualifying questions: brand revenue band, role, category; auto-disqualify non-brand leads.</w:t>
            </w:r>
          </w:p>
        </w:tc>
      </w:tr>
      <w:tr>
        <w:tc>
          <w:tcPr>
            <w:tcW w:type="dxa" w:w="32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Strategist time blow-out at scale</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Medium / Medium</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Audit deliverable templated and AI-assisted; cap audit-prep time at 45 min per booked call.</w:t>
            </w:r>
          </w:p>
        </w:tc>
      </w:tr>
      <w:tr>
        <w:tc>
          <w:tcPr>
            <w:tcW w:type="dxa" w:w="32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Brand-voice inconsistency across creative variants</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Low / Medium</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All copy reviewed against Pingo tone-of-voice rubric in CLAUDE.md before publish.</w:t>
            </w:r>
          </w:p>
        </w:tc>
      </w:tr>
    </w:tbl>
    <w:p>
      <w:pPr>
        <w:pStyle w:val="Heading1"/>
        <w:spacing w:after="200" w:before="360"/>
      </w:pPr>
      <w:r>
        <w:rPr>
          <w:rFonts w:ascii="Arial" w:cs="Arial" w:eastAsia="Arial" w:hAnsi="Arial"/>
          <w:b/>
          <w:bCs/>
          <w:color w:val="0F3A5C"/>
          <w:sz w:val="36"/>
          <w:szCs w:val="36"/>
        </w:rPr>
        <w:t xml:space="preserve">12. Approvals &amp; Next Steps</w:t>
      </w:r>
    </w:p>
    <w:p>
      <w:pPr>
        <w:pStyle w:val="ListParagraph"/>
        <w:numPr>
          <w:ilvl w:val="0"/>
          <w:numId w:val="2"/>
        </w:numPr>
        <w:spacing w:after="80" w:line="280"/>
      </w:pPr>
      <w:r>
        <w:rPr>
          <w:rFonts w:ascii="Arial" w:cs="Arial" w:eastAsia="Arial" w:hAnsi="Arial"/>
          <w:color w:val="2A2A2A"/>
          <w:sz w:val="22"/>
          <w:szCs w:val="22"/>
        </w:rPr>
        <w:t xml:space="preserve">Agency Lead: review and approve campaign brief, budget, and offer mechanics.</w:t>
      </w:r>
    </w:p>
    <w:p>
      <w:pPr>
        <w:pStyle w:val="ListParagraph"/>
        <w:numPr>
          <w:ilvl w:val="0"/>
          <w:numId w:val="2"/>
        </w:numPr>
        <w:spacing w:after="80" w:line="280"/>
      </w:pPr>
      <w:r>
        <w:rPr>
          <w:rFonts w:ascii="Arial" w:cs="Arial" w:eastAsia="Arial" w:hAnsi="Arial"/>
          <w:color w:val="2A2A2A"/>
          <w:sz w:val="22"/>
          <w:szCs w:val="22"/>
        </w:rPr>
        <w:t xml:space="preserve">Content Strategist: sign off on creative concepts, hooks, and ad copy variants.</w:t>
      </w:r>
    </w:p>
    <w:p>
      <w:pPr>
        <w:pStyle w:val="ListParagraph"/>
        <w:numPr>
          <w:ilvl w:val="0"/>
          <w:numId w:val="2"/>
        </w:numPr>
        <w:spacing w:after="80" w:line="280"/>
      </w:pPr>
      <w:r>
        <w:rPr>
          <w:rFonts w:ascii="Arial" w:cs="Arial" w:eastAsia="Arial" w:hAnsi="Arial"/>
          <w:color w:val="2A2A2A"/>
          <w:sz w:val="22"/>
          <w:szCs w:val="22"/>
        </w:rPr>
        <w:t xml:space="preserve">Compliance reviewer: tick the section-7 checklist on every asset before scheduling.</w:t>
      </w:r>
    </w:p>
    <w:p>
      <w:pPr>
        <w:pStyle w:val="ListParagraph"/>
        <w:numPr>
          <w:ilvl w:val="0"/>
          <w:numId w:val="2"/>
        </w:numPr>
        <w:spacing w:after="80" w:line="280"/>
      </w:pPr>
      <w:r>
        <w:rPr>
          <w:rFonts w:ascii="Arial" w:cs="Arial" w:eastAsia="Arial" w:hAnsi="Arial"/>
          <w:color w:val="2A2A2A"/>
          <w:sz w:val="22"/>
          <w:szCs w:val="22"/>
        </w:rPr>
        <w:t xml:space="preserve">AI Work Team (Claude): produce final ad copy, lead form text, and discovery-call follow-up sequence (separate deliverables).</w:t>
      </w:r>
    </w:p>
    <w:p>
      <w:pPr>
        <w:pBdr>
          <w:bottom w:val="single" w:color="B8C7C2" w:sz="6" w:space="1"/>
        </w:pBdr>
        <w:spacing w:after="120" w:before="120"/>
      </w:pPr>
      <w:r>
        <w:t xml:space="preserve"/>
      </w:r>
    </w:p>
    <w:p>
      <w:pPr>
        <w:spacing w:after="120" w:line="300"/>
      </w:pPr>
      <w:r>
        <w:rPr>
          <w:rFonts w:ascii="Arial" w:cs="Arial" w:eastAsia="Arial" w:hAnsi="Arial"/>
          <w:b/>
          <w:bCs/>
          <w:color w:val="2A2A2A"/>
          <w:sz w:val="22"/>
          <w:szCs w:val="22"/>
        </w:rPr>
        <w:t xml:space="preserve">Approved by: </w:t>
      </w:r>
      <w:r>
        <w:rPr>
          <w:rFonts w:ascii="Arial" w:cs="Arial" w:eastAsia="Arial" w:hAnsi="Arial"/>
          <w:color w:val="2A2A2A"/>
          <w:sz w:val="22"/>
          <w:szCs w:val="22"/>
        </w:rPr>
        <w:t xml:space="preserve">_____________________________   Date: __________</w:t>
      </w:r>
    </w:p>
    <w:p>
      <w:pPr>
        <w:spacing w:after="200"/>
      </w:pPr>
      <w:r>
        <w:rPr>
          <w:rFonts w:ascii="Arial" w:cs="Arial" w:eastAsia="Arial" w:hAnsi="Arial"/>
          <w:color w:val="2A2A2A"/>
          <w:sz w:val="22"/>
          <w:szCs w:val="22"/>
        </w:rPr>
        <w:t xml:space="preserve"/>
      </w:r>
    </w:p>
    <w:p>
      <w:pPr>
        <w:spacing w:after="120" w:line="300"/>
      </w:pPr>
      <w:r>
        <w:rPr>
          <w:rFonts w:ascii="Arial" w:cs="Arial" w:eastAsia="Arial" w:hAnsi="Arial"/>
          <w:b/>
          <w:bCs/>
          <w:color w:val="2A2A2A"/>
          <w:sz w:val="22"/>
          <w:szCs w:val="22"/>
        </w:rPr>
        <w:t xml:space="preserve">Signature: </w:t>
      </w:r>
      <w:r>
        <w:rPr>
          <w:rFonts w:ascii="Arial" w:cs="Arial" w:eastAsia="Arial" w:hAnsi="Arial"/>
          <w:color w:val="2A2A2A"/>
          <w:sz w:val="22"/>
          <w:szCs w:val="22"/>
        </w:rPr>
        <w:t xml:space="preserve">_____________________________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08080"/>
        <w:sz w:val="18"/>
        <w:szCs w:val="18"/>
      </w:rPr>
      <w:t xml:space="preserve">Confidential — Pingo Internal</w:t>
    </w:r>
    <w:r>
      <w:rPr>
        <w:rFonts w:ascii="Arial" w:cs="Arial" w:eastAsia="Arial" w:hAnsi="Arial"/>
        <w:color w:val="808080"/>
        <w:sz w:val="18"/>
        <w:szCs w:val="18"/>
      </w:rPr>
      <w:t xml:space="preserve">	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7C2" w:sz="4" w:space="6"/>
      </w:pBdr>
      <w:tabs>
        <w:tab w:val="right" w:pos="9026"/>
      </w:tabs>
    </w:pPr>
    <w:r>
      <w:rPr>
        <w:rFonts w:ascii="Arial" w:cs="Arial" w:eastAsia="Arial" w:hAnsi="Arial"/>
        <w:b/>
        <w:bCs/>
        <w:color w:val="2C8A8C"/>
        <w:sz w:val="18"/>
        <w:szCs w:val="18"/>
      </w:rPr>
      <w:t xml:space="preserve">PINGO  |  Trust Builds Brands</w:t>
    </w:r>
    <w:r>
      <w:rPr>
        <w:rFonts w:ascii="Arial" w:cs="Arial" w:eastAsia="Arial" w:hAnsi="Arial"/>
        <w:color w:val="2A2A2A"/>
        <w:sz w:val="18"/>
        <w:szCs w:val="18"/>
      </w:rPr>
      <w:t xml:space="preserve">	Campaign Brief — Draft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A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3A5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C8A8C"/>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F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Pingo Lead-Gen Campaign Brief — Trust Builds Brands</dc:title>
  <dc:creator>Pingo AI Work Team</dc:creator>
  <dc:description>Facebook lead-generation campaign brief targeting wellness brands (supplement, health food, telehealth)</dc:description>
  <cp:lastModifiedBy>Un-named</cp:lastModifiedBy>
  <cp:revision>1</cp:revision>
  <dcterms:created xsi:type="dcterms:W3CDTF">2026-04-25T11:26:07.084Z</dcterms:created>
  <dcterms:modified xsi:type="dcterms:W3CDTF">2026-04-25T11:26:07.085Z</dcterms:modified>
</cp:coreProperties>
</file>

<file path=docProps/custom.xml><?xml version="1.0" encoding="utf-8"?>
<Properties xmlns="http://schemas.openxmlformats.org/officeDocument/2006/custom-properties" xmlns:vt="http://schemas.openxmlformats.org/officeDocument/2006/docPropsVTypes"/>
</file>