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afchunk.mht" ContentType="message/rfc822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09c83fafc067488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p>
      <w:r>
        <w:br w:type="page"/>
      </w:r>
    </w:p>
    <w:p>
      <w:r>
        <w:rPr>
          <w:b/>
        </w:rPr>
        <w:t>Полный текст ДКП (наличные + аккредитив):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ПРОДАВЕЦ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ПОКУПАТЕЛЬ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</w:tr>
    </w:tbl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5.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4.5. Все гарантии и заверения, данные Сторонами в настоящем договоре, являются достоверными и имеют значение для заключения договора. В соответствии с п. 1 ст. 431.2 ГК РФ сторона, давшая недостоверные заверения, обязана возместить другой стороне убытки.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4.4.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4.3. Продавец гарантирует, что отсутствуют лица, имеющие имущественные или финансовые претензии по поводу приобретения им права собственности на Объект, в том числе лица, обладающие правом обязательной доли, и что Объект приобретался им как добросовестным приобретателем. В случае предъявления прав и претензий третьих лиц в отношении Объекта Продавец обязуется урегулировать их самостоятельно и за свой счёт, не привлекая Покупателя.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4.2. Продавец гарантирует, что он заключает настоящий Договор не вследствие стечения тяжёлых обстоятельств и он не является для него кабальной сделкой.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4.1. Продавец гарантирует,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4. ГАРАНТИИ И ЗАВЕРЕНИЯ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3.4. Покупатель осмотрел Объект и претензий по его качеству не имеет.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3.3. Риск случайной гибели или повреждения Объекта до подписания Акта приёма-передачи несёт Продавец.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3.2. Продавец обязуется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В соответствии со статьёй 556 ГК РФ передача Объекта Продавцом и принятие его Покупателем осуществляется по подписываемому Сторонами Акту приёма-передачи в срок не позднее [количество] дней с даты полной оплаты по договору.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ПЕРЕДАЧА ОБЪЕКТА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2.6. Полный и окончательный расчёт за Объект оформляется распиской Продавца, подтверждающей получение им денежных средств в соответствии с условиями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2.5. Стороны договорились, что в соответствии с п. 5 ст. 488 Гражданского кодекса РФ право залога у Продавца на указанный Объект не возникает.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2.4. Оплата Объекта Покупателем Продавцу производится в течение 1 (Одного) рабочего дня с момента государственной регистрации перехода права собственности на Объект к Покупателю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Перечень документов для раскрытия аккредитива: оригинал или нотариально заверенная копия настоящего Договора; выписка из ЕГРН, подтверждающая регистрацию перехода права собственности к Покупателю.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Банк-эмитент: [наименование банка]. Исполняющий банк: [наименование банка]. Сумма аккредитива: [сумма] рублей. Срок открытия аккредитива: [срок] календарных дней. Плательщик: Покупатель. Получатель: Продавец. Назначение платежа: перечисление денежных средств по Договору купли-продажи от [дата]. Банковские реквизиты Получателя: [банковские реквизиты Продавца]. Валюта: Российский рубль. Условие платежа: без акцепта.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2.3. Сумма в размере [сумма] рублей уплачивается Покупателем посредством открытия в [наименование банка] в течение 1 (Одного) рабочего дня с даты заключения настоящего Договора безотзывного, безакцептного, покрытого аккредитива на имя Продавца на следующих условиях: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Оплата стоимости Объекта производится Покупателем за счёт собственных средств в полном объёме.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Объект продаётся по согласованной Сторонами цене в размере [общая стоимость цифрами] ([общая стоимость прописью]) рублей.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ЦЕНА И ПОРЯДОК РАСЧЁТОВ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Объект принадлежит Продавцу на праве собственности, что подтверждается записью в ЕГРН от [дата регистрации права].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(далее по тексту – Объект).</w:t>
      </w:r>
    </w:p>
    <w:tbl>
      <w:tblPr>
        <w:tblW w:w="850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18"/>
        <w:gridCol w:w="5382"/>
      </w:tblGrid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Вид объекта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Адрес (местоположение)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[адрес объекта]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Назначение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Жилое 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Квартира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Сведения о праве собственности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[номер и дата регистрации, вид права]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Количество комнат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[количество комнат]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(кв.м)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Этаж(и)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[этаж]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Продавец продал, а Покупатель купил в личную собственность объект недвижимого имущества, имеющий следующие характеристики согласно данным Единого государственного реестра недвижимости: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sectPr>
      <w:pgSz w:w="12240" w:h="15840" w:orient="portrait"/>
      <w:pgMar w:top="720" w:right="720" w:bottom="720" w:left="720" w:header="720" w:footer="720" w:gutter="0"/>
    </w:sectPr>
  </w:body>
</w:document>
</file>

<file path=word/_rels/document.xml.rels><?xml version='1.0' encoding='UTF-8' standalone='yes'?>
<Relationships xmlns="http://schemas.openxmlformats.org/package/2006/relationships"><Relationship Id="htmlChunk" Type="http://schemas.openxmlformats.org/officeDocument/2006/relationships/aFChunk" Target="afchunk.mht"/></Relationships>
</file>