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долей в квартире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Мы, гр. Иванов Иван Иванович, 01.01.1980 года рождения, паспорт РФ 80 10 123456, выдан ОУФМС России, код подразделения 020-001, зарегистрированный по адресу: г. Уфа, ул. Ленина, 1, именуемый «Даритель», с одной стороны, и гр. Петров Пётр Петрович, 02.02.1985 года рождения, паспорт РФ 80 11 654321, выдан ОУФМС России, код подразделения 020-002, зарегистрированный по адресу: г. Уфа, ул. Мира, 2, именуемый «Одаряемый», с другой стороны, при совместном упоминании «Стороны», заключили настоящий договор дарения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Даритель передаёт в общую долевую собственность по 1/2 доли Одаряемым квартиру, находящуюся по адресу: г. Уфа, ул. Комсомольская, д. 159, кв. 16. Квартира общей площадью 50 кв.м., этаж 3, кадастровый номер: 02:55:020611:9999 (далее – «Объект недвижимости», «квартира»).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Указанный объект недвижимости принадлежит Дарителю на праве собственности, о чем в Едином государственном реестре недвижимости сделана запись о регистрации: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Одаряемый указанные доли в объекте недвижимости от Дарителя в дар принимает.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Одаряемый приобретает право общей долевой собственности на указанный объект недвижимости с момента государственной регистрации перехода права собственности в регистрирующем органе и внесения соответствующих записей в Единый государственный реестр недвижимости.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Условия распределения долей.</w:t>
      </w:r>
    </w:p>
    <w:p>
      <w:pPr>
        <w:spacing w:before="0" w:after="50" w:line="276" w:lineRule="auto"/>
        <w:jc w:val="both"/>
        <w:ind w:left="709" w:firstLine="284"/>
      </w:pPr>
      <w:r>
        <w:rPr>
          <w:sz w:val="24"/>
          <w:szCs w:val="24"/>
          <w:rFonts w:ascii="Times New Roman" w:hAnsi="Times New Roman" w:cs="Times New Roman"/>
        </w:rPr>
        <w:t xml:space="preserve">- Даритель Иванов Иван Иванович дарит долю 1/2 одаряемому Петров Пётр Петрович;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Объект недвижимости после государственной регистрации перехода права общей долевой собственности будет принадлежать в следующих долях:</w:t>
      </w:r>
    </w:p>
    <w:p>
      <w:pPr>
        <w:spacing w:before="0" w:after="50" w:line="276" w:lineRule="auto"/>
        <w:jc w:val="both"/>
        <w:ind w:left="709" w:firstLine="284"/>
      </w:pPr>
      <w:r>
        <w:rPr>
          <w:sz w:val="24"/>
          <w:szCs w:val="24"/>
          <w:rFonts w:ascii="Times New Roman" w:hAnsi="Times New Roman" w:cs="Times New Roman"/>
        </w:rPr>
        <w:t xml:space="preserve">- Петров Пётр Петрович – 1/2 доли в праве общей долевой собственности;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Содержание статей 167, 209, 223, 288, 292 и 556 Гражданского кодекса РФ Сторонам известно.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7. 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представления, которые могли быть сделаны Сторонами, будь то в устной или в письменной форме, до заключения настоящего договора. Расходы, связанные с регистрацией перехода права собственности в регистрирующем органе, несут Стороны в соответствии со ст.333.33 Налогового кодекса РФ.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8. На момент подписания настоящего договора обременения на объект недвижимости не зарегистрированы.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9. Настоящий договор составлен в 3 экземплярах, по одному выдаются на руки каждому участнику сделки.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СТОРОН: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