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долей в квартире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г. Уфа «13»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Мы, гр. Ишмухаметов Ильгиз Ринатович, 01.01.1980 года рождения, паспорт РФ 80 09 847078, выдан Оуфмс, код подразделения 020-001, зарегистрированный по адресу: г. Уфа, именуемый «Даритель», с одной стороны, и гр. Сухарев Александр Юрьевич, 02.02.1985 года рождения, паспорт РФ 80 11 654321, выдан Оуфмс, код подразделения 020-002, зарегистрированный по адресу: г. Уфа, именуемый «Одаряемый», с другой стороны, при совместном упоминании «Стороны», заключили настоящий договор дарения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Даритель передаёт в общую долевую собственность по 1/2 доли Одаряемым квартиру, находящуюся по адресу: г. Уфа, ул. Комсомольская, д. 159, кв. 16. Квартира общей площадью 42 кв.м., этаж ___, кадастровый номер: 02:55:020611:1232 (далее – «Объект недвижимости», «квартира»).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Указанный объект недвижимости принадлежит Дарителю на праве собственности, о чем в Едином государственном реестре недвижимости сделана запись о регистрации: </w:t>
      </w:r>
      <w:r>
        <w:rPr>
          <w:sz w:val="24"/>
          <w:szCs w:val="24"/>
          <w:rFonts w:ascii="Times New Roman" w:hAnsi="Times New Roman" w:cs="Times New Roman"/>
        </w:rPr>
        <w:t xml:space="preserve">________________</w:t>
      </w:r>
      <w:r>
        <w:rPr>
          <w:sz w:val="24"/>
          <w:szCs w:val="24"/>
          <w:rFonts w:ascii="Times New Roman" w:hAnsi="Times New Roman" w:cs="Times New Roman"/>
        </w:rPr>
        <w:t xml:space="preserve"> (сведения о госрегистрации права Дарителя).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Одаряемый указанные доли в объекте недвижимости от Дарителя в дар принимает.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Одаряемый приобретает право общей долевой собственности на указанный объект недвижимости с момента государственной регистрации перехода права собственности в регистрирующем органе и внесения соответствующих записей в Единый государственный реестр недвижимости.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Условия распределения долей.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Даритель Ишмухаметов Ильгиз Ринатович дарит долю 1/2 одаряемому Сухарев Александр Юрьевич;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Объект недвижимости после государственной регистрации перехода права общей долевой собственности будет принадлежать в следующих долях: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</w:t>
      </w:r>
      <w:r>
        <w:rPr>
          <w:sz w:val="24"/>
          <w:szCs w:val="24"/>
          <w:rFonts w:ascii="Times New Roman" w:hAnsi="Times New Roman" w:cs="Times New Roman"/>
        </w:rPr>
        <w:t xml:space="preserve">________________</w:t>
      </w:r>
      <w:r>
        <w:rPr>
          <w:sz w:val="24"/>
          <w:szCs w:val="24"/>
          <w:rFonts w:ascii="Times New Roman" w:hAnsi="Times New Roman" w:cs="Times New Roman"/>
        </w:rPr>
        <w:t xml:space="preserve"> – ___ доли в праве общей долевой собственности;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Содержание статей 167, 209, 223, 288, 292 и 556 Гражданского кодекса РФ Сторонам известно.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7. 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сделаны Сторонами, будь то в устной или в письменной форме, до заключения настоящего договора. Расходы, связанные с регистрацией перехода права собственности в регистрирующем органе, несут Стороны в соответствии со ст.333.33 Налогового кодекса РФ.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8. На момент подписания настоящего договора обременения на объект недвижимости не зарегистрированы.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9. Настоящий договор составлен в 3 экземплярах, по одному выдаются на руки каждому участнику сделки.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СТОРОН: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Ишмухаметов Ильгиз Ринатович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Сухарев Александр Юрьевич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