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Оплата стоимости Объекта производится Покупателем за счёт собственных средств в полном объёме.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[общая стоимость цифрами] ([общая стоимость прописью]) рублей уплачивается Покупателем Продавцу в день подписания настоящего Договора путём передачи наличных денежных средств (либо путём перечисления на счёт Продавца по реквизитам, указанным в настоящем Договоре).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Стороны договорились, что в соответствии с п. 5 ст. 488 Гражданского кодекса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