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Оплата стоимости Объекта производится Покупателем за счёт собственных средств в полном объёме.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[сумма] рублей уплачивается Покупателем посредством открытия в [наименование банка] в течение 1 (Одного) рабочего дня с даты заключения настоящего Договора безотзывного, безакцептного, покрытого аккредитива на имя Продавца на следующих условиях: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Банк-эмитент: [наименование банка]. Исполняющий банк: [наименование банка]. Сумма аккредитива: [сумма] рублей. Срок открытия аккредитива: [срок] календарных дней. Плательщик: Покупатель. Получатель: Продавец. Назначение платежа: перечисление денежных средств по Договору купли-продажи от [дата]. Банковские реквизиты Получателя: [банковские реквизиты Продавца]. Валюта: Российский рубль. Условие платежа: без акцепта.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Перечень документов для раскрытия аккредитива: оригинал или нотариально заверенная копия настоящего Договора; выписка из ЕГРН, подтверждающая регистрацию перехода права собственности к Покупателю.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Оплата Объекта Покупателем Продавцу производится в течение 1 (Одного) рабочего дня с момента государственной регистрации перехода права собственности на Объект к Покупателю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Стороны договорились, что в соответствии с п. 5 ст. 488 Гражданского кодекса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