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t xml:space="preserve"/>
      </w:r>
    </w:p>
    <w:p>
      <w:pPr>
        <w:jc w:val="center"/>
      </w:pPr>
      <w:r>
        <w:rPr>
          <w:rFonts w:ascii="Arial" w:cs="Arial" w:eastAsia="Arial" w:hAnsi="Arial"/>
          <w:b/>
          <w:bCs/>
          <w:color w:val="2E75B6"/>
          <w:sz w:val="60"/>
          <w:szCs w:val="60"/>
        </w:rPr>
        <w:t xml:space="preserve">HR MODULE</w:t>
      </w:r>
    </w:p>
    <w:p>
      <w:pPr>
        <w:jc w:val="center"/>
      </w:pPr>
      <w:r>
        <w:rPr>
          <w:rFonts w:ascii="Arial" w:cs="Arial" w:eastAsia="Arial" w:hAnsi="Arial"/>
          <w:b/>
          <w:bCs/>
          <w:color w:val="1E4D8C"/>
          <w:sz w:val="52"/>
          <w:szCs w:val="52"/>
        </w:rPr>
        <w:t xml:space="preserve">SOLUTION BLUEPRINT</w:t>
      </w:r>
    </w:p>
    <w:p>
      <w:pPr>
        <w:spacing w:after="0" w:before="80"/>
      </w:pPr>
      <w:r>
        <w:t xml:space="preserve"/>
      </w:r>
    </w:p>
    <w:p>
      <w:pPr>
        <w:pBdr>
          <w:bottom w:val="single" w:color="1ABC9C" w:sz="8" w:space="4"/>
        </w:pBdr>
        <w:jc w:val="center"/>
      </w:pPr>
      <w:r>
        <w:rPr>
          <w:sz w:val="4"/>
          <w:szCs w:val="4"/>
        </w:rPr>
        <w:t xml:space="preserve"> </w:t>
      </w:r>
    </w:p>
    <w:p>
      <w:pPr>
        <w:spacing w:after="0" w:before="120"/>
      </w:pPr>
      <w:r>
        <w:t xml:space="preserve"/>
      </w:r>
    </w:p>
    <w:p>
      <w:pPr>
        <w:jc w:val="center"/>
      </w:pPr>
      <w:r>
        <w:rPr>
          <w:rFonts w:ascii="Arial" w:cs="Arial" w:eastAsia="Arial" w:hAnsi="Arial"/>
          <w:i/>
          <w:iCs/>
          <w:color w:val="4A5568"/>
          <w:sz w:val="26"/>
          <w:szCs w:val="26"/>
        </w:rPr>
        <w:t xml:space="preserve">International-Grade Human Resource Management System</w:t>
      </w:r>
    </w:p>
    <w:p>
      <w:pPr>
        <w:spacing w:after="0" w:before="80"/>
      </w:pPr>
      <w:r>
        <w:t xml:space="preserve"/>
      </w:r>
    </w:p>
    <w:p>
      <w:pPr>
        <w:jc w:val="center"/>
      </w:pPr>
      <w:r>
        <w:rPr>
          <w:rFonts w:ascii="Arial" w:cs="Arial" w:eastAsia="Arial" w:hAnsi="Arial"/>
          <w:color w:val="4A5568"/>
          <w:sz w:val="22"/>
          <w:szCs w:val="22"/>
        </w:rPr>
        <w:t xml:space="preserve">Next.js 14  ·  Supabase  ·  NestJS  ·  Tailwind CSS</w:t>
      </w:r>
    </w:p>
    <w:p>
      <w:pPr>
        <w:spacing w:after="0" w:before="320"/>
      </w:pPr>
      <w:r>
        <w:t xml:space="preserve"/>
      </w:r>
    </w:p>
    <w:p>
      <w:pPr>
        <w:jc w:val="center"/>
      </w:pPr>
      <w:r>
        <w:rPr>
          <w:rFonts w:ascii="Arial" w:cs="Arial" w:eastAsia="Arial" w:hAnsi="Arial"/>
          <w:color w:val="4A5568"/>
          <w:sz w:val="20"/>
          <w:szCs w:val="20"/>
        </w:rPr>
        <w:t xml:space="preserve">Version 1.0  ·  March 2026</w:t>
      </w:r>
    </w:p>
    <w:p>
      <w:r>
        <w:br w:type="page"/>
      </w:r>
    </w:p>
    <w:p>
      <w:pPr>
        <w:pStyle w:val="Heading1"/>
        <w:pBdr>
          <w:bottom w:val="single" w:color="2E75B6" w:sz="8" w:space="6"/>
        </w:pBdr>
        <w:spacing w:after="160" w:before="360"/>
      </w:pPr>
      <w:r>
        <w:rPr>
          <w:rFonts w:ascii="Arial" w:cs="Arial" w:eastAsia="Arial" w:hAnsi="Arial"/>
          <w:b/>
          <w:bCs/>
          <w:color w:val="1E4D8C"/>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6"/>
        </w:pBdr>
        <w:spacing w:after="160" w:before="360"/>
      </w:pPr>
      <w:r>
        <w:rPr>
          <w:rFonts w:ascii="Arial" w:cs="Arial" w:eastAsia="Arial" w:hAnsi="Arial"/>
          <w:b/>
          <w:bCs/>
          <w:color w:val="1E4D8C"/>
          <w:sz w:val="36"/>
          <w:szCs w:val="36"/>
        </w:rPr>
        <w:t xml:space="preserve">1. Executive Summary</w:t>
      </w:r>
    </w:p>
    <w:p>
      <w:pPr>
        <w:spacing w:after="80" w:before="80"/>
      </w:pPr>
      <w:r>
        <w:rPr>
          <w:rFonts w:ascii="Arial" w:cs="Arial" w:eastAsia="Arial" w:hAnsi="Arial"/>
          <w:color w:val="1A202C"/>
          <w:sz w:val="22"/>
          <w:szCs w:val="22"/>
        </w:rPr>
        <w:t xml:space="preserve">This document defines the complete solution blueprint for a commercial-grade, internationally sellable Human Resource Management System (HRMS). The module is engineered on a modern SaaS stack — Next.js 14 (App Router), Supabase (PostgreSQL + Auth + Storage), NestJS REST/GraphQL API, and Tailwind CSS — and is designed to meet ISO, GDPR, SOC 2, and regional labor-law compliance standards out of the box.</w:t>
      </w:r>
    </w:p>
    <w:p>
      <w:pPr>
        <w:spacing w:after="0" w:before="80"/>
      </w:pPr>
      <w:r>
        <w:t xml:space="preserve"/>
      </w:r>
    </w:p>
    <w:p>
      <w:pPr>
        <w:spacing w:after="80" w:before="80"/>
      </w:pPr>
      <w:r>
        <w:rPr>
          <w:rFonts w:ascii="Arial" w:cs="Arial" w:eastAsia="Arial" w:hAnsi="Arial"/>
          <w:color w:val="1A202C"/>
          <w:sz w:val="22"/>
          <w:szCs w:val="22"/>
        </w:rPr>
        <w:t xml:space="preserve">The system is architected as a white-label, multi-tenant SaaS product that can be licensed to enterprises globally, with plugin-style regional compliance packs (EU, US, GCC, APAC, LATAM) enabling fast market entry in any geography.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MARKET</w:t>
            </w:r>
          </w:p>
        </w:tc>
        <w:tc>
          <w:tcPr>
            <w:tcW w:type="dxa" w:w="7160"/>
            <w:tcBorders>
              <w:top w:val="single" w:color="2E75B6" w:sz="1"/>
              <w:left w:val="single" w:color="2E75B6" w:sz="1"/>
              <w:bottom w:val="single" w:color="2E75B6" w:sz="1"/>
              <w:right w:val="single" w:color="2E75B6" w:sz="1"/>
            </w:tcBorders>
            <w:shd w:fill="EBF4FF" w:val="clear"/>
            <w:tcMar>
              <w:top w:type="dxa" w:w="100"/>
              <w:left w:type="dxa" w:w="140"/>
              <w:bottom w:type="dxa" w:w="100"/>
              <w:right w:type="dxa" w:w="140"/>
            </w:tcMar>
          </w:tcPr>
          <w:p>
            <w:r>
              <w:rPr>
                <w:rFonts w:ascii="Arial" w:cs="Arial" w:eastAsia="Arial" w:hAnsi="Arial"/>
                <w:color w:val="1A202C"/>
                <w:sz w:val="20"/>
                <w:szCs w:val="20"/>
              </w:rPr>
              <w:t xml:space="preserve">SMEs (50–5,000 employees) across industries · SaaS resellers &amp; HR consultancies · White-label enterprise clients in EU, GCC, APAC, and North America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BC9C" w:sz="1"/>
              <w:left w:val="single" w:color="1ABC9C" w:sz="1"/>
              <w:bottom w:val="single" w:color="1ABC9C" w:sz="1"/>
              <w:right w:val="single" w:color="1ABC9C" w:sz="1"/>
            </w:tcBorders>
            <w:shd w:fill="1ABC9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 STACK</w:t>
            </w:r>
          </w:p>
        </w:tc>
        <w:tc>
          <w:tcPr>
            <w:tcW w:type="dxa" w:w="7160"/>
            <w:tcBorders>
              <w:top w:val="single" w:color="1ABC9C" w:sz="1"/>
              <w:left w:val="single" w:color="1ABC9C" w:sz="1"/>
              <w:bottom w:val="single" w:color="1ABC9C" w:sz="1"/>
              <w:right w:val="single" w:color="1ABC9C" w:sz="1"/>
            </w:tcBorders>
            <w:shd w:fill="EAFAF1" w:val="clear"/>
            <w:tcMar>
              <w:top w:type="dxa" w:w="100"/>
              <w:left w:type="dxa" w:w="140"/>
              <w:bottom w:type="dxa" w:w="100"/>
              <w:right w:type="dxa" w:w="140"/>
            </w:tcMar>
          </w:tcPr>
          <w:p>
            <w:r>
              <w:rPr>
                <w:rFonts w:ascii="Arial" w:cs="Arial" w:eastAsia="Arial" w:hAnsi="Arial"/>
                <w:color w:val="1A202C"/>
                <w:sz w:val="20"/>
                <w:szCs w:val="20"/>
              </w:rPr>
              <w:t xml:space="preserve">Frontend: Next.js 14 + Tailwind CSS  |  Backend: NestJS + REST/GraphQL  |  Database: Supabase (PostgreSQL)  |  Auth: Supabase Auth + MFA  |  Jobs: BullMQ + Redis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B5CF6" w:sz="1"/>
              <w:left w:val="single" w:color="8B5CF6" w:sz="1"/>
              <w:bottom w:val="single" w:color="8B5CF6" w:sz="1"/>
              <w:right w:val="single" w:color="8B5CF6"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COMPLIANCE</w:t>
            </w:r>
          </w:p>
        </w:tc>
        <w:tc>
          <w:tcPr>
            <w:tcW w:type="dxa" w:w="7160"/>
            <w:tcBorders>
              <w:top w:val="single" w:color="8B5CF6" w:sz="1"/>
              <w:left w:val="single" w:color="8B5CF6" w:sz="1"/>
              <w:bottom w:val="single" w:color="8B5CF6" w:sz="1"/>
              <w:right w:val="single" w:color="8B5CF6" w:sz="1"/>
            </w:tcBorders>
            <w:shd w:fill="F5F3FF" w:val="clear"/>
            <w:tcMar>
              <w:top w:type="dxa" w:w="100"/>
              <w:left w:type="dxa" w:w="140"/>
              <w:bottom w:type="dxa" w:w="100"/>
              <w:right w:type="dxa" w:w="140"/>
            </w:tcMar>
          </w:tcPr>
          <w:p>
            <w:r>
              <w:rPr>
                <w:rFonts w:ascii="Arial" w:cs="Arial" w:eastAsia="Arial" w:hAnsi="Arial"/>
                <w:color w:val="1A202C"/>
                <w:sz w:val="20"/>
                <w:szCs w:val="20"/>
              </w:rPr>
              <w:t xml:space="preserve">GDPR · ISO 27001 · SOC 2 Type II · DPDPA (India) · PDPA (Thailand/Singapore) · CCPA (California) · GCC Labour Law Packs · ILO Conventions</w:t>
            </w:r>
          </w:p>
        </w:tc>
      </w:tr>
    </w:tbl>
    <w:p>
      <w:r>
        <w:br w:type="page"/>
      </w:r>
    </w:p>
    <w:p>
      <w:pPr>
        <w:pStyle w:val="Heading1"/>
        <w:pBdr>
          <w:bottom w:val="single" w:color="2E75B6" w:sz="8" w:space="6"/>
        </w:pBdr>
        <w:spacing w:after="160" w:before="360"/>
      </w:pPr>
      <w:r>
        <w:rPr>
          <w:rFonts w:ascii="Arial" w:cs="Arial" w:eastAsia="Arial" w:hAnsi="Arial"/>
          <w:b/>
          <w:bCs/>
          <w:color w:val="1E4D8C"/>
          <w:sz w:val="36"/>
          <w:szCs w:val="36"/>
        </w:rPr>
        <w:t xml:space="preserve">2. System Architecture Overview</w:t>
      </w:r>
    </w:p>
    <w:p>
      <w:pPr>
        <w:pStyle w:val="Heading2"/>
        <w:spacing w:after="120" w:before="280"/>
      </w:pPr>
      <w:r>
        <w:rPr>
          <w:rFonts w:ascii="Arial" w:cs="Arial" w:eastAsia="Arial" w:hAnsi="Arial"/>
          <w:b/>
          <w:bCs/>
          <w:color w:val="2E75B6"/>
          <w:sz w:val="28"/>
          <w:szCs w:val="28"/>
        </w:rPr>
        <w:t xml:space="preserve">2.1 High-Level Architecture Layers</w:t>
      </w:r>
    </w:p>
    <w:p>
      <w:pPr>
        <w:spacing w:after="80" w:before="80"/>
      </w:pPr>
      <w:r>
        <w:rPr>
          <w:rFonts w:ascii="Arial" w:cs="Arial" w:eastAsia="Arial" w:hAnsi="Arial"/>
          <w:color w:val="1A202C"/>
          <w:sz w:val="22"/>
          <w:szCs w:val="22"/>
        </w:rPr>
        <w:t xml:space="preserve">The HRMS follows a modular, layered architecture with clear separation between the presentation layer (Next.js), business logic layer (NestJS), and persistence layer (Supabase PostgreSQL). All inter-service communication uses typed API contracts (OpenAPI 3.1).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40"/>
        <w:gridCol w:w="1920"/>
      </w:tblGrid>
      <w:tr>
        <w:trPr>
          <w:tblHeader/>
        </w:trPr>
        <w:tc>
          <w:tcPr>
            <w:tcW w:type="dxa" w:w="24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Layer</w:t>
            </w:r>
          </w:p>
        </w:tc>
        <w:tc>
          <w:tcPr>
            <w:tcW w:type="dxa" w:w="24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Technology</w:t>
            </w:r>
          </w:p>
        </w:tc>
        <w:tc>
          <w:tcPr>
            <w:tcW w:type="dxa" w:w="264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Responsibility</w:t>
            </w:r>
          </w:p>
        </w:tc>
        <w:tc>
          <w:tcPr>
            <w:tcW w:type="dxa" w:w="192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Scalability</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Presentation</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Next.js 14 App Router</w:t>
            </w:r>
          </w:p>
        </w:tc>
        <w:tc>
          <w:tcPr>
            <w:tcW w:type="dxa" w:w="26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SSR/CSR UI, i18n routing, role-based views</w:t>
            </w:r>
          </w:p>
        </w:tc>
        <w:tc>
          <w:tcPr>
            <w:tcW w:type="dxa" w:w="19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Vercel Edge / CDN</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API Gateway</w:t>
            </w:r>
          </w:p>
        </w:tc>
        <w:tc>
          <w:tcPr>
            <w:tcW w:type="dxa" w:w="24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NestJS (REST + GraphQL)</w:t>
            </w:r>
          </w:p>
        </w:tc>
        <w:tc>
          <w:tcPr>
            <w:tcW w:type="dxa" w:w="264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Business logic, validation, auth middleware</w:t>
            </w:r>
          </w:p>
        </w:tc>
        <w:tc>
          <w:tcPr>
            <w:tcW w:type="dxa" w:w="192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Kubernetes / Docker</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Auth Service</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Supabase Auth + JWT</w:t>
            </w:r>
          </w:p>
        </w:tc>
        <w:tc>
          <w:tcPr>
            <w:tcW w:type="dxa" w:w="26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SSO, MFA, RBAC, session management</w:t>
            </w:r>
          </w:p>
        </w:tc>
        <w:tc>
          <w:tcPr>
            <w:tcW w:type="dxa" w:w="19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Supabase managed</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Core Database</w:t>
            </w:r>
          </w:p>
        </w:tc>
        <w:tc>
          <w:tcPr>
            <w:tcW w:type="dxa" w:w="24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Supabase PostgreSQL 15</w:t>
            </w:r>
          </w:p>
        </w:tc>
        <w:tc>
          <w:tcPr>
            <w:tcW w:type="dxa" w:w="264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ACID transactions, RLS policies, full-text search</w:t>
            </w:r>
          </w:p>
        </w:tc>
        <w:tc>
          <w:tcPr>
            <w:tcW w:type="dxa" w:w="192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Supabase managed</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File Storage</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Supabase Storage + S3</w:t>
            </w:r>
          </w:p>
        </w:tc>
        <w:tc>
          <w:tcPr>
            <w:tcW w:type="dxa" w:w="26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Documents, avatars, payslips, contracts</w:t>
            </w:r>
          </w:p>
        </w:tc>
        <w:tc>
          <w:tcPr>
            <w:tcW w:type="dxa" w:w="19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S3-compatible CDN</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Background Jobs</w:t>
            </w:r>
          </w:p>
        </w:tc>
        <w:tc>
          <w:tcPr>
            <w:tcW w:type="dxa" w:w="24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BullMQ + Redis</w:t>
            </w:r>
          </w:p>
        </w:tc>
        <w:tc>
          <w:tcPr>
            <w:tcW w:type="dxa" w:w="264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Payroll processing, notifications, reports</w:t>
            </w:r>
          </w:p>
        </w:tc>
        <w:tc>
          <w:tcPr>
            <w:tcW w:type="dxa" w:w="192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Redis cluster</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Email / SMS</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Resend + Twilio</w:t>
            </w:r>
          </w:p>
        </w:tc>
        <w:tc>
          <w:tcPr>
            <w:tcW w:type="dxa" w:w="26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Payslip delivery, OTP, alerts</w:t>
            </w:r>
          </w:p>
        </w:tc>
        <w:tc>
          <w:tcPr>
            <w:tcW w:type="dxa" w:w="19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Managed SaaS</w:t>
            </w:r>
          </w:p>
        </w:tc>
      </w:tr>
      <w:tr>
        <w:tc>
          <w:tcPr>
            <w:tcW w:type="dxa" w:w="24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Observability</w:t>
            </w:r>
          </w:p>
        </w:tc>
        <w:tc>
          <w:tcPr>
            <w:tcW w:type="dxa" w:w="24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OpenTelemetry + Sentry</w:t>
            </w:r>
          </w:p>
        </w:tc>
        <w:tc>
          <w:tcPr>
            <w:tcW w:type="dxa" w:w="264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Tracing, error tracking, APM</w:t>
            </w:r>
          </w:p>
        </w:tc>
        <w:tc>
          <w:tcPr>
            <w:tcW w:type="dxa" w:w="192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Self-hosted / cloud</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2.2 Multi-Tenancy Design</w:t>
      </w:r>
    </w:p>
    <w:p>
      <w:pPr>
        <w:spacing w:after="80" w:before="80"/>
      </w:pPr>
      <w:r>
        <w:rPr>
          <w:rFonts w:ascii="Arial" w:cs="Arial" w:eastAsia="Arial" w:hAnsi="Arial"/>
          <w:color w:val="1A202C"/>
          <w:sz w:val="22"/>
          <w:szCs w:val="22"/>
        </w:rPr>
        <w:t xml:space="preserve">The system uses a schema-based multi-tenancy model in Supabase. Each tenant gets an isolated PostgreSQL schema, ensuring data residency compliance (critical for EU GDPR and GCC data localization laws).</w:t>
      </w:r>
    </w:p>
    <w:p>
      <w:pPr>
        <w:pStyle w:val="ListParagraph"/>
        <w:numPr>
          <w:ilvl w:val="0"/>
          <w:numId w:val="2"/>
        </w:numPr>
        <w:spacing w:after="60" w:before="60"/>
      </w:pPr>
      <w:r>
        <w:rPr>
          <w:rFonts w:ascii="Arial" w:cs="Arial" w:eastAsia="Arial" w:hAnsi="Arial"/>
          <w:color w:val="1A202C"/>
          <w:sz w:val="22"/>
          <w:szCs w:val="22"/>
        </w:rPr>
        <w:t xml:space="preserve">Tenant onboarding creates a dedicated schema (e.g., tenant_acme_corp)</w:t>
      </w:r>
    </w:p>
    <w:p>
      <w:pPr>
        <w:pStyle w:val="ListParagraph"/>
        <w:numPr>
          <w:ilvl w:val="0"/>
          <w:numId w:val="2"/>
        </w:numPr>
        <w:spacing w:after="60" w:before="60"/>
      </w:pPr>
      <w:r>
        <w:rPr>
          <w:rFonts w:ascii="Arial" w:cs="Arial" w:eastAsia="Arial" w:hAnsi="Arial"/>
          <w:color w:val="1A202C"/>
          <w:sz w:val="22"/>
          <w:szCs w:val="22"/>
        </w:rPr>
        <w:t xml:space="preserve">Row-Level Security (RLS) policies enforce per-tenant data access at the database layer</w:t>
      </w:r>
    </w:p>
    <w:p>
      <w:pPr>
        <w:pStyle w:val="ListParagraph"/>
        <w:numPr>
          <w:ilvl w:val="0"/>
          <w:numId w:val="2"/>
        </w:numPr>
        <w:spacing w:after="60" w:before="60"/>
      </w:pPr>
      <w:r>
        <w:rPr>
          <w:rFonts w:ascii="Arial" w:cs="Arial" w:eastAsia="Arial" w:hAnsi="Arial"/>
          <w:color w:val="1A202C"/>
          <w:sz w:val="22"/>
          <w:szCs w:val="22"/>
        </w:rPr>
        <w:t xml:space="preserve">API middleware validates tenant context from JWT claims on every request</w:t>
      </w:r>
    </w:p>
    <w:p>
      <w:pPr>
        <w:pStyle w:val="ListParagraph"/>
        <w:numPr>
          <w:ilvl w:val="0"/>
          <w:numId w:val="2"/>
        </w:numPr>
        <w:spacing w:after="60" w:before="60"/>
      </w:pPr>
      <w:r>
        <w:rPr>
          <w:rFonts w:ascii="Arial" w:cs="Arial" w:eastAsia="Arial" w:hAnsi="Arial"/>
          <w:color w:val="1A202C"/>
          <w:sz w:val="22"/>
          <w:szCs w:val="22"/>
        </w:rPr>
        <w:t xml:space="preserve">Storage buckets are namespaced per tenant with signed URL access only</w:t>
      </w:r>
    </w:p>
    <w:p>
      <w:pPr>
        <w:pStyle w:val="ListParagraph"/>
        <w:numPr>
          <w:ilvl w:val="0"/>
          <w:numId w:val="2"/>
        </w:numPr>
        <w:spacing w:after="60" w:before="60"/>
      </w:pPr>
      <w:r>
        <w:rPr>
          <w:rFonts w:ascii="Arial" w:cs="Arial" w:eastAsia="Arial" w:hAnsi="Arial"/>
          <w:color w:val="1A202C"/>
          <w:sz w:val="22"/>
          <w:szCs w:val="22"/>
        </w:rPr>
        <w:t xml:space="preserve">Tenant metadata (plan, locale, timezone, currency) stored in a master tenants table</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2.3 Security Architecture</w:t>
      </w:r>
    </w:p>
    <w:p>
      <w:pPr>
        <w:pStyle w:val="ListParagraph"/>
        <w:numPr>
          <w:ilvl w:val="0"/>
          <w:numId w:val="2"/>
        </w:numPr>
        <w:spacing w:after="60" w:before="60"/>
      </w:pPr>
      <w:r>
        <w:rPr>
          <w:rFonts w:ascii="Arial" w:cs="Arial" w:eastAsia="Arial" w:hAnsi="Arial"/>
          <w:color w:val="1A202C"/>
          <w:sz w:val="22"/>
          <w:szCs w:val="22"/>
        </w:rPr>
        <w:t xml:space="preserve">Authentication: Supabase Auth (email/password, OAuth 2.0 SSO: Google, Microsoft, Okta, SAML 2.0)</w:t>
      </w:r>
    </w:p>
    <w:p>
      <w:pPr>
        <w:pStyle w:val="ListParagraph"/>
        <w:numPr>
          <w:ilvl w:val="0"/>
          <w:numId w:val="2"/>
        </w:numPr>
        <w:spacing w:after="60" w:before="60"/>
      </w:pPr>
      <w:r>
        <w:rPr>
          <w:rFonts w:ascii="Arial" w:cs="Arial" w:eastAsia="Arial" w:hAnsi="Arial"/>
          <w:color w:val="1A202C"/>
          <w:sz w:val="22"/>
          <w:szCs w:val="22"/>
        </w:rPr>
        <w:t xml:space="preserve">Authorization: 5-tier RBAC — Super Admin, HR Admin, Manager, Employee, Auditor</w:t>
      </w:r>
    </w:p>
    <w:p>
      <w:pPr>
        <w:pStyle w:val="ListParagraph"/>
        <w:numPr>
          <w:ilvl w:val="0"/>
          <w:numId w:val="2"/>
        </w:numPr>
        <w:spacing w:after="60" w:before="60"/>
      </w:pPr>
      <w:r>
        <w:rPr>
          <w:rFonts w:ascii="Arial" w:cs="Arial" w:eastAsia="Arial" w:hAnsi="Arial"/>
          <w:color w:val="1A202C"/>
          <w:sz w:val="22"/>
          <w:szCs w:val="22"/>
        </w:rPr>
        <w:t xml:space="preserve">API Security: JWT + refresh token rotation, rate limiting via NestJS ThrottlerGuard</w:t>
      </w:r>
    </w:p>
    <w:p>
      <w:pPr>
        <w:pStyle w:val="ListParagraph"/>
        <w:numPr>
          <w:ilvl w:val="0"/>
          <w:numId w:val="2"/>
        </w:numPr>
        <w:spacing w:after="60" w:before="60"/>
      </w:pPr>
      <w:r>
        <w:rPr>
          <w:rFonts w:ascii="Arial" w:cs="Arial" w:eastAsia="Arial" w:hAnsi="Arial"/>
          <w:color w:val="1A202C"/>
          <w:sz w:val="22"/>
          <w:szCs w:val="22"/>
        </w:rPr>
        <w:t xml:space="preserve">Data Encryption: AES-256 at rest (Supabase), TLS 1.3 in transit, pgcrypto for PII fields</w:t>
      </w:r>
    </w:p>
    <w:p>
      <w:pPr>
        <w:pStyle w:val="ListParagraph"/>
        <w:numPr>
          <w:ilvl w:val="0"/>
          <w:numId w:val="2"/>
        </w:numPr>
        <w:spacing w:after="60" w:before="60"/>
      </w:pPr>
      <w:r>
        <w:rPr>
          <w:rFonts w:ascii="Arial" w:cs="Arial" w:eastAsia="Arial" w:hAnsi="Arial"/>
          <w:color w:val="1A202C"/>
          <w:sz w:val="22"/>
          <w:szCs w:val="22"/>
        </w:rPr>
        <w:t xml:space="preserve">Audit Logging: Immutable audit trail for all write operations (GDPR Article 5 requirement)</w:t>
      </w:r>
    </w:p>
    <w:p>
      <w:pPr>
        <w:pStyle w:val="ListParagraph"/>
        <w:numPr>
          <w:ilvl w:val="0"/>
          <w:numId w:val="2"/>
        </w:numPr>
        <w:spacing w:after="60" w:before="60"/>
      </w:pPr>
      <w:r>
        <w:rPr>
          <w:rFonts w:ascii="Arial" w:cs="Arial" w:eastAsia="Arial" w:hAnsi="Arial"/>
          <w:color w:val="1A202C"/>
          <w:sz w:val="22"/>
          <w:szCs w:val="22"/>
        </w:rPr>
        <w:t xml:space="preserve">OWASP Top-10 mitigations built into NestJS middleware pipeline</w:t>
      </w:r>
    </w:p>
    <w:p>
      <w:r>
        <w:br w:type="page"/>
      </w:r>
    </w:p>
    <w:p>
      <w:pPr>
        <w:pStyle w:val="Heading1"/>
        <w:pBdr>
          <w:bottom w:val="single" w:color="2E75B6" w:sz="8" w:space="6"/>
        </w:pBdr>
        <w:spacing w:after="160" w:before="360"/>
      </w:pPr>
      <w:r>
        <w:rPr>
          <w:rFonts w:ascii="Arial" w:cs="Arial" w:eastAsia="Arial" w:hAnsi="Arial"/>
          <w:b/>
          <w:bCs/>
          <w:color w:val="1E4D8C"/>
          <w:sz w:val="36"/>
          <w:szCs w:val="36"/>
        </w:rPr>
        <w:t xml:space="preserve">3. Core HR Modules</w:t>
      </w:r>
    </w:p>
    <w:p>
      <w:pPr>
        <w:spacing w:after="80" w:before="80"/>
      </w:pPr>
      <w:r>
        <w:rPr>
          <w:rFonts w:ascii="Arial" w:cs="Arial" w:eastAsia="Arial" w:hAnsi="Arial"/>
          <w:color w:val="1A202C"/>
          <w:sz w:val="22"/>
          <w:szCs w:val="22"/>
        </w:rPr>
        <w:t xml:space="preserve">The HRMS is composed of 12 independently deployable modules. Each module has its own NestJS controller, Supabase schema tables, and Next.js page routes. Customers can license individual modules (modular pricing) or the full suite.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000"/>
        <w:gridCol w:w="4360"/>
        <w:gridCol w:w="2580"/>
      </w:tblGrid>
      <w:tr>
        <w:trPr>
          <w:tblHeader/>
        </w:trPr>
        <w:tc>
          <w:tcPr>
            <w:tcW w:type="dxa" w:w="42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20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Module Name</w:t>
            </w:r>
          </w:p>
        </w:tc>
        <w:tc>
          <w:tcPr>
            <w:tcW w:type="dxa" w:w="436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Key Features</w:t>
            </w:r>
          </w:p>
        </w:tc>
        <w:tc>
          <w:tcPr>
            <w:tcW w:type="dxa" w:w="258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Int'l Standard</w:t>
            </w:r>
          </w:p>
        </w:tc>
      </w:tr>
      <w:tr>
        <w:tc>
          <w:tcPr>
            <w:tcW w:type="dxa" w:w="4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Employee Lifecycle</w:t>
            </w:r>
          </w:p>
        </w:tc>
        <w:tc>
          <w:tcPr>
            <w:tcW w:type="dxa" w:w="4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Hire-to-retire, org chart, digital contracts</w:t>
            </w:r>
          </w:p>
        </w:tc>
        <w:tc>
          <w:tcPr>
            <w:tcW w:type="dxa" w:w="25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ISO 30408</w:t>
            </w:r>
          </w:p>
        </w:tc>
      </w:tr>
      <w:tr>
        <w:tc>
          <w:tcPr>
            <w:tcW w:type="dxa" w:w="42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2</w:t>
            </w:r>
          </w:p>
        </w:tc>
        <w:tc>
          <w:tcPr>
            <w:tcW w:type="dxa" w:w="20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Attendance &amp; Time</w:t>
            </w:r>
          </w:p>
        </w:tc>
        <w:tc>
          <w:tcPr>
            <w:tcW w:type="dxa" w:w="4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Biometric/QR/GPS, shifts, overtime calc</w:t>
            </w:r>
          </w:p>
        </w:tc>
        <w:tc>
          <w:tcPr>
            <w:tcW w:type="dxa" w:w="258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ILO Working Time</w:t>
            </w:r>
          </w:p>
        </w:tc>
      </w:tr>
      <w:tr>
        <w:tc>
          <w:tcPr>
            <w:tcW w:type="dxa" w:w="4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3</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Leave Management</w:t>
            </w:r>
          </w:p>
        </w:tc>
        <w:tc>
          <w:tcPr>
            <w:tcW w:type="dxa" w:w="4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Multi-policy engine, carryover, encashment</w:t>
            </w:r>
          </w:p>
        </w:tc>
        <w:tc>
          <w:tcPr>
            <w:tcW w:type="dxa" w:w="25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Regional Labor Laws</w:t>
            </w:r>
          </w:p>
        </w:tc>
      </w:tr>
      <w:tr>
        <w:tc>
          <w:tcPr>
            <w:tcW w:type="dxa" w:w="42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4</w:t>
            </w:r>
          </w:p>
        </w:tc>
        <w:tc>
          <w:tcPr>
            <w:tcW w:type="dxa" w:w="20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Payroll Engine</w:t>
            </w:r>
          </w:p>
        </w:tc>
        <w:tc>
          <w:tcPr>
            <w:tcW w:type="dxa" w:w="4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Multi-currency, tax slabs, statutory deductions</w:t>
            </w:r>
          </w:p>
        </w:tc>
        <w:tc>
          <w:tcPr>
            <w:tcW w:type="dxa" w:w="258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IFRS / IAS 19</w:t>
            </w:r>
          </w:p>
        </w:tc>
      </w:tr>
      <w:tr>
        <w:tc>
          <w:tcPr>
            <w:tcW w:type="dxa" w:w="4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5</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Performance Mgmt</w:t>
            </w:r>
          </w:p>
        </w:tc>
        <w:tc>
          <w:tcPr>
            <w:tcW w:type="dxa" w:w="4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OKR/KPI/360, appraisals, bell curve</w:t>
            </w:r>
          </w:p>
        </w:tc>
        <w:tc>
          <w:tcPr>
            <w:tcW w:type="dxa" w:w="25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ISO 10667</w:t>
            </w:r>
          </w:p>
        </w:tc>
      </w:tr>
      <w:tr>
        <w:tc>
          <w:tcPr>
            <w:tcW w:type="dxa" w:w="42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6</w:t>
            </w:r>
          </w:p>
        </w:tc>
        <w:tc>
          <w:tcPr>
            <w:tcW w:type="dxa" w:w="20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Recruitment (ATS)</w:t>
            </w:r>
          </w:p>
        </w:tc>
        <w:tc>
          <w:tcPr>
            <w:tcW w:type="dxa" w:w="4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Pipeline, JD builder, offer letters, onboarding</w:t>
            </w:r>
          </w:p>
        </w:tc>
        <w:tc>
          <w:tcPr>
            <w:tcW w:type="dxa" w:w="258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EEOC / GDPR Art 13</w:t>
            </w:r>
          </w:p>
        </w:tc>
      </w:tr>
      <w:tr>
        <w:tc>
          <w:tcPr>
            <w:tcW w:type="dxa" w:w="4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7</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Learning &amp; Dev (LMS)</w:t>
            </w:r>
          </w:p>
        </w:tc>
        <w:tc>
          <w:tcPr>
            <w:tcW w:type="dxa" w:w="4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Courses, certifications, skill matrix</w:t>
            </w:r>
          </w:p>
        </w:tc>
        <w:tc>
          <w:tcPr>
            <w:tcW w:type="dxa" w:w="25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SCORM 2004 / xAPI</w:t>
            </w:r>
          </w:p>
        </w:tc>
      </w:tr>
      <w:tr>
        <w:tc>
          <w:tcPr>
            <w:tcW w:type="dxa" w:w="42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8</w:t>
            </w:r>
          </w:p>
        </w:tc>
        <w:tc>
          <w:tcPr>
            <w:tcW w:type="dxa" w:w="20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Benefits &amp; Comp</w:t>
            </w:r>
          </w:p>
        </w:tc>
        <w:tc>
          <w:tcPr>
            <w:tcW w:type="dxa" w:w="4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Insurance, loans, flexi-benefits, salary bands</w:t>
            </w:r>
          </w:p>
        </w:tc>
        <w:tc>
          <w:tcPr>
            <w:tcW w:type="dxa" w:w="258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IAS 19 / ASC 715</w:t>
            </w:r>
          </w:p>
        </w:tc>
      </w:tr>
      <w:tr>
        <w:tc>
          <w:tcPr>
            <w:tcW w:type="dxa" w:w="4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9</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Document Mgmt</w:t>
            </w:r>
          </w:p>
        </w:tc>
        <w:tc>
          <w:tcPr>
            <w:tcW w:type="dxa" w:w="4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e-Sign, templates, expiry alerts, DMS</w:t>
            </w:r>
          </w:p>
        </w:tc>
        <w:tc>
          <w:tcPr>
            <w:tcW w:type="dxa" w:w="25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eIDAS / ESIGN Act</w:t>
            </w:r>
          </w:p>
        </w:tc>
      </w:tr>
      <w:tr>
        <w:tc>
          <w:tcPr>
            <w:tcW w:type="dxa" w:w="42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10</w:t>
            </w:r>
          </w:p>
        </w:tc>
        <w:tc>
          <w:tcPr>
            <w:tcW w:type="dxa" w:w="20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Analytics &amp; Reports</w:t>
            </w:r>
          </w:p>
        </w:tc>
        <w:tc>
          <w:tcPr>
            <w:tcW w:type="dxa" w:w="4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Custom dashboards, scheduled exports, HR BI</w:t>
            </w:r>
          </w:p>
        </w:tc>
        <w:tc>
          <w:tcPr>
            <w:tcW w:type="dxa" w:w="258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ISO 30414</w:t>
            </w:r>
          </w:p>
        </w:tc>
      </w:tr>
      <w:tr>
        <w:tc>
          <w:tcPr>
            <w:tcW w:type="dxa" w:w="42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11</w:t>
            </w:r>
          </w:p>
        </w:tc>
        <w:tc>
          <w:tcPr>
            <w:tcW w:type="dxa" w:w="2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Compliance Engine</w:t>
            </w:r>
          </w:p>
        </w:tc>
        <w:tc>
          <w:tcPr>
            <w:tcW w:type="dxa" w:w="4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Regulatory calendar, policy library, audit trail</w:t>
            </w:r>
          </w:p>
        </w:tc>
        <w:tc>
          <w:tcPr>
            <w:tcW w:type="dxa" w:w="25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GDPR / SOX / PDPA</w:t>
            </w:r>
          </w:p>
        </w:tc>
      </w:tr>
      <w:tr>
        <w:tc>
          <w:tcPr>
            <w:tcW w:type="dxa" w:w="42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12</w:t>
            </w:r>
          </w:p>
        </w:tc>
        <w:tc>
          <w:tcPr>
            <w:tcW w:type="dxa" w:w="20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Employee Self-Service</w:t>
            </w:r>
          </w:p>
        </w:tc>
        <w:tc>
          <w:tcPr>
            <w:tcW w:type="dxa" w:w="4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ESS portal, mobile PWA, chatbot assistant</w:t>
            </w:r>
          </w:p>
        </w:tc>
        <w:tc>
          <w:tcPr>
            <w:tcW w:type="dxa" w:w="258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UX best practices</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3.1 Employee Lifecycle Management</w:t>
      </w:r>
    </w:p>
    <w:p>
      <w:pPr>
        <w:spacing w:after="80" w:before="80"/>
      </w:pPr>
      <w:r>
        <w:rPr>
          <w:rFonts w:ascii="Arial" w:cs="Arial" w:eastAsia="Arial" w:hAnsi="Arial"/>
          <w:color w:val="1A202C"/>
          <w:sz w:val="22"/>
          <w:szCs w:val="22"/>
        </w:rPr>
        <w:t xml:space="preserve">The core module manages the complete employee journey from job offer acceptance through offboarding. It serves as the master data hub for all other modules.</w:t>
      </w:r>
    </w:p>
    <w:p>
      <w:pPr>
        <w:pStyle w:val="Heading3"/>
        <w:spacing w:after="80" w:before="180"/>
      </w:pPr>
      <w:r>
        <w:rPr>
          <w:rFonts w:ascii="Arial" w:cs="Arial" w:eastAsia="Arial" w:hAnsi="Arial"/>
          <w:b/>
          <w:bCs/>
          <w:color w:val="4A5568"/>
          <w:sz w:val="24"/>
          <w:szCs w:val="24"/>
        </w:rPr>
        <w:t xml:space="preserve">Key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Table</w:t>
            </w:r>
          </w:p>
        </w:tc>
        <w:tc>
          <w:tcPr>
            <w:tcW w:type="dxa" w:w="26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Purpose</w:t>
            </w:r>
          </w:p>
        </w:tc>
        <w:tc>
          <w:tcPr>
            <w:tcW w:type="dxa" w:w="456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Key Fields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employees</w:t>
            </w:r>
          </w:p>
        </w:tc>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Master employee record</w:t>
            </w:r>
          </w:p>
        </w:tc>
        <w:tc>
          <w:tcPr>
            <w:tcW w:type="dxa" w:w="4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id, emp_code, tenant_id, status, hire_date, termination_date</w:t>
            </w:r>
          </w:p>
        </w:tc>
      </w:tr>
      <w:tr>
        <w:tc>
          <w:tcPr>
            <w:tcW w:type="dxa" w:w="2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employee_profiles</w:t>
            </w:r>
          </w:p>
        </w:tc>
        <w:tc>
          <w:tcPr>
            <w:tcW w:type="dxa" w:w="2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PII &amp; contact info</w:t>
            </w:r>
          </w:p>
        </w:tc>
        <w:tc>
          <w:tcPr>
            <w:tcW w:type="dxa" w:w="45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full_name, dob, national_id, passport_no, phone, address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positions</w:t>
            </w:r>
          </w:p>
        </w:tc>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Job catalog</w:t>
            </w:r>
          </w:p>
        </w:tc>
        <w:tc>
          <w:tcPr>
            <w:tcW w:type="dxa" w:w="4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title, grade, band, job_family, is_manager</w:t>
            </w:r>
          </w:p>
        </w:tc>
      </w:tr>
      <w:tr>
        <w:tc>
          <w:tcPr>
            <w:tcW w:type="dxa" w:w="2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departments</w:t>
            </w:r>
          </w:p>
        </w:tc>
        <w:tc>
          <w:tcPr>
            <w:tcW w:type="dxa" w:w="2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Org structure</w:t>
            </w:r>
          </w:p>
        </w:tc>
        <w:tc>
          <w:tcPr>
            <w:tcW w:type="dxa" w:w="45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name, parent_id, head_employee_id, cost_center</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employment_history</w:t>
            </w:r>
          </w:p>
        </w:tc>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Job changes audit</w:t>
            </w:r>
          </w:p>
        </w:tc>
        <w:tc>
          <w:tcPr>
            <w:tcW w:type="dxa" w:w="4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employee_id, from_date, to_date, position_id, salary</w:t>
            </w:r>
          </w:p>
        </w:tc>
      </w:tr>
      <w:tr>
        <w:tc>
          <w:tcPr>
            <w:tcW w:type="dxa" w:w="2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org_chart_nodes</w:t>
            </w:r>
          </w:p>
        </w:tc>
        <w:tc>
          <w:tcPr>
            <w:tcW w:type="dxa" w:w="2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Hierarchy cache</w:t>
            </w:r>
          </w:p>
        </w:tc>
        <w:tc>
          <w:tcPr>
            <w:tcW w:type="dxa" w:w="45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employee_id, manager_id, depth, path (ltree)</w:t>
            </w:r>
          </w:p>
        </w:tc>
      </w:tr>
    </w:tbl>
    <w:p>
      <w:pPr>
        <w:spacing w:after="0" w:before="80"/>
      </w:pPr>
      <w:r>
        <w:t xml:space="preserve"/>
      </w:r>
    </w:p>
    <w:p>
      <w:pPr>
        <w:pStyle w:val="Heading3"/>
        <w:spacing w:after="80" w:before="180"/>
      </w:pPr>
      <w:r>
        <w:rPr>
          <w:rFonts w:ascii="Arial" w:cs="Arial" w:eastAsia="Arial" w:hAnsi="Arial"/>
          <w:b/>
          <w:bCs/>
          <w:color w:val="4A5568"/>
          <w:sz w:val="24"/>
          <w:szCs w:val="24"/>
        </w:rPr>
        <w:t xml:space="preserve">NestJS REST Endpoints</w:t>
      </w:r>
    </w:p>
    <w:p>
      <w:pPr>
        <w:pStyle w:val="ListParagraph"/>
        <w:numPr>
          <w:ilvl w:val="0"/>
          <w:numId w:val="2"/>
        </w:numPr>
        <w:spacing w:after="60" w:before="60"/>
      </w:pPr>
      <w:r>
        <w:rPr>
          <w:rFonts w:ascii="Arial" w:cs="Arial" w:eastAsia="Arial" w:hAnsi="Arial"/>
          <w:color w:val="1A202C"/>
          <w:sz w:val="22"/>
          <w:szCs w:val="22"/>
        </w:rPr>
        <w:t xml:space="preserve">GET /employees — Paginated list with full-text search, filter, sort</w:t>
      </w:r>
    </w:p>
    <w:p>
      <w:pPr>
        <w:pStyle w:val="ListParagraph"/>
        <w:numPr>
          <w:ilvl w:val="0"/>
          <w:numId w:val="2"/>
        </w:numPr>
        <w:spacing w:after="60" w:before="60"/>
      </w:pPr>
      <w:r>
        <w:rPr>
          <w:rFonts w:ascii="Arial" w:cs="Arial" w:eastAsia="Arial" w:hAnsi="Arial"/>
          <w:color w:val="1A202C"/>
          <w:sz w:val="22"/>
          <w:szCs w:val="22"/>
        </w:rPr>
        <w:t xml:space="preserve">POST /employees — Create employee (triggers onboarding workflow)</w:t>
      </w:r>
    </w:p>
    <w:p>
      <w:pPr>
        <w:pStyle w:val="ListParagraph"/>
        <w:numPr>
          <w:ilvl w:val="0"/>
          <w:numId w:val="2"/>
        </w:numPr>
        <w:spacing w:after="60" w:before="60"/>
      </w:pPr>
      <w:r>
        <w:rPr>
          <w:rFonts w:ascii="Arial" w:cs="Arial" w:eastAsia="Arial" w:hAnsi="Arial"/>
          <w:color w:val="1A202C"/>
          <w:sz w:val="22"/>
          <w:szCs w:val="22"/>
        </w:rPr>
        <w:t xml:space="preserve">PATCH /employees/:id — Update with field-level audit log</w:t>
      </w:r>
    </w:p>
    <w:p>
      <w:pPr>
        <w:pStyle w:val="ListParagraph"/>
        <w:numPr>
          <w:ilvl w:val="0"/>
          <w:numId w:val="2"/>
        </w:numPr>
        <w:spacing w:after="60" w:before="60"/>
      </w:pPr>
      <w:r>
        <w:rPr>
          <w:rFonts w:ascii="Arial" w:cs="Arial" w:eastAsia="Arial" w:hAnsi="Arial"/>
          <w:color w:val="1A202C"/>
          <w:sz w:val="22"/>
          <w:szCs w:val="22"/>
        </w:rPr>
        <w:t xml:space="preserve">POST /employees/:id/transfer — Department/position transfer with history</w:t>
      </w:r>
    </w:p>
    <w:p>
      <w:pPr>
        <w:pStyle w:val="ListParagraph"/>
        <w:numPr>
          <w:ilvl w:val="0"/>
          <w:numId w:val="2"/>
        </w:numPr>
        <w:spacing w:after="60" w:before="60"/>
      </w:pPr>
      <w:r>
        <w:rPr>
          <w:rFonts w:ascii="Arial" w:cs="Arial" w:eastAsia="Arial" w:hAnsi="Arial"/>
          <w:color w:val="1A202C"/>
          <w:sz w:val="22"/>
          <w:szCs w:val="22"/>
        </w:rPr>
        <w:t xml:space="preserve">POST /employees/:id/terminate — Offboarding checklist + final settlement trigger</w:t>
      </w:r>
    </w:p>
    <w:p>
      <w:pPr>
        <w:pStyle w:val="ListParagraph"/>
        <w:numPr>
          <w:ilvl w:val="0"/>
          <w:numId w:val="2"/>
        </w:numPr>
        <w:spacing w:after="60" w:before="60"/>
      </w:pPr>
      <w:r>
        <w:rPr>
          <w:rFonts w:ascii="Arial" w:cs="Arial" w:eastAsia="Arial" w:hAnsi="Arial"/>
          <w:color w:val="1A202C"/>
          <w:sz w:val="22"/>
          <w:szCs w:val="22"/>
        </w:rPr>
        <w:t xml:space="preserve">GET /org-chart/:departmentId — Real-time org chart using Supabase ltree</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3.2 Payroll Engine</w:t>
      </w:r>
    </w:p>
    <w:p>
      <w:pPr>
        <w:spacing w:after="80" w:before="80"/>
      </w:pPr>
      <w:r>
        <w:rPr>
          <w:rFonts w:ascii="Arial" w:cs="Arial" w:eastAsia="Arial" w:hAnsi="Arial"/>
          <w:color w:val="1A202C"/>
          <w:sz w:val="22"/>
          <w:szCs w:val="22"/>
        </w:rPr>
        <w:t xml:space="preserve">The payroll engine is the highest-value module. It supports multi-currency payroll, country-specific statutory deductions, and generates IFRS-compliant payroll accounting entries.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BC9C" w:sz="1"/>
              <w:left w:val="single" w:color="1ABC9C" w:sz="1"/>
              <w:bottom w:val="single" w:color="1ABC9C" w:sz="1"/>
              <w:right w:val="single" w:color="1ABC9C" w:sz="1"/>
            </w:tcBorders>
            <w:shd w:fill="1ABC9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SUPPORTED REGIONS</w:t>
            </w:r>
          </w:p>
        </w:tc>
        <w:tc>
          <w:tcPr>
            <w:tcW w:type="dxa" w:w="7160"/>
            <w:tcBorders>
              <w:top w:val="single" w:color="1ABC9C" w:sz="1"/>
              <w:left w:val="single" w:color="1ABC9C" w:sz="1"/>
              <w:bottom w:val="single" w:color="1ABC9C" w:sz="1"/>
              <w:right w:val="single" w:color="1ABC9C" w:sz="1"/>
            </w:tcBorders>
            <w:shd w:fill="EAFAF1" w:val="clear"/>
            <w:tcMar>
              <w:top w:type="dxa" w:w="100"/>
              <w:left w:type="dxa" w:w="140"/>
              <w:bottom w:type="dxa" w:w="100"/>
              <w:right w:type="dxa" w:w="140"/>
            </w:tcMar>
          </w:tcPr>
          <w:p>
            <w:r>
              <w:rPr>
                <w:rFonts w:ascii="Arial" w:cs="Arial" w:eastAsia="Arial" w:hAnsi="Arial"/>
                <w:color w:val="1A202C"/>
                <w:sz w:val="20"/>
                <w:szCs w:val="20"/>
              </w:rPr>
              <w:t xml:space="preserve">Bangladesh (BEPZA, PF, Gratuity) · India (TDS, PF, ESI, PT) · UAE (DEWS, WPS) · UK (PAYE, NI, Pension) · USA (Federal/State, 401k) · Singapore (CPF) · Saudi Arabia (GOSI)</w:t>
            </w:r>
          </w:p>
        </w:tc>
      </w:tr>
    </w:tbl>
    <w:p>
      <w:pPr>
        <w:spacing w:after="0" w:before="80"/>
      </w:pPr>
      <w:r>
        <w:t xml:space="preserve"/>
      </w:r>
    </w:p>
    <w:p>
      <w:pPr>
        <w:pStyle w:val="Heading3"/>
        <w:spacing w:after="80" w:before="180"/>
      </w:pPr>
      <w:r>
        <w:rPr>
          <w:rFonts w:ascii="Arial" w:cs="Arial" w:eastAsia="Arial" w:hAnsi="Arial"/>
          <w:b/>
          <w:bCs/>
          <w:color w:val="4A5568"/>
          <w:sz w:val="24"/>
          <w:szCs w:val="24"/>
        </w:rPr>
        <w:t xml:space="preserve">Payroll Processing Pipeline (BullMQ Queue)</w:t>
      </w:r>
    </w:p>
    <w:p>
      <w:pPr>
        <w:pStyle w:val="ListParagraph"/>
        <w:numPr>
          <w:ilvl w:val="0"/>
          <w:numId w:val="3"/>
        </w:numPr>
        <w:spacing w:after="60" w:before="60"/>
      </w:pPr>
      <w:r>
        <w:rPr>
          <w:rFonts w:ascii="Arial" w:cs="Arial" w:eastAsia="Arial" w:hAnsi="Arial"/>
          <w:color w:val="1A202C"/>
          <w:sz w:val="22"/>
          <w:szCs w:val="22"/>
        </w:rPr>
        <w:t xml:space="preserve">Lock payroll period — prevents concurrent modifications</w:t>
      </w:r>
    </w:p>
    <w:p>
      <w:pPr>
        <w:pStyle w:val="ListParagraph"/>
        <w:numPr>
          <w:ilvl w:val="0"/>
          <w:numId w:val="3"/>
        </w:numPr>
        <w:spacing w:after="60" w:before="60"/>
      </w:pPr>
      <w:r>
        <w:rPr>
          <w:rFonts w:ascii="Arial" w:cs="Arial" w:eastAsia="Arial" w:hAnsi="Arial"/>
          <w:color w:val="1A202C"/>
          <w:sz w:val="22"/>
          <w:szCs w:val="22"/>
        </w:rPr>
        <w:t xml:space="preserve">Aggregate attendance, leave, overtime data for the pay period</w:t>
      </w:r>
    </w:p>
    <w:p>
      <w:pPr>
        <w:pStyle w:val="ListParagraph"/>
        <w:numPr>
          <w:ilvl w:val="0"/>
          <w:numId w:val="3"/>
        </w:numPr>
        <w:spacing w:after="60" w:before="60"/>
      </w:pPr>
      <w:r>
        <w:rPr>
          <w:rFonts w:ascii="Arial" w:cs="Arial" w:eastAsia="Arial" w:hAnsi="Arial"/>
          <w:color w:val="1A202C"/>
          <w:sz w:val="22"/>
          <w:szCs w:val="22"/>
        </w:rPr>
        <w:t xml:space="preserve">Apply salary components (Basic, HRA, Allowances, Deductions per structure)</w:t>
      </w:r>
    </w:p>
    <w:p>
      <w:pPr>
        <w:pStyle w:val="ListParagraph"/>
        <w:numPr>
          <w:ilvl w:val="0"/>
          <w:numId w:val="3"/>
        </w:numPr>
        <w:spacing w:after="60" w:before="60"/>
      </w:pPr>
      <w:r>
        <w:rPr>
          <w:rFonts w:ascii="Arial" w:cs="Arial" w:eastAsia="Arial" w:hAnsi="Arial"/>
          <w:color w:val="1A202C"/>
          <w:sz w:val="22"/>
          <w:szCs w:val="22"/>
        </w:rPr>
        <w:t xml:space="preserve">Run country-specific statutory deduction calculator</w:t>
      </w:r>
    </w:p>
    <w:p>
      <w:pPr>
        <w:pStyle w:val="ListParagraph"/>
        <w:numPr>
          <w:ilvl w:val="0"/>
          <w:numId w:val="3"/>
        </w:numPr>
        <w:spacing w:after="60" w:before="60"/>
      </w:pPr>
      <w:r>
        <w:rPr>
          <w:rFonts w:ascii="Arial" w:cs="Arial" w:eastAsia="Arial" w:hAnsi="Arial"/>
          <w:color w:val="1A202C"/>
          <w:sz w:val="22"/>
          <w:szCs w:val="22"/>
        </w:rPr>
        <w:t xml:space="preserve">Apply one-time adjustments, arrears, bonus amounts</w:t>
      </w:r>
    </w:p>
    <w:p>
      <w:pPr>
        <w:pStyle w:val="ListParagraph"/>
        <w:numPr>
          <w:ilvl w:val="0"/>
          <w:numId w:val="3"/>
        </w:numPr>
        <w:spacing w:after="60" w:before="60"/>
      </w:pPr>
      <w:r>
        <w:rPr>
          <w:rFonts w:ascii="Arial" w:cs="Arial" w:eastAsia="Arial" w:hAnsi="Arial"/>
          <w:color w:val="1A202C"/>
          <w:sz w:val="22"/>
          <w:szCs w:val="22"/>
        </w:rPr>
        <w:t xml:space="preserve">Generate payslip PDF per employee (stored in Supabase Storage)</w:t>
      </w:r>
    </w:p>
    <w:p>
      <w:pPr>
        <w:pStyle w:val="ListParagraph"/>
        <w:numPr>
          <w:ilvl w:val="0"/>
          <w:numId w:val="3"/>
        </w:numPr>
        <w:spacing w:after="60" w:before="60"/>
      </w:pPr>
      <w:r>
        <w:rPr>
          <w:rFonts w:ascii="Arial" w:cs="Arial" w:eastAsia="Arial" w:hAnsi="Arial"/>
          <w:color w:val="1A202C"/>
          <w:sz w:val="22"/>
          <w:szCs w:val="22"/>
        </w:rPr>
        <w:t xml:space="preserve">Create GL journal entries (export to QuickBooks / Xero / SAP)</w:t>
      </w:r>
    </w:p>
    <w:p>
      <w:pPr>
        <w:pStyle w:val="ListParagraph"/>
        <w:numPr>
          <w:ilvl w:val="0"/>
          <w:numId w:val="3"/>
        </w:numPr>
        <w:spacing w:after="60" w:before="60"/>
      </w:pPr>
      <w:r>
        <w:rPr>
          <w:rFonts w:ascii="Arial" w:cs="Arial" w:eastAsia="Arial" w:hAnsi="Arial"/>
          <w:color w:val="1A202C"/>
          <w:sz w:val="22"/>
          <w:szCs w:val="22"/>
        </w:rPr>
        <w:t xml:space="preserve">Trigger payslip distribution via email and ESS portal notification</w:t>
      </w:r>
    </w:p>
    <w:p>
      <w:pPr>
        <w:pStyle w:val="ListParagraph"/>
        <w:numPr>
          <w:ilvl w:val="0"/>
          <w:numId w:val="3"/>
        </w:numPr>
        <w:spacing w:after="60" w:before="60"/>
      </w:pPr>
      <w:r>
        <w:rPr>
          <w:rFonts w:ascii="Arial" w:cs="Arial" w:eastAsia="Arial" w:hAnsi="Arial"/>
          <w:color w:val="1A202C"/>
          <w:sz w:val="22"/>
          <w:szCs w:val="22"/>
        </w:rPr>
        <w:t xml:space="preserve">Unlock period, archive payroll run with full audit trail</w:t>
      </w:r>
    </w:p>
    <w:p>
      <w:pPr>
        <w:spacing w:after="0" w:before="80"/>
      </w:pPr>
      <w:r>
        <w:t xml:space="preserve"/>
      </w:r>
    </w:p>
    <w:p>
      <w:pPr>
        <w:pStyle w:val="Heading3"/>
        <w:spacing w:after="80" w:before="180"/>
      </w:pPr>
      <w:r>
        <w:rPr>
          <w:rFonts w:ascii="Arial" w:cs="Arial" w:eastAsia="Arial" w:hAnsi="Arial"/>
          <w:b/>
          <w:bCs/>
          <w:color w:val="4A5568"/>
          <w:sz w:val="24"/>
          <w:szCs w:val="24"/>
        </w:rPr>
        <w:t xml:space="preserve">Payroll Schema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Table</w:t>
            </w:r>
          </w:p>
        </w:tc>
        <w:tc>
          <w:tcPr>
            <w:tcW w:type="dxa" w:w="656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payroll_periods</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Monthly/bi-weekly run definitions with lock status and approver</w:t>
            </w:r>
          </w:p>
        </w:tc>
      </w:tr>
      <w:tr>
        <w:tc>
          <w:tcPr>
            <w:tcW w:type="dxa" w:w="2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salary_structures</w:t>
            </w:r>
          </w:p>
        </w:tc>
        <w:tc>
          <w:tcPr>
            <w:tcW w:type="dxa" w:w="65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Template defining component calculation rules per grade/band</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salary_components</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Individual earnings/deductions (Basic, HRA, PF, Income Tax)</w:t>
            </w:r>
          </w:p>
        </w:tc>
      </w:tr>
      <w:tr>
        <w:tc>
          <w:tcPr>
            <w:tcW w:type="dxa" w:w="2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employee_salaries</w:t>
            </w:r>
          </w:p>
        </w:tc>
        <w:tc>
          <w:tcPr>
            <w:tcW w:type="dxa" w:w="65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Effective-dated salary assignments with revision history</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payroll_runs</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Execution log per period (status, processed_count, total_cost)</w:t>
            </w:r>
          </w:p>
        </w:tc>
      </w:tr>
      <w:tr>
        <w:tc>
          <w:tcPr>
            <w:tcW w:type="dxa" w:w="2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payslip_lines</w:t>
            </w:r>
          </w:p>
        </w:tc>
        <w:tc>
          <w:tcPr>
            <w:tcW w:type="dxa" w:w="65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Row-level payslip data per component (amount, ytd, tax_ytd)</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statutory_configs</w:t>
            </w:r>
          </w:p>
        </w:tc>
        <w:tc>
          <w:tcPr>
            <w:tcW w:type="dxa" w:w="6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Country-specific tax/statutory rules stored as versioned JSON</w:t>
            </w:r>
          </w:p>
        </w:tc>
      </w:tr>
    </w:tbl>
    <w:p>
      <w:r>
        <w:br w:type="page"/>
      </w:r>
    </w:p>
    <w:p>
      <w:pPr>
        <w:pStyle w:val="Heading2"/>
        <w:spacing w:after="120" w:before="280"/>
      </w:pPr>
      <w:r>
        <w:rPr>
          <w:rFonts w:ascii="Arial" w:cs="Arial" w:eastAsia="Arial" w:hAnsi="Arial"/>
          <w:b/>
          <w:bCs/>
          <w:color w:val="2E75B6"/>
          <w:sz w:val="28"/>
          <w:szCs w:val="28"/>
        </w:rPr>
        <w:t xml:space="preserve">3.3 Leave Management</w:t>
      </w:r>
    </w:p>
    <w:p>
      <w:pPr>
        <w:spacing w:after="80" w:before="80"/>
      </w:pPr>
      <w:r>
        <w:rPr>
          <w:rFonts w:ascii="Arial" w:cs="Arial" w:eastAsia="Arial" w:hAnsi="Arial"/>
          <w:color w:val="1A202C"/>
          <w:sz w:val="22"/>
          <w:szCs w:val="22"/>
        </w:rPr>
        <w:t xml:space="preserve">A policy-driven leave engine that supports unlimited leave policies, multi-approval workflows, and automatic statutory compliance for each country's mandatory leave entitlements.</w:t>
      </w:r>
    </w:p>
    <w:p>
      <w:pPr>
        <w:pStyle w:val="ListParagraph"/>
        <w:numPr>
          <w:ilvl w:val="0"/>
          <w:numId w:val="2"/>
        </w:numPr>
        <w:spacing w:after="60" w:before="60"/>
      </w:pPr>
      <w:r>
        <w:rPr>
          <w:rFonts w:ascii="Arial" w:cs="Arial" w:eastAsia="Arial" w:hAnsi="Arial"/>
          <w:color w:val="1A202C"/>
          <w:sz w:val="22"/>
          <w:szCs w:val="22"/>
        </w:rPr>
        <w:t xml:space="preserve">Leave Types: Annual, Sick, Maternity/Paternity, Unpaid, Compensatory, Emergency, Custom</w:t>
      </w:r>
    </w:p>
    <w:p>
      <w:pPr>
        <w:pStyle w:val="ListParagraph"/>
        <w:numPr>
          <w:ilvl w:val="0"/>
          <w:numId w:val="2"/>
        </w:numPr>
        <w:spacing w:after="60" w:before="60"/>
      </w:pPr>
      <w:r>
        <w:rPr>
          <w:rFonts w:ascii="Arial" w:cs="Arial" w:eastAsia="Arial" w:hAnsi="Arial"/>
          <w:color w:val="1A202C"/>
          <w:sz w:val="22"/>
          <w:szCs w:val="22"/>
        </w:rPr>
        <w:t xml:space="preserve">Accrual Engine: Monthly/annual accrual with pro-rata for joiners and leavers</w:t>
      </w:r>
    </w:p>
    <w:p>
      <w:pPr>
        <w:pStyle w:val="ListParagraph"/>
        <w:numPr>
          <w:ilvl w:val="0"/>
          <w:numId w:val="2"/>
        </w:numPr>
        <w:spacing w:after="60" w:before="60"/>
      </w:pPr>
      <w:r>
        <w:rPr>
          <w:rFonts w:ascii="Arial" w:cs="Arial" w:eastAsia="Arial" w:hAnsi="Arial"/>
          <w:color w:val="1A202C"/>
          <w:sz w:val="22"/>
          <w:szCs w:val="22"/>
        </w:rPr>
        <w:t xml:space="preserve">Carryover Rules: Configurable cap with auto-lapse on policy deadline dates</w:t>
      </w:r>
    </w:p>
    <w:p>
      <w:pPr>
        <w:pStyle w:val="ListParagraph"/>
        <w:numPr>
          <w:ilvl w:val="0"/>
          <w:numId w:val="2"/>
        </w:numPr>
        <w:spacing w:after="60" w:before="60"/>
      </w:pPr>
      <w:r>
        <w:rPr>
          <w:rFonts w:ascii="Arial" w:cs="Arial" w:eastAsia="Arial" w:hAnsi="Arial"/>
          <w:color w:val="1A202C"/>
          <w:sz w:val="22"/>
          <w:szCs w:val="22"/>
        </w:rPr>
        <w:t xml:space="preserve">Multi-level Approval: Configurable approval chain (manager → HR → skip-level)</w:t>
      </w:r>
    </w:p>
    <w:p>
      <w:pPr>
        <w:pStyle w:val="ListParagraph"/>
        <w:numPr>
          <w:ilvl w:val="0"/>
          <w:numId w:val="2"/>
        </w:numPr>
        <w:spacing w:after="60" w:before="60"/>
      </w:pPr>
      <w:r>
        <w:rPr>
          <w:rFonts w:ascii="Arial" w:cs="Arial" w:eastAsia="Arial" w:hAnsi="Arial"/>
          <w:color w:val="1A202C"/>
          <w:sz w:val="22"/>
          <w:szCs w:val="22"/>
        </w:rPr>
        <w:t xml:space="preserve">Calendar Integration: Conflict check against public holidays (per country) and team calendar</w:t>
      </w:r>
    </w:p>
    <w:p>
      <w:pPr>
        <w:pStyle w:val="ListParagraph"/>
        <w:numPr>
          <w:ilvl w:val="0"/>
          <w:numId w:val="2"/>
        </w:numPr>
        <w:spacing w:after="60" w:before="60"/>
      </w:pPr>
      <w:r>
        <w:rPr>
          <w:rFonts w:ascii="Arial" w:cs="Arial" w:eastAsia="Arial" w:hAnsi="Arial"/>
          <w:color w:val="1A202C"/>
          <w:sz w:val="22"/>
          <w:szCs w:val="22"/>
        </w:rPr>
        <w:t xml:space="preserve">Statutory Defaults: Pre-loaded leave entitlements for 40+ countries</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3.4 Recruitment &amp; ATS</w:t>
      </w:r>
    </w:p>
    <w:p>
      <w:pPr>
        <w:spacing w:after="80" w:before="80"/>
      </w:pPr>
      <w:r>
        <w:rPr>
          <w:rFonts w:ascii="Arial" w:cs="Arial" w:eastAsia="Arial" w:hAnsi="Arial"/>
          <w:color w:val="1A202C"/>
          <w:sz w:val="22"/>
          <w:szCs w:val="22"/>
        </w:rPr>
        <w:t xml:space="preserve">A full applicant tracking system integrated with LinkedIn, Indeed, and custom job boards. GDPR-compliant candidate data handling with consent management built in.</w:t>
      </w:r>
    </w:p>
    <w:p>
      <w:pPr>
        <w:pStyle w:val="ListParagraph"/>
        <w:numPr>
          <w:ilvl w:val="0"/>
          <w:numId w:val="2"/>
        </w:numPr>
        <w:spacing w:after="60" w:before="60"/>
      </w:pPr>
      <w:r>
        <w:rPr>
          <w:rFonts w:ascii="Arial" w:cs="Arial" w:eastAsia="Arial" w:hAnsi="Arial"/>
          <w:color w:val="1A202C"/>
          <w:sz w:val="22"/>
          <w:szCs w:val="22"/>
        </w:rPr>
        <w:t xml:space="preserve">Full workflow: Job Requisition → Approval → Publishing → Pipeline → Offer → Onboard</w:t>
      </w:r>
    </w:p>
    <w:p>
      <w:pPr>
        <w:pStyle w:val="ListParagraph"/>
        <w:numPr>
          <w:ilvl w:val="0"/>
          <w:numId w:val="2"/>
        </w:numPr>
        <w:spacing w:after="60" w:before="60"/>
      </w:pPr>
      <w:r>
        <w:rPr>
          <w:rFonts w:ascii="Arial" w:cs="Arial" w:eastAsia="Arial" w:hAnsi="Arial"/>
          <w:color w:val="1A202C"/>
          <w:sz w:val="22"/>
          <w:szCs w:val="22"/>
        </w:rPr>
        <w:t xml:space="preserve">AI-assisted JD generation via Anthropic Claude API integration</w:t>
      </w:r>
    </w:p>
    <w:p>
      <w:pPr>
        <w:pStyle w:val="ListParagraph"/>
        <w:numPr>
          <w:ilvl w:val="0"/>
          <w:numId w:val="2"/>
        </w:numPr>
        <w:spacing w:after="60" w:before="60"/>
      </w:pPr>
      <w:r>
        <w:rPr>
          <w:rFonts w:ascii="Arial" w:cs="Arial" w:eastAsia="Arial" w:hAnsi="Arial"/>
          <w:color w:val="1A202C"/>
          <w:sz w:val="22"/>
          <w:szCs w:val="22"/>
        </w:rPr>
        <w:t xml:space="preserve">Structured interview scorecard builder with calibrated rating scales</w:t>
      </w:r>
    </w:p>
    <w:p>
      <w:pPr>
        <w:pStyle w:val="ListParagraph"/>
        <w:numPr>
          <w:ilvl w:val="0"/>
          <w:numId w:val="2"/>
        </w:numPr>
        <w:spacing w:after="60" w:before="60"/>
      </w:pPr>
      <w:r>
        <w:rPr>
          <w:rFonts w:ascii="Arial" w:cs="Arial" w:eastAsia="Arial" w:hAnsi="Arial"/>
          <w:color w:val="1A202C"/>
          <w:sz w:val="22"/>
          <w:szCs w:val="22"/>
        </w:rPr>
        <w:t xml:space="preserve">EEOC / diversity reporting built-in for US market compliance</w:t>
      </w:r>
    </w:p>
    <w:p>
      <w:pPr>
        <w:pStyle w:val="ListParagraph"/>
        <w:numPr>
          <w:ilvl w:val="0"/>
          <w:numId w:val="2"/>
        </w:numPr>
        <w:spacing w:after="60" w:before="60"/>
      </w:pPr>
      <w:r>
        <w:rPr>
          <w:rFonts w:ascii="Arial" w:cs="Arial" w:eastAsia="Arial" w:hAnsi="Arial"/>
          <w:color w:val="1A202C"/>
          <w:sz w:val="22"/>
          <w:szCs w:val="22"/>
        </w:rPr>
        <w:t xml:space="preserve">Candidate data auto-deletion policy (GDPR Right to Erasure, configurable retention)</w:t>
      </w:r>
    </w:p>
    <w:p>
      <w:pPr>
        <w:pStyle w:val="ListParagraph"/>
        <w:numPr>
          <w:ilvl w:val="0"/>
          <w:numId w:val="2"/>
        </w:numPr>
        <w:spacing w:after="60" w:before="60"/>
      </w:pPr>
      <w:r>
        <w:rPr>
          <w:rFonts w:ascii="Arial" w:cs="Arial" w:eastAsia="Arial" w:hAnsi="Arial"/>
          <w:color w:val="1A202C"/>
          <w:sz w:val="22"/>
          <w:szCs w:val="22"/>
        </w:rPr>
        <w:t xml:space="preserve">Integrations: LinkedIn Talent Hub, Indeed, Naukri, Bayt.com</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3.5 Performance Management</w:t>
      </w:r>
    </w:p>
    <w:p>
      <w:pPr>
        <w:spacing w:after="80" w:before="80"/>
      </w:pPr>
      <w:r>
        <w:rPr>
          <w:rFonts w:ascii="Arial" w:cs="Arial" w:eastAsia="Arial" w:hAnsi="Arial"/>
          <w:color w:val="1A202C"/>
          <w:sz w:val="22"/>
          <w:szCs w:val="22"/>
        </w:rPr>
        <w:t xml:space="preserve">Supports three frameworks simultaneously — OKR (Objectives &amp; Key Results), KPI scorecards, and 360-degree feedback — configurable per tenant.</w:t>
      </w:r>
    </w:p>
    <w:p>
      <w:pPr>
        <w:pStyle w:val="ListParagraph"/>
        <w:numPr>
          <w:ilvl w:val="0"/>
          <w:numId w:val="2"/>
        </w:numPr>
        <w:spacing w:after="60" w:before="60"/>
      </w:pPr>
      <w:r>
        <w:rPr>
          <w:rFonts w:ascii="Arial" w:cs="Arial" w:eastAsia="Arial" w:hAnsi="Arial"/>
          <w:color w:val="1A202C"/>
          <w:sz w:val="22"/>
          <w:szCs w:val="22"/>
        </w:rPr>
        <w:t xml:space="preserve">Goal cascading: Company → Department → Team → Individual</w:t>
      </w:r>
    </w:p>
    <w:p>
      <w:pPr>
        <w:pStyle w:val="ListParagraph"/>
        <w:numPr>
          <w:ilvl w:val="0"/>
          <w:numId w:val="2"/>
        </w:numPr>
        <w:spacing w:after="60" w:before="60"/>
      </w:pPr>
      <w:r>
        <w:rPr>
          <w:rFonts w:ascii="Arial" w:cs="Arial" w:eastAsia="Arial" w:hAnsi="Arial"/>
          <w:color w:val="1A202C"/>
          <w:sz w:val="22"/>
          <w:szCs w:val="22"/>
        </w:rPr>
        <w:t xml:space="preserve">Review cycles: Quarterly check-ins + Annual appraisals with configurable forms</w:t>
      </w:r>
    </w:p>
    <w:p>
      <w:pPr>
        <w:pStyle w:val="ListParagraph"/>
        <w:numPr>
          <w:ilvl w:val="0"/>
          <w:numId w:val="2"/>
        </w:numPr>
        <w:spacing w:after="60" w:before="60"/>
      </w:pPr>
      <w:r>
        <w:rPr>
          <w:rFonts w:ascii="Arial" w:cs="Arial" w:eastAsia="Arial" w:hAnsi="Arial"/>
          <w:color w:val="1A202C"/>
          <w:sz w:val="22"/>
          <w:szCs w:val="22"/>
        </w:rPr>
        <w:t xml:space="preserve">Calibration tool: Bell curve normalization with forced distribution settings</w:t>
      </w:r>
    </w:p>
    <w:p>
      <w:pPr>
        <w:pStyle w:val="ListParagraph"/>
        <w:numPr>
          <w:ilvl w:val="0"/>
          <w:numId w:val="2"/>
        </w:numPr>
        <w:spacing w:after="60" w:before="60"/>
      </w:pPr>
      <w:r>
        <w:rPr>
          <w:rFonts w:ascii="Arial" w:cs="Arial" w:eastAsia="Arial" w:hAnsi="Arial"/>
          <w:color w:val="1A202C"/>
          <w:sz w:val="22"/>
          <w:szCs w:val="22"/>
        </w:rPr>
        <w:t xml:space="preserve">Competency framework builder with behavioral indicators per role family</w:t>
      </w:r>
    </w:p>
    <w:p>
      <w:pPr>
        <w:pStyle w:val="ListParagraph"/>
        <w:numPr>
          <w:ilvl w:val="0"/>
          <w:numId w:val="2"/>
        </w:numPr>
        <w:spacing w:after="60" w:before="60"/>
      </w:pPr>
      <w:r>
        <w:rPr>
          <w:rFonts w:ascii="Arial" w:cs="Arial" w:eastAsia="Arial" w:hAnsi="Arial"/>
          <w:color w:val="1A202C"/>
          <w:sz w:val="22"/>
          <w:szCs w:val="22"/>
        </w:rPr>
        <w:t xml:space="preserve">PIP (Performance Improvement Plan) workflow with legal compliance documentation</w:t>
      </w:r>
    </w:p>
    <w:p>
      <w:r>
        <w:br w:type="page"/>
      </w:r>
    </w:p>
    <w:p>
      <w:pPr>
        <w:pStyle w:val="Heading1"/>
        <w:pBdr>
          <w:bottom w:val="single" w:color="2E75B6" w:sz="8" w:space="6"/>
        </w:pBdr>
        <w:spacing w:after="160" w:before="360"/>
      </w:pPr>
      <w:r>
        <w:rPr>
          <w:rFonts w:ascii="Arial" w:cs="Arial" w:eastAsia="Arial" w:hAnsi="Arial"/>
          <w:b/>
          <w:bCs/>
          <w:color w:val="1E4D8C"/>
          <w:sz w:val="36"/>
          <w:szCs w:val="36"/>
        </w:rPr>
        <w:t xml:space="preserve">4. Database Design (Supabase / PostgreSQL)</w:t>
      </w:r>
    </w:p>
    <w:p>
      <w:pPr>
        <w:pStyle w:val="Heading2"/>
        <w:spacing w:after="120" w:before="280"/>
      </w:pPr>
      <w:r>
        <w:rPr>
          <w:rFonts w:ascii="Arial" w:cs="Arial" w:eastAsia="Arial" w:hAnsi="Arial"/>
          <w:b/>
          <w:bCs/>
          <w:color w:val="2E75B6"/>
          <w:sz w:val="28"/>
          <w:szCs w:val="28"/>
        </w:rPr>
        <w:t xml:space="preserve">4.1 Schema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Schema</w:t>
            </w:r>
          </w:p>
        </w:tc>
        <w:tc>
          <w:tcPr>
            <w:tcW w:type="dxa" w:w="26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Purpose</w:t>
            </w:r>
          </w:p>
        </w:tc>
        <w:tc>
          <w:tcPr>
            <w:tcW w:type="dxa" w:w="496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Example Tables</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public</w:t>
            </w:r>
          </w:p>
        </w:tc>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Shared tenant registry</w:t>
            </w:r>
          </w:p>
        </w:tc>
        <w:tc>
          <w:tcPr>
            <w:tcW w:type="dxa" w:w="4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tenants, plans, regions, currencies, feature_flags</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hr_core</w:t>
            </w:r>
          </w:p>
        </w:tc>
        <w:tc>
          <w:tcPr>
            <w:tcW w:type="dxa" w:w="2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Employee master data</w:t>
            </w:r>
          </w:p>
        </w:tc>
        <w:tc>
          <w:tcPr>
            <w:tcW w:type="dxa" w:w="49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employees, departments, positions, org_chart_nodes</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hr_payroll</w:t>
            </w:r>
          </w:p>
        </w:tc>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Payroll engine</w:t>
            </w:r>
          </w:p>
        </w:tc>
        <w:tc>
          <w:tcPr>
            <w:tcW w:type="dxa" w:w="4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payroll_runs, payslip_lines, salary_components</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hr_leave</w:t>
            </w:r>
          </w:p>
        </w:tc>
        <w:tc>
          <w:tcPr>
            <w:tcW w:type="dxa" w:w="2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Leave management</w:t>
            </w:r>
          </w:p>
        </w:tc>
        <w:tc>
          <w:tcPr>
            <w:tcW w:type="dxa" w:w="49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leave_policies, leave_requests, leave_accruals</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hr_recruit</w:t>
            </w:r>
          </w:p>
        </w:tc>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ATS pipeline</w:t>
            </w:r>
          </w:p>
        </w:tc>
        <w:tc>
          <w:tcPr>
            <w:tcW w:type="dxa" w:w="4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jobs, applications, interviews, offers</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hr_perf</w:t>
            </w:r>
          </w:p>
        </w:tc>
        <w:tc>
          <w:tcPr>
            <w:tcW w:type="dxa" w:w="2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Performance mgmt</w:t>
            </w:r>
          </w:p>
        </w:tc>
        <w:tc>
          <w:tcPr>
            <w:tcW w:type="dxa" w:w="49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goals, reviews, ratings, 360_feedback</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hr_compliance</w:t>
            </w:r>
          </w:p>
        </w:tc>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Audit &amp; compliance</w:t>
            </w:r>
          </w:p>
        </w:tc>
        <w:tc>
          <w:tcPr>
            <w:tcW w:type="dxa" w:w="4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audit_logs, policy_documents, regulatory_alerts</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hr_lms</w:t>
            </w:r>
          </w:p>
        </w:tc>
        <w:tc>
          <w:tcPr>
            <w:tcW w:type="dxa" w:w="2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Learning &amp; development</w:t>
            </w:r>
          </w:p>
        </w:tc>
        <w:tc>
          <w:tcPr>
            <w:tcW w:type="dxa" w:w="49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courses, enrollments, completions, certificates</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hr_analytics</w:t>
            </w:r>
          </w:p>
        </w:tc>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Materialized views</w:t>
            </w:r>
          </w:p>
        </w:tc>
        <w:tc>
          <w:tcPr>
            <w:tcW w:type="dxa" w:w="4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employee_headcount_mv, turnover_mv, payroll_cost_mv</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4.2 Row-Level Security (RLS) Strategy</w:t>
      </w:r>
    </w:p>
    <w:p>
      <w:pPr>
        <w:pStyle w:val="ListParagraph"/>
        <w:numPr>
          <w:ilvl w:val="0"/>
          <w:numId w:val="2"/>
        </w:numPr>
        <w:spacing w:after="60" w:before="60"/>
      </w:pPr>
      <w:r>
        <w:rPr>
          <w:rFonts w:ascii="Arial" w:cs="Arial" w:eastAsia="Arial" w:hAnsi="Arial"/>
          <w:color w:val="1A202C"/>
          <w:sz w:val="22"/>
          <w:szCs w:val="22"/>
        </w:rPr>
        <w:t xml:space="preserve">Every table has RLS enabled with DENY-by-default policy</w:t>
      </w:r>
    </w:p>
    <w:p>
      <w:pPr>
        <w:pStyle w:val="ListParagraph"/>
        <w:numPr>
          <w:ilvl w:val="0"/>
          <w:numId w:val="2"/>
        </w:numPr>
        <w:spacing w:after="60" w:before="60"/>
      </w:pPr>
      <w:r>
        <w:rPr>
          <w:rFonts w:ascii="Arial" w:cs="Arial" w:eastAsia="Arial" w:hAnsi="Arial"/>
          <w:color w:val="1A202C"/>
          <w:sz w:val="22"/>
          <w:szCs w:val="22"/>
        </w:rPr>
        <w:t xml:space="preserve">Tenant isolation: WHERE tenant_id = (auth.jwt() -&gt;&gt; 'tenant_id')::uuid</w:t>
      </w:r>
    </w:p>
    <w:p>
      <w:pPr>
        <w:pStyle w:val="ListParagraph"/>
        <w:numPr>
          <w:ilvl w:val="0"/>
          <w:numId w:val="2"/>
        </w:numPr>
        <w:spacing w:after="60" w:before="60"/>
      </w:pPr>
      <w:r>
        <w:rPr>
          <w:rFonts w:ascii="Arial" w:cs="Arial" w:eastAsia="Arial" w:hAnsi="Arial"/>
          <w:color w:val="1A202C"/>
          <w:sz w:val="22"/>
          <w:szCs w:val="22"/>
        </w:rPr>
        <w:t xml:space="preserve">Role-based: HR Admin can SELECT/INSERT/UPDATE/DELETE; Employee can SELECT own records only</w:t>
      </w:r>
    </w:p>
    <w:p>
      <w:pPr>
        <w:pStyle w:val="ListParagraph"/>
        <w:numPr>
          <w:ilvl w:val="0"/>
          <w:numId w:val="2"/>
        </w:numPr>
        <w:spacing w:after="60" w:before="60"/>
      </w:pPr>
      <w:r>
        <w:rPr>
          <w:rFonts w:ascii="Arial" w:cs="Arial" w:eastAsia="Arial" w:hAnsi="Arial"/>
          <w:color w:val="1A202C"/>
          <w:sz w:val="22"/>
          <w:szCs w:val="22"/>
        </w:rPr>
        <w:t xml:space="preserve">Manager scope: Managers can view direct reports via org_chart_nodes hierarchy</w:t>
      </w:r>
    </w:p>
    <w:p>
      <w:pPr>
        <w:pStyle w:val="ListParagraph"/>
        <w:numPr>
          <w:ilvl w:val="0"/>
          <w:numId w:val="2"/>
        </w:numPr>
        <w:spacing w:after="60" w:before="60"/>
      </w:pPr>
      <w:r>
        <w:rPr>
          <w:rFonts w:ascii="Arial" w:cs="Arial" w:eastAsia="Arial" w:hAnsi="Arial"/>
          <w:color w:val="1A202C"/>
          <w:sz w:val="22"/>
          <w:szCs w:val="22"/>
        </w:rPr>
        <w:t xml:space="preserve">Payroll data: pgcrypto encryption for salary fields + additional RLS on payroll schema</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4.3 Key PostgreSQL Extensions</w:t>
      </w:r>
    </w:p>
    <w:p>
      <w:pPr>
        <w:pStyle w:val="ListParagraph"/>
        <w:numPr>
          <w:ilvl w:val="0"/>
          <w:numId w:val="2"/>
        </w:numPr>
        <w:spacing w:after="60" w:before="60"/>
      </w:pPr>
      <w:r>
        <w:rPr>
          <w:rFonts w:ascii="Arial" w:cs="Arial" w:eastAsia="Arial" w:hAnsi="Arial"/>
          <w:color w:val="1A202C"/>
          <w:sz w:val="22"/>
          <w:szCs w:val="22"/>
        </w:rPr>
        <w:t xml:space="preserve">ltree — Org chart hierarchy traversal (ancestor/descendant queries)</w:t>
      </w:r>
    </w:p>
    <w:p>
      <w:pPr>
        <w:pStyle w:val="ListParagraph"/>
        <w:numPr>
          <w:ilvl w:val="0"/>
          <w:numId w:val="2"/>
        </w:numPr>
        <w:spacing w:after="60" w:before="60"/>
      </w:pPr>
      <w:r>
        <w:rPr>
          <w:rFonts w:ascii="Arial" w:cs="Arial" w:eastAsia="Arial" w:hAnsi="Arial"/>
          <w:color w:val="1A202C"/>
          <w:sz w:val="22"/>
          <w:szCs w:val="22"/>
        </w:rPr>
        <w:t xml:space="preserve">pg_trgm — Full-text fuzzy search on employee names and documents</w:t>
      </w:r>
    </w:p>
    <w:p>
      <w:pPr>
        <w:pStyle w:val="ListParagraph"/>
        <w:numPr>
          <w:ilvl w:val="0"/>
          <w:numId w:val="2"/>
        </w:numPr>
        <w:spacing w:after="60" w:before="60"/>
      </w:pPr>
      <w:r>
        <w:rPr>
          <w:rFonts w:ascii="Arial" w:cs="Arial" w:eastAsia="Arial" w:hAnsi="Arial"/>
          <w:color w:val="1A202C"/>
          <w:sz w:val="22"/>
          <w:szCs w:val="22"/>
        </w:rPr>
        <w:t xml:space="preserve">pgcrypto — Encrypted storage for PII fields (national_id, bank_account_number)</w:t>
      </w:r>
    </w:p>
    <w:p>
      <w:pPr>
        <w:pStyle w:val="ListParagraph"/>
        <w:numPr>
          <w:ilvl w:val="0"/>
          <w:numId w:val="2"/>
        </w:numPr>
        <w:spacing w:after="60" w:before="60"/>
      </w:pPr>
      <w:r>
        <w:rPr>
          <w:rFonts w:ascii="Arial" w:cs="Arial" w:eastAsia="Arial" w:hAnsi="Arial"/>
          <w:color w:val="1A202C"/>
          <w:sz w:val="22"/>
          <w:szCs w:val="22"/>
        </w:rPr>
        <w:t xml:space="preserve">pg_cron — Scheduled jobs (leave accrual runs, compliance deadline alerts)</w:t>
      </w:r>
    </w:p>
    <w:p>
      <w:pPr>
        <w:pStyle w:val="ListParagraph"/>
        <w:numPr>
          <w:ilvl w:val="0"/>
          <w:numId w:val="2"/>
        </w:numPr>
        <w:spacing w:after="60" w:before="60"/>
      </w:pPr>
      <w:r>
        <w:rPr>
          <w:rFonts w:ascii="Arial" w:cs="Arial" w:eastAsia="Arial" w:hAnsi="Arial"/>
          <w:color w:val="1A202C"/>
          <w:sz w:val="22"/>
          <w:szCs w:val="22"/>
        </w:rPr>
        <w:t xml:space="preserve">Supabase Realtime — Live org chart updates, notification badge counts</w:t>
      </w:r>
    </w:p>
    <w:p>
      <w:pPr>
        <w:pStyle w:val="ListParagraph"/>
        <w:numPr>
          <w:ilvl w:val="0"/>
          <w:numId w:val="2"/>
        </w:numPr>
        <w:spacing w:after="60" w:before="60"/>
      </w:pPr>
      <w:r>
        <w:rPr>
          <w:rFonts w:ascii="Arial" w:cs="Arial" w:eastAsia="Arial" w:hAnsi="Arial"/>
          <w:color w:val="1A202C"/>
          <w:sz w:val="22"/>
          <w:szCs w:val="22"/>
        </w:rPr>
        <w:t xml:space="preserve">Table partitioning — payslip_lines and audit_logs partitioned by year/tenant</w:t>
      </w:r>
    </w:p>
    <w:p>
      <w:r>
        <w:br w:type="page"/>
      </w:r>
    </w:p>
    <w:p>
      <w:pPr>
        <w:pStyle w:val="Heading1"/>
        <w:pBdr>
          <w:bottom w:val="single" w:color="2E75B6" w:sz="8" w:space="6"/>
        </w:pBdr>
        <w:spacing w:after="160" w:before="360"/>
      </w:pPr>
      <w:r>
        <w:rPr>
          <w:rFonts w:ascii="Arial" w:cs="Arial" w:eastAsia="Arial" w:hAnsi="Arial"/>
          <w:b/>
          <w:bCs/>
          <w:color w:val="1E4D8C"/>
          <w:sz w:val="36"/>
          <w:szCs w:val="36"/>
        </w:rPr>
        <w:t xml:space="preserve">5. Backend API Design (NestJS)</w:t>
      </w:r>
    </w:p>
    <w:p>
      <w:pPr>
        <w:pStyle w:val="Heading2"/>
        <w:spacing w:after="120" w:before="280"/>
      </w:pPr>
      <w:r>
        <w:rPr>
          <w:rFonts w:ascii="Arial" w:cs="Arial" w:eastAsia="Arial" w:hAnsi="Arial"/>
          <w:b/>
          <w:bCs/>
          <w:color w:val="2E75B6"/>
          <w:sz w:val="28"/>
          <w:szCs w:val="28"/>
        </w:rPr>
        <w:t xml:space="preserve">5.1 Module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Directory</w:t>
            </w:r>
          </w:p>
        </w:tc>
        <w:tc>
          <w:tcPr>
            <w:tcW w:type="dxa" w:w="616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Contents</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src/modules/employees/</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EmployeeModule, EmployeeController, EmployeeService, DTOs, Specs</w:t>
            </w:r>
          </w:p>
        </w:tc>
      </w:tr>
      <w:tr>
        <w:tc>
          <w:tcPr>
            <w:tcW w:type="dxa" w:w="3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src/modules/payroll/</w:t>
            </w:r>
          </w:p>
        </w:tc>
        <w:tc>
          <w:tcPr>
            <w:tcW w:type="dxa" w:w="61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PayrollModule, Controller, Service, PayrollProcessor (BullMQ job)</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src/modules/leave/</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LeaveModule, LeaveController, LeaveService, AccrualService</w:t>
            </w:r>
          </w:p>
        </w:tc>
      </w:tr>
      <w:tr>
        <w:tc>
          <w:tcPr>
            <w:tcW w:type="dxa" w:w="3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src/modules/attendance/</w:t>
            </w:r>
          </w:p>
        </w:tc>
        <w:tc>
          <w:tcPr>
            <w:tcW w:type="dxa" w:w="61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AttendanceModule, ShiftService, OvertimeCalculator</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src/modules/recruitment/</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RecruitModule, ATSController, OfferService, JDGeneratorService</w:t>
            </w:r>
          </w:p>
        </w:tc>
      </w:tr>
      <w:tr>
        <w:tc>
          <w:tcPr>
            <w:tcW w:type="dxa" w:w="3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src/modules/performance/</w:t>
            </w:r>
          </w:p>
        </w:tc>
        <w:tc>
          <w:tcPr>
            <w:tcW w:type="dxa" w:w="61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PerfModule, GoalService, ReviewService, CalibrationService</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src/modules/compliance/</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ComplianceModule, AuditService, PolicyService</w:t>
            </w:r>
          </w:p>
        </w:tc>
      </w:tr>
      <w:tr>
        <w:tc>
          <w:tcPr>
            <w:tcW w:type="dxa" w:w="3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src/common/guards/</w:t>
            </w:r>
          </w:p>
        </w:tc>
        <w:tc>
          <w:tcPr>
            <w:tcW w:type="dxa" w:w="61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JwtAuthGuard, RolesGuard, TenantGuard, PermissionsGuard</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src/common/interceptors/</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AuditLogInterceptor, ResponseTransformInterceptor, CacheInterceptor</w:t>
            </w:r>
          </w:p>
        </w:tc>
      </w:tr>
      <w:tr>
        <w:tc>
          <w:tcPr>
            <w:tcW w:type="dxa" w:w="3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src/common/pipes/</w:t>
            </w:r>
          </w:p>
        </w:tc>
        <w:tc>
          <w:tcPr>
            <w:tcW w:type="dxa" w:w="61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ZodValidationPipe, TenantContextPipe, SanitizePipe</w:t>
            </w:r>
          </w:p>
        </w:tc>
      </w:tr>
      <w:tr>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src/config/</w:t>
            </w:r>
          </w:p>
        </w:tc>
        <w:tc>
          <w:tcPr>
            <w:tcW w:type="dxa" w:w="61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database.config, redis.config, supabase.config, throttle.config</w:t>
            </w:r>
          </w:p>
        </w:tc>
      </w:tr>
    </w:tbl>
    <w:p>
      <w:pPr>
        <w:spacing w:after="0" w:before="100"/>
      </w:pPr>
      <w:r>
        <w:t xml:space="preserve"/>
      </w:r>
    </w:p>
    <w:p>
      <w:pPr>
        <w:pStyle w:val="Heading2"/>
        <w:spacing w:after="120" w:before="280"/>
      </w:pPr>
      <w:r>
        <w:rPr>
          <w:rFonts w:ascii="Arial" w:cs="Arial" w:eastAsia="Arial" w:hAnsi="Arial"/>
          <w:b/>
          <w:bCs/>
          <w:color w:val="2E75B6"/>
          <w:sz w:val="28"/>
          <w:szCs w:val="28"/>
        </w:rPr>
        <w:t xml:space="preserve">5.2 API Standards</w:t>
      </w:r>
    </w:p>
    <w:p>
      <w:pPr>
        <w:pStyle w:val="ListParagraph"/>
        <w:numPr>
          <w:ilvl w:val="0"/>
          <w:numId w:val="2"/>
        </w:numPr>
        <w:spacing w:after="60" w:before="60"/>
      </w:pPr>
      <w:r>
        <w:rPr>
          <w:rFonts w:ascii="Arial" w:cs="Arial" w:eastAsia="Arial" w:hAnsi="Arial"/>
          <w:color w:val="1A202C"/>
          <w:sz w:val="22"/>
          <w:szCs w:val="22"/>
        </w:rPr>
        <w:t xml:space="preserve">OpenAPI 3.1 spec auto-generated via @nestjs/swagger decorators</w:t>
      </w:r>
    </w:p>
    <w:p>
      <w:pPr>
        <w:pStyle w:val="ListParagraph"/>
        <w:numPr>
          <w:ilvl w:val="0"/>
          <w:numId w:val="2"/>
        </w:numPr>
        <w:spacing w:after="60" w:before="60"/>
      </w:pPr>
      <w:r>
        <w:rPr>
          <w:rFonts w:ascii="Arial" w:cs="Arial" w:eastAsia="Arial" w:hAnsi="Arial"/>
          <w:color w:val="1A202C"/>
          <w:sz w:val="22"/>
          <w:szCs w:val="22"/>
        </w:rPr>
        <w:t xml:space="preserve">JSON:API response format: { data, meta, errors, links } for all endpoints</w:t>
      </w:r>
    </w:p>
    <w:p>
      <w:pPr>
        <w:pStyle w:val="ListParagraph"/>
        <w:numPr>
          <w:ilvl w:val="0"/>
          <w:numId w:val="2"/>
        </w:numPr>
        <w:spacing w:after="60" w:before="60"/>
      </w:pPr>
      <w:r>
        <w:rPr>
          <w:rFonts w:ascii="Arial" w:cs="Arial" w:eastAsia="Arial" w:hAnsi="Arial"/>
          <w:color w:val="1A202C"/>
          <w:sz w:val="22"/>
          <w:szCs w:val="22"/>
        </w:rPr>
        <w:t xml:space="preserve">Cursor-based pagination for all list endpoints (no offset-based for performance)</w:t>
      </w:r>
    </w:p>
    <w:p>
      <w:pPr>
        <w:pStyle w:val="ListParagraph"/>
        <w:numPr>
          <w:ilvl w:val="0"/>
          <w:numId w:val="2"/>
        </w:numPr>
        <w:spacing w:after="60" w:before="60"/>
      </w:pPr>
      <w:r>
        <w:rPr>
          <w:rFonts w:ascii="Arial" w:cs="Arial" w:eastAsia="Arial" w:hAnsi="Arial"/>
          <w:color w:val="1A202C"/>
          <w:sz w:val="22"/>
          <w:szCs w:val="22"/>
        </w:rPr>
        <w:t xml:space="preserve">Versioning: URI versioning (/api/v1/, /api/v2/) for backward compatibility</w:t>
      </w:r>
    </w:p>
    <w:p>
      <w:pPr>
        <w:pStyle w:val="ListParagraph"/>
        <w:numPr>
          <w:ilvl w:val="0"/>
          <w:numId w:val="2"/>
        </w:numPr>
        <w:spacing w:after="60" w:before="60"/>
      </w:pPr>
      <w:r>
        <w:rPr>
          <w:rFonts w:ascii="Arial" w:cs="Arial" w:eastAsia="Arial" w:hAnsi="Arial"/>
          <w:color w:val="1A202C"/>
          <w:sz w:val="22"/>
          <w:szCs w:val="22"/>
        </w:rPr>
        <w:t xml:space="preserve">Rate limiting: 1,000 req/min per tenant via ThrottlerGuard + Redis</w:t>
      </w:r>
    </w:p>
    <w:p>
      <w:pPr>
        <w:pStyle w:val="ListParagraph"/>
        <w:numPr>
          <w:ilvl w:val="0"/>
          <w:numId w:val="2"/>
        </w:numPr>
        <w:spacing w:after="60" w:before="60"/>
      </w:pPr>
      <w:r>
        <w:rPr>
          <w:rFonts w:ascii="Arial" w:cs="Arial" w:eastAsia="Arial" w:hAnsi="Arial"/>
          <w:color w:val="1A202C"/>
          <w:sz w:val="22"/>
          <w:szCs w:val="22"/>
        </w:rPr>
        <w:t xml:space="preserve">Idempotency: POST endpoints accept Idempotency-Key header to prevent duplicates</w:t>
      </w:r>
    </w:p>
    <w:p>
      <w:pPr>
        <w:pStyle w:val="ListParagraph"/>
        <w:numPr>
          <w:ilvl w:val="0"/>
          <w:numId w:val="2"/>
        </w:numPr>
        <w:spacing w:after="60" w:before="60"/>
      </w:pPr>
      <w:r>
        <w:rPr>
          <w:rFonts w:ascii="Arial" w:cs="Arial" w:eastAsia="Arial" w:hAnsi="Arial"/>
          <w:color w:val="1A202C"/>
          <w:sz w:val="22"/>
          <w:szCs w:val="22"/>
        </w:rPr>
        <w:t xml:space="preserve">Webhooks: Tenant-configurable webhooks for 30+ HR events with retry logic</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5.3 API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Module</w:t>
            </w:r>
          </w:p>
        </w:tc>
        <w:tc>
          <w:tcPr>
            <w:tcW w:type="dxa" w:w="22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Base Route</w:t>
            </w:r>
          </w:p>
        </w:tc>
        <w:tc>
          <w:tcPr>
            <w:tcW w:type="dxa" w:w="556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Critical Endpoints</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Employees</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/api/v1/employees</w:t>
            </w:r>
          </w:p>
        </w:tc>
        <w:tc>
          <w:tcPr>
            <w:tcW w:type="dxa" w:w="5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CRUD, bulk-import CSV, org-chart, transfer, terminate</w:t>
            </w:r>
          </w:p>
        </w:tc>
      </w:tr>
      <w:tr>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Payroll</w:t>
            </w:r>
          </w:p>
        </w:tc>
        <w:tc>
          <w:tcPr>
            <w:tcW w:type="dxa" w:w="2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/api/v1/payroll</w:t>
            </w:r>
          </w:p>
        </w:tc>
        <w:tc>
          <w:tcPr>
            <w:tcW w:type="dxa" w:w="55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Run payroll, approve, payslips, salary-revision, GL-export</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Leave</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/api/v1/leave</w:t>
            </w:r>
          </w:p>
        </w:tc>
        <w:tc>
          <w:tcPr>
            <w:tcW w:type="dxa" w:w="5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Apply, approve, cancel, policy-config, balance, calendar</w:t>
            </w:r>
          </w:p>
        </w:tc>
      </w:tr>
      <w:tr>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Attendance</w:t>
            </w:r>
          </w:p>
        </w:tc>
        <w:tc>
          <w:tcPr>
            <w:tcW w:type="dxa" w:w="2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/api/v1/attendance</w:t>
            </w:r>
          </w:p>
        </w:tc>
        <w:tc>
          <w:tcPr>
            <w:tcW w:type="dxa" w:w="55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Check-in/out, shifts, overtime, regularization request</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Recruitment</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/api/v1/jobs</w:t>
            </w:r>
          </w:p>
        </w:tc>
        <w:tc>
          <w:tcPr>
            <w:tcW w:type="dxa" w:w="5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Create job, pipeline, schedule interview, extend offer</w:t>
            </w:r>
          </w:p>
        </w:tc>
      </w:tr>
      <w:tr>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Performance</w:t>
            </w:r>
          </w:p>
        </w:tc>
        <w:tc>
          <w:tcPr>
            <w:tcW w:type="dxa" w:w="2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/api/v1/performance</w:t>
            </w:r>
          </w:p>
        </w:tc>
        <w:tc>
          <w:tcPr>
            <w:tcW w:type="dxa" w:w="55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Create goals, submit review, calibration, 360-feedback</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Documents</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/api/v1/documents</w:t>
            </w:r>
          </w:p>
        </w:tc>
        <w:tc>
          <w:tcPr>
            <w:tcW w:type="dxa" w:w="5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Upload, template-generate, e-sign request, expiry alerts</w:t>
            </w:r>
          </w:p>
        </w:tc>
      </w:tr>
      <w:tr>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Analytics</w:t>
            </w:r>
          </w:p>
        </w:tc>
        <w:tc>
          <w:tcPr>
            <w:tcW w:type="dxa" w:w="2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/api/v1/analytics</w:t>
            </w:r>
          </w:p>
        </w:tc>
        <w:tc>
          <w:tcPr>
            <w:tcW w:type="dxa" w:w="55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Headcount, attrition, turnover, payroll-cost, HRIS BI</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Compliance</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/api/v1/compliance</w:t>
            </w:r>
          </w:p>
        </w:tc>
        <w:tc>
          <w:tcPr>
            <w:tcW w:type="dxa" w:w="5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Audit logs, policy docs, regulatory calendar, alerts</w:t>
            </w:r>
          </w:p>
        </w:tc>
      </w:tr>
      <w:tr>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Auth/Tenants</w:t>
            </w:r>
          </w:p>
        </w:tc>
        <w:tc>
          <w:tcPr>
            <w:tcW w:type="dxa" w:w="2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/api/v1/auth</w:t>
            </w:r>
          </w:p>
        </w:tc>
        <w:tc>
          <w:tcPr>
            <w:tcW w:type="dxa" w:w="55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Login, refresh, invite-user, manage-roles, SSO config</w:t>
            </w:r>
          </w:p>
        </w:tc>
      </w:tr>
    </w:tbl>
    <w:p>
      <w:r>
        <w:br w:type="page"/>
      </w:r>
    </w:p>
    <w:p>
      <w:pPr>
        <w:pStyle w:val="Heading1"/>
        <w:pBdr>
          <w:bottom w:val="single" w:color="2E75B6" w:sz="8" w:space="6"/>
        </w:pBdr>
        <w:spacing w:after="160" w:before="360"/>
      </w:pPr>
      <w:r>
        <w:rPr>
          <w:rFonts w:ascii="Arial" w:cs="Arial" w:eastAsia="Arial" w:hAnsi="Arial"/>
          <w:b/>
          <w:bCs/>
          <w:color w:val="1E4D8C"/>
          <w:sz w:val="36"/>
          <w:szCs w:val="36"/>
        </w:rPr>
        <w:t xml:space="preserve">6. Frontend Architecture (Next.js + Tailwind)</w:t>
      </w:r>
    </w:p>
    <w:p>
      <w:pPr>
        <w:pStyle w:val="Heading2"/>
        <w:spacing w:after="120" w:before="280"/>
      </w:pPr>
      <w:r>
        <w:rPr>
          <w:rFonts w:ascii="Arial" w:cs="Arial" w:eastAsia="Arial" w:hAnsi="Arial"/>
          <w:b/>
          <w:bCs/>
          <w:color w:val="2E75B6"/>
          <w:sz w:val="28"/>
          <w:szCs w:val="28"/>
        </w:rPr>
        <w:t xml:space="preserve">6.1 App Router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Route</w:t>
            </w:r>
          </w:p>
        </w:tc>
        <w:tc>
          <w:tcPr>
            <w:tcW w:type="dxa" w:w="18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Module</w:t>
            </w:r>
          </w:p>
        </w:tc>
        <w:tc>
          <w:tcPr>
            <w:tcW w:type="dxa" w:w="536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Key Components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/(auth)/login</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Auth</w:t>
            </w:r>
          </w:p>
        </w:tc>
        <w:tc>
          <w:tcPr>
            <w:tcW w:type="dxa" w:w="5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LoginForm, SSOButtons, MFAChallenge</w:t>
            </w:r>
          </w:p>
        </w:tc>
      </w:tr>
      <w:tr>
        <w:tc>
          <w:tcPr>
            <w:tcW w:type="dxa" w:w="2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/dashboard</w:t>
            </w:r>
          </w:p>
        </w:tc>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Home</w:t>
            </w:r>
          </w:p>
        </w:tc>
        <w:tc>
          <w:tcPr>
            <w:tcW w:type="dxa" w:w="5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HeadcountCard, AlertsWidget, QuickActions, WelcomeBanner</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/employees</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Employees</w:t>
            </w:r>
          </w:p>
        </w:tc>
        <w:tc>
          <w:tcPr>
            <w:tcW w:type="dxa" w:w="5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EmployeeTable, OrgChart, EmployeeProfile, BulkImport</w:t>
            </w:r>
          </w:p>
        </w:tc>
      </w:tr>
      <w:tr>
        <w:tc>
          <w:tcPr>
            <w:tcW w:type="dxa" w:w="2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/payroll</w:t>
            </w:r>
          </w:p>
        </w:tc>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Payroll</w:t>
            </w:r>
          </w:p>
        </w:tc>
        <w:tc>
          <w:tcPr>
            <w:tcW w:type="dxa" w:w="5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PayrollDashboard, RunPayroll, PayslipViewer, SalaryRevision</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/leave</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Leave</w:t>
            </w:r>
          </w:p>
        </w:tc>
        <w:tc>
          <w:tcPr>
            <w:tcW w:type="dxa" w:w="5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LeaveCalendar, ApplyLeave, BalanceCard, PolicyConfig</w:t>
            </w:r>
          </w:p>
        </w:tc>
      </w:tr>
      <w:tr>
        <w:tc>
          <w:tcPr>
            <w:tcW w:type="dxa" w:w="2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/attendance</w:t>
            </w:r>
          </w:p>
        </w:tc>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Attendance</w:t>
            </w:r>
          </w:p>
        </w:tc>
        <w:tc>
          <w:tcPr>
            <w:tcW w:type="dxa" w:w="5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AttendanceLog, ShiftPlanner, OTReport, RegularizationForm</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/recruitment</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ATS</w:t>
            </w:r>
          </w:p>
        </w:tc>
        <w:tc>
          <w:tcPr>
            <w:tcW w:type="dxa" w:w="5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KanbanPipeline, JobBoard, CandidateCard, InterviewScheduler</w:t>
            </w:r>
          </w:p>
        </w:tc>
      </w:tr>
      <w:tr>
        <w:tc>
          <w:tcPr>
            <w:tcW w:type="dxa" w:w="2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/performance</w:t>
            </w:r>
          </w:p>
        </w:tc>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Performance</w:t>
            </w:r>
          </w:p>
        </w:tc>
        <w:tc>
          <w:tcPr>
            <w:tcW w:type="dxa" w:w="5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GoalTree, ReviewForm, CalibrationTable, 360Survey</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/learning</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LMS</w:t>
            </w:r>
          </w:p>
        </w:tc>
        <w:tc>
          <w:tcPr>
            <w:tcW w:type="dxa" w:w="5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CourseLibrary, MyLearning, CertTracker, SCORMPlayer</w:t>
            </w:r>
          </w:p>
        </w:tc>
      </w:tr>
      <w:tr>
        <w:tc>
          <w:tcPr>
            <w:tcW w:type="dxa" w:w="2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/reports</w:t>
            </w:r>
          </w:p>
        </w:tc>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Analytics</w:t>
            </w:r>
          </w:p>
        </w:tc>
        <w:tc>
          <w:tcPr>
            <w:tcW w:type="dxa" w:w="5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ReportBuilder, ScheduledReports, HRMetrics, ExportButton</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/settings</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Admin</w:t>
            </w:r>
          </w:p>
        </w:tc>
        <w:tc>
          <w:tcPr>
            <w:tcW w:type="dxa" w:w="5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TenantConfig, ModuleToggles, IntegrationHub, UserManagement</w:t>
            </w:r>
          </w:p>
        </w:tc>
      </w:tr>
      <w:tr>
        <w:tc>
          <w:tcPr>
            <w:tcW w:type="dxa" w:w="2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/ess</w:t>
            </w:r>
          </w:p>
        </w:tc>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Self-Service</w:t>
            </w:r>
          </w:p>
        </w:tc>
        <w:tc>
          <w:tcPr>
            <w:tcW w:type="dxa" w:w="5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MyProfile, MyPayslips, MyLeave, MyGoals, MyDocuments</w:t>
            </w:r>
          </w:p>
        </w:tc>
      </w:tr>
    </w:tbl>
    <w:p>
      <w:pPr>
        <w:spacing w:after="0" w:before="100"/>
      </w:pPr>
      <w:r>
        <w:t xml:space="preserve"/>
      </w:r>
    </w:p>
    <w:p>
      <w:pPr>
        <w:pStyle w:val="Heading2"/>
        <w:spacing w:after="120" w:before="280"/>
      </w:pPr>
      <w:r>
        <w:rPr>
          <w:rFonts w:ascii="Arial" w:cs="Arial" w:eastAsia="Arial" w:hAnsi="Arial"/>
          <w:b/>
          <w:bCs/>
          <w:color w:val="2E75B6"/>
          <w:sz w:val="28"/>
          <w:szCs w:val="28"/>
        </w:rPr>
        <w:t xml:space="preserve">6.2 Design System (Tailwind CSS)</w:t>
      </w:r>
    </w:p>
    <w:p>
      <w:pPr>
        <w:pStyle w:val="ListParagraph"/>
        <w:numPr>
          <w:ilvl w:val="0"/>
          <w:numId w:val="2"/>
        </w:numPr>
        <w:spacing w:after="60" w:before="60"/>
      </w:pPr>
      <w:r>
        <w:rPr>
          <w:rFonts w:ascii="Arial" w:cs="Arial" w:eastAsia="Arial" w:hAnsi="Arial"/>
          <w:color w:val="1A202C"/>
          <w:sz w:val="22"/>
          <w:szCs w:val="22"/>
        </w:rPr>
        <w:t xml:space="preserve">Custom Tailwind config extending default: brand colors, HR-specific spacing tokens</w:t>
      </w:r>
    </w:p>
    <w:p>
      <w:pPr>
        <w:pStyle w:val="ListParagraph"/>
        <w:numPr>
          <w:ilvl w:val="0"/>
          <w:numId w:val="2"/>
        </w:numPr>
        <w:spacing w:after="60" w:before="60"/>
      </w:pPr>
      <w:r>
        <w:rPr>
          <w:rFonts w:ascii="Arial" w:cs="Arial" w:eastAsia="Arial" w:hAnsi="Arial"/>
          <w:color w:val="1A202C"/>
          <w:sz w:val="22"/>
          <w:szCs w:val="22"/>
        </w:rPr>
        <w:t xml:space="preserve">Shadcn/UI as the base component library (accessible, headless, unstyled)</w:t>
      </w:r>
    </w:p>
    <w:p>
      <w:pPr>
        <w:pStyle w:val="ListParagraph"/>
        <w:numPr>
          <w:ilvl w:val="0"/>
          <w:numId w:val="2"/>
        </w:numPr>
        <w:spacing w:after="60" w:before="60"/>
      </w:pPr>
      <w:r>
        <w:rPr>
          <w:rFonts w:ascii="Arial" w:cs="Arial" w:eastAsia="Arial" w:hAnsi="Arial"/>
          <w:color w:val="1A202C"/>
          <w:sz w:val="22"/>
          <w:szCs w:val="22"/>
        </w:rPr>
        <w:t xml:space="preserve">Key custom components: OrgChartNode, PayslipCard, LeaveCalendar, GoalProgressBar</w:t>
      </w:r>
    </w:p>
    <w:p>
      <w:pPr>
        <w:pStyle w:val="ListParagraph"/>
        <w:numPr>
          <w:ilvl w:val="0"/>
          <w:numId w:val="2"/>
        </w:numPr>
        <w:spacing w:after="60" w:before="60"/>
      </w:pPr>
      <w:r>
        <w:rPr>
          <w:rFonts w:ascii="Arial" w:cs="Arial" w:eastAsia="Arial" w:hAnsi="Arial"/>
          <w:color w:val="1A202C"/>
          <w:sz w:val="22"/>
          <w:szCs w:val="22"/>
        </w:rPr>
        <w:t xml:space="preserve">Dark mode support: CSS variables + Tailwind dark: variants throughout</w:t>
      </w:r>
    </w:p>
    <w:p>
      <w:pPr>
        <w:pStyle w:val="ListParagraph"/>
        <w:numPr>
          <w:ilvl w:val="0"/>
          <w:numId w:val="2"/>
        </w:numPr>
        <w:spacing w:after="60" w:before="60"/>
      </w:pPr>
      <w:r>
        <w:rPr>
          <w:rFonts w:ascii="Arial" w:cs="Arial" w:eastAsia="Arial" w:hAnsi="Arial"/>
          <w:color w:val="1A202C"/>
          <w:sz w:val="22"/>
          <w:szCs w:val="22"/>
        </w:rPr>
        <w:t xml:space="preserve">RTL support: dir='rtl' on &lt;html&gt; with Tailwind RTL plugin (Arabic, Hebrew markets)</w:t>
      </w:r>
    </w:p>
    <w:p>
      <w:pPr>
        <w:pStyle w:val="ListParagraph"/>
        <w:numPr>
          <w:ilvl w:val="0"/>
          <w:numId w:val="2"/>
        </w:numPr>
        <w:spacing w:after="60" w:before="60"/>
      </w:pPr>
      <w:r>
        <w:rPr>
          <w:rFonts w:ascii="Arial" w:cs="Arial" w:eastAsia="Arial" w:hAnsi="Arial"/>
          <w:color w:val="1A202C"/>
          <w:sz w:val="22"/>
          <w:szCs w:val="22"/>
        </w:rPr>
        <w:t xml:space="preserve">Responsive: Mobile-first design (ESS portal heavily used on mobile devices)</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6.3 Internationalization (i18n)</w:t>
      </w:r>
    </w:p>
    <w:p>
      <w:pPr>
        <w:spacing w:after="80" w:before="80"/>
      </w:pPr>
      <w:r>
        <w:rPr>
          <w:rFonts w:ascii="Arial" w:cs="Arial" w:eastAsia="Arial" w:hAnsi="Arial"/>
          <w:color w:val="1A202C"/>
          <w:sz w:val="22"/>
          <w:szCs w:val="22"/>
        </w:rPr>
        <w:t xml:space="preserve">Full i18n support is a core sellability requirement. The system uses next-intl with ICU message format for pluralization and gender-aware strings.</w:t>
      </w:r>
    </w:p>
    <w:p>
      <w:pPr>
        <w:pStyle w:val="ListParagraph"/>
        <w:numPr>
          <w:ilvl w:val="0"/>
          <w:numId w:val="2"/>
        </w:numPr>
        <w:spacing w:after="60" w:before="60"/>
      </w:pPr>
      <w:r>
        <w:rPr>
          <w:rFonts w:ascii="Arial" w:cs="Arial" w:eastAsia="Arial" w:hAnsi="Arial"/>
          <w:color w:val="1A202C"/>
          <w:sz w:val="22"/>
          <w:szCs w:val="22"/>
        </w:rPr>
        <w:t xml:space="preserve">Launch languages: English, Arabic (RTL), French, Spanish, German, Hindi, Bengali</w:t>
      </w:r>
    </w:p>
    <w:p>
      <w:pPr>
        <w:pStyle w:val="ListParagraph"/>
        <w:numPr>
          <w:ilvl w:val="0"/>
          <w:numId w:val="2"/>
        </w:numPr>
        <w:spacing w:after="60" w:before="60"/>
      </w:pPr>
      <w:r>
        <w:rPr>
          <w:rFonts w:ascii="Arial" w:cs="Arial" w:eastAsia="Arial" w:hAnsi="Arial"/>
          <w:color w:val="1A202C"/>
          <w:sz w:val="22"/>
          <w:szCs w:val="22"/>
        </w:rPr>
        <w:t xml:space="preserve">Number formatting: Intl.NumberFormat respects locale (e.g., 1,00,000 INR vs 100,000 USD)</w:t>
      </w:r>
    </w:p>
    <w:p>
      <w:pPr>
        <w:pStyle w:val="ListParagraph"/>
        <w:numPr>
          <w:ilvl w:val="0"/>
          <w:numId w:val="2"/>
        </w:numPr>
        <w:spacing w:after="60" w:before="60"/>
      </w:pPr>
      <w:r>
        <w:rPr>
          <w:rFonts w:ascii="Arial" w:cs="Arial" w:eastAsia="Arial" w:hAnsi="Arial"/>
          <w:color w:val="1A202C"/>
          <w:sz w:val="22"/>
          <w:szCs w:val="22"/>
        </w:rPr>
        <w:t xml:space="preserve">Date formatting: Locale-aware (DD/MM/YYYY vs MM/DD/YYYY vs Hijri calendar option)</w:t>
      </w:r>
    </w:p>
    <w:p>
      <w:pPr>
        <w:pStyle w:val="ListParagraph"/>
        <w:numPr>
          <w:ilvl w:val="0"/>
          <w:numId w:val="2"/>
        </w:numPr>
        <w:spacing w:after="60" w:before="60"/>
      </w:pPr>
      <w:r>
        <w:rPr>
          <w:rFonts w:ascii="Arial" w:cs="Arial" w:eastAsia="Arial" w:hAnsi="Arial"/>
          <w:color w:val="1A202C"/>
          <w:sz w:val="22"/>
          <w:szCs w:val="22"/>
        </w:rPr>
        <w:t xml:space="preserve">Currency: ISO 4217 codes, real-time FX rates via Open Exchange Rates API</w:t>
      </w:r>
    </w:p>
    <w:p>
      <w:pPr>
        <w:pStyle w:val="ListParagraph"/>
        <w:numPr>
          <w:ilvl w:val="0"/>
          <w:numId w:val="2"/>
        </w:numPr>
        <w:spacing w:after="60" w:before="60"/>
      </w:pPr>
      <w:r>
        <w:rPr>
          <w:rFonts w:ascii="Arial" w:cs="Arial" w:eastAsia="Arial" w:hAnsi="Arial"/>
          <w:color w:val="1A202C"/>
          <w:sz w:val="22"/>
          <w:szCs w:val="22"/>
        </w:rPr>
        <w:t xml:space="preserve">Timezone: Tenant-level IANA timezone configuration stored in tenant settings</w:t>
      </w:r>
    </w:p>
    <w:p>
      <w:r>
        <w:br w:type="page"/>
      </w:r>
    </w:p>
    <w:p>
      <w:pPr>
        <w:pStyle w:val="Heading1"/>
        <w:pBdr>
          <w:bottom w:val="single" w:color="2E75B6" w:sz="8" w:space="6"/>
        </w:pBdr>
        <w:spacing w:after="160" w:before="360"/>
      </w:pPr>
      <w:r>
        <w:rPr>
          <w:rFonts w:ascii="Arial" w:cs="Arial" w:eastAsia="Arial" w:hAnsi="Arial"/>
          <w:b/>
          <w:bCs/>
          <w:color w:val="1E4D8C"/>
          <w:sz w:val="36"/>
          <w:szCs w:val="36"/>
        </w:rPr>
        <w:t xml:space="preserve">7. International Standards &amp; Compliance</w:t>
      </w:r>
    </w:p>
    <w:p>
      <w:pPr>
        <w:pStyle w:val="Heading2"/>
        <w:spacing w:after="120" w:before="280"/>
      </w:pPr>
      <w:r>
        <w:rPr>
          <w:rFonts w:ascii="Arial" w:cs="Arial" w:eastAsia="Arial" w:hAnsi="Arial"/>
          <w:b/>
          <w:bCs/>
          <w:color w:val="2E75B6"/>
          <w:sz w:val="28"/>
          <w:szCs w:val="28"/>
        </w:rPr>
        <w:t xml:space="preserve">7.1 Data Privacy Compliance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360"/>
      </w:tblGrid>
      <w:tr>
        <w:trPr>
          <w:tblHeader/>
        </w:trPr>
        <w:tc>
          <w:tcPr>
            <w:tcW w:type="dxa" w:w="16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Regulation</w:t>
            </w:r>
          </w:p>
        </w:tc>
        <w:tc>
          <w:tcPr>
            <w:tcW w:type="dxa" w:w="18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Region</w:t>
            </w:r>
          </w:p>
        </w:tc>
        <w:tc>
          <w:tcPr>
            <w:tcW w:type="dxa" w:w="26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Key Requirements</w:t>
            </w:r>
          </w:p>
        </w:tc>
        <w:tc>
          <w:tcPr>
            <w:tcW w:type="dxa" w:w="336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Implementation</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GDPR</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European Union</w:t>
            </w:r>
          </w:p>
        </w:tc>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Consent, Right to Access/Erasure, DPA</w:t>
            </w:r>
          </w:p>
        </w:tc>
        <w:tc>
          <w:tcPr>
            <w:tcW w:type="dxa" w:w="3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Consent records, deletion queues, DPA templates</w:t>
            </w:r>
          </w:p>
        </w:tc>
      </w:tr>
      <w:tr>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CCPA</w:t>
            </w:r>
          </w:p>
        </w:tc>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California, USA</w:t>
            </w:r>
          </w:p>
        </w:tc>
        <w:tc>
          <w:tcPr>
            <w:tcW w:type="dxa" w:w="2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Opt-out of sale, data disclosure</w:t>
            </w:r>
          </w:p>
        </w:tc>
        <w:tc>
          <w:tcPr>
            <w:tcW w:type="dxa" w:w="3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Privacy preference center, data export API</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DPDPA 2023</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India</w:t>
            </w:r>
          </w:p>
        </w:tc>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Data fiduciary obligations, consent</w:t>
            </w:r>
          </w:p>
        </w:tc>
        <w:tc>
          <w:tcPr>
            <w:tcW w:type="dxa" w:w="3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Consent management module, DPO dashboard</w:t>
            </w:r>
          </w:p>
        </w:tc>
      </w:tr>
      <w:tr>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PDPA</w:t>
            </w:r>
          </w:p>
        </w:tc>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Thailand / Singapore</w:t>
            </w:r>
          </w:p>
        </w:tc>
        <w:tc>
          <w:tcPr>
            <w:tcW w:type="dxa" w:w="2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Data subject rights, breach notification</w:t>
            </w:r>
          </w:p>
        </w:tc>
        <w:tc>
          <w:tcPr>
            <w:tcW w:type="dxa" w:w="3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72hr breach alert workflow, DSR self-service</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POPIA</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South Africa</w:t>
            </w:r>
          </w:p>
        </w:tc>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Information officer, lawful processing</w:t>
            </w:r>
          </w:p>
        </w:tc>
        <w:tc>
          <w:tcPr>
            <w:tcW w:type="dxa" w:w="3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Processing register, PoPI compliance checklist</w:t>
            </w:r>
          </w:p>
        </w:tc>
      </w:tr>
      <w:tr>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PIPL</w:t>
            </w:r>
          </w:p>
        </w:tc>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China</w:t>
            </w:r>
          </w:p>
        </w:tc>
        <w:tc>
          <w:tcPr>
            <w:tcW w:type="dxa" w:w="2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Cross-border data restriction</w:t>
            </w:r>
          </w:p>
        </w:tc>
        <w:tc>
          <w:tcPr>
            <w:tcW w:type="dxa" w:w="3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Data residency option, consent audit trail</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GCC Labour Law</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UAE / Saudi Arabia</w:t>
            </w:r>
          </w:p>
        </w:tc>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WPS, end of service, gratuity</w:t>
            </w:r>
          </w:p>
        </w:tc>
        <w:tc>
          <w:tcPr>
            <w:tcW w:type="dxa" w:w="3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WPS file export, gratuity auto-calculation</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7.2 Security &amp; Quality Standards</w:t>
      </w:r>
    </w:p>
    <w:p>
      <w:pPr>
        <w:pStyle w:val="ListParagraph"/>
        <w:numPr>
          <w:ilvl w:val="0"/>
          <w:numId w:val="2"/>
        </w:numPr>
        <w:spacing w:after="60" w:before="60"/>
      </w:pPr>
      <w:r>
        <w:rPr>
          <w:rFonts w:ascii="Arial" w:cs="Arial" w:eastAsia="Arial" w:hAnsi="Arial"/>
          <w:color w:val="1A202C"/>
          <w:sz w:val="22"/>
          <w:szCs w:val="22"/>
        </w:rPr>
        <w:t xml:space="preserve">ISO/IEC 27001:2022 — Information Security Management System documentation included</w:t>
      </w:r>
    </w:p>
    <w:p>
      <w:pPr>
        <w:pStyle w:val="ListParagraph"/>
        <w:numPr>
          <w:ilvl w:val="0"/>
          <w:numId w:val="2"/>
        </w:numPr>
        <w:spacing w:after="60" w:before="60"/>
      </w:pPr>
      <w:r>
        <w:rPr>
          <w:rFonts w:ascii="Arial" w:cs="Arial" w:eastAsia="Arial" w:hAnsi="Arial"/>
          <w:color w:val="1A202C"/>
          <w:sz w:val="22"/>
          <w:szCs w:val="22"/>
        </w:rPr>
        <w:t xml:space="preserve">SOC 2 Type II — Audit-ready evidence collection (access logs, change management, encryption proof)</w:t>
      </w:r>
    </w:p>
    <w:p>
      <w:pPr>
        <w:pStyle w:val="ListParagraph"/>
        <w:numPr>
          <w:ilvl w:val="0"/>
          <w:numId w:val="2"/>
        </w:numPr>
        <w:spacing w:after="60" w:before="60"/>
      </w:pPr>
      <w:r>
        <w:rPr>
          <w:rFonts w:ascii="Arial" w:cs="Arial" w:eastAsia="Arial" w:hAnsi="Arial"/>
          <w:color w:val="1A202C"/>
          <w:sz w:val="22"/>
          <w:szCs w:val="22"/>
        </w:rPr>
        <w:t xml:space="preserve">OWASP ASVS Level 2 — Application security verification standard compliance</w:t>
      </w:r>
    </w:p>
    <w:p>
      <w:pPr>
        <w:pStyle w:val="ListParagraph"/>
        <w:numPr>
          <w:ilvl w:val="0"/>
          <w:numId w:val="2"/>
        </w:numPr>
        <w:spacing w:after="60" w:before="60"/>
      </w:pPr>
      <w:r>
        <w:rPr>
          <w:rFonts w:ascii="Arial" w:cs="Arial" w:eastAsia="Arial" w:hAnsi="Arial"/>
          <w:color w:val="1A202C"/>
          <w:sz w:val="22"/>
          <w:szCs w:val="22"/>
        </w:rPr>
        <w:t xml:space="preserve">PCI-DSS scope minimized — Payroll disbursement via bank APIs, no card data stored</w:t>
      </w:r>
    </w:p>
    <w:p>
      <w:pPr>
        <w:pStyle w:val="ListParagraph"/>
        <w:numPr>
          <w:ilvl w:val="0"/>
          <w:numId w:val="2"/>
        </w:numPr>
        <w:spacing w:after="60" w:before="60"/>
      </w:pPr>
      <w:r>
        <w:rPr>
          <w:rFonts w:ascii="Arial" w:cs="Arial" w:eastAsia="Arial" w:hAnsi="Arial"/>
          <w:color w:val="1A202C"/>
          <w:sz w:val="22"/>
          <w:szCs w:val="22"/>
        </w:rPr>
        <w:t xml:space="preserve">WCAG 2.1 AA — Accessibility compliance required for government contracts in EU/UK/US</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7.3 HR-Specific International Standards</w:t>
      </w:r>
    </w:p>
    <w:p>
      <w:pPr>
        <w:pStyle w:val="ListParagraph"/>
        <w:numPr>
          <w:ilvl w:val="0"/>
          <w:numId w:val="2"/>
        </w:numPr>
        <w:spacing w:after="60" w:before="60"/>
      </w:pPr>
      <w:r>
        <w:rPr>
          <w:rFonts w:ascii="Arial" w:cs="Arial" w:eastAsia="Arial" w:hAnsi="Arial"/>
          <w:color w:val="1A202C"/>
          <w:sz w:val="22"/>
          <w:szCs w:val="22"/>
        </w:rPr>
        <w:t xml:space="preserve">ISO 30408: Human Governance — Organizational transparency, workforce metrics reporting</w:t>
      </w:r>
    </w:p>
    <w:p>
      <w:pPr>
        <w:pStyle w:val="ListParagraph"/>
        <w:numPr>
          <w:ilvl w:val="0"/>
          <w:numId w:val="2"/>
        </w:numPr>
        <w:spacing w:after="60" w:before="60"/>
      </w:pPr>
      <w:r>
        <w:rPr>
          <w:rFonts w:ascii="Arial" w:cs="Arial" w:eastAsia="Arial" w:hAnsi="Arial"/>
          <w:color w:val="1A202C"/>
          <w:sz w:val="22"/>
          <w:szCs w:val="22"/>
        </w:rPr>
        <w:t xml:space="preserve">ISO 30414: HR Reporting — 23 core human capital metrics for ESG/investor reporting</w:t>
      </w:r>
    </w:p>
    <w:p>
      <w:pPr>
        <w:pStyle w:val="ListParagraph"/>
        <w:numPr>
          <w:ilvl w:val="0"/>
          <w:numId w:val="2"/>
        </w:numPr>
        <w:spacing w:after="60" w:before="60"/>
      </w:pPr>
      <w:r>
        <w:rPr>
          <w:rFonts w:ascii="Arial" w:cs="Arial" w:eastAsia="Arial" w:hAnsi="Arial"/>
          <w:color w:val="1A202C"/>
          <w:sz w:val="22"/>
          <w:szCs w:val="22"/>
        </w:rPr>
        <w:t xml:space="preserve">ISO 10667: Assessment in HR — Structured competency framework for performance module</w:t>
      </w:r>
    </w:p>
    <w:p>
      <w:pPr>
        <w:pStyle w:val="ListParagraph"/>
        <w:numPr>
          <w:ilvl w:val="0"/>
          <w:numId w:val="2"/>
        </w:numPr>
        <w:spacing w:after="60" w:before="60"/>
      </w:pPr>
      <w:r>
        <w:rPr>
          <w:rFonts w:ascii="Arial" w:cs="Arial" w:eastAsia="Arial" w:hAnsi="Arial"/>
          <w:color w:val="1A202C"/>
          <w:sz w:val="22"/>
          <w:szCs w:val="22"/>
        </w:rPr>
        <w:t xml:space="preserve">ILO Convention 131 (Minimum Wage) — Payroll engine validates against country minimum wage floors</w:t>
      </w:r>
    </w:p>
    <w:p>
      <w:pPr>
        <w:pStyle w:val="ListParagraph"/>
        <w:numPr>
          <w:ilvl w:val="0"/>
          <w:numId w:val="2"/>
        </w:numPr>
        <w:spacing w:after="60" w:before="60"/>
      </w:pPr>
      <w:r>
        <w:rPr>
          <w:rFonts w:ascii="Arial" w:cs="Arial" w:eastAsia="Arial" w:hAnsi="Arial"/>
          <w:color w:val="1A202C"/>
          <w:sz w:val="22"/>
          <w:szCs w:val="22"/>
        </w:rPr>
        <w:t xml:space="preserve">ILO Convention 1 (Hours of Work) — Overtime alerts when weekly hours exceed ILO limits</w:t>
      </w:r>
    </w:p>
    <w:p>
      <w:pPr>
        <w:pStyle w:val="ListParagraph"/>
        <w:numPr>
          <w:ilvl w:val="0"/>
          <w:numId w:val="2"/>
        </w:numPr>
        <w:spacing w:after="60" w:before="60"/>
      </w:pPr>
      <w:r>
        <w:rPr>
          <w:rFonts w:ascii="Arial" w:cs="Arial" w:eastAsia="Arial" w:hAnsi="Arial"/>
          <w:color w:val="1A202C"/>
          <w:sz w:val="22"/>
          <w:szCs w:val="22"/>
        </w:rPr>
        <w:t xml:space="preserve">SCORM 2004 / xAPI (Tin Can) — LMS module fully compliant for e-learning content import</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7.4 Payroll Tax Compliance by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Country</w:t>
            </w:r>
          </w:p>
        </w:tc>
        <w:tc>
          <w:tcPr>
            <w:tcW w:type="dxa" w:w="22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Tax Engine</w:t>
            </w:r>
          </w:p>
        </w:tc>
        <w:tc>
          <w:tcPr>
            <w:tcW w:type="dxa" w:w="28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Statutory Deductions</w:t>
            </w:r>
          </w:p>
        </w:tc>
        <w:tc>
          <w:tcPr>
            <w:tcW w:type="dxa" w:w="256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Reporting Format</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Bangladesh</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Slab-based income tax</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PF 10%, Gratuity, BEPZA rules</w:t>
            </w:r>
          </w:p>
        </w:tc>
        <w:tc>
          <w:tcPr>
            <w:tcW w:type="dxa" w:w="2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NBR e-filing XML</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India</w:t>
            </w:r>
          </w:p>
        </w:tc>
        <w:tc>
          <w:tcPr>
            <w:tcW w:type="dxa" w:w="2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New tax regime + Old regime</w:t>
            </w:r>
          </w:p>
        </w:tc>
        <w:tc>
          <w:tcPr>
            <w:tcW w:type="dxa" w:w="2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PF 12%, ESI 3.25%, PT state-wise</w:t>
            </w:r>
          </w:p>
        </w:tc>
        <w:tc>
          <w:tcPr>
            <w:tcW w:type="dxa" w:w="25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Form 24Q TDS, Form 16</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UAE</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Tax-free (DEWS)</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WPS compliance, End of Service</w:t>
            </w:r>
          </w:p>
        </w:tc>
        <w:tc>
          <w:tcPr>
            <w:tcW w:type="dxa" w:w="2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WPS SIF file format</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Saudi Arabia</w:t>
            </w:r>
          </w:p>
        </w:tc>
        <w:tc>
          <w:tcPr>
            <w:tcW w:type="dxa" w:w="2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GOSI</w:t>
            </w:r>
          </w:p>
        </w:tc>
        <w:tc>
          <w:tcPr>
            <w:tcW w:type="dxa" w:w="2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GOSI 9.75% employer + employee</w:t>
            </w:r>
          </w:p>
        </w:tc>
        <w:tc>
          <w:tcPr>
            <w:tcW w:type="dxa" w:w="25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GOSI portal CSV export</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United Kingdom</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PAYE (HMRC)</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NI, Student Loan, Auto-enroll pension</w:t>
            </w:r>
          </w:p>
        </w:tc>
        <w:tc>
          <w:tcPr>
            <w:tcW w:type="dxa" w:w="2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FPS/EPS RTI submission</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USA</w:t>
            </w:r>
          </w:p>
        </w:tc>
        <w:tc>
          <w:tcPr>
            <w:tcW w:type="dxa" w:w="22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Federal + State slab</w:t>
            </w:r>
          </w:p>
        </w:tc>
        <w:tc>
          <w:tcPr>
            <w:tcW w:type="dxa" w:w="2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FICA 7.65%, 401k, State income tax</w:t>
            </w:r>
          </w:p>
        </w:tc>
        <w:tc>
          <w:tcPr>
            <w:tcW w:type="dxa" w:w="25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W-2, 941 quarterly filing</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Singapore</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Tiered income tax</w:t>
            </w:r>
          </w:p>
        </w:tc>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CPF 17% employer + 20% employee</w:t>
            </w:r>
          </w:p>
        </w:tc>
        <w:tc>
          <w:tcPr>
            <w:tcW w:type="dxa" w:w="2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CPF e-submission</w:t>
            </w:r>
          </w:p>
        </w:tc>
      </w:tr>
    </w:tbl>
    <w:p>
      <w:r>
        <w:br w:type="page"/>
      </w:r>
    </w:p>
    <w:p>
      <w:pPr>
        <w:pStyle w:val="Heading1"/>
        <w:pBdr>
          <w:bottom w:val="single" w:color="2E75B6" w:sz="8" w:space="6"/>
        </w:pBdr>
        <w:spacing w:after="160" w:before="360"/>
      </w:pPr>
      <w:r>
        <w:rPr>
          <w:rFonts w:ascii="Arial" w:cs="Arial" w:eastAsia="Arial" w:hAnsi="Arial"/>
          <w:b/>
          <w:bCs/>
          <w:color w:val="1E4D8C"/>
          <w:sz w:val="36"/>
          <w:szCs w:val="36"/>
        </w:rPr>
        <w:t xml:space="preserve">8. Integration Ecosystem</w:t>
      </w:r>
    </w:p>
    <w:p>
      <w:pPr>
        <w:pStyle w:val="Heading2"/>
        <w:spacing w:after="120" w:before="280"/>
      </w:pPr>
      <w:r>
        <w:rPr>
          <w:rFonts w:ascii="Arial" w:cs="Arial" w:eastAsia="Arial" w:hAnsi="Arial"/>
          <w:b/>
          <w:bCs/>
          <w:color w:val="2E75B6"/>
          <w:sz w:val="28"/>
          <w:szCs w:val="28"/>
        </w:rPr>
        <w:t xml:space="preserve">8.1 Native Integrations (Launch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Category</w:t>
            </w:r>
          </w:p>
        </w:tc>
        <w:tc>
          <w:tcPr>
            <w:tcW w:type="dxa" w:w="26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Integration</w:t>
            </w:r>
          </w:p>
        </w:tc>
        <w:tc>
          <w:tcPr>
            <w:tcW w:type="dxa" w:w="496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Purpose</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Accounting</w:t>
            </w:r>
          </w:p>
        </w:tc>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QuickBooks, Xero, SAP (REST)</w:t>
            </w:r>
          </w:p>
        </w:tc>
        <w:tc>
          <w:tcPr>
            <w:tcW w:type="dxa" w:w="4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Auto-post payroll GL journal entries</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Calendar</w:t>
            </w:r>
          </w:p>
        </w:tc>
        <w:tc>
          <w:tcPr>
            <w:tcW w:type="dxa" w:w="2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Google Calendar, Microsoft 365</w:t>
            </w:r>
          </w:p>
        </w:tc>
        <w:tc>
          <w:tcPr>
            <w:tcW w:type="dxa" w:w="49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Leave &amp; interview meeting sync</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Payroll Bank</w:t>
            </w:r>
          </w:p>
        </w:tc>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Stripe Payouts, local bank SFTP</w:t>
            </w:r>
          </w:p>
        </w:tc>
        <w:tc>
          <w:tcPr>
            <w:tcW w:type="dxa" w:w="4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Salary disbursement automation</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Communication</w:t>
            </w:r>
          </w:p>
        </w:tc>
        <w:tc>
          <w:tcPr>
            <w:tcW w:type="dxa" w:w="2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Slack, MS Teams, WhatsApp</w:t>
            </w:r>
          </w:p>
        </w:tc>
        <w:tc>
          <w:tcPr>
            <w:tcW w:type="dxa" w:w="49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Approval notifications, ESS chatbot</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Video Interview</w:t>
            </w:r>
          </w:p>
        </w:tc>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Zoom, Google Meet, MS Teams</w:t>
            </w:r>
          </w:p>
        </w:tc>
        <w:tc>
          <w:tcPr>
            <w:tcW w:type="dxa" w:w="4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Interview scheduler link generation</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Job Boards</w:t>
            </w:r>
          </w:p>
        </w:tc>
        <w:tc>
          <w:tcPr>
            <w:tcW w:type="dxa" w:w="2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LinkedIn, Indeed, Naukri, Bayt</w:t>
            </w:r>
          </w:p>
        </w:tc>
        <w:tc>
          <w:tcPr>
            <w:tcW w:type="dxa" w:w="49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Automatic job posting &amp; inbound sync</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Background Check</w:t>
            </w:r>
          </w:p>
        </w:tc>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Checkr, AuthBridge (India)</w:t>
            </w:r>
          </w:p>
        </w:tc>
        <w:tc>
          <w:tcPr>
            <w:tcW w:type="dxa" w:w="4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Pre-employment verification</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ERP</w:t>
            </w:r>
          </w:p>
        </w:tc>
        <w:tc>
          <w:tcPr>
            <w:tcW w:type="dxa" w:w="2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SAP HCM, Oracle HCM (REST)</w:t>
            </w:r>
          </w:p>
        </w:tc>
        <w:tc>
          <w:tcPr>
            <w:tcW w:type="dxa" w:w="49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Bi-directional employee data sync</w:t>
            </w:r>
          </w:p>
        </w:tc>
      </w:tr>
      <w:tr>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Document Sign</w:t>
            </w:r>
          </w:p>
        </w:tc>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DocuSign, Adobe Sign</w:t>
            </w:r>
          </w:p>
        </w:tc>
        <w:tc>
          <w:tcPr>
            <w:tcW w:type="dxa" w:w="4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Contract &amp; offer letter e-signature</w:t>
            </w:r>
          </w:p>
        </w:tc>
      </w:tr>
      <w:tr>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Biometric</w:t>
            </w:r>
          </w:p>
        </w:tc>
        <w:tc>
          <w:tcPr>
            <w:tcW w:type="dxa" w:w="2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ZKTeco, Hikvision (SDK)</w:t>
            </w:r>
          </w:p>
        </w:tc>
        <w:tc>
          <w:tcPr>
            <w:tcW w:type="dxa" w:w="49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Attendance punch data import/sync</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8.2 Integration Architecture</w:t>
      </w:r>
    </w:p>
    <w:p>
      <w:pPr>
        <w:pStyle w:val="ListParagraph"/>
        <w:numPr>
          <w:ilvl w:val="0"/>
          <w:numId w:val="2"/>
        </w:numPr>
        <w:spacing w:after="60" w:before="60"/>
      </w:pPr>
      <w:r>
        <w:rPr>
          <w:rFonts w:ascii="Arial" w:cs="Arial" w:eastAsia="Arial" w:hAnsi="Arial"/>
          <w:color w:val="1A202C"/>
          <w:sz w:val="22"/>
          <w:szCs w:val="22"/>
        </w:rPr>
        <w:t xml:space="preserve">All integrations use an IntegrationHub NestJS module with a pluggable adapter pattern</w:t>
      </w:r>
    </w:p>
    <w:p>
      <w:pPr>
        <w:pStyle w:val="ListParagraph"/>
        <w:numPr>
          <w:ilvl w:val="0"/>
          <w:numId w:val="2"/>
        </w:numPr>
        <w:spacing w:after="60" w:before="60"/>
      </w:pPr>
      <w:r>
        <w:rPr>
          <w:rFonts w:ascii="Arial" w:cs="Arial" w:eastAsia="Arial" w:hAnsi="Arial"/>
          <w:color w:val="1A202C"/>
          <w:sz w:val="22"/>
          <w:szCs w:val="22"/>
        </w:rPr>
        <w:t xml:space="preserve">Each integration adapter implements the IntegrationAdapter interface (connect, sync, webhook)</w:t>
      </w:r>
    </w:p>
    <w:p>
      <w:pPr>
        <w:pStyle w:val="ListParagraph"/>
        <w:numPr>
          <w:ilvl w:val="0"/>
          <w:numId w:val="2"/>
        </w:numPr>
        <w:spacing w:after="60" w:before="60"/>
      </w:pPr>
      <w:r>
        <w:rPr>
          <w:rFonts w:ascii="Arial" w:cs="Arial" w:eastAsia="Arial" w:hAnsi="Arial"/>
          <w:color w:val="1A202C"/>
          <w:sz w:val="22"/>
          <w:szCs w:val="22"/>
        </w:rPr>
        <w:t xml:space="preserve">OAuth 2.0 token management with encrypted token storage in Supabase</w:t>
      </w:r>
    </w:p>
    <w:p>
      <w:pPr>
        <w:pStyle w:val="ListParagraph"/>
        <w:numPr>
          <w:ilvl w:val="0"/>
          <w:numId w:val="2"/>
        </w:numPr>
        <w:spacing w:after="60" w:before="60"/>
      </w:pPr>
      <w:r>
        <w:rPr>
          <w:rFonts w:ascii="Arial" w:cs="Arial" w:eastAsia="Arial" w:hAnsi="Arial"/>
          <w:color w:val="1A202C"/>
          <w:sz w:val="22"/>
          <w:szCs w:val="22"/>
        </w:rPr>
        <w:t xml:space="preserve">Webhook receiver endpoint for inbound events from all external systems</w:t>
      </w:r>
    </w:p>
    <w:p>
      <w:pPr>
        <w:pStyle w:val="ListParagraph"/>
        <w:numPr>
          <w:ilvl w:val="0"/>
          <w:numId w:val="2"/>
        </w:numPr>
        <w:spacing w:after="60" w:before="60"/>
      </w:pPr>
      <w:r>
        <w:rPr>
          <w:rFonts w:ascii="Arial" w:cs="Arial" w:eastAsia="Arial" w:hAnsi="Arial"/>
          <w:color w:val="1A202C"/>
          <w:sz w:val="22"/>
          <w:szCs w:val="22"/>
        </w:rPr>
        <w:t xml:space="preserve">Integration marketplace UI in tenant settings: one-click connect/disconnect</w:t>
      </w:r>
    </w:p>
    <w:p>
      <w:r>
        <w:br w:type="page"/>
      </w:r>
    </w:p>
    <w:p>
      <w:pPr>
        <w:pStyle w:val="Heading1"/>
        <w:pBdr>
          <w:bottom w:val="single" w:color="2E75B6" w:sz="8" w:space="6"/>
        </w:pBdr>
        <w:spacing w:after="160" w:before="360"/>
      </w:pPr>
      <w:r>
        <w:rPr>
          <w:rFonts w:ascii="Arial" w:cs="Arial" w:eastAsia="Arial" w:hAnsi="Arial"/>
          <w:b/>
          <w:bCs/>
          <w:color w:val="1E4D8C"/>
          <w:sz w:val="36"/>
          <w:szCs w:val="36"/>
        </w:rPr>
        <w:t xml:space="preserve">9. Commercialization &amp; Go-To-Market Strategy</w:t>
      </w:r>
    </w:p>
    <w:p>
      <w:pPr>
        <w:pStyle w:val="Heading2"/>
        <w:spacing w:after="120" w:before="280"/>
      </w:pPr>
      <w:r>
        <w:rPr>
          <w:rFonts w:ascii="Arial" w:cs="Arial" w:eastAsia="Arial" w:hAnsi="Arial"/>
          <w:b/>
          <w:bCs/>
          <w:color w:val="2E75B6"/>
          <w:sz w:val="28"/>
          <w:szCs w:val="28"/>
        </w:rPr>
        <w:t xml:space="preserve">9.1 Pricing Model (Per-Employee Per-Month)</w:t>
      </w:r>
    </w:p>
    <w:p>
      <w:pPr>
        <w:spacing w:after="80" w:before="80"/>
      </w:pPr>
      <w:r>
        <w:rPr>
          <w:rFonts w:ascii="Arial" w:cs="Arial" w:eastAsia="Arial" w:hAnsi="Arial"/>
          <w:color w:val="1A202C"/>
          <w:sz w:val="22"/>
          <w:szCs w:val="22"/>
        </w:rPr>
        <w:t xml:space="preserve">Industry-standard PEPM pricing model designed for international SaaS sales. All tiers include hosted infrastructure, automatic compliance updates, and 24/7 API uptime SLA.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3560"/>
      </w:tblGrid>
      <w:tr>
        <w:trPr>
          <w:tblHeader/>
        </w:trPr>
        <w:tc>
          <w:tcPr>
            <w:tcW w:type="dxa" w:w="16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Plan</w:t>
            </w:r>
          </w:p>
        </w:tc>
        <w:tc>
          <w:tcPr>
            <w:tcW w:type="dxa" w:w="24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Target Segment</w:t>
            </w:r>
          </w:p>
        </w:tc>
        <w:tc>
          <w:tcPr>
            <w:tcW w:type="dxa" w:w="18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PEPM (USD)</w:t>
            </w:r>
          </w:p>
        </w:tc>
        <w:tc>
          <w:tcPr>
            <w:tcW w:type="dxa" w:w="356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Modules Included</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Starter</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SMEs &lt; 100 employees</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$4 – $6</w:t>
            </w:r>
          </w:p>
        </w:tc>
        <w:tc>
          <w:tcPr>
            <w:tcW w:type="dxa" w:w="3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Core + Payroll + Leave + Attendance + ESS</w:t>
            </w:r>
          </w:p>
        </w:tc>
      </w:tr>
      <w:tr>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Growth</w:t>
            </w:r>
          </w:p>
        </w:tc>
        <w:tc>
          <w:tcPr>
            <w:tcW w:type="dxa" w:w="24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SMEs 100–500 employees</w:t>
            </w:r>
          </w:p>
        </w:tc>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$8 – $12</w:t>
            </w:r>
          </w:p>
        </w:tc>
        <w:tc>
          <w:tcPr>
            <w:tcW w:type="dxa" w:w="35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All Starter + ATS + Performance + LMS</w:t>
            </w:r>
          </w:p>
        </w:tc>
      </w:tr>
      <w:tr>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Enterprise</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500+ / Multinationals</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$15 – $25</w:t>
            </w:r>
          </w:p>
        </w:tc>
        <w:tc>
          <w:tcPr>
            <w:tcW w:type="dxa" w:w="35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Full Suite + Compliance Engine + Custom Integrations</w:t>
            </w:r>
          </w:p>
        </w:tc>
      </w:tr>
      <w:tr>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White-Label</w:t>
            </w:r>
          </w:p>
        </w:tc>
        <w:tc>
          <w:tcPr>
            <w:tcW w:type="dxa" w:w="24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HR Consultancies / Resellers</w:t>
            </w:r>
          </w:p>
        </w:tc>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Custom (rev-share)</w:t>
            </w:r>
          </w:p>
        </w:tc>
        <w:tc>
          <w:tcPr>
            <w:tcW w:type="dxa" w:w="35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Full Suite + Custom Branding + API Access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BC9C" w:sz="1"/>
              <w:left w:val="single" w:color="1ABC9C" w:sz="1"/>
              <w:bottom w:val="single" w:color="1ABC9C" w:sz="1"/>
              <w:right w:val="single" w:color="1ABC9C" w:sz="1"/>
            </w:tcBorders>
            <w:shd w:fill="1ABC9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COMPETITIVE POSITIONING</w:t>
            </w:r>
          </w:p>
        </w:tc>
        <w:tc>
          <w:tcPr>
            <w:tcW w:type="dxa" w:w="7160"/>
            <w:tcBorders>
              <w:top w:val="single" w:color="1ABC9C" w:sz="1"/>
              <w:left w:val="single" w:color="1ABC9C" w:sz="1"/>
              <w:bottom w:val="single" w:color="1ABC9C" w:sz="1"/>
              <w:right w:val="single" w:color="1ABC9C" w:sz="1"/>
            </w:tcBorders>
            <w:shd w:fill="EAFAF1" w:val="clear"/>
            <w:tcMar>
              <w:top w:type="dxa" w:w="100"/>
              <w:left w:type="dxa" w:w="140"/>
              <w:bottom w:type="dxa" w:w="100"/>
              <w:right w:type="dxa" w:w="140"/>
            </w:tcMar>
          </w:tcPr>
          <w:p>
            <w:r>
              <w:rPr>
                <w:rFonts w:ascii="Arial" w:cs="Arial" w:eastAsia="Arial" w:hAnsi="Arial"/>
                <w:color w:val="1A202C"/>
                <w:sz w:val="20"/>
                <w:szCs w:val="20"/>
              </w:rPr>
              <w:t xml:space="preserve">BambooHR: $6-9 PEPM · Darwinbox: $3-5 PEPM · HiBob: $8-12 PEPM · Workday: $20-35 PEPM — Target: Darwinbox price + HiBob UX quality = strong international value proposition</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9.2 Market Entry Priority Sequence</w:t>
      </w:r>
    </w:p>
    <w:p>
      <w:pPr>
        <w:pStyle w:val="ListParagraph"/>
        <w:numPr>
          <w:ilvl w:val="0"/>
          <w:numId w:val="3"/>
        </w:numPr>
        <w:spacing w:after="60" w:before="60"/>
      </w:pPr>
      <w:r>
        <w:rPr>
          <w:rFonts w:ascii="Arial" w:cs="Arial" w:eastAsia="Arial" w:hAnsi="Arial"/>
          <w:color w:val="1A202C"/>
          <w:sz w:val="22"/>
          <w:szCs w:val="22"/>
        </w:rPr>
        <w:t xml:space="preserve">Bangladesh / South Asia — Home market, BEPZA &amp; RMG industry, lowest regulatory lift to start</w:t>
      </w:r>
    </w:p>
    <w:p>
      <w:pPr>
        <w:pStyle w:val="ListParagraph"/>
        <w:numPr>
          <w:ilvl w:val="0"/>
          <w:numId w:val="3"/>
        </w:numPr>
        <w:spacing w:after="60" w:before="60"/>
      </w:pPr>
      <w:r>
        <w:rPr>
          <w:rFonts w:ascii="Arial" w:cs="Arial" w:eastAsia="Arial" w:hAnsi="Arial"/>
          <w:color w:val="1A202C"/>
          <w:sz w:val="22"/>
          <w:szCs w:val="22"/>
        </w:rPr>
        <w:t xml:space="preserve">GCC (UAE, Saudi Arabia) — High PEPM potential, WPS-compliance gap, large expat workforce</w:t>
      </w:r>
    </w:p>
    <w:p>
      <w:pPr>
        <w:pStyle w:val="ListParagraph"/>
        <w:numPr>
          <w:ilvl w:val="0"/>
          <w:numId w:val="3"/>
        </w:numPr>
        <w:spacing w:after="60" w:before="60"/>
      </w:pPr>
      <w:r>
        <w:rPr>
          <w:rFonts w:ascii="Arial" w:cs="Arial" w:eastAsia="Arial" w:hAnsi="Arial"/>
          <w:color w:val="1A202C"/>
          <w:sz w:val="22"/>
          <w:szCs w:val="22"/>
        </w:rPr>
        <w:t xml:space="preserve">Southeast Asia (Malaysia, Singapore, Thailand) — Tech-forward, PDPA-ready, English-speaking</w:t>
      </w:r>
    </w:p>
    <w:p>
      <w:pPr>
        <w:pStyle w:val="ListParagraph"/>
        <w:numPr>
          <w:ilvl w:val="0"/>
          <w:numId w:val="3"/>
        </w:numPr>
        <w:spacing w:after="60" w:before="60"/>
      </w:pPr>
      <w:r>
        <w:rPr>
          <w:rFonts w:ascii="Arial" w:cs="Arial" w:eastAsia="Arial" w:hAnsi="Arial"/>
          <w:color w:val="1A202C"/>
          <w:sz w:val="22"/>
          <w:szCs w:val="22"/>
        </w:rPr>
        <w:t xml:space="preserve">United Kingdom — PAYE module, IR35 compliance, strong SaaS procurement culture</w:t>
      </w:r>
    </w:p>
    <w:p>
      <w:pPr>
        <w:pStyle w:val="ListParagraph"/>
        <w:numPr>
          <w:ilvl w:val="0"/>
          <w:numId w:val="3"/>
        </w:numPr>
        <w:spacing w:after="60" w:before="60"/>
      </w:pPr>
      <w:r>
        <w:rPr>
          <w:rFonts w:ascii="Arial" w:cs="Arial" w:eastAsia="Arial" w:hAnsi="Arial"/>
          <w:color w:val="1A202C"/>
          <w:sz w:val="22"/>
          <w:szCs w:val="22"/>
        </w:rPr>
        <w:t xml:space="preserve">India — Massive SME market, PF/ESI/TDS compliance, compete with GreytHR and Keka</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9.3 White-Label Reseller Package</w:t>
      </w:r>
    </w:p>
    <w:p>
      <w:pPr>
        <w:pStyle w:val="ListParagraph"/>
        <w:numPr>
          <w:ilvl w:val="0"/>
          <w:numId w:val="2"/>
        </w:numPr>
        <w:spacing w:after="60" w:before="60"/>
      </w:pPr>
      <w:r>
        <w:rPr>
          <w:rFonts w:ascii="Arial" w:cs="Arial" w:eastAsia="Arial" w:hAnsi="Arial"/>
          <w:color w:val="1A202C"/>
          <w:sz w:val="22"/>
          <w:szCs w:val="22"/>
        </w:rPr>
        <w:t xml:space="preserve">Custom domain, logo, and color scheme via Tailwind theme token overrides</w:t>
      </w:r>
    </w:p>
    <w:p>
      <w:pPr>
        <w:pStyle w:val="ListParagraph"/>
        <w:numPr>
          <w:ilvl w:val="0"/>
          <w:numId w:val="2"/>
        </w:numPr>
        <w:spacing w:after="60" w:before="60"/>
      </w:pPr>
      <w:r>
        <w:rPr>
          <w:rFonts w:ascii="Arial" w:cs="Arial" w:eastAsia="Arial" w:hAnsi="Arial"/>
          <w:color w:val="1A202C"/>
          <w:sz w:val="22"/>
          <w:szCs w:val="22"/>
        </w:rPr>
        <w:t xml:space="preserve">Reseller admin portal to manage all sub-tenants and usage analytics</w:t>
      </w:r>
    </w:p>
    <w:p>
      <w:pPr>
        <w:pStyle w:val="ListParagraph"/>
        <w:numPr>
          <w:ilvl w:val="0"/>
          <w:numId w:val="2"/>
        </w:numPr>
        <w:spacing w:after="60" w:before="60"/>
      </w:pPr>
      <w:r>
        <w:rPr>
          <w:rFonts w:ascii="Arial" w:cs="Arial" w:eastAsia="Arial" w:hAnsi="Arial"/>
          <w:color w:val="1A202C"/>
          <w:sz w:val="22"/>
          <w:szCs w:val="22"/>
        </w:rPr>
        <w:t xml:space="preserve">API-first: Resellers can build their own frontend on top of the NestJS API</w:t>
      </w:r>
    </w:p>
    <w:p>
      <w:pPr>
        <w:pStyle w:val="ListParagraph"/>
        <w:numPr>
          <w:ilvl w:val="0"/>
          <w:numId w:val="2"/>
        </w:numPr>
        <w:spacing w:after="60" w:before="60"/>
      </w:pPr>
      <w:r>
        <w:rPr>
          <w:rFonts w:ascii="Arial" w:cs="Arial" w:eastAsia="Arial" w:hAnsi="Arial"/>
          <w:color w:val="1A202C"/>
          <w:sz w:val="22"/>
          <w:szCs w:val="22"/>
        </w:rPr>
        <w:t xml:space="preserve">Revenue share model: 30% commission to reseller on all tenant ARR they originate</w:t>
      </w:r>
    </w:p>
    <w:p>
      <w:pPr>
        <w:pStyle w:val="ListParagraph"/>
        <w:numPr>
          <w:ilvl w:val="0"/>
          <w:numId w:val="2"/>
        </w:numPr>
        <w:spacing w:after="60" w:before="60"/>
      </w:pPr>
      <w:r>
        <w:rPr>
          <w:rFonts w:ascii="Arial" w:cs="Arial" w:eastAsia="Arial" w:hAnsi="Arial"/>
          <w:color w:val="1A202C"/>
          <w:sz w:val="22"/>
          <w:szCs w:val="22"/>
        </w:rPr>
        <w:t xml:space="preserve">Dedicated reseller documentation portal, Postman collection, and sandbox environment</w:t>
      </w:r>
    </w:p>
    <w:p>
      <w:pPr>
        <w:spacing w:after="0" w:before="80"/>
      </w:pPr>
      <w:r>
        <w:t xml:space="preserve"/>
      </w:r>
    </w:p>
    <w:p>
      <w:pPr>
        <w:pStyle w:val="Heading2"/>
        <w:spacing w:after="120" w:before="280"/>
      </w:pPr>
      <w:r>
        <w:rPr>
          <w:rFonts w:ascii="Arial" w:cs="Arial" w:eastAsia="Arial" w:hAnsi="Arial"/>
          <w:b/>
          <w:bCs/>
          <w:color w:val="2E75B6"/>
          <w:sz w:val="28"/>
          <w:szCs w:val="28"/>
        </w:rPr>
        <w:t xml:space="preserve">9.4 Trust &amp; Certification Roadmap</w:t>
      </w:r>
    </w:p>
    <w:p>
      <w:pPr>
        <w:pStyle w:val="ListParagraph"/>
        <w:numPr>
          <w:ilvl w:val="0"/>
          <w:numId w:val="2"/>
        </w:numPr>
        <w:spacing w:after="60" w:before="60"/>
      </w:pPr>
      <w:r>
        <w:rPr>
          <w:rFonts w:ascii="Arial" w:cs="Arial" w:eastAsia="Arial" w:hAnsi="Arial"/>
          <w:color w:val="1A202C"/>
          <w:sz w:val="22"/>
          <w:szCs w:val="22"/>
        </w:rPr>
        <w:t xml:space="preserve">ISO 27001 Certification — Target 12 months post-launch (builds on Supabase's existing ISO 27001)</w:t>
      </w:r>
    </w:p>
    <w:p>
      <w:pPr>
        <w:pStyle w:val="ListParagraph"/>
        <w:numPr>
          <w:ilvl w:val="0"/>
          <w:numId w:val="2"/>
        </w:numPr>
        <w:spacing w:after="60" w:before="60"/>
      </w:pPr>
      <w:r>
        <w:rPr>
          <w:rFonts w:ascii="Arial" w:cs="Arial" w:eastAsia="Arial" w:hAnsi="Arial"/>
          <w:color w:val="1A202C"/>
          <w:sz w:val="22"/>
          <w:szCs w:val="22"/>
        </w:rPr>
        <w:t xml:space="preserve">SOC 2 Type II Report — Commission via Drata or Vanta (automated evidence collection)</w:t>
      </w:r>
    </w:p>
    <w:p>
      <w:pPr>
        <w:pStyle w:val="ListParagraph"/>
        <w:numPr>
          <w:ilvl w:val="0"/>
          <w:numId w:val="2"/>
        </w:numPr>
        <w:spacing w:after="60" w:before="60"/>
      </w:pPr>
      <w:r>
        <w:rPr>
          <w:rFonts w:ascii="Arial" w:cs="Arial" w:eastAsia="Arial" w:hAnsi="Arial"/>
          <w:color w:val="1A202C"/>
          <w:sz w:val="22"/>
          <w:szCs w:val="22"/>
        </w:rPr>
        <w:t xml:space="preserve">GDPR DPA Template — Legal template ready for all EU and UK customers at signup</w:t>
      </w:r>
    </w:p>
    <w:p>
      <w:pPr>
        <w:pStyle w:val="ListParagraph"/>
        <w:numPr>
          <w:ilvl w:val="0"/>
          <w:numId w:val="2"/>
        </w:numPr>
        <w:spacing w:after="60" w:before="60"/>
      </w:pPr>
      <w:r>
        <w:rPr>
          <w:rFonts w:ascii="Arial" w:cs="Arial" w:eastAsia="Arial" w:hAnsi="Arial"/>
          <w:color w:val="1A202C"/>
          <w:sz w:val="22"/>
          <w:szCs w:val="22"/>
        </w:rPr>
        <w:t xml:space="preserve">Annual Penetration Test — External pentest from CREST-accredited firm, report shared with enterprise buyers</w:t>
      </w:r>
    </w:p>
    <w:p>
      <w:pPr>
        <w:pStyle w:val="ListParagraph"/>
        <w:numPr>
          <w:ilvl w:val="0"/>
          <w:numId w:val="2"/>
        </w:numPr>
        <w:spacing w:after="60" w:before="60"/>
      </w:pPr>
      <w:r>
        <w:rPr>
          <w:rFonts w:ascii="Arial" w:cs="Arial" w:eastAsia="Arial" w:hAnsi="Arial"/>
          <w:color w:val="1A202C"/>
          <w:sz w:val="22"/>
          <w:szCs w:val="22"/>
        </w:rPr>
        <w:t xml:space="preserve">WCAG 2.1 AA Audit — Required for government and public sector contracts in EU/UK/US</w:t>
      </w:r>
    </w:p>
    <w:p>
      <w:r>
        <w:br w:type="page"/>
      </w:r>
    </w:p>
    <w:p>
      <w:pPr>
        <w:pStyle w:val="Heading1"/>
        <w:pBdr>
          <w:bottom w:val="single" w:color="2E75B6" w:sz="8" w:space="6"/>
        </w:pBdr>
        <w:spacing w:after="160" w:before="360"/>
      </w:pPr>
      <w:r>
        <w:rPr>
          <w:rFonts w:ascii="Arial" w:cs="Arial" w:eastAsia="Arial" w:hAnsi="Arial"/>
          <w:b/>
          <w:bCs/>
          <w:color w:val="1E4D8C"/>
          <w:sz w:val="36"/>
          <w:szCs w:val="36"/>
        </w:rPr>
        <w:t xml:space="preserve">10. Implementation Roadmap</w:t>
      </w:r>
    </w:p>
    <w:p>
      <w:pPr>
        <w:pStyle w:val="Heading2"/>
        <w:spacing w:after="120" w:before="280"/>
      </w:pPr>
      <w:r>
        <w:rPr>
          <w:rFonts w:ascii="Arial" w:cs="Arial" w:eastAsia="Arial" w:hAnsi="Arial"/>
          <w:b/>
          <w:bCs/>
          <w:color w:val="2E75B6"/>
          <w:sz w:val="28"/>
          <w:szCs w:val="28"/>
        </w:rPr>
        <w:t xml:space="preserve">Phase 1 — Foundation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rPr>
          <w:tblHeader/>
        </w:trPr>
        <w:tc>
          <w:tcPr>
            <w:tcW w:type="dxa" w:w="14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Sprint</w:t>
            </w:r>
          </w:p>
        </w:tc>
        <w:tc>
          <w:tcPr>
            <w:tcW w:type="dxa" w:w="636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Deliverable</w:t>
            </w:r>
          </w:p>
        </w:tc>
        <w:tc>
          <w:tcPr>
            <w:tcW w:type="dxa" w:w="16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Priority</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Sprint 1-2</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Project scaffold: NestJS + Supabase multi-tenant setup, RLS policies, JWT auth flow</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Critical</w:t>
            </w:r>
          </w:p>
        </w:tc>
      </w:tr>
      <w:tr>
        <w:tc>
          <w:tcPr>
            <w:tcW w:type="dxa" w:w="14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Sprint 3-4</w:t>
            </w:r>
          </w:p>
        </w:tc>
        <w:tc>
          <w:tcPr>
            <w:tcW w:type="dxa" w:w="6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Employee Lifecycle module (full CRUD, org chart with ltree, digital contracts)</w:t>
            </w:r>
          </w:p>
        </w:tc>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Critical</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Sprint 5-6</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Attendance &amp; Leave modules with multi-level approval workflows</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Critical</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Phase 2 — Core Revenue Modules (Months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rPr>
          <w:tblHeader/>
        </w:trPr>
        <w:tc>
          <w:tcPr>
            <w:tcW w:type="dxa" w:w="14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Sprint</w:t>
            </w:r>
          </w:p>
        </w:tc>
        <w:tc>
          <w:tcPr>
            <w:tcW w:type="dxa" w:w="636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Deliverable</w:t>
            </w:r>
          </w:p>
        </w:tc>
        <w:tc>
          <w:tcPr>
            <w:tcW w:type="dxa" w:w="16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Priority</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Sprint 7-8</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Payroll Engine v1 (Bangladesh + India + UAE) with BullMQ processing queue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Critical</w:t>
            </w:r>
          </w:p>
        </w:tc>
      </w:tr>
      <w:tr>
        <w:tc>
          <w:tcPr>
            <w:tcW w:type="dxa" w:w="14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Sprint 9-10</w:t>
            </w:r>
          </w:p>
        </w:tc>
        <w:tc>
          <w:tcPr>
            <w:tcW w:type="dxa" w:w="6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ESS Portal (Next.js mobile-friendly PWA) + payslip PDF generation</w:t>
            </w:r>
          </w:p>
        </w:tc>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High</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Sprint 11-12</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Analytics dashboard v1 + payroll GL export to QuickBooks/Xero</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High</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Phase 3 — Growth Modules (Months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rPr>
          <w:tblHeader/>
        </w:trPr>
        <w:tc>
          <w:tcPr>
            <w:tcW w:type="dxa" w:w="14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Sprint</w:t>
            </w:r>
          </w:p>
        </w:tc>
        <w:tc>
          <w:tcPr>
            <w:tcW w:type="dxa" w:w="636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Deliverable</w:t>
            </w:r>
          </w:p>
        </w:tc>
        <w:tc>
          <w:tcPr>
            <w:tcW w:type="dxa" w:w="16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Priority</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Sprint 13-14</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Recruitment ATS + LinkedIn/Indeed integration + candidate consent management</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High</w:t>
            </w:r>
          </w:p>
        </w:tc>
      </w:tr>
      <w:tr>
        <w:tc>
          <w:tcPr>
            <w:tcW w:type="dxa" w:w="14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Sprint 15-16</w:t>
            </w:r>
          </w:p>
        </w:tc>
        <w:tc>
          <w:tcPr>
            <w:tcW w:type="dxa" w:w="6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Performance Management (OKR + 360-degree feedback + calibration tool)</w:t>
            </w:r>
          </w:p>
        </w:tc>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High</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Sprint 17-18</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LMS module (SCORM 2004 player + certification tracking + skill matrix)</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Medium</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Phase 4 — Enterprise &amp; Compliance (Months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360"/>
        <w:gridCol w:w="1600"/>
      </w:tblGrid>
      <w:tr>
        <w:trPr>
          <w:tblHeader/>
        </w:trPr>
        <w:tc>
          <w:tcPr>
            <w:tcW w:type="dxa" w:w="14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Sprint</w:t>
            </w:r>
          </w:p>
        </w:tc>
        <w:tc>
          <w:tcPr>
            <w:tcW w:type="dxa" w:w="636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Deliverable</w:t>
            </w:r>
          </w:p>
        </w:tc>
        <w:tc>
          <w:tcPr>
            <w:tcW w:type="dxa" w:w="16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Priority</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Sprint 19-20</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Compliance Engine + GDPR DSR portal + immutable audit trail + breach workflow</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Critical</w:t>
            </w:r>
          </w:p>
        </w:tc>
      </w:tr>
      <w:tr>
        <w:tc>
          <w:tcPr>
            <w:tcW w:type="dxa" w:w="14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Sprint 21-22</w:t>
            </w:r>
          </w:p>
        </w:tc>
        <w:tc>
          <w:tcPr>
            <w:tcW w:type="dxa" w:w="63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Payroll expansion: UK (PAYE/RTI), Singapore (CPF), USA (Federal + state)</w:t>
            </w:r>
          </w:p>
        </w:tc>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High</w:t>
            </w:r>
          </w:p>
        </w:tc>
      </w:tr>
      <w:tr>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Sprint 23-24</w:t>
            </w:r>
          </w:p>
        </w:tc>
        <w:tc>
          <w:tcPr>
            <w:tcW w:type="dxa" w:w="63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White-label reseller portal + API marketplace + developer documentation site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High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B5CF6" w:sz="1"/>
              <w:left w:val="single" w:color="8B5CF6" w:sz="1"/>
              <w:bottom w:val="single" w:color="8B5CF6" w:sz="1"/>
              <w:right w:val="single" w:color="8B5CF6" w:sz="1"/>
            </w:tcBorders>
            <w:shd w:fill="8B5CF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TEAM RECOMMENDATION</w:t>
            </w:r>
          </w:p>
        </w:tc>
        <w:tc>
          <w:tcPr>
            <w:tcW w:type="dxa" w:w="7160"/>
            <w:tcBorders>
              <w:top w:val="single" w:color="8B5CF6" w:sz="1"/>
              <w:left w:val="single" w:color="8B5CF6" w:sz="1"/>
              <w:bottom w:val="single" w:color="8B5CF6" w:sz="1"/>
              <w:right w:val="single" w:color="8B5CF6" w:sz="1"/>
            </w:tcBorders>
            <w:shd w:fill="F5F3FF" w:val="clear"/>
            <w:tcMar>
              <w:top w:type="dxa" w:w="100"/>
              <w:left w:type="dxa" w:w="140"/>
              <w:bottom w:type="dxa" w:w="100"/>
              <w:right w:type="dxa" w:w="140"/>
            </w:tcMar>
          </w:tcPr>
          <w:p>
            <w:r>
              <w:rPr>
                <w:rFonts w:ascii="Arial" w:cs="Arial" w:eastAsia="Arial" w:hAnsi="Arial"/>
                <w:color w:val="1A202C"/>
                <w:sz w:val="20"/>
                <w:szCs w:val="20"/>
              </w:rPr>
              <w:t xml:space="preserve">Minimum team: 2 Full-Stack Devs (Next.js/NestJS), 1 Backend/DB Dev (Supabase/PostgreSQL), 1 UI/UX Designer, 1 QA Engineer, 1 Product Owner. Target: 12-month MVP to market-ready SaaS product.</w:t>
            </w:r>
          </w:p>
        </w:tc>
      </w:tr>
    </w:tbl>
    <w:p>
      <w:r>
        <w:br w:type="page"/>
      </w:r>
    </w:p>
    <w:p>
      <w:pPr>
        <w:pStyle w:val="Heading1"/>
        <w:pBdr>
          <w:bottom w:val="single" w:color="2E75B6" w:sz="8" w:space="6"/>
        </w:pBdr>
        <w:spacing w:after="160" w:before="360"/>
      </w:pPr>
      <w:r>
        <w:rPr>
          <w:rFonts w:ascii="Arial" w:cs="Arial" w:eastAsia="Arial" w:hAnsi="Arial"/>
          <w:b/>
          <w:bCs/>
          <w:color w:val="1E4D8C"/>
          <w:sz w:val="36"/>
          <w:szCs w:val="36"/>
        </w:rPr>
        <w:t xml:space="preserve">11. Technical Appendix</w:t>
      </w:r>
    </w:p>
    <w:p>
      <w:pPr>
        <w:pStyle w:val="Heading2"/>
        <w:spacing w:after="120" w:before="280"/>
      </w:pPr>
      <w:r>
        <w:rPr>
          <w:rFonts w:ascii="Arial" w:cs="Arial" w:eastAsia="Arial" w:hAnsi="Arial"/>
          <w:b/>
          <w:bCs/>
          <w:color w:val="2E75B6"/>
          <w:sz w:val="28"/>
          <w:szCs w:val="28"/>
        </w:rPr>
        <w:t xml:space="preserve">11.1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Variable</w:t>
            </w:r>
          </w:p>
        </w:tc>
        <w:tc>
          <w:tcPr>
            <w:tcW w:type="dxa" w:w="18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Service</w:t>
            </w:r>
          </w:p>
        </w:tc>
        <w:tc>
          <w:tcPr>
            <w:tcW w:type="dxa" w:w="476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SUPABASE_URL</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Supabase</w:t>
            </w:r>
          </w:p>
        </w:tc>
        <w:tc>
          <w:tcPr>
            <w:tcW w:type="dxa" w:w="47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Project API URL (from Supabase project settings)</w:t>
            </w:r>
          </w:p>
        </w:tc>
      </w:tr>
      <w:tr>
        <w:tc>
          <w:tcPr>
            <w:tcW w:type="dxa" w:w="2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SUPABASE_SERVICE_KEY</w:t>
            </w:r>
          </w:p>
        </w:tc>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Supabase</w:t>
            </w:r>
          </w:p>
        </w:tc>
        <w:tc>
          <w:tcPr>
            <w:tcW w:type="dxa" w:w="47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Service role key — server-side only, never expose to client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DATABASE_URL</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PostgreSQL</w:t>
            </w:r>
          </w:p>
        </w:tc>
        <w:tc>
          <w:tcPr>
            <w:tcW w:type="dxa" w:w="47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Direct connection string for NestJS TypeORM/Prisma</w:t>
            </w:r>
          </w:p>
        </w:tc>
      </w:tr>
      <w:tr>
        <w:tc>
          <w:tcPr>
            <w:tcW w:type="dxa" w:w="2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REDIS_URL</w:t>
            </w:r>
          </w:p>
        </w:tc>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Redis / BullMQ</w:t>
            </w:r>
          </w:p>
        </w:tc>
        <w:tc>
          <w:tcPr>
            <w:tcW w:type="dxa" w:w="47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BullMQ job queue connection URL</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JWT_SECRET</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Auth</w:t>
            </w:r>
          </w:p>
        </w:tc>
        <w:tc>
          <w:tcPr>
            <w:tcW w:type="dxa" w:w="47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JWT signing secret — 256-bit minimum, rotate every 90 days</w:t>
            </w:r>
          </w:p>
        </w:tc>
      </w:tr>
      <w:tr>
        <w:tc>
          <w:tcPr>
            <w:tcW w:type="dxa" w:w="2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RESEND_API_KEY</w:t>
            </w:r>
          </w:p>
        </w:tc>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Email</w:t>
            </w:r>
          </w:p>
        </w:tc>
        <w:tc>
          <w:tcPr>
            <w:tcW w:type="dxa" w:w="47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Transactional email delivery via Resend</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TWILIO_ACCOUNT_SID</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SMS / OTP</w:t>
            </w:r>
          </w:p>
        </w:tc>
        <w:tc>
          <w:tcPr>
            <w:tcW w:type="dxa" w:w="47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Twilio for SMS notifications and MFA OTP</w:t>
            </w:r>
          </w:p>
        </w:tc>
      </w:tr>
      <w:tr>
        <w:tc>
          <w:tcPr>
            <w:tcW w:type="dxa" w:w="2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ANTHROPIC_API_KEY</w:t>
            </w:r>
          </w:p>
        </w:tc>
        <w:tc>
          <w:tcPr>
            <w:tcW w:type="dxa" w:w="1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AI Features</w:t>
            </w:r>
          </w:p>
        </w:tc>
        <w:tc>
          <w:tcPr>
            <w:tcW w:type="dxa" w:w="47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JD generation, chatbot assistant, smart search</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STRIPE_SECRET_KEY</w:t>
            </w:r>
          </w:p>
        </w:tc>
        <w:tc>
          <w:tcPr>
            <w:tcW w:type="dxa" w:w="1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Billing</w:t>
            </w:r>
          </w:p>
        </w:tc>
        <w:tc>
          <w:tcPr>
            <w:tcW w:type="dxa" w:w="47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SaaS subscription and invoice management</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11.2 Key NPM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Package</w:t>
            </w:r>
          </w:p>
        </w:tc>
        <w:tc>
          <w:tcPr>
            <w:tcW w:type="dxa" w:w="160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Layer</w:t>
            </w:r>
          </w:p>
        </w:tc>
        <w:tc>
          <w:tcPr>
            <w:tcW w:type="dxa" w:w="4960"/>
            <w:tcBorders>
              <w:top w:val="single" w:color="2E75B6" w:sz="1"/>
              <w:left w:val="single" w:color="2E75B6" w:sz="1"/>
              <w:bottom w:val="single" w:color="2E75B6" w:sz="1"/>
              <w:right w:val="single" w:color="2E75B6" w:sz="1"/>
            </w:tcBorders>
            <w:shd w:fill="1E4D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@nestjs/swagger</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Backend</w:t>
            </w:r>
          </w:p>
        </w:tc>
        <w:tc>
          <w:tcPr>
            <w:tcW w:type="dxa" w:w="4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OpenAPI 3.1 auto-generation from decorators</w:t>
            </w:r>
          </w:p>
        </w:tc>
      </w:tr>
      <w:tr>
        <w:tc>
          <w:tcPr>
            <w:tcW w:type="dxa" w:w="2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@nestjs/bull + bullmq</w:t>
            </w:r>
          </w:p>
        </w:tc>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Backend</w:t>
            </w:r>
          </w:p>
        </w:tc>
        <w:tc>
          <w:tcPr>
            <w:tcW w:type="dxa" w:w="49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Background job queues for payroll and notifications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zod + nestjs-zod</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Backend</w:t>
            </w:r>
          </w:p>
        </w:tc>
        <w:tc>
          <w:tcPr>
            <w:tcW w:type="dxa" w:w="4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Runtime schema validation with TypeScript inference</w:t>
            </w:r>
          </w:p>
        </w:tc>
      </w:tr>
      <w:tr>
        <w:tc>
          <w:tcPr>
            <w:tcW w:type="dxa" w:w="2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@supabase/supabase-js</w:t>
            </w:r>
          </w:p>
        </w:tc>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Both</w:t>
            </w:r>
          </w:p>
        </w:tc>
        <w:tc>
          <w:tcPr>
            <w:tcW w:type="dxa" w:w="49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Supabase client SDK for auth, DB, storage, realtime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next-intl</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Frontend</w:t>
            </w:r>
          </w:p>
        </w:tc>
        <w:tc>
          <w:tcPr>
            <w:tcW w:type="dxa" w:w="4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i18n with App Router support and ICU message format</w:t>
            </w:r>
          </w:p>
        </w:tc>
      </w:tr>
      <w:tr>
        <w:tc>
          <w:tcPr>
            <w:tcW w:type="dxa" w:w="2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@tanstack/react-query</w:t>
            </w:r>
          </w:p>
        </w:tc>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Frontend</w:t>
            </w:r>
          </w:p>
        </w:tc>
        <w:tc>
          <w:tcPr>
            <w:tcW w:type="dxa" w:w="49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Server state management with caching and sync</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react-hook-form + zod</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Frontend</w:t>
            </w:r>
          </w:p>
        </w:tc>
        <w:tc>
          <w:tcPr>
            <w:tcW w:type="dxa" w:w="4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Performant form validation with type safety</w:t>
            </w:r>
          </w:p>
        </w:tc>
      </w:tr>
      <w:tr>
        <w:tc>
          <w:tcPr>
            <w:tcW w:type="dxa" w:w="2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recharts</w:t>
            </w:r>
          </w:p>
        </w:tc>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Frontend</w:t>
            </w:r>
          </w:p>
        </w:tc>
        <w:tc>
          <w:tcPr>
            <w:tcW w:type="dxa" w:w="49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Composable HR analytics charts and dashboards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pdfmake</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Backend</w:t>
            </w:r>
          </w:p>
        </w:tc>
        <w:tc>
          <w:tcPr>
            <w:tcW w:type="dxa" w:w="49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Payslip and contract PDF generation</w:t>
            </w:r>
          </w:p>
        </w:tc>
      </w:tr>
      <w:tr>
        <w:tc>
          <w:tcPr>
            <w:tcW w:type="dxa" w:w="28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date-fns + date-fns-tz</w:t>
            </w:r>
          </w:p>
        </w:tc>
        <w:tc>
          <w:tcPr>
            <w:tcW w:type="dxa" w:w="160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Both</w:t>
            </w:r>
          </w:p>
        </w:tc>
        <w:tc>
          <w:tcPr>
            <w:tcW w:type="dxa" w:w="4960"/>
            <w:tcBorders>
              <w:top w:val="single" w:color="D1D5DB" w:sz="1"/>
              <w:left w:val="single" w:color="D1D5DB" w:sz="1"/>
              <w:bottom w:val="single" w:color="D1D5DB" w:sz="1"/>
              <w:right w:val="single" w:color="D1D5DB" w:sz="1"/>
            </w:tcBorders>
            <w:shd w:fill="F2F4F7" w:val="clear"/>
            <w:tcMar>
              <w:top w:type="dxa" w:w="70"/>
              <w:left w:type="dxa" w:w="100"/>
              <w:bottom w:type="dxa" w:w="70"/>
              <w:right w:type="dxa" w:w="100"/>
            </w:tcMar>
          </w:tcPr>
          <w:p>
            <w:r>
              <w:rPr>
                <w:rFonts w:ascii="Arial" w:cs="Arial" w:eastAsia="Arial" w:hAnsi="Arial"/>
                <w:color w:val="1A202C"/>
                <w:sz w:val="19"/>
                <w:szCs w:val="19"/>
              </w:rPr>
              <w:t xml:space="preserve">Timezone-aware date handling and formatting</w:t>
            </w:r>
          </w:p>
        </w:tc>
      </w:tr>
    </w:tbl>
    <w:p>
      <w:pPr>
        <w:spacing w:after="0" w:before="80"/>
      </w:pPr>
      <w:r>
        <w:t xml:space="preserve"/>
      </w:r>
    </w:p>
    <w:p>
      <w:pPr>
        <w:pStyle w:val="Heading2"/>
        <w:spacing w:after="120" w:before="280"/>
      </w:pPr>
      <w:r>
        <w:rPr>
          <w:rFonts w:ascii="Arial" w:cs="Arial" w:eastAsia="Arial" w:hAnsi="Arial"/>
          <w:b/>
          <w:bCs/>
          <w:color w:val="2E75B6"/>
          <w:sz w:val="28"/>
          <w:szCs w:val="28"/>
        </w:rPr>
        <w:t xml:space="preserve">11.3 Production Infrastructure</w:t>
      </w:r>
    </w:p>
    <w:p>
      <w:pPr>
        <w:pStyle w:val="ListParagraph"/>
        <w:numPr>
          <w:ilvl w:val="0"/>
          <w:numId w:val="2"/>
        </w:numPr>
        <w:spacing w:after="60" w:before="60"/>
      </w:pPr>
      <w:r>
        <w:rPr>
          <w:rFonts w:ascii="Arial" w:cs="Arial" w:eastAsia="Arial" w:hAnsi="Arial"/>
          <w:color w:val="1A202C"/>
          <w:sz w:val="22"/>
          <w:szCs w:val="22"/>
        </w:rPr>
        <w:t xml:space="preserve">Frontend: Vercel (Next.js) — CDN edge network, automatic preview deployments per PR</w:t>
      </w:r>
    </w:p>
    <w:p>
      <w:pPr>
        <w:pStyle w:val="ListParagraph"/>
        <w:numPr>
          <w:ilvl w:val="0"/>
          <w:numId w:val="2"/>
        </w:numPr>
        <w:spacing w:after="60" w:before="60"/>
      </w:pPr>
      <w:r>
        <w:rPr>
          <w:rFonts w:ascii="Arial" w:cs="Arial" w:eastAsia="Arial" w:hAnsi="Arial"/>
          <w:color w:val="1A202C"/>
          <w:sz w:val="22"/>
          <w:szCs w:val="22"/>
        </w:rPr>
        <w:t xml:space="preserve">Backend API: Railway or Render (NestJS Docker) — or Kubernetes on AWS EKS / GCP GKE for enterprise</w:t>
      </w:r>
    </w:p>
    <w:p>
      <w:pPr>
        <w:pStyle w:val="ListParagraph"/>
        <w:numPr>
          <w:ilvl w:val="0"/>
          <w:numId w:val="2"/>
        </w:numPr>
        <w:spacing w:after="60" w:before="60"/>
      </w:pPr>
      <w:r>
        <w:rPr>
          <w:rFonts w:ascii="Arial" w:cs="Arial" w:eastAsia="Arial" w:hAnsi="Arial"/>
          <w:color w:val="1A202C"/>
          <w:sz w:val="22"/>
          <w:szCs w:val="22"/>
        </w:rPr>
        <w:t xml:space="preserve">Database: Supabase Cloud (Pro plan minimum) — daily backups, PITR, read replicas</w:t>
      </w:r>
    </w:p>
    <w:p>
      <w:pPr>
        <w:pStyle w:val="ListParagraph"/>
        <w:numPr>
          <w:ilvl w:val="0"/>
          <w:numId w:val="2"/>
        </w:numPr>
        <w:spacing w:after="60" w:before="60"/>
      </w:pPr>
      <w:r>
        <w:rPr>
          <w:rFonts w:ascii="Arial" w:cs="Arial" w:eastAsia="Arial" w:hAnsi="Arial"/>
          <w:color w:val="1A202C"/>
          <w:sz w:val="22"/>
          <w:szCs w:val="22"/>
        </w:rPr>
        <w:t xml:space="preserve">Redis: Upstash Redis (serverless) or Redis Cloud for BullMQ queues</w:t>
      </w:r>
    </w:p>
    <w:p>
      <w:pPr>
        <w:pStyle w:val="ListParagraph"/>
        <w:numPr>
          <w:ilvl w:val="0"/>
          <w:numId w:val="2"/>
        </w:numPr>
        <w:spacing w:after="60" w:before="60"/>
      </w:pPr>
      <w:r>
        <w:rPr>
          <w:rFonts w:ascii="Arial" w:cs="Arial" w:eastAsia="Arial" w:hAnsi="Arial"/>
          <w:color w:val="1A202C"/>
          <w:sz w:val="22"/>
          <w:szCs w:val="22"/>
        </w:rPr>
        <w:t xml:space="preserve">Storage: Supabase Storage (Tigris S3-compatible) — CDN-backed for payslip/document delivery</w:t>
      </w:r>
    </w:p>
    <w:p>
      <w:pPr>
        <w:pStyle w:val="ListParagraph"/>
        <w:numPr>
          <w:ilvl w:val="0"/>
          <w:numId w:val="2"/>
        </w:numPr>
        <w:spacing w:after="60" w:before="60"/>
      </w:pPr>
      <w:r>
        <w:rPr>
          <w:rFonts w:ascii="Arial" w:cs="Arial" w:eastAsia="Arial" w:hAnsi="Arial"/>
          <w:color w:val="1A202C"/>
          <w:sz w:val="22"/>
          <w:szCs w:val="22"/>
        </w:rPr>
        <w:t xml:space="preserve">CI/CD: GitHub Actions — test, lint, build Docker image, deploy with zero-downtime rolling update</w:t>
      </w:r>
    </w:p>
    <w:p>
      <w:pPr>
        <w:pStyle w:val="ListParagraph"/>
        <w:numPr>
          <w:ilvl w:val="0"/>
          <w:numId w:val="2"/>
        </w:numPr>
        <w:spacing w:after="60" w:before="60"/>
      </w:pPr>
      <w:r>
        <w:rPr>
          <w:rFonts w:ascii="Arial" w:cs="Arial" w:eastAsia="Arial" w:hAnsi="Arial"/>
          <w:color w:val="1A202C"/>
          <w:sz w:val="22"/>
          <w:szCs w:val="22"/>
        </w:rPr>
        <w:t xml:space="preserve">Monitoring: Sentry (error tracking) + Better Uptime + Grafana Cloud (metrics &amp; alerts)</w:t>
      </w:r>
    </w:p>
    <w:p>
      <w:pPr>
        <w:spacing w:after="0" w:before="200"/>
      </w:pPr>
      <w:r>
        <w:t xml:space="preserve"/>
      </w:r>
    </w:p>
    <w:p>
      <w:pPr>
        <w:pBdr>
          <w:top w:val="single" w:color="2E75B6" w:sz="4" w:space="8"/>
        </w:pBdr>
        <w:spacing w:before="240"/>
        <w:jc w:val="center"/>
      </w:pPr>
      <w:r>
        <w:rPr>
          <w:rFonts w:ascii="Arial" w:cs="Arial" w:eastAsia="Arial" w:hAnsi="Arial"/>
          <w:i/>
          <w:iCs/>
          <w:color w:val="4A5568"/>
          <w:sz w:val="20"/>
          <w:szCs w:val="20"/>
        </w:rPr>
        <w:t xml:space="preserve">This blueprint is a living document — iterate based on customer discovery and market feedback.</w:t>
      </w:r>
    </w:p>
    <w:p>
      <w:pPr>
        <w:jc w:val="center"/>
      </w:pPr>
      <w:r>
        <w:rPr>
          <w:rFonts w:ascii="Arial" w:cs="Arial" w:eastAsia="Arial" w:hAnsi="Arial"/>
          <w:b/>
          <w:bCs/>
          <w:color w:val="2E75B6"/>
          <w:sz w:val="18"/>
          <w:szCs w:val="18"/>
        </w:rPr>
        <w:t xml:space="preserve">Built for global reach  ·  Next.js · Supabase · NestJS · Tailwind CSS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4A5568"/>
        <w:sz w:val="18"/>
        <w:szCs w:val="18"/>
      </w:rPr>
      <w:t xml:space="preserve">HR Module Solution Blueprint  |  International-Grade HRMS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4D8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2026-03-15T14:11:31.092Z</dcterms:created>
  <dcterms:modified xsi:type="dcterms:W3CDTF">2026-03-15T14:11:31.093Z</dcterms:modified>
</cp:coreProperties>
</file>

<file path=docProps/custom.xml><?xml version="1.0" encoding="utf-8"?>
<Properties xmlns="http://schemas.openxmlformats.org/officeDocument/2006/custom-properties" xmlns:vt="http://schemas.openxmlformats.org/officeDocument/2006/docPropsVTypes"/>
</file>