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653"/>
        <w:gridCol w:w="607"/>
        <w:gridCol w:w="990"/>
        <w:gridCol w:w="387"/>
        <w:gridCol w:w="2127"/>
        <w:gridCol w:w="1134"/>
      </w:tblGrid>
      <w:tr w:rsidR="00801571" w:rsidRPr="00D436FE" w:rsidTr="00077E83">
        <w:tc>
          <w:tcPr>
            <w:tcW w:w="2903" w:type="dxa"/>
            <w:gridSpan w:val="2"/>
            <w:shd w:val="clear" w:color="auto" w:fill="DAEEF3"/>
          </w:tcPr>
          <w:p w:rsidR="00801571" w:rsidRPr="002E0F69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5" o:title="" gain="297891f"/>
                </v:shape>
              </w:pict>
            </w:r>
          </w:p>
        </w:tc>
        <w:tc>
          <w:tcPr>
            <w:tcW w:w="12378" w:type="dxa"/>
            <w:gridSpan w:val="15"/>
            <w:shd w:val="clear" w:color="auto" w:fill="DAEEF3"/>
          </w:tcPr>
          <w:p w:rsidR="00801571" w:rsidRPr="00D436FE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:rsidR="00801571" w:rsidRPr="00D436FE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E758FD">
              <w:rPr>
                <w:rFonts w:ascii="Cambria" w:hAnsi="Cambria"/>
                <w:b/>
                <w:sz w:val="28"/>
                <w:szCs w:val="28"/>
              </w:rPr>
              <w:t>TEKNOLOGI INFORMASI</w:t>
            </w: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="00801571" w:rsidRPr="00E758FD" w:rsidRDefault="00031780" w:rsidP="00E758FD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22300F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D </w:t>
            </w:r>
            <w:r w:rsidR="00E758FD">
              <w:rPr>
                <w:rFonts w:ascii="Cambria" w:hAnsi="Cambria"/>
                <w:b/>
                <w:sz w:val="28"/>
                <w:szCs w:val="28"/>
              </w:rPr>
              <w:t xml:space="preserve">4 TEKNIK INFORMATIKA </w:t>
            </w:r>
          </w:p>
        </w:tc>
      </w:tr>
      <w:tr w:rsidR="004D3B1F" w:rsidRPr="00D436FE" w:rsidTr="00077E83">
        <w:tc>
          <w:tcPr>
            <w:tcW w:w="15281" w:type="dxa"/>
            <w:gridSpan w:val="17"/>
            <w:shd w:val="clear" w:color="auto" w:fill="DAEEF3"/>
          </w:tcPr>
          <w:p w:rsidR="004D3B1F" w:rsidRPr="00D436FE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D436FE" w:rsidTr="00077E83">
        <w:tc>
          <w:tcPr>
            <w:tcW w:w="2903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B01383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>BOBOT (sks</w:t>
            </w:r>
            <w:r w:rsidRPr="00AD1010">
              <w:rPr>
                <w:b/>
                <w:sz w:val="22"/>
              </w:rPr>
              <w:t>)</w:t>
            </w:r>
            <w:r w:rsidR="00B01383" w:rsidRPr="00AD1010">
              <w:rPr>
                <w:b/>
                <w:sz w:val="22"/>
                <w:lang w:val="en-US"/>
              </w:rPr>
              <w:t>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SEMESTER</w:t>
            </w:r>
          </w:p>
        </w:tc>
        <w:tc>
          <w:tcPr>
            <w:tcW w:w="4638" w:type="dxa"/>
            <w:gridSpan w:val="4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D436FE" w:rsidTr="00077E83">
        <w:trPr>
          <w:trHeight w:val="511"/>
        </w:trPr>
        <w:tc>
          <w:tcPr>
            <w:tcW w:w="2903" w:type="dxa"/>
            <w:gridSpan w:val="2"/>
            <w:shd w:val="clear" w:color="auto" w:fill="auto"/>
          </w:tcPr>
          <w:p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:rsidR="004D3B1F" w:rsidRPr="00E758FD" w:rsidRDefault="0006213B" w:rsidP="00E758FD"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Kesehatan dan Keselamatan Kerja</w:t>
            </w:r>
          </w:p>
        </w:tc>
        <w:tc>
          <w:tcPr>
            <w:tcW w:w="1840" w:type="dxa"/>
            <w:gridSpan w:val="2"/>
            <w:shd w:val="clear" w:color="auto" w:fill="auto"/>
          </w:tcPr>
          <w:p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F66462" w:rsidRDefault="0006213B" w:rsidP="0006213B">
            <w:pPr>
              <w:rPr>
                <w:sz w:val="22"/>
                <w:lang w:val="en-US"/>
              </w:rPr>
            </w:pPr>
            <w:r w:rsidRPr="0006213B">
              <w:rPr>
                <w:bCs/>
                <w:color w:val="000000"/>
                <w:sz w:val="22"/>
              </w:rPr>
              <w:t>RTI161003</w:t>
            </w:r>
          </w:p>
        </w:tc>
        <w:tc>
          <w:tcPr>
            <w:tcW w:w="2659" w:type="dxa"/>
            <w:gridSpan w:val="5"/>
            <w:shd w:val="clear" w:color="auto" w:fill="auto"/>
          </w:tcPr>
          <w:p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B05796" w:rsidRPr="00AD1010" w:rsidRDefault="00F66462" w:rsidP="00801571">
            <w:pPr>
              <w:spacing w:after="0" w:line="240" w:lineRule="auto"/>
              <w:rPr>
                <w:sz w:val="22"/>
              </w:rPr>
            </w:pPr>
            <w:r w:rsidRPr="00AD1010">
              <w:rPr>
                <w:sz w:val="22"/>
              </w:rPr>
              <w:t>Teknik Informatika</w:t>
            </w:r>
          </w:p>
        </w:tc>
        <w:tc>
          <w:tcPr>
            <w:tcW w:w="1981" w:type="dxa"/>
            <w:gridSpan w:val="2"/>
            <w:shd w:val="clear" w:color="auto" w:fill="auto"/>
          </w:tcPr>
          <w:p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F66462" w:rsidRDefault="00042C36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 sks/3</w:t>
            </w:r>
            <w:r w:rsidR="00F66462" w:rsidRPr="00F66462">
              <w:rPr>
                <w:sz w:val="22"/>
              </w:rPr>
              <w:t xml:space="preserve"> jam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:rsidR="004D3B1F" w:rsidRPr="00F66462" w:rsidRDefault="00995130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638" w:type="dxa"/>
            <w:gridSpan w:val="4"/>
            <w:shd w:val="clear" w:color="auto" w:fill="auto"/>
          </w:tcPr>
          <w:p w:rsidR="00F66462" w:rsidRPr="00F66462" w:rsidRDefault="00F66462" w:rsidP="008C2B96">
            <w:pPr>
              <w:spacing w:after="0" w:line="240" w:lineRule="auto"/>
              <w:jc w:val="left"/>
              <w:rPr>
                <w:sz w:val="22"/>
              </w:rPr>
            </w:pPr>
          </w:p>
          <w:p w:rsidR="004D3B1F" w:rsidRPr="00F66462" w:rsidRDefault="0006213B" w:rsidP="008C2B96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6 November 2016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Koordinator RMK</w:t>
            </w:r>
          </w:p>
        </w:tc>
        <w:tc>
          <w:tcPr>
            <w:tcW w:w="5898" w:type="dxa"/>
            <w:gridSpan w:val="6"/>
            <w:shd w:val="clear" w:color="auto" w:fill="D9D9D9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Ka PRODI</w:t>
            </w:r>
          </w:p>
        </w:tc>
      </w:tr>
      <w:tr w:rsidR="00801571" w:rsidRPr="00D436FE" w:rsidTr="00077E83">
        <w:trPr>
          <w:trHeight w:val="449"/>
        </w:trPr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1571" w:rsidRPr="00D436FE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</w:tc>
        <w:tc>
          <w:tcPr>
            <w:tcW w:w="589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801571" w:rsidRPr="00D724E2" w:rsidRDefault="00E758FD" w:rsidP="00801571">
            <w:pPr>
              <w:spacing w:after="0" w:line="240" w:lineRule="auto"/>
              <w:rPr>
                <w:sz w:val="22"/>
                <w:lang w:val="en-US"/>
              </w:rPr>
            </w:pPr>
            <w:r w:rsidRPr="00D724E2">
              <w:rPr>
                <w:bCs/>
                <w:sz w:val="22"/>
              </w:rPr>
              <w:t>Ir. Deddy Kusbianto Purwoko Aji, Mmkom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031780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 xml:space="preserve">Capaian Pembelajaran </w:t>
            </w:r>
            <w:r w:rsidR="004D3B1F" w:rsidRPr="00D436FE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480" w:type="dxa"/>
            <w:gridSpan w:val="9"/>
            <w:tcBorders>
              <w:bottom w:val="single" w:sz="8" w:space="0" w:color="auto"/>
            </w:tcBorders>
            <w:shd w:val="clear" w:color="auto" w:fill="D9D9D9"/>
          </w:tcPr>
          <w:p w:rsidR="00801571" w:rsidRPr="00D436FE" w:rsidRDefault="004D3B1F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D436FE">
              <w:rPr>
                <w:b/>
                <w:sz w:val="22"/>
                <w:lang w:eastAsia="id-ID"/>
              </w:rPr>
              <w:t xml:space="preserve">   </w:t>
            </w:r>
            <w:r w:rsidRPr="00D436FE">
              <w:rPr>
                <w:b/>
                <w:sz w:val="22"/>
                <w:lang w:val="en-US" w:eastAsia="id-ID"/>
              </w:rPr>
              <w:t>(CPL-Prodi)</w:t>
            </w:r>
            <w:r w:rsidR="00801571" w:rsidRPr="00D436FE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5898" w:type="dxa"/>
            <w:gridSpan w:val="6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8" w:space="0" w:color="FFFFFF"/>
            </w:tcBorders>
            <w:shd w:val="clear" w:color="auto" w:fill="auto"/>
          </w:tcPr>
          <w:p w:rsidR="0006213B" w:rsidRPr="001331CB" w:rsidRDefault="0006213B" w:rsidP="0006213B">
            <w:pPr>
              <w:numPr>
                <w:ilvl w:val="0"/>
                <w:numId w:val="47"/>
              </w:numPr>
              <w:spacing w:after="0" w:line="240" w:lineRule="auto"/>
              <w:ind w:left="499" w:hanging="357"/>
              <w:rPr>
                <w:rFonts w:ascii="Cambria" w:hAnsi="Cambria"/>
                <w:sz w:val="22"/>
                <w:lang w:val="en-US"/>
              </w:rPr>
            </w:pPr>
            <w:r w:rsidRPr="001331CB">
              <w:rPr>
                <w:rFonts w:ascii="Cambria" w:hAnsi="Cambria"/>
                <w:color w:val="000000"/>
                <w:sz w:val="22"/>
              </w:rPr>
              <w:t>Menguasai pengetahuan tentang penjaminan kualitas dan prinsip keselamatan dan kesehatan kerja (K3) dalam pengembangan produk TIK.</w:t>
            </w:r>
          </w:p>
          <w:p w:rsidR="0006213B" w:rsidRPr="007222C1" w:rsidRDefault="0006213B" w:rsidP="0006213B">
            <w:pPr>
              <w:numPr>
                <w:ilvl w:val="0"/>
                <w:numId w:val="47"/>
              </w:numPr>
              <w:spacing w:after="0" w:line="240" w:lineRule="auto"/>
              <w:ind w:left="499" w:hanging="357"/>
              <w:rPr>
                <w:sz w:val="22"/>
                <w:lang w:val="en-US"/>
              </w:rPr>
            </w:pPr>
            <w:r w:rsidRPr="001331CB">
              <w:rPr>
                <w:rFonts w:ascii="Cambria" w:hAnsi="Cambria"/>
                <w:color w:val="000000"/>
                <w:sz w:val="22"/>
              </w:rPr>
              <w:t>Mampu mengelola sumberdaya berupa waktu, SDM, biaya  untuk pengembangan produk TIK  dengan memanfaatkan perangkat lunak managemen proyek dan memperhatikan prinsip Keselamatan dan Kesehatan Kerja (K3).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:rsidR="00801571" w:rsidRPr="00D436FE" w:rsidRDefault="004D3B1F" w:rsidP="00801571">
            <w:pPr>
              <w:spacing w:line="240" w:lineRule="auto"/>
              <w:rPr>
                <w:b/>
                <w:sz w:val="22"/>
                <w:lang w:val="en-US"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648" w:type="dxa"/>
            <w:gridSpan w:val="3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6C7402" w:rsidRPr="00995130" w:rsidRDefault="0006213B" w:rsidP="0006213B">
            <w:r>
              <w:rPr>
                <w:rFonts w:ascii="Cambria" w:hAnsi="Cambria"/>
                <w:color w:val="000000"/>
                <w:sz w:val="22"/>
              </w:rPr>
              <w:t>Mampu mengimplementasikan teori, konsep, dan prinsip ilmu keselamatan dan kesehatan kerja dalam rangka meningkatkan derajad kesehatan pada para pekerja</w:t>
            </w:r>
            <w:r w:rsidR="00281DF1">
              <w:rPr>
                <w:rFonts w:ascii="Cambria" w:hAnsi="Cambria"/>
                <w:color w:val="000000"/>
                <w:sz w:val="22"/>
              </w:rPr>
              <w:t>.</w:t>
            </w:r>
          </w:p>
        </w:tc>
      </w:tr>
      <w:tr w:rsidR="004D3B1F" w:rsidRPr="00D436FE" w:rsidTr="00077E83">
        <w:tc>
          <w:tcPr>
            <w:tcW w:w="2903" w:type="dxa"/>
            <w:gridSpan w:val="2"/>
            <w:shd w:val="clear" w:color="auto" w:fill="auto"/>
          </w:tcPr>
          <w:p w:rsidR="004D3B1F" w:rsidRPr="00D436FE" w:rsidRDefault="0054776B" w:rsidP="00801571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54776B" w:rsidRPr="001331CB" w:rsidRDefault="00042C36" w:rsidP="00546C91">
            <w:pPr>
              <w:spacing w:after="0" w:line="240" w:lineRule="auto"/>
              <w:ind w:left="1" w:hanging="1"/>
              <w:rPr>
                <w:rFonts w:ascii="Cambria" w:hAnsi="Cambria"/>
                <w:szCs w:val="24"/>
              </w:rPr>
            </w:pPr>
            <w:r w:rsidRPr="001331CB">
              <w:rPr>
                <w:rFonts w:ascii="Cambria" w:hAnsi="Cambria"/>
                <w:sz w:val="22"/>
                <w:szCs w:val="24"/>
                <w:lang w:val="en-US"/>
              </w:rPr>
              <w:t>Mahasiswa mengetahui perundang-undangan yang menjadi dasar semua kebijakan yang berhubungan dengan Kesehatan dan Keselamatan kerja.  Mahasiswa mengerti lingkup kesehatan; lingkungan kerja; keselamatan kerja; asuransi kerja dan organisasi kerja yang menjadi bagian dari sebuah sistem tenaga kerja</w:t>
            </w:r>
            <w:r w:rsidR="00281DF1" w:rsidRPr="001331CB">
              <w:rPr>
                <w:rFonts w:ascii="Cambria" w:hAnsi="Cambria"/>
                <w:sz w:val="22"/>
                <w:szCs w:val="24"/>
              </w:rPr>
              <w:t>.</w:t>
            </w:r>
          </w:p>
        </w:tc>
      </w:tr>
      <w:tr w:rsidR="00801571" w:rsidRPr="00D436FE" w:rsidTr="00077E83">
        <w:tc>
          <w:tcPr>
            <w:tcW w:w="2903" w:type="dxa"/>
            <w:gridSpan w:val="2"/>
            <w:shd w:val="clear" w:color="auto" w:fill="auto"/>
          </w:tcPr>
          <w:p w:rsidR="0054776B" w:rsidRPr="00D436FE" w:rsidRDefault="0054776B" w:rsidP="0054776B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Materi Pembelajaran / </w:t>
            </w:r>
            <w:r w:rsidRPr="00D436FE">
              <w:rPr>
                <w:b/>
                <w:sz w:val="22"/>
              </w:rPr>
              <w:t>Pokok Bahasan</w:t>
            </w:r>
          </w:p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:rsidR="0054776B" w:rsidRPr="00D436FE" w:rsidRDefault="00277C70" w:rsidP="00277C70">
            <w:pPr>
              <w:rPr>
                <w:b/>
                <w:szCs w:val="24"/>
                <w:lang w:val="en-US"/>
              </w:rPr>
            </w:pPr>
            <w:r>
              <w:rPr>
                <w:rFonts w:ascii="Cambria" w:hAnsi="Cambria"/>
                <w:color w:val="000000"/>
                <w:sz w:val="22"/>
              </w:rPr>
              <w:t>Kesehatan dan Keselamatan Kerja (K3), Perundang-undangan K3, Kesehatan</w:t>
            </w:r>
            <w:r>
              <w:rPr>
                <w:rFonts w:ascii="Cambria" w:hAnsi="Cambria"/>
                <w:color w:val="000000"/>
                <w:sz w:val="22"/>
              </w:rPr>
              <w:br/>
              <w:t>Kesehatan Masyarakat, Lingkungan Kerja, Keselamatan Kerja, Asuransi, esehatan dan Keselamatan Kerja, Organisasi Kesehatan dan Keselamatan Kerja.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Pustaka</w:t>
            </w:r>
          </w:p>
        </w:tc>
        <w:tc>
          <w:tcPr>
            <w:tcW w:w="2600" w:type="dxa"/>
            <w:gridSpan w:val="3"/>
            <w:tcBorders>
              <w:bottom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D436FE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9778" w:type="dxa"/>
            <w:gridSpan w:val="12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Tresnaningsih, Erna  (2008). Kesehatan dan Keselamatan Kerja.  Setjen Depkes RI. Available from; http://www.depkes.go.id. accessed on Maret 2008.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 xml:space="preserve">Yulini,  Emma  (2002).  Introduction  to  Office  Hygiene  (Kesehatan  dan  Keselamatan  Kerja). Available from; </w:t>
            </w:r>
            <w:r w:rsidRPr="00042C36">
              <w:rPr>
                <w:rFonts w:ascii="Times New Roman" w:hAnsi="Times New Roman"/>
                <w:sz w:val="22"/>
                <w:szCs w:val="24"/>
              </w:rPr>
              <w:lastRenderedPageBreak/>
              <w:t>http://www.phitagoras.co.id. accessed on Maret 2008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Undang-undang Dasar 1945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 xml:space="preserve">UU No.14 tahun 1969 (pokok-pokok kerja) 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UU No. 1 tahun 1970 ( Keselamatan Kerja )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UU No. 3 tahun 1992 ( Jaminan Sosial Tenaga Kerja )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UU No. 23 tahun 1992  ( Kesehatan )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UU No.13 tahun 2003 ( Ketenaga kerjaan )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 xml:space="preserve">http://id.wikipedia.org/wiki/Kesehatan 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UU No. 23 tahun 1992  ( Kesehatan )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Dr. Ismojo Djati, MSc, Pentingnya pemeriksaan kesehatan sebelum bekerja.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 xml:space="preserve">Irga  (2008).  Kesehatan  Kerja.  Available  from;  http://www.irwanashari.blogspot.com.  ccessed on Maret 2008.  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Keputusan Menteri Kesehatan No. 61/MENKES/SK/II/ 1998 Tentang : Persyaratan Kesehatan Lingkungan Kerja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 xml:space="preserve">_______. 2006. Kesehatan dan Keselamatan Kerja. UI-Press. Jakarta. 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Ilmu kesehatan masyarakat. http://id.wikipedia.org/wiki/Ilmu_kesehatan_masya rakat diakses tanggal 20 Juni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Alfarisi Ikhwan Kunto. Kesehatan dan Keselamatan Kerja di Indonesia Saat Ini http://www.wikimu.com/News/DisplayNews.aspx?ID=10693 diakses tanggal 20 Juni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Pemeriksaan Kesehatan. http://wwwmedicalcheckup.blogspot.com/  diakses tanggal 23 Juni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Laboratorium Klinik Ciliwung. Check up Karyawan dan Calon Karyawan. https://labciliwung.wordpress.com/tag/test-kesehatan-calon-karyawan/ diakses tanggal 27 Juni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Nitisemito Alex S. 2000. Manajemen Personalia: Manajemen Sumber Daya Manusia, Ed. 3, Ghalia Indonesia, Jakarta.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Sedarmayanti. 2001. Sumber Daya Manusia dan Produktivitas Kerja. Mandar Maju, Bandung.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Lingkungan Kerja. http://repository.usu.ac.id/bitstream/123456789/29386/4/ Chapter%20II.pdf diakses tanggal 27 Juni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Kurniawan Hendri. 2012. Difinisi variabel-variabel terkait  Leadership  http://www.scribd.com/doc/89930262/4/Lingkungan-Kerja diakses tanggal 29 Juni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Pengaruh Budaya Perusahaan dan Lingkungan Kerja Terhadap Kinerja Karyawan. http://intanghina.wordpress.com/2008/04/28/pengaruh-budaya-perusahaan-dan-lingkungan-kerja-terhadap-kinerja-karyawan/ diakses tanggal 29 Juni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Khomsatun Laela. Iklim Kerja Kantor. http://lael.student.fkip.uns.ac.id/materi/ diakses tanggal 1 Juli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Cokrominoto. Membangun Kinerja Karyawan Melalui Perbaikan Lingkungan Kerja.http://cokroaminoto.wordpress.com/2007/05/27/membangun-kinerja-karyawan-melalui-perbaikan-lingkungan-kerja/ diakses tanggal 1 Juli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 xml:space="preserve">Buchari. 2007.  Manajemen Kesehatan Kerja dan Alat pelindung Diri, USU Repository, 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Cahyono Achadi Budi. 2004. Keselamatan Kerja Bahan Kimia di Industri. Gadjah Mada University Press. Yogyakarta.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DepKes. 2008. K3 Laboratorium Kesehatan. Pusat Kesehatan Kerja http://www.depkes. go.id Akses 20 Desember 2008.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Handl’ey, E. 1980. Industrial Safety Handbook. McGraw-Hill Book Company England.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Hammen Willie. 1972. Handbook of System and Product Safety; Prentice Hall Inc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Harninto, 1994. Faktor Fisik di tempat Kerja. Makalah Pelatihan Direktur Perusahaan, Tanggal 15-29 Oktober. Yogyakarta.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 xml:space="preserve">Hartati. 2007. Keselamatan kerja, pencegahan, dan penanggulangan kecelakaan di laboratorium. JurusanKimia FMIPA UNAIR. 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 xml:space="preserve">Keselamatan dan Kesehatan Kerja. http://studilingkungan.blogspot.com/ 2011/01/keselamatan-dan-kesehatan-kerja-k3.html diakses </w:t>
            </w:r>
            <w:r w:rsidRPr="00042C36">
              <w:rPr>
                <w:rFonts w:ascii="Times New Roman" w:hAnsi="Times New Roman"/>
                <w:sz w:val="22"/>
                <w:szCs w:val="24"/>
              </w:rPr>
              <w:lastRenderedPageBreak/>
              <w:t>tanggal 20 Juni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disnakertransduk.jatimprov.Ketenagakerjaan.  http://disnakertransduk.jatimprov. go.id/ ketenagakerjaan?start=110 diakses tanggal 22 Juni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Suwahono.2010.Sumber bahaya yang berpotensi menimbulkan kecelakaan kerja. http://www.chem-is-try.org/materi_kimia/kimia-aplikasi/manajemen-laboratorium-kimia/sumber-bahaya-yang-berpotensi-menimbulkan-kecelakaan-kerja/ diakses tanggal 3 Juli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Alat Keselamatan Kerja dan Fungsinya. 2011. http://xlusi.com/2011/tools/alat-keselamatan-kerja-dan-fungsinya/ diakses tanggal 3 Juli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Asuransi. http://id.wikipedia.org/wiki/Asuransi diakses tanggal 3 Juli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PT. Tugu Pratama Indonesia. Fungsi dan Tujuan Asurasni. http://www.tugu.com/ understanding-insurance/purpose-and-objective diakses tanggal 5 Juli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PT Jamsostek. 2010. Tingkat Kecelakaan Kerja Masih Tinggi. http://www.jamsostek.co.id/content/news.php?id=1031 kamis tanggal 5 Juli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PT. KAI Jabodetabek. 2011. Prosedure Klaim Asuransi. http://www.krl.co.id/ prosedur-klaim-asuransi.html diakses tanggal 5 Juli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Asuransi Sosial. http://www.jamsostek.co.id/content/news.php?id=1031 diakses tanggal 20 Juni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Maslow Abraham. Teori Kebutuhan. http://id.wikipedia.org/wiki/Abraham_ Maslow diakses tanggal 20 Juni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http://library.binus.ac.id/eColls/eThesis/Bab2/Bab%202_09-222.pdf diakses tanggal 7 Juli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Furqon Chairul. Budaya Oraganisasi. http://file.upi.edu/Direktori/FPEB/ PRODI._MANAJEMEN_FPEB/197207152003121-CHAIRUL_FURQON/Artikel-Organizational_Culture.pdf diakses tanggal 7 Juli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PT. Tira Austenite Tbk. Corporate Safety Coordinator.  Manajemen K3. http://www.tiraaustenite.com/v3/media/manajemen-k3-july2007.pdf diakses tanggal 9 Juli 2012</w:t>
            </w:r>
          </w:p>
          <w:p w:rsidR="00042C36" w:rsidRPr="00042C36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 xml:space="preserve">McShane Steven. 2009. Organizational Behavior .Mcgraw Hill Higher Education </w:t>
            </w:r>
          </w:p>
          <w:p w:rsidR="0054776B" w:rsidRPr="00E91EEC" w:rsidRDefault="00042C36" w:rsidP="00042C3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63"/>
              <w:rPr>
                <w:rFonts w:ascii="Calibri Light" w:hAnsi="Calibri Light" w:cs="TimesNewRoman,Italic"/>
                <w:iCs/>
                <w:sz w:val="22"/>
              </w:rPr>
            </w:pPr>
            <w:r w:rsidRPr="00042C36">
              <w:rPr>
                <w:rFonts w:ascii="Times New Roman" w:hAnsi="Times New Roman"/>
                <w:sz w:val="22"/>
                <w:szCs w:val="24"/>
              </w:rPr>
              <w:t>Robbins, S. P. 2001. Organizational Behavior. Concepts, Controversies, Applications, 8th.ed. New Jersey: Prentice Hall inc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auto"/>
            </w:tcBorders>
            <w:shd w:val="clear" w:color="auto" w:fill="D0CECE"/>
          </w:tcPr>
          <w:p w:rsidR="00801571" w:rsidRPr="00D436FE" w:rsidRDefault="00801571" w:rsidP="00801571">
            <w:pPr>
              <w:spacing w:line="240" w:lineRule="auto"/>
              <w:rPr>
                <w:sz w:val="22"/>
              </w:rPr>
            </w:pPr>
            <w:r w:rsidRPr="00D436FE">
              <w:rPr>
                <w:rFonts w:cs="TimesNewRoman,Italic"/>
                <w:b/>
                <w:iCs/>
                <w:color w:val="000000"/>
                <w:sz w:val="22"/>
              </w:rPr>
              <w:t>Pendukung :</w:t>
            </w:r>
          </w:p>
        </w:tc>
        <w:tc>
          <w:tcPr>
            <w:tcW w:w="9778" w:type="dxa"/>
            <w:gridSpan w:val="1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</w:tcBorders>
            <w:shd w:val="clear" w:color="auto" w:fill="auto"/>
          </w:tcPr>
          <w:p w:rsidR="00801571" w:rsidRPr="00D436FE" w:rsidRDefault="00281DF1" w:rsidP="00546C91">
            <w:pPr>
              <w:pStyle w:val="Default"/>
              <w:jc w:val="both"/>
              <w:rPr>
                <w:rFonts w:ascii="Calibri Light" w:hAnsi="Calibri Light"/>
                <w:b/>
                <w:sz w:val="22"/>
              </w:rPr>
            </w:pPr>
            <w:r>
              <w:rPr>
                <w:rFonts w:ascii="Calibri Light" w:hAnsi="Calibri Light"/>
                <w:b/>
                <w:sz w:val="22"/>
              </w:rPr>
              <w:t>-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 w:val="restart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5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Software :</w:t>
            </w:r>
          </w:p>
        </w:tc>
        <w:tc>
          <w:tcPr>
            <w:tcW w:w="9203" w:type="dxa"/>
            <w:gridSpan w:val="10"/>
            <w:shd w:val="clear" w:color="auto" w:fill="D0CECE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Hardware :</w:t>
            </w:r>
          </w:p>
        </w:tc>
      </w:tr>
      <w:tr w:rsidR="00801571" w:rsidRPr="00D436FE" w:rsidTr="00077E83">
        <w:tc>
          <w:tcPr>
            <w:tcW w:w="2903" w:type="dxa"/>
            <w:gridSpan w:val="2"/>
            <w:vMerge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5"/>
            <w:shd w:val="clear" w:color="auto" w:fill="auto"/>
          </w:tcPr>
          <w:p w:rsidR="0054776B" w:rsidRDefault="0054776B" w:rsidP="00801571">
            <w:pPr>
              <w:spacing w:after="0" w:line="240" w:lineRule="auto"/>
              <w:rPr>
                <w:sz w:val="22"/>
              </w:rPr>
            </w:pPr>
          </w:p>
          <w:p w:rsidR="00801571" w:rsidRPr="002120F9" w:rsidRDefault="00281DF1" w:rsidP="00281DF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9203" w:type="dxa"/>
            <w:gridSpan w:val="10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sz w:val="22"/>
                <w:lang w:val="en-US"/>
              </w:rPr>
            </w:pPr>
          </w:p>
          <w:p w:rsidR="0054776B" w:rsidRPr="002120F9" w:rsidRDefault="001F4EA1" w:rsidP="0080157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LCD dan Projector</w:t>
            </w:r>
          </w:p>
        </w:tc>
      </w:tr>
      <w:tr w:rsidR="00801571" w:rsidRPr="00D436FE" w:rsidTr="00077E83">
        <w:trPr>
          <w:trHeight w:val="233"/>
        </w:trPr>
        <w:tc>
          <w:tcPr>
            <w:tcW w:w="2903" w:type="dxa"/>
            <w:gridSpan w:val="2"/>
            <w:shd w:val="clear" w:color="auto" w:fill="auto"/>
          </w:tcPr>
          <w:p w:rsidR="00801571" w:rsidRPr="00D436FE" w:rsidRDefault="0054776B" w:rsidP="00801571">
            <w:pPr>
              <w:spacing w:after="0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sz w:val="22"/>
                <w:lang w:val="en-US"/>
              </w:rPr>
            </w:pPr>
          </w:p>
        </w:tc>
      </w:tr>
      <w:tr w:rsidR="00801571" w:rsidRPr="00D436FE" w:rsidTr="00077E83">
        <w:trPr>
          <w:trHeight w:val="125"/>
        </w:trPr>
        <w:tc>
          <w:tcPr>
            <w:tcW w:w="2903" w:type="dxa"/>
            <w:gridSpan w:val="2"/>
            <w:shd w:val="clear" w:color="auto" w:fill="auto"/>
          </w:tcPr>
          <w:p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Matakuliah Syarat</w:t>
            </w:r>
          </w:p>
        </w:tc>
        <w:tc>
          <w:tcPr>
            <w:tcW w:w="12378" w:type="dxa"/>
            <w:gridSpan w:val="15"/>
            <w:shd w:val="clear" w:color="auto" w:fill="auto"/>
          </w:tcPr>
          <w:p w:rsidR="00801571" w:rsidRPr="00F66462" w:rsidRDefault="00F66462" w:rsidP="0080157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2300F" w:rsidRPr="00D436FE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>M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in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>g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gu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Ke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Kemampuan Akhir Yang Direncanakan</w:t>
            </w:r>
          </w:p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(Sub-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CP-MK</w:t>
            </w: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Bahan kajian</w:t>
            </w:r>
          </w:p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6709C1" w:rsidRDefault="00ED4AFA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Bentuk dan </w:t>
            </w:r>
            <w:r w:rsidR="00D96972"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Metode Pembelajaran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Estimasi Waktu</w:t>
            </w:r>
          </w:p>
          <w:p w:rsidR="00D96972" w:rsidRPr="006709C1" w:rsidRDefault="00D96972" w:rsidP="005C78D2">
            <w:pPr>
              <w:spacing w:after="0"/>
              <w:rPr>
                <w:rFonts w:ascii="Arial Narrow" w:hAnsi="Arial Narrow"/>
                <w:b/>
                <w:bCs/>
                <w:color w:val="3333FF"/>
                <w:sz w:val="20"/>
                <w:szCs w:val="20"/>
                <w:lang w:val="en-US" w:eastAsia="id-ID"/>
              </w:rPr>
            </w:pP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6709C1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Pengalaman Belajar Mahasiswa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Kriteria &amp; Bentuk Penilaian</w:t>
            </w:r>
          </w:p>
        </w:tc>
        <w:tc>
          <w:tcPr>
            <w:tcW w:w="2127" w:type="dxa"/>
            <w:shd w:val="clear" w:color="auto" w:fill="C5E0B3"/>
          </w:tcPr>
          <w:p w:rsidR="00D96972" w:rsidRPr="006709C1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Indikator</w:t>
            </w:r>
            <w:r w:rsidR="00B00781"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 xml:space="preserve"> Penilaian</w:t>
            </w:r>
          </w:p>
          <w:p w:rsidR="00B00781" w:rsidRPr="006709C1" w:rsidRDefault="00B00781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134" w:type="dxa"/>
            <w:shd w:val="clear" w:color="auto" w:fill="C5E0B3"/>
          </w:tcPr>
          <w:p w:rsidR="00D96972" w:rsidRPr="006709C1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Bobot Penilaian (%)</w:t>
            </w:r>
          </w:p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22300F" w:rsidRPr="00D436FE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:rsidR="00D96972" w:rsidRPr="006709C1" w:rsidRDefault="00D96972" w:rsidP="005C78D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 w:eastAsia="id-ID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D96972" w:rsidRPr="006709C1" w:rsidRDefault="00D96972" w:rsidP="00BC1FB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</w:pPr>
            <w:r w:rsidRPr="006709C1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6709C1" w:rsidRDefault="00D96972" w:rsidP="005B7C37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D96972" w:rsidRPr="006709C1" w:rsidRDefault="00D96972" w:rsidP="005B7C37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val="en-US" w:eastAsia="id-ID"/>
              </w:rPr>
              <w:t>(5)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D96972" w:rsidRPr="006709C1" w:rsidRDefault="00D96972" w:rsidP="005C78D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(6)</w:t>
            </w:r>
          </w:p>
        </w:tc>
        <w:tc>
          <w:tcPr>
            <w:tcW w:w="1984" w:type="dxa"/>
            <w:gridSpan w:val="3"/>
            <w:shd w:val="clear" w:color="auto" w:fill="C5E0B3"/>
          </w:tcPr>
          <w:p w:rsidR="00D96972" w:rsidRPr="006709C1" w:rsidRDefault="00D96972" w:rsidP="005B7C3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(7)</w:t>
            </w:r>
          </w:p>
        </w:tc>
        <w:tc>
          <w:tcPr>
            <w:tcW w:w="2127" w:type="dxa"/>
            <w:shd w:val="clear" w:color="auto" w:fill="C5E0B3"/>
          </w:tcPr>
          <w:p w:rsidR="00D96972" w:rsidRPr="006709C1" w:rsidRDefault="00D96972" w:rsidP="00BC1FB2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D96972" w:rsidRPr="006709C1" w:rsidRDefault="00D96972" w:rsidP="00D96972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</w:pPr>
            <w:r w:rsidRPr="006709C1">
              <w:rPr>
                <w:rFonts w:ascii="Arial Narrow" w:hAnsi="Arial Narrow"/>
                <w:b/>
                <w:bCs/>
                <w:sz w:val="20"/>
                <w:szCs w:val="20"/>
                <w:lang w:val="en-US" w:eastAsia="id-ID"/>
              </w:rPr>
              <w:t>(9)</w:t>
            </w:r>
          </w:p>
        </w:tc>
      </w:tr>
      <w:tr w:rsidR="0033562D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33562D" w:rsidRPr="007F2612" w:rsidRDefault="00042C36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</w:rPr>
            </w:pPr>
            <w:r w:rsidRPr="007F2612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33562D" w:rsidRPr="007F2612" w:rsidRDefault="00042C36" w:rsidP="007F261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 w:rsidRPr="007F2612">
              <w:rPr>
                <w:rFonts w:ascii="Arial" w:eastAsia="Times New Roman" w:hAnsi="Arial" w:cs="Arial"/>
                <w:sz w:val="20"/>
                <w:szCs w:val="20"/>
              </w:rPr>
              <w:t>Mahasiswa mengetahui Sejarah perkembangan K3 di Indonesia, serta mampu menjelaskan mengapa K3 perlu di pelajari oleh seorang mahasiswa.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042C36" w:rsidRPr="007F2612" w:rsidRDefault="00042C36" w:rsidP="007F2612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Sejarah Kesehatan dan Keselamatan Kerja</w:t>
            </w:r>
          </w:p>
          <w:p w:rsidR="00042C36" w:rsidRPr="007F2612" w:rsidRDefault="00042C36" w:rsidP="007F2612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Definisi K3 berdasarkan filosofi dan keilmuan</w:t>
            </w:r>
          </w:p>
          <w:p w:rsidR="0033562D" w:rsidRPr="007F2612" w:rsidRDefault="00042C36" w:rsidP="007F2612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Tujuan K3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33562D" w:rsidRPr="007F2612" w:rsidRDefault="00042C36" w:rsidP="007F261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33562D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="00042C36"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33562D" w:rsidRPr="007F2612" w:rsidRDefault="0033562D" w:rsidP="007F2612">
            <w:pPr>
              <w:spacing w:after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gridSpan w:val="3"/>
          </w:tcPr>
          <w:p w:rsidR="0033562D" w:rsidRPr="007F2612" w:rsidRDefault="0033562D" w:rsidP="007F261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042C36" w:rsidRPr="007F2612" w:rsidRDefault="00042C36" w:rsidP="007F261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76" w:hanging="142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mengenal sejarah keberadaan K3 di Indonesia</w:t>
            </w:r>
          </w:p>
          <w:p w:rsidR="00042C36" w:rsidRPr="007F2612" w:rsidRDefault="00042C36" w:rsidP="007F261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76" w:hanging="142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mendefinisikan K3 berdasarkan filosofi dan keilmuan</w:t>
            </w:r>
          </w:p>
          <w:p w:rsidR="0033562D" w:rsidRPr="007F2612" w:rsidRDefault="00042C36" w:rsidP="007F261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76" w:hanging="142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mendefinisikan tujuan K3</w:t>
            </w:r>
          </w:p>
        </w:tc>
        <w:tc>
          <w:tcPr>
            <w:tcW w:w="1134" w:type="dxa"/>
            <w:vAlign w:val="center"/>
          </w:tcPr>
          <w:p w:rsidR="0033562D" w:rsidRPr="007F2612" w:rsidRDefault="00042C36" w:rsidP="007F2612">
            <w:pPr>
              <w:spacing w:after="0" w:line="240" w:lineRule="auto"/>
              <w:ind w:left="36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Mahasiswa mengetahui landasan hukum Ketenaga Kerjaan di Indonesia, serta mampu menjelaskan kebijakan-kebijakan yang mendasari Ketenaga Kerjaan di Indonesia dari masing-masing Presiden, juga mampu menjelaskan kaitan antara kebijakan Ketenaga Kerjaan dengan Kesehatan dan Keselamatan Kerja (K3)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Undang-undang yang melandasi K3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Kebijakan para Presiden yang mendasari Ketenaga Kerjaan di Indonesia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Dampak kebijakan Ketenaga Kerjaan dengan K3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numPr>
                <w:ilvl w:val="0"/>
                <w:numId w:val="30"/>
              </w:numPr>
              <w:spacing w:after="0"/>
              <w:ind w:left="317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mengenal landasan hukum Ketenaga Kerjaan di Indonesia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menyebutkan kebijakan-kebijakan yang mendasari Ketenaga Kerjaan di Indonesia dari masing-masing Presiden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menghubungkan kaitan antara kebijakan Ketenaga Kerjaan dengan Kesehatan dan Keselamatan Kerja (K3)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Mahasiswa mengetahui Landasan hukum dalam pelaksanaan kesehatan kerja bagi para pekerja, serta manfaat dari pemeriksaan kesehatan sebelum bekerja dan pemeriksaan kesehatan setelah bekerja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Sehat dan Kesehatan Masyarakat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Kesehatan Kerja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Undang-undang yang melandasi Kesehatan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numPr>
                <w:ilvl w:val="0"/>
                <w:numId w:val="34"/>
              </w:numPr>
              <w:spacing w:after="0"/>
              <w:ind w:left="317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pStyle w:val="ListParagraph"/>
              <w:spacing w:after="0" w:line="240" w:lineRule="auto"/>
              <w:ind w:left="318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mendefinisikan arti Sehat dan Kesehatan Masyarakat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menyebutkan tujuan Kesehatan kerja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mengenal landasan hukum yang menjadi dasar dalam pelaksanaan kesehatan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Pemeriksaan Kesehatan Sebelum bekerja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Pemeriksaan Kesehatan Setelah bekerja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pStyle w:val="ListParagraph"/>
              <w:spacing w:after="0" w:line="240" w:lineRule="auto"/>
              <w:ind w:left="318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menyebutkan manfaat dari pemeriksaan kesehatan sebelum bekerja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menyebutkan dari pemeriksaan kesehatan setelah bekerja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KUIS 1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KUIS 1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KUIS 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spacing w:after="0"/>
              <w:ind w:left="-42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spacing w:after="0" w:line="240" w:lineRule="auto"/>
              <w:ind w:left="176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KUIS 1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vMerge w:val="restart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Mahasiswa mengetahui Landasan hukum Persyaratan Kesehatan Lingkungan Kerja, serta memahami apa yang dimaksudkan dengan Lingkungan Kerja Fisik dan Non Fisik.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Lingkungan Kerja Fisik Langsung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Diskusi,  Pemutaran Vidio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pStyle w:val="ListParagraph"/>
              <w:spacing w:after="0" w:line="240" w:lineRule="auto"/>
              <w:ind w:left="318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mengenal Landasan hukum yang mendasari Persyaratan Kesehatan Lingkungan Kerja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menyebutkan Persyaratan Kesehatan Lingkungan Kerja Perkantoran, Ruangan dan Bangunan untuk ruang kerja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vMerge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Lingkungan Kerja Fisik Perantara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Diskusi,  Pemutaran Vidio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spacing w:after="0"/>
              <w:ind w:left="-42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menyebutkan beberapa faktor yang dapat mempengaruhi terbentuknya suatu kondisi lingkungan kerja karyawan dikaitkan dengan kondisi lingkungan perantara atau lingkungan umum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vMerge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Lingkungan Kerja Non Fisik di Tempat Kerja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Diskusi,  Pemutaran Vidio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pStyle w:val="ListParagraph"/>
              <w:spacing w:after="0" w:line="240" w:lineRule="auto"/>
              <w:ind w:left="318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 xml:space="preserve">Mahasiswa mampu menyebutkan Hubungan karyawan di tempat kerja menunjuk pada hal-hal yang berada di sekeliling karyawan dan melingkupi kerja karyawan di kantor atau pabrik 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vMerge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Lingkungan Kerja Non Fisik di Luar Tempat Kerja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Diskusi,  Pemutaran Vidio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1331CB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pStyle w:val="ListParagraph"/>
              <w:spacing w:after="0" w:line="240" w:lineRule="auto"/>
              <w:ind w:left="269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menyebutkan jenis-jenis kegiatan dari seorang karyawan  di  luar  lingkungan tempat kerja-nya yang bermanfaat untuk karyawan sendiri atau untuk perusahaan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UTS</w:t>
            </w:r>
          </w:p>
        </w:tc>
        <w:tc>
          <w:tcPr>
            <w:tcW w:w="2127" w:type="dxa"/>
            <w:gridSpan w:val="3"/>
            <w:shd w:val="clear" w:color="auto" w:fill="auto"/>
            <w:vAlign w:val="center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UTS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UTS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spacing w:after="0"/>
              <w:ind w:left="-91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  <w:vAlign w:val="center"/>
          </w:tcPr>
          <w:p w:rsidR="007F2612" w:rsidRPr="007F2612" w:rsidRDefault="007F2612" w:rsidP="007F2612">
            <w:pPr>
              <w:pStyle w:val="ListParagraph"/>
              <w:spacing w:after="0" w:line="240" w:lineRule="auto"/>
              <w:ind w:left="176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UTS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vMerge w:val="restart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Mahasiswa mengetahui faktor-faktor yang berpengaruh terhadap keselamatan kerja, Sumber Bahaya Yang Berpotensi Menimbulkan Kecelakaan Kerja, Pencegahan dan Pengobatan kecelakaan kerja serta mengenal peralatan keselamatan kerja.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Faktor-Faktor Yang Berpengaruh terhadap Keselamatan Kerja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Diskusi, Demontrasi, Pemutaran Vidio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pStyle w:val="BodyTextIndent"/>
              <w:ind w:left="0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pStyle w:val="ListParagraph"/>
              <w:spacing w:after="0" w:line="240" w:lineRule="auto"/>
              <w:ind w:left="269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mengkatagorikan faktor-faktor yang berpengaruh terhadap keselamatan kerja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93" w:type="dxa"/>
            <w:gridSpan w:val="2"/>
            <w:vMerge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Sumber Bahaya Yang Berpotensi Menimbulkan Kecelakaan Kerja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Diskusi, Demontrasi, Pemutaran Vidio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pStyle w:val="ListParagraph"/>
              <w:spacing w:after="0" w:line="240" w:lineRule="auto"/>
              <w:ind w:left="318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 xml:space="preserve">Mahasiswa mampu menyebutkan Jenis-jenis bahaya di tempat kerja yang berpotensi sebagai sumber bahaya  yang menimbulkan kecelakaan kerja 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vMerge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Pencegahan Kecelakaan Kerja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Pertolongan Pertama pada Kecelakaan Kerja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Diskusi, Demontrasi, Pemutaran Vidio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spacing w:after="0"/>
              <w:ind w:left="-42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 xml:space="preserve">Mahasiswa mampu Memberi Contoh beberapa usaha Pencegahan Kecelakaan Kerja 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mendemontrasikan beberapa usaha Pengobatan Pertama pada Kecelakaan Kerja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vMerge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Alat-alat Keselamatan Kerja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Diskusi, Demontrasi, Pemutaran Vidio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spacing w:after="0"/>
              <w:ind w:left="-42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menyebutkan Alat-alat Keselamatan Kerja yang menjadi kelengkapan yang wajib digunakan saat bekerja sesuai bahaya dan risiko kerja dan bertujuan untuk menjaga keselamatan pekerja itu sendiri dan orang di sekelilingnya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KUIS 3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KUIS 3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KUIS 3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spacing w:after="0"/>
              <w:ind w:left="-42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spacing w:after="0" w:line="240" w:lineRule="auto"/>
              <w:ind w:left="176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KUIS 3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vMerge w:val="restart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Mahasiswa mengetahui Landasan Hukum Perasuransian di Indonesia, serta mampu menjelaskan Fungsi asuransi, jenis asuransi serta mengetahui prosedure klaim asuransi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Landasan Hukum Perasuransian di Indonesia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Fungsi asuransi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spacing w:after="0"/>
              <w:ind w:left="-42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mengenal Landasan Hukum Perasuransian di Indonesia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mengkategorikan Fungsi asuransi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vMerge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Jenis-jenis asuransi, perbedaan dan persamaannya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prosedure klaim asuransi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spacing w:after="0"/>
              <w:ind w:left="-42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memberikan contoh jenis-jenis asuransi dan menjelaskan perbedaan dan persamaannya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menjelaskan prosedure klaim asuransi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Mahasiswa mengetahui maksud dan tujuan pendirian organisasi K3 di Indonesia, serta mampu menjelaskan struktur organisasi K3 dan Tupoksinya.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Maksud dan Tujuan Organisasi K3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Struktur Organisasi K3 dan Tupoksi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Ceramah, Tanya Jawab, Diskusi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spacing w:after="0"/>
              <w:ind w:left="-42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menjelaskan maksud dan tujuan pendirian organisasi K3 di Indonesia</w:t>
            </w:r>
          </w:p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76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Mahasiswa mampu menjelaskan struktur organisasi K3 dan Penjelasan tugas pokok dan fungsi masing-masing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  <w:tr w:rsidR="007F2612" w:rsidRPr="00D436FE" w:rsidTr="007F2612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UAS</w:t>
            </w:r>
          </w:p>
        </w:tc>
        <w:tc>
          <w:tcPr>
            <w:tcW w:w="2127" w:type="dxa"/>
            <w:gridSpan w:val="3"/>
            <w:shd w:val="clear" w:color="auto" w:fill="auto"/>
          </w:tcPr>
          <w:p w:rsidR="007F2612" w:rsidRPr="007F2612" w:rsidRDefault="007F2612" w:rsidP="007F261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8" w:hanging="147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UAS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UAS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7F2612" w:rsidRPr="007F2612" w:rsidRDefault="00281DF1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1x3</w:t>
            </w:r>
            <w:r w:rsidRPr="007F2612">
              <w:rPr>
                <w:rFonts w:ascii="Arial" w:hAnsi="Arial" w:cs="Arial"/>
                <w:bCs/>
                <w:sz w:val="20"/>
                <w:szCs w:val="20"/>
                <w:lang w:eastAsia="id-ID"/>
              </w:rPr>
              <w:t>x45’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7F2612" w:rsidRPr="007F2612" w:rsidRDefault="007F2612" w:rsidP="007F2612">
            <w:pPr>
              <w:spacing w:after="0"/>
              <w:jc w:val="left"/>
              <w:rPr>
                <w:rFonts w:ascii="Arial" w:hAnsi="Arial" w:cs="Arial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984" w:type="dxa"/>
            <w:gridSpan w:val="3"/>
          </w:tcPr>
          <w:p w:rsidR="007F2612" w:rsidRPr="007F2612" w:rsidRDefault="007F2612" w:rsidP="007F2612">
            <w:pPr>
              <w:spacing w:after="0"/>
              <w:ind w:left="-42"/>
              <w:jc w:val="left"/>
              <w:rPr>
                <w:rFonts w:ascii="Arial" w:hAnsi="Arial" w:cs="Arial"/>
                <w:bCs/>
                <w:sz w:val="20"/>
                <w:szCs w:val="20"/>
                <w:lang w:val="sv-SE"/>
              </w:rPr>
            </w:pPr>
          </w:p>
        </w:tc>
        <w:tc>
          <w:tcPr>
            <w:tcW w:w="2127" w:type="dxa"/>
          </w:tcPr>
          <w:p w:rsidR="007F2612" w:rsidRPr="007F2612" w:rsidRDefault="007F2612" w:rsidP="007F2612">
            <w:pPr>
              <w:pStyle w:val="ListParagraph"/>
              <w:spacing w:after="0" w:line="240" w:lineRule="auto"/>
              <w:ind w:left="148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2612">
              <w:rPr>
                <w:rFonts w:ascii="Arial" w:hAnsi="Arial" w:cs="Arial"/>
                <w:color w:val="000000"/>
                <w:sz w:val="20"/>
                <w:szCs w:val="20"/>
              </w:rPr>
              <w:t>UAS</w:t>
            </w:r>
          </w:p>
        </w:tc>
        <w:tc>
          <w:tcPr>
            <w:tcW w:w="1134" w:type="dxa"/>
          </w:tcPr>
          <w:p w:rsidR="007F2612" w:rsidRPr="007F2612" w:rsidRDefault="007F2612" w:rsidP="00281DF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612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</w:tbl>
    <w:p w:rsidR="00EF7C72" w:rsidRPr="008B52D8" w:rsidRDefault="00EF7C72">
      <w:pPr>
        <w:rPr>
          <w:rFonts w:ascii="Calibri Light" w:hAnsi="Calibri Light"/>
          <w:sz w:val="22"/>
        </w:rPr>
      </w:pPr>
    </w:p>
    <w:p w:rsidR="00D96972" w:rsidRPr="00D436FE" w:rsidRDefault="00D96972">
      <w:pPr>
        <w:rPr>
          <w:rFonts w:ascii="Calibri Light" w:hAnsi="Calibri Light"/>
          <w:b/>
          <w:color w:val="000000"/>
          <w:sz w:val="22"/>
          <w:lang w:val="en-US"/>
        </w:rPr>
      </w:pPr>
      <w:r w:rsidRPr="00D436FE">
        <w:rPr>
          <w:rFonts w:ascii="Calibri Light" w:hAnsi="Calibri Light"/>
          <w:b/>
          <w:color w:val="000000"/>
          <w:sz w:val="22"/>
          <w:lang w:val="en-US"/>
        </w:rPr>
        <w:t>Keterangan :</w:t>
      </w:r>
    </w:p>
    <w:p w:rsidR="00D96972" w:rsidRPr="00D436FE" w:rsidRDefault="00D96972">
      <w:pPr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D96972" w:rsidRDefault="00D96972">
      <w:pPr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Default="00C276F9">
      <w:pPr>
        <w:rPr>
          <w:rFonts w:ascii="Calibri Light" w:hAnsi="Calibri Light"/>
          <w:sz w:val="22"/>
          <w:lang w:val="en-US"/>
        </w:rPr>
      </w:pPr>
    </w:p>
    <w:p w:rsidR="00C276F9" w:rsidRPr="00D436FE" w:rsidRDefault="00C276F9">
      <w:pPr>
        <w:rPr>
          <w:rFonts w:ascii="Calibri Light" w:hAnsi="Calibri Light"/>
          <w:sz w:val="22"/>
          <w:lang w:val="en-US"/>
        </w:rPr>
      </w:pPr>
    </w:p>
    <w:sectPr w:rsidR="00C276F9" w:rsidRPr="00D436FE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F7A"/>
    <w:multiLevelType w:val="hybridMultilevel"/>
    <w:tmpl w:val="C5B67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11086"/>
    <w:multiLevelType w:val="hybridMultilevel"/>
    <w:tmpl w:val="3CB09586"/>
    <w:lvl w:ilvl="0" w:tplc="CF0A54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B4E6A"/>
    <w:multiLevelType w:val="hybridMultilevel"/>
    <w:tmpl w:val="B01C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E30AF"/>
    <w:multiLevelType w:val="hybridMultilevel"/>
    <w:tmpl w:val="B18CC1B4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C6C"/>
    <w:multiLevelType w:val="hybridMultilevel"/>
    <w:tmpl w:val="1AC431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127A2"/>
    <w:multiLevelType w:val="hybridMultilevel"/>
    <w:tmpl w:val="86BC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2362C"/>
    <w:multiLevelType w:val="hybridMultilevel"/>
    <w:tmpl w:val="FA505BF2"/>
    <w:lvl w:ilvl="0" w:tplc="B4EEB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30C8"/>
    <w:multiLevelType w:val="hybridMultilevel"/>
    <w:tmpl w:val="6F18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1475D"/>
    <w:multiLevelType w:val="hybridMultilevel"/>
    <w:tmpl w:val="B14A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15727F"/>
    <w:multiLevelType w:val="hybridMultilevel"/>
    <w:tmpl w:val="8334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F18B6"/>
    <w:multiLevelType w:val="hybridMultilevel"/>
    <w:tmpl w:val="60844798"/>
    <w:lvl w:ilvl="0" w:tplc="DE88B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760F3"/>
    <w:multiLevelType w:val="hybridMultilevel"/>
    <w:tmpl w:val="43D470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01A27"/>
    <w:multiLevelType w:val="hybridMultilevel"/>
    <w:tmpl w:val="7546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0228"/>
    <w:multiLevelType w:val="hybridMultilevel"/>
    <w:tmpl w:val="4C3A9C44"/>
    <w:lvl w:ilvl="0" w:tplc="779E8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22141"/>
    <w:multiLevelType w:val="hybridMultilevel"/>
    <w:tmpl w:val="EC1A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A566C"/>
    <w:multiLevelType w:val="hybridMultilevel"/>
    <w:tmpl w:val="325A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B35A2"/>
    <w:multiLevelType w:val="hybridMultilevel"/>
    <w:tmpl w:val="78D0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E2A57"/>
    <w:multiLevelType w:val="hybridMultilevel"/>
    <w:tmpl w:val="04B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93D4F"/>
    <w:multiLevelType w:val="hybridMultilevel"/>
    <w:tmpl w:val="9524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732"/>
    <w:multiLevelType w:val="hybridMultilevel"/>
    <w:tmpl w:val="A8F8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E7C04"/>
    <w:multiLevelType w:val="hybridMultilevel"/>
    <w:tmpl w:val="E6BE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E6ADE"/>
    <w:multiLevelType w:val="hybridMultilevel"/>
    <w:tmpl w:val="1B668002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84A27"/>
    <w:multiLevelType w:val="hybridMultilevel"/>
    <w:tmpl w:val="F4CA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05EE0"/>
    <w:multiLevelType w:val="hybridMultilevel"/>
    <w:tmpl w:val="5DFABBC8"/>
    <w:lvl w:ilvl="0" w:tplc="FA34674C">
      <w:numFmt w:val="bullet"/>
      <w:lvlText w:val="-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C032E"/>
    <w:multiLevelType w:val="hybridMultilevel"/>
    <w:tmpl w:val="349A64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CE3252"/>
    <w:multiLevelType w:val="hybridMultilevel"/>
    <w:tmpl w:val="4706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57158"/>
    <w:multiLevelType w:val="hybridMultilevel"/>
    <w:tmpl w:val="1D1C3832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51D06"/>
    <w:multiLevelType w:val="hybridMultilevel"/>
    <w:tmpl w:val="27F694DA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40462"/>
    <w:multiLevelType w:val="hybridMultilevel"/>
    <w:tmpl w:val="B1C8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367D5"/>
    <w:multiLevelType w:val="hybridMultilevel"/>
    <w:tmpl w:val="324626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40AC5"/>
    <w:multiLevelType w:val="hybridMultilevel"/>
    <w:tmpl w:val="37A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378A1"/>
    <w:multiLevelType w:val="hybridMultilevel"/>
    <w:tmpl w:val="15B4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756BC7"/>
    <w:multiLevelType w:val="hybridMultilevel"/>
    <w:tmpl w:val="8CD8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07F2"/>
    <w:multiLevelType w:val="hybridMultilevel"/>
    <w:tmpl w:val="7546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264EB"/>
    <w:multiLevelType w:val="hybridMultilevel"/>
    <w:tmpl w:val="37BA3F62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26D4"/>
    <w:multiLevelType w:val="hybridMultilevel"/>
    <w:tmpl w:val="02B6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3039E"/>
    <w:multiLevelType w:val="hybridMultilevel"/>
    <w:tmpl w:val="ED06B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3E47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2B0334E">
      <w:start w:val="7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0371AE"/>
    <w:multiLevelType w:val="hybridMultilevel"/>
    <w:tmpl w:val="DE60A8A8"/>
    <w:lvl w:ilvl="0" w:tplc="575E2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C3C58"/>
    <w:multiLevelType w:val="hybridMultilevel"/>
    <w:tmpl w:val="30963A38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B79EA"/>
    <w:multiLevelType w:val="hybridMultilevel"/>
    <w:tmpl w:val="C066A780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51B40"/>
    <w:multiLevelType w:val="hybridMultilevel"/>
    <w:tmpl w:val="3C18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6657B"/>
    <w:multiLevelType w:val="hybridMultilevel"/>
    <w:tmpl w:val="C40ED27E"/>
    <w:lvl w:ilvl="0" w:tplc="0C5A3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65E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05A52"/>
    <w:multiLevelType w:val="hybridMultilevel"/>
    <w:tmpl w:val="A800816A"/>
    <w:lvl w:ilvl="0" w:tplc="38265818">
      <w:start w:val="1"/>
      <w:numFmt w:val="decimal"/>
      <w:lvlText w:val="%1."/>
      <w:lvlJc w:val="left"/>
      <w:pPr>
        <w:ind w:left="720" w:hanging="360"/>
      </w:pPr>
      <w:rPr>
        <w:i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CF7CAA"/>
    <w:multiLevelType w:val="hybridMultilevel"/>
    <w:tmpl w:val="C4A4837A"/>
    <w:lvl w:ilvl="0" w:tplc="76E6D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203594"/>
    <w:multiLevelType w:val="hybridMultilevel"/>
    <w:tmpl w:val="39FA9F90"/>
    <w:lvl w:ilvl="0" w:tplc="D69A861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B3513"/>
    <w:multiLevelType w:val="hybridMultilevel"/>
    <w:tmpl w:val="AEDA5ECE"/>
    <w:lvl w:ilvl="0" w:tplc="0C5A3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0F0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4"/>
  </w:num>
  <w:num w:numId="3">
    <w:abstractNumId w:val="1"/>
  </w:num>
  <w:num w:numId="4">
    <w:abstractNumId w:val="12"/>
  </w:num>
  <w:num w:numId="5">
    <w:abstractNumId w:val="37"/>
  </w:num>
  <w:num w:numId="6">
    <w:abstractNumId w:val="2"/>
  </w:num>
  <w:num w:numId="7">
    <w:abstractNumId w:val="42"/>
  </w:num>
  <w:num w:numId="8">
    <w:abstractNumId w:val="46"/>
  </w:num>
  <w:num w:numId="9">
    <w:abstractNumId w:val="10"/>
  </w:num>
  <w:num w:numId="10">
    <w:abstractNumId w:val="38"/>
  </w:num>
  <w:num w:numId="11">
    <w:abstractNumId w:val="31"/>
  </w:num>
  <w:num w:numId="12">
    <w:abstractNumId w:val="25"/>
  </w:num>
  <w:num w:numId="13">
    <w:abstractNumId w:val="27"/>
  </w:num>
  <w:num w:numId="14">
    <w:abstractNumId w:val="35"/>
  </w:num>
  <w:num w:numId="15">
    <w:abstractNumId w:val="44"/>
  </w:num>
  <w:num w:numId="16">
    <w:abstractNumId w:val="16"/>
  </w:num>
  <w:num w:numId="17">
    <w:abstractNumId w:val="41"/>
  </w:num>
  <w:num w:numId="18">
    <w:abstractNumId w:val="9"/>
  </w:num>
  <w:num w:numId="19">
    <w:abstractNumId w:val="28"/>
  </w:num>
  <w:num w:numId="20">
    <w:abstractNumId w:val="36"/>
  </w:num>
  <w:num w:numId="21">
    <w:abstractNumId w:val="18"/>
  </w:num>
  <w:num w:numId="22">
    <w:abstractNumId w:val="6"/>
  </w:num>
  <w:num w:numId="23">
    <w:abstractNumId w:val="14"/>
  </w:num>
  <w:num w:numId="24">
    <w:abstractNumId w:val="32"/>
  </w:num>
  <w:num w:numId="25">
    <w:abstractNumId w:val="13"/>
  </w:num>
  <w:num w:numId="26">
    <w:abstractNumId w:val="22"/>
  </w:num>
  <w:num w:numId="27">
    <w:abstractNumId w:val="19"/>
  </w:num>
  <w:num w:numId="28">
    <w:abstractNumId w:val="17"/>
  </w:num>
  <w:num w:numId="29">
    <w:abstractNumId w:val="39"/>
  </w:num>
  <w:num w:numId="30">
    <w:abstractNumId w:val="21"/>
  </w:num>
  <w:num w:numId="31">
    <w:abstractNumId w:val="23"/>
  </w:num>
  <w:num w:numId="32">
    <w:abstractNumId w:val="3"/>
  </w:num>
  <w:num w:numId="33">
    <w:abstractNumId w:val="45"/>
  </w:num>
  <w:num w:numId="34">
    <w:abstractNumId w:val="26"/>
  </w:num>
  <w:num w:numId="35">
    <w:abstractNumId w:val="40"/>
  </w:num>
  <w:num w:numId="36">
    <w:abstractNumId w:val="0"/>
  </w:num>
  <w:num w:numId="37">
    <w:abstractNumId w:val="20"/>
  </w:num>
  <w:num w:numId="38">
    <w:abstractNumId w:val="8"/>
  </w:num>
  <w:num w:numId="39">
    <w:abstractNumId w:val="30"/>
  </w:num>
  <w:num w:numId="40">
    <w:abstractNumId w:val="15"/>
  </w:num>
  <w:num w:numId="41">
    <w:abstractNumId w:val="5"/>
  </w:num>
  <w:num w:numId="42">
    <w:abstractNumId w:val="33"/>
  </w:num>
  <w:num w:numId="43">
    <w:abstractNumId w:val="7"/>
  </w:num>
  <w:num w:numId="44">
    <w:abstractNumId w:val="24"/>
  </w:num>
  <w:num w:numId="45">
    <w:abstractNumId w:val="29"/>
  </w:num>
  <w:num w:numId="46">
    <w:abstractNumId w:val="1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56"/>
    <w:rsid w:val="00006166"/>
    <w:rsid w:val="00006222"/>
    <w:rsid w:val="00021BEB"/>
    <w:rsid w:val="00025FA1"/>
    <w:rsid w:val="00031780"/>
    <w:rsid w:val="00035211"/>
    <w:rsid w:val="00042C36"/>
    <w:rsid w:val="00050B4A"/>
    <w:rsid w:val="0006213B"/>
    <w:rsid w:val="00077E83"/>
    <w:rsid w:val="000A3B3F"/>
    <w:rsid w:val="000D4BBA"/>
    <w:rsid w:val="000E7FD9"/>
    <w:rsid w:val="00124396"/>
    <w:rsid w:val="001331CB"/>
    <w:rsid w:val="001506AF"/>
    <w:rsid w:val="001514FA"/>
    <w:rsid w:val="001633B4"/>
    <w:rsid w:val="0017182B"/>
    <w:rsid w:val="00176A2D"/>
    <w:rsid w:val="001A45F1"/>
    <w:rsid w:val="001B36E5"/>
    <w:rsid w:val="001B7943"/>
    <w:rsid w:val="001C316C"/>
    <w:rsid w:val="001C325B"/>
    <w:rsid w:val="001F4EA1"/>
    <w:rsid w:val="001F542E"/>
    <w:rsid w:val="002120F9"/>
    <w:rsid w:val="00212FAD"/>
    <w:rsid w:val="0021614A"/>
    <w:rsid w:val="00220FB2"/>
    <w:rsid w:val="0022300F"/>
    <w:rsid w:val="002252D7"/>
    <w:rsid w:val="00226CA5"/>
    <w:rsid w:val="00226FC3"/>
    <w:rsid w:val="00240EB9"/>
    <w:rsid w:val="00252CA8"/>
    <w:rsid w:val="00263E63"/>
    <w:rsid w:val="002726AC"/>
    <w:rsid w:val="00277C70"/>
    <w:rsid w:val="002807E8"/>
    <w:rsid w:val="0028164D"/>
    <w:rsid w:val="00281DF1"/>
    <w:rsid w:val="00284D29"/>
    <w:rsid w:val="00287A08"/>
    <w:rsid w:val="00290883"/>
    <w:rsid w:val="002943A1"/>
    <w:rsid w:val="00295B92"/>
    <w:rsid w:val="002A09EE"/>
    <w:rsid w:val="002B45EA"/>
    <w:rsid w:val="002E0F69"/>
    <w:rsid w:val="002E5AF8"/>
    <w:rsid w:val="002F0D8C"/>
    <w:rsid w:val="002F2C8F"/>
    <w:rsid w:val="002F7E11"/>
    <w:rsid w:val="003108D8"/>
    <w:rsid w:val="003166D7"/>
    <w:rsid w:val="0033562D"/>
    <w:rsid w:val="00342BAB"/>
    <w:rsid w:val="00344B39"/>
    <w:rsid w:val="00350F08"/>
    <w:rsid w:val="0035623B"/>
    <w:rsid w:val="003970F1"/>
    <w:rsid w:val="003A739F"/>
    <w:rsid w:val="003B44FF"/>
    <w:rsid w:val="003C0F97"/>
    <w:rsid w:val="003C2FBA"/>
    <w:rsid w:val="003E45CB"/>
    <w:rsid w:val="003F0C60"/>
    <w:rsid w:val="003F5783"/>
    <w:rsid w:val="003F6C39"/>
    <w:rsid w:val="00403450"/>
    <w:rsid w:val="00424883"/>
    <w:rsid w:val="0042686C"/>
    <w:rsid w:val="004656D2"/>
    <w:rsid w:val="00474A4D"/>
    <w:rsid w:val="004A7A69"/>
    <w:rsid w:val="004B0AD7"/>
    <w:rsid w:val="004C62FD"/>
    <w:rsid w:val="004C6886"/>
    <w:rsid w:val="004D3B1F"/>
    <w:rsid w:val="00546C91"/>
    <w:rsid w:val="0054776B"/>
    <w:rsid w:val="00554EE3"/>
    <w:rsid w:val="005A3318"/>
    <w:rsid w:val="005B3FEB"/>
    <w:rsid w:val="005B7C37"/>
    <w:rsid w:val="005C00A3"/>
    <w:rsid w:val="005C78D2"/>
    <w:rsid w:val="005E214C"/>
    <w:rsid w:val="005E44FA"/>
    <w:rsid w:val="00625222"/>
    <w:rsid w:val="00625E76"/>
    <w:rsid w:val="00643A33"/>
    <w:rsid w:val="00647C76"/>
    <w:rsid w:val="006709C1"/>
    <w:rsid w:val="00672001"/>
    <w:rsid w:val="00695C8E"/>
    <w:rsid w:val="006C082F"/>
    <w:rsid w:val="006C7402"/>
    <w:rsid w:val="006F1307"/>
    <w:rsid w:val="007222C1"/>
    <w:rsid w:val="007358F8"/>
    <w:rsid w:val="00735EF2"/>
    <w:rsid w:val="00756888"/>
    <w:rsid w:val="00790CF3"/>
    <w:rsid w:val="00793595"/>
    <w:rsid w:val="00794580"/>
    <w:rsid w:val="007A4B64"/>
    <w:rsid w:val="007B1319"/>
    <w:rsid w:val="007B5611"/>
    <w:rsid w:val="007D13FA"/>
    <w:rsid w:val="007D6730"/>
    <w:rsid w:val="007F2612"/>
    <w:rsid w:val="00801571"/>
    <w:rsid w:val="0080312D"/>
    <w:rsid w:val="00826C39"/>
    <w:rsid w:val="00830CA2"/>
    <w:rsid w:val="00880449"/>
    <w:rsid w:val="00892E15"/>
    <w:rsid w:val="008A2CFD"/>
    <w:rsid w:val="008B3F57"/>
    <w:rsid w:val="008B52D8"/>
    <w:rsid w:val="008C2B96"/>
    <w:rsid w:val="008E3562"/>
    <w:rsid w:val="00906AC6"/>
    <w:rsid w:val="00914036"/>
    <w:rsid w:val="00940E8B"/>
    <w:rsid w:val="0097453C"/>
    <w:rsid w:val="00977F4B"/>
    <w:rsid w:val="00982905"/>
    <w:rsid w:val="00991F8D"/>
    <w:rsid w:val="00995130"/>
    <w:rsid w:val="009B2925"/>
    <w:rsid w:val="009F2D5E"/>
    <w:rsid w:val="00A01F93"/>
    <w:rsid w:val="00A05609"/>
    <w:rsid w:val="00A061CE"/>
    <w:rsid w:val="00A33E80"/>
    <w:rsid w:val="00A34536"/>
    <w:rsid w:val="00A4277C"/>
    <w:rsid w:val="00A50390"/>
    <w:rsid w:val="00A93855"/>
    <w:rsid w:val="00A97878"/>
    <w:rsid w:val="00AD1010"/>
    <w:rsid w:val="00AD7FE3"/>
    <w:rsid w:val="00B00781"/>
    <w:rsid w:val="00B012FE"/>
    <w:rsid w:val="00B01383"/>
    <w:rsid w:val="00B05357"/>
    <w:rsid w:val="00B05796"/>
    <w:rsid w:val="00B3520F"/>
    <w:rsid w:val="00B42894"/>
    <w:rsid w:val="00B5120B"/>
    <w:rsid w:val="00B5129B"/>
    <w:rsid w:val="00B5214A"/>
    <w:rsid w:val="00B7258A"/>
    <w:rsid w:val="00BC1FB2"/>
    <w:rsid w:val="00BC7CBC"/>
    <w:rsid w:val="00C06936"/>
    <w:rsid w:val="00C07ECD"/>
    <w:rsid w:val="00C11D02"/>
    <w:rsid w:val="00C25128"/>
    <w:rsid w:val="00C276F9"/>
    <w:rsid w:val="00C452FD"/>
    <w:rsid w:val="00C50E26"/>
    <w:rsid w:val="00C663F4"/>
    <w:rsid w:val="00C66A4A"/>
    <w:rsid w:val="00C82760"/>
    <w:rsid w:val="00CA247F"/>
    <w:rsid w:val="00CA39BC"/>
    <w:rsid w:val="00CA521A"/>
    <w:rsid w:val="00CD15E1"/>
    <w:rsid w:val="00CF4D38"/>
    <w:rsid w:val="00D246A9"/>
    <w:rsid w:val="00D24BFE"/>
    <w:rsid w:val="00D314C8"/>
    <w:rsid w:val="00D43032"/>
    <w:rsid w:val="00D436FE"/>
    <w:rsid w:val="00D627F2"/>
    <w:rsid w:val="00D724E2"/>
    <w:rsid w:val="00D74E8F"/>
    <w:rsid w:val="00D84AC2"/>
    <w:rsid w:val="00D96972"/>
    <w:rsid w:val="00DC2FEE"/>
    <w:rsid w:val="00DC49B3"/>
    <w:rsid w:val="00DE5906"/>
    <w:rsid w:val="00DE7E47"/>
    <w:rsid w:val="00DF0A10"/>
    <w:rsid w:val="00DF0D67"/>
    <w:rsid w:val="00DF2378"/>
    <w:rsid w:val="00E04D92"/>
    <w:rsid w:val="00E36DC5"/>
    <w:rsid w:val="00E52656"/>
    <w:rsid w:val="00E758FD"/>
    <w:rsid w:val="00E83167"/>
    <w:rsid w:val="00E83BD3"/>
    <w:rsid w:val="00E87306"/>
    <w:rsid w:val="00E91EEC"/>
    <w:rsid w:val="00EA26A2"/>
    <w:rsid w:val="00ED4AFA"/>
    <w:rsid w:val="00EE34A3"/>
    <w:rsid w:val="00EF7C72"/>
    <w:rsid w:val="00F04AA7"/>
    <w:rsid w:val="00F10B61"/>
    <w:rsid w:val="00F137EF"/>
    <w:rsid w:val="00F1492E"/>
    <w:rsid w:val="00F14B4B"/>
    <w:rsid w:val="00F17AEF"/>
    <w:rsid w:val="00F420E5"/>
    <w:rsid w:val="00F549E2"/>
    <w:rsid w:val="00F63D51"/>
    <w:rsid w:val="00F66462"/>
    <w:rsid w:val="00F83E09"/>
    <w:rsid w:val="00FA42DF"/>
    <w:rsid w:val="00FB5091"/>
    <w:rsid w:val="00FC5459"/>
    <w:rsid w:val="00FE32A7"/>
    <w:rsid w:val="00FE3F60"/>
    <w:rsid w:val="00F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767088D-81F6-4C8E-BBB1-D18480B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24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D7"/>
    <w:pPr>
      <w:keepNext/>
      <w:keepLines/>
      <w:numPr>
        <w:ilvl w:val="1"/>
        <w:numId w:val="24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D7"/>
    <w:pPr>
      <w:keepNext/>
      <w:keepLines/>
      <w:numPr>
        <w:ilvl w:val="2"/>
        <w:numId w:val="24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D7"/>
    <w:pPr>
      <w:keepNext/>
      <w:keepLines/>
      <w:numPr>
        <w:ilvl w:val="3"/>
        <w:numId w:val="24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24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8F"/>
    <w:pPr>
      <w:keepNext/>
      <w:keepLines/>
      <w:numPr>
        <w:ilvl w:val="5"/>
        <w:numId w:val="24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D7"/>
    <w:pPr>
      <w:keepNext/>
      <w:keepLines/>
      <w:numPr>
        <w:ilvl w:val="6"/>
        <w:numId w:val="24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D7"/>
    <w:pPr>
      <w:keepNext/>
      <w:keepLines/>
      <w:numPr>
        <w:ilvl w:val="7"/>
        <w:numId w:val="24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D7"/>
    <w:pPr>
      <w:keepNext/>
      <w:keepLines/>
      <w:numPr>
        <w:ilvl w:val="8"/>
        <w:numId w:val="24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E5265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semiHidden/>
    <w:rsid w:val="00D74E8F"/>
    <w:rPr>
      <w:rFonts w:ascii="Calibri Light" w:eastAsia="Times New Roman" w:hAnsi="Calibri Light" w:cs="Times New Roman"/>
      <w:noProof/>
      <w:color w:val="1F4D78"/>
      <w:sz w:val="24"/>
      <w:lang w:val="id-ID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 w:cs="Times New Roman"/>
      <w:noProof/>
      <w:color w:val="2E74B5"/>
      <w:sz w:val="26"/>
      <w:szCs w:val="26"/>
      <w:lang w:val="id-ID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 w:cs="Times New Roman"/>
      <w:noProof/>
      <w:color w:val="2E74B5"/>
      <w:sz w:val="32"/>
      <w:szCs w:val="32"/>
      <w:lang w:val="id-ID"/>
    </w:rPr>
  </w:style>
  <w:style w:type="character" w:customStyle="1" w:styleId="Heading3Char">
    <w:name w:val="Heading 3 Char"/>
    <w:link w:val="Heading3"/>
    <w:uiPriority w:val="9"/>
    <w:semiHidden/>
    <w:rsid w:val="003166D7"/>
    <w:rPr>
      <w:rFonts w:ascii="Calibri Light" w:eastAsia="Times New Roman" w:hAnsi="Calibri Light" w:cs="Times New Roman"/>
      <w:noProof/>
      <w:color w:val="1F4D78"/>
      <w:sz w:val="24"/>
      <w:szCs w:val="24"/>
      <w:lang w:val="id-ID"/>
    </w:rPr>
  </w:style>
  <w:style w:type="character" w:customStyle="1" w:styleId="Heading4Char">
    <w:name w:val="Heading 4 Char"/>
    <w:link w:val="Heading4"/>
    <w:uiPriority w:val="9"/>
    <w:semiHidden/>
    <w:rsid w:val="003166D7"/>
    <w:rPr>
      <w:rFonts w:ascii="Calibri Light" w:eastAsia="Times New Roman" w:hAnsi="Calibri Light" w:cs="Times New Roman"/>
      <w:i/>
      <w:iCs/>
      <w:noProof/>
      <w:color w:val="2E74B5"/>
      <w:sz w:val="24"/>
      <w:lang w:val="id-ID"/>
    </w:rPr>
  </w:style>
  <w:style w:type="character" w:customStyle="1" w:styleId="Heading7Char">
    <w:name w:val="Heading 7 Char"/>
    <w:link w:val="Heading7"/>
    <w:uiPriority w:val="9"/>
    <w:semiHidden/>
    <w:rsid w:val="003166D7"/>
    <w:rPr>
      <w:rFonts w:ascii="Calibri Light" w:eastAsia="Times New Roman" w:hAnsi="Calibri Light" w:cs="Times New Roman"/>
      <w:i/>
      <w:iCs/>
      <w:noProof/>
      <w:color w:val="1F4D78"/>
      <w:sz w:val="24"/>
      <w:lang w:val="id-ID"/>
    </w:rPr>
  </w:style>
  <w:style w:type="character" w:customStyle="1" w:styleId="Heading8Char">
    <w:name w:val="Heading 8 Char"/>
    <w:link w:val="Heading8"/>
    <w:uiPriority w:val="9"/>
    <w:semiHidden/>
    <w:rsid w:val="003166D7"/>
    <w:rPr>
      <w:rFonts w:ascii="Calibri Light" w:eastAsia="Times New Roman" w:hAnsi="Calibri Light" w:cs="Times New Roman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link w:val="Heading9"/>
    <w:uiPriority w:val="9"/>
    <w:semiHidden/>
    <w:rsid w:val="003166D7"/>
    <w:rPr>
      <w:rFonts w:ascii="Calibri Light" w:eastAsia="Times New Roman" w:hAnsi="Calibri Light" w:cs="Times New Roman"/>
      <w:i/>
      <w:iCs/>
      <w:noProof/>
      <w:color w:val="272727"/>
      <w:sz w:val="21"/>
      <w:szCs w:val="21"/>
      <w:lang w:val="id-ID"/>
    </w:rPr>
  </w:style>
  <w:style w:type="paragraph" w:customStyle="1" w:styleId="Default">
    <w:name w:val="Default"/>
    <w:rsid w:val="00D724E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A05609"/>
    <w:pPr>
      <w:spacing w:after="0" w:line="240" w:lineRule="auto"/>
      <w:ind w:left="720"/>
      <w:jc w:val="left"/>
    </w:pPr>
    <w:rPr>
      <w:rFonts w:ascii="Times New Roman" w:eastAsia="Times New Roman" w:hAnsi="Times New Roman"/>
      <w:noProof w:val="0"/>
      <w:szCs w:val="24"/>
      <w:lang w:val="en-GB"/>
    </w:rPr>
  </w:style>
  <w:style w:type="character" w:customStyle="1" w:styleId="BodyTextIndentChar">
    <w:name w:val="Body Text Indent Char"/>
    <w:link w:val="BodyTextIndent"/>
    <w:rsid w:val="00A05609"/>
    <w:rPr>
      <w:rFonts w:ascii="Times New Roman" w:eastAsia="Times New Roman" w:hAnsi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Ilham A</cp:lastModifiedBy>
  <cp:revision>2</cp:revision>
  <dcterms:created xsi:type="dcterms:W3CDTF">2020-05-04T23:36:00Z</dcterms:created>
  <dcterms:modified xsi:type="dcterms:W3CDTF">2020-05-04T23:36:00Z</dcterms:modified>
</cp:coreProperties>
</file>