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120"/>
        <w:jc w:val="center"/>
      </w:pPr>
      <w:r>
        <w:rPr>
          <w:rFonts w:ascii="Arial Narrow" w:hAnsi="Arial Narrow"/>
          <w:b/>
          <w:i w:val="0"/>
          <w:sz w:val="28"/>
        </w:rPr>
        <w:t>SISTEM TRADING REGIME BERBASIS MANAJEMEN RISIKO BERLAPIS DAN ANALISIS MIKROSTRUKTUR BTC/USDT</w:t>
      </w:r>
    </w:p>
    <w:p>
      <w:pPr>
        <w:spacing w:line="240" w:lineRule="auto" w:after="360"/>
        <w:jc w:val="center"/>
      </w:pPr>
      <w:r>
        <w:rPr>
          <w:rFonts w:ascii="Arial Narrow" w:hAnsi="Arial Narrow"/>
          <w:b w:val="0"/>
          <w:i/>
          <w:sz w:val="24"/>
        </w:rPr>
        <w:t>Regime-Based Trading System with Multi-Layer Risk Management and BTC/USDT Microstructure Analysis</w:t>
      </w:r>
    </w:p>
    <w:p>
      <w:pPr>
        <w:spacing w:line="276" w:lineRule="auto" w:after="80"/>
        <w:jc w:val="center"/>
      </w:pPr>
      <w:r>
        <w:rPr>
          <w:rFonts w:ascii="Arial Narrow" w:hAnsi="Arial Narrow"/>
          <w:b/>
          <w:i w:val="0"/>
          <w:sz w:val="24"/>
        </w:rPr>
        <w:t>Ilham Pradani1)</w:t>
      </w:r>
    </w:p>
    <w:p>
      <w:pPr>
        <w:spacing w:line="276" w:lineRule="auto" w:after="80"/>
        <w:jc w:val="center"/>
      </w:pPr>
      <w:r>
        <w:rPr>
          <w:rFonts w:ascii="Arial Narrow" w:hAnsi="Arial Narrow"/>
          <w:b w:val="0"/>
          <w:i w:val="0"/>
          <w:sz w:val="22"/>
        </w:rPr>
        <w:t>1)Program Studi Ilmu Hukum, Fakultas Hukum, Ilmu Sosial, dan Ilmu Politik, Universitas Terbuka, Tangerang Selatan, Indonesia</w:t>
      </w:r>
    </w:p>
    <w:p>
      <w:pPr>
        <w:spacing w:line="276" w:lineRule="auto" w:after="480"/>
        <w:jc w:val="center"/>
      </w:pPr>
      <w:r>
        <w:rPr>
          <w:rFonts w:ascii="Arial Narrow" w:hAnsi="Arial Narrow"/>
          <w:b w:val="0"/>
          <w:i w:val="0"/>
          <w:sz w:val="22"/>
        </w:rPr>
        <w:t>e-mail: 051071552@ecampus.ut.ac.id (corresponding author)</w:t>
      </w:r>
    </w:p>
    <w:tbl>
      <w:tblPr>
        <w:tblW w:type="auto" w:w="0"/>
        <w:tblLayout w:type="fixed"/>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5098"/>
        <w:gridCol w:w="5098"/>
      </w:tblGrid>
      <w:tr>
        <w:tc>
          <w:tcPr>
            <w:tcW w:type="dxa" w:w="5098"/>
            <w:tcMar>
              <w:top w:w="100" w:type="dxa"/>
              <w:bottom w:w="100" w:type="dxa"/>
              <w:left w:w="100" w:type="dxa"/>
              <w:right w:w="200" w:type="dxa"/>
            </w:tcMar>
          </w:tcPr>
          <w:p>
            <w:pPr>
              <w:spacing w:line="276" w:lineRule="auto" w:after="120"/>
              <w:jc w:val="left"/>
            </w:pPr>
            <w:r>
              <w:rPr>
                <w:rFonts w:ascii="Arial Narrow" w:hAnsi="Arial Narrow"/>
                <w:b/>
                <w:i w:val="0"/>
                <w:sz w:val="22"/>
              </w:rPr>
              <w:t>ABSTRACT</w:t>
            </w:r>
          </w:p>
          <w:p>
            <w:pPr>
              <w:spacing w:line="240" w:lineRule="auto" w:after="240"/>
              <w:jc w:val="both"/>
            </w:pPr>
            <w:r>
              <w:rPr>
                <w:rFonts w:ascii="Arial Narrow" w:hAnsi="Arial Narrow"/>
                <w:b w:val="0"/>
                <w:i w:val="0"/>
                <w:sz w:val="20"/>
              </w:rPr>
              <w:t>This article presents a comprehensive analysis of the architecture and performance evolution of the BitTrade-v2 Engine (Bot A), a Rust-based algorithmic trading system operating on BTC/USDT and multi-coin USDT pairs. The system initially implemented market regime detection (Trending/Sideways), but operational data analysis revealed weaknesses in conventional indicators frequently generating fake-out traps. This research documents the architectural transformation toward the Quant Professional System (QPS) through three main phases: parameter tightening (Phase 4.x), integration of Dynamic Risk Management based on Quarter Kelly Criterion and Rolling Sharpe Ratio (Phase 5.0), and modularization of four strategy engines and multi-coin expansion with dynamic volatility classification plus the QPS Auto-Recovery mechanism (Phases 5.1–5.2). Auto-Recovery eliminates operational deadlock risk by switching the system to a minimum budget mode ($5.05/trade) when Sharpe Ratio turns negative, rather than halting execution entirely. A 16-month backtest evaluation showed Win Rate improvement from 26.05% to 59.49%, with Maximum Drawdown reduction from 71.28% to 1.87%. Live testing in Phase 5.2 recorded 25 successful SELL transactions with a 100% Win Rate and zero Stop Loss triggers.</w:t>
            </w:r>
          </w:p>
          <w:p>
            <w:pPr>
              <w:spacing w:line="276" w:lineRule="auto" w:after="0"/>
              <w:jc w:val="left"/>
            </w:pPr>
            <w:r>
              <w:rPr>
                <w:rFonts w:ascii="Arial Narrow" w:hAnsi="Arial Narrow"/>
                <w:b/>
                <w:i w:val="0"/>
                <w:sz w:val="20"/>
              </w:rPr>
              <w:t xml:space="preserve">Keywords: </w:t>
            </w:r>
            <w:r>
              <w:rPr>
                <w:rFonts w:ascii="Arial Narrow" w:hAnsi="Arial Narrow"/>
                <w:b w:val="0"/>
                <w:i w:val="0"/>
                <w:sz w:val="20"/>
              </w:rPr>
              <w:t>algorithmic trading, kelly criterion, sharpe ratio, order book imbalance, cryptocurrency.</w:t>
            </w:r>
          </w:p>
        </w:tc>
        <w:tc>
          <w:tcPr>
            <w:tcW w:type="dxa" w:w="5098"/>
            <w:tcMar>
              <w:top w:w="100" w:type="dxa"/>
              <w:bottom w:w="100" w:type="dxa"/>
              <w:left w:w="200" w:type="dxa"/>
              <w:right w:w="100" w:type="dxa"/>
            </w:tcMar>
            <w:tcBorders>
              <w:left w:val="single" w:sz="12" w:space="0" w:color="CCCCCC"/>
            </w:tcBorders>
          </w:tcPr>
          <w:p>
            <w:pPr>
              <w:spacing w:line="276" w:lineRule="auto" w:after="120"/>
              <w:jc w:val="left"/>
            </w:pPr>
            <w:r>
              <w:rPr>
                <w:rFonts w:ascii="Arial Narrow" w:hAnsi="Arial Narrow"/>
                <w:b/>
                <w:i w:val="0"/>
                <w:sz w:val="22"/>
              </w:rPr>
              <w:t>ABSTRAK</w:t>
            </w:r>
          </w:p>
          <w:p>
            <w:pPr>
              <w:spacing w:line="240" w:lineRule="auto" w:after="240"/>
              <w:jc w:val="both"/>
            </w:pPr>
            <w:r>
              <w:rPr>
                <w:rFonts w:ascii="Arial Narrow" w:hAnsi="Arial Narrow"/>
                <w:b w:val="0"/>
                <w:i/>
                <w:sz w:val="20"/>
              </w:rPr>
              <w:t>Artikel ini menyajikan analisis komprehensif terhadap arsitektur dan evolusi kinerja BitTrade-v2 Engine (Bot A), sistem trading algoritmik berbasis Rust yang beroperasi pada pasangan BTC/USDT dan multi-koin USDT. Sistem awal mengimplementasikan deteksi market regime (Trending/Sideways), namun analisis data operasional mengungkap kelemahan indikator konvensional yang sering menghasilkan fake-out trap. Penelitian ini mendokumentasikan transformasi arsitektural menuju Quant Professional System (QPS) melalui tiga fase utama: pengetatan parameter (Fase 4.x), integrasi Dynamic Risk Management berbasis Quarter Kelly Criterion dan Rolling Sharpe Ratio (Fase 5.0), serta modularisasi empat mesin strategi dan ekspansi multi-koin dengan klasifikasi volatilitas dinamis disertai mekanisme QPS Auto-Recovery (Fase 5.1–5.2). Auto-Recovery menghilangkan risiko operational deadlock dengan mengalihkan sistem ke mode budget minimum ($5,05/trade) saat Sharpe Ratio negatif, alih-alih menghentikan total. Hasil evaluasi backtest 16 bulan menunjukkan peningkatan Win Rate dari 26,05% menjadi 59,49% dengan penurunan Maximum Drawdown dari 71,28% menjadi 1,87%. Pengujian live pada Fase 5.2 mencatat 25 transaksi SELL berhasil dengan Win Rate 100% tanpa satu pun Stop Loss terpicu.</w:t>
            </w:r>
          </w:p>
          <w:p>
            <w:pPr>
              <w:spacing w:line="276" w:lineRule="auto" w:after="0"/>
              <w:jc w:val="left"/>
            </w:pPr>
            <w:r>
              <w:rPr>
                <w:rFonts w:ascii="Arial Narrow" w:hAnsi="Arial Narrow"/>
                <w:b/>
                <w:i w:val="0"/>
                <w:sz w:val="20"/>
              </w:rPr>
              <w:t xml:space="preserve">Kata kunci: </w:t>
            </w:r>
            <w:r>
              <w:rPr>
                <w:rFonts w:ascii="Arial Narrow" w:hAnsi="Arial Narrow"/>
                <w:b w:val="0"/>
                <w:i/>
                <w:sz w:val="20"/>
              </w:rPr>
              <w:t>trading algoritmik, kriteria kelly, rasio sharpe, ketidakseimbangan buku pesanan, kripto.</w:t>
            </w:r>
          </w:p>
        </w:tc>
      </w:tr>
    </w:tbl>
    <w:p/>
    <w:p>
      <w:pPr>
        <w:spacing w:line="276" w:lineRule="auto" w:after="240"/>
        <w:jc w:val="left"/>
      </w:pPr>
      <w:r>
        <w:rPr>
          <w:rFonts w:ascii="Arial Narrow" w:hAnsi="Arial Narrow"/>
          <w:b/>
          <w:i w:val="0"/>
          <w:sz w:val="24"/>
        </w:rPr>
        <w:t>INTRODUCTION</w:t>
      </w:r>
    </w:p>
    <w:p>
      <w:pPr>
        <w:spacing w:line="276" w:lineRule="auto" w:after="120"/>
        <w:jc w:val="both"/>
      </w:pPr>
      <w:r>
        <w:rPr>
          <w:rFonts w:ascii="Arial Narrow" w:hAnsi="Arial Narrow"/>
          <w:sz w:val="24"/>
        </w:rPr>
        <w:t>Pasar aset kripto, khususnya pasangan BTC/USDT, dicirikan oleh volatilitas ekstrim, asimetri informasi tinggi, dan kecepatan transisi kondisi pasar (market regime) yang sangat dinamis antara fase trending dan sideways. Karakteristik ini membuat pendekatan tradisional menggunakan indikator teknikal tunggal rentan menghasilkan sinyal palsu ketika kondisi pasar berubah mendadak (Kirkpatrick &amp; Dahlquist, 2016). Sistem trading algoritmik generasi awal seperti Bot A (BitTrade-v2 Engine) dirancang untuk memitigasi kelemahan tersebut melalui deteksi market regime. Namun, data empiris nyata mengungkap fenomena sistematis: mayoritas sinyal perpotongan indikator (EMA Golden Cross) terpicu akibat manipulasi likuiditas buatan (fake-out), bukan minat fundamental pasar sesungguhnya. Eksekusi masif pada sinyal palsu ini menyebabkan kerugian kumulatif yang signifikan.</w:t>
      </w:r>
    </w:p>
    <w:p>
      <w:pPr>
        <w:spacing w:line="276" w:lineRule="auto" w:after="120"/>
        <w:ind w:left="360"/>
        <w:jc w:val="both"/>
      </w:pPr>
      <w:r>
        <w:rPr>
          <w:rFonts w:ascii="Arial Narrow" w:hAnsi="Arial Narrow"/>
          <w:i/>
          <w:sz w:val="22"/>
        </w:rPr>
        <w:t>The cryptocurrency market, particularly BTC/USDT, is characterized by extreme volatility, high information asymmetry, and highly dynamic market regime transitions between trending and sideways phases. These characteristics make traditional approaches using single technical indicators prone to generating false signals during sudden market transitions (Kirkpatrick &amp; Dahlquist, 2016). Early algorithmic trading systems such as Bot A were designed to mitigate these weaknesses through market regime detection. However, real empirical data revealed a systematic phenomenon: the majority of EMA Golden Cross signals were triggered by artificial liquidity manipulation (fake-outs) rather than genuine market interest. Massive execution on these false signals caused significant cumulative losses.</w:t>
      </w:r>
    </w:p>
    <w:p>
      <w:pPr>
        <w:spacing w:line="276" w:lineRule="auto" w:after="120"/>
        <w:jc w:val="both"/>
      </w:pPr>
      <w:r>
        <w:rPr>
          <w:rFonts w:ascii="Arial Narrow" w:hAnsi="Arial Narrow"/>
          <w:sz w:val="24"/>
        </w:rPr>
        <w:t>Penelitian ini merumuskan dua masalah utama: (1) Bagaimana mengidentifikasi momentum pergerakan harga yang asli (genuine breakout) dari gerakan palsu (fake-out manipulation) secara real-time? (2) Bagaimana mencegah sistem mengalami kebangkrutan (ruin) pada masa transisi pasar yang dipenuhi rentetan kerugian beruntun (losing streaks)? Tujuan utama penelitian ini adalah merancang, mengimplementasikan, dan mengevaluasi arsitektur Quant Professional System (QPS) pada BitTrade-v2. Secara spesifik: (a) memformulasikan manajemen ukuran transaksi dinamis melalui Kelly Criterion yang dimodulasi oleh Sharpe Ratio; (b) mengembangkan modul High-Frequency Microstructure Analysis via kalkulasi Order Book Imbalance (OBI); dan (c) merancang arsitektur multi-koin dengan klasifikasi volatilitas dinamis untuk memperluas cakupan peluang pasar.</w:t>
      </w:r>
    </w:p>
    <w:p>
      <w:pPr>
        <w:spacing w:line="276" w:lineRule="auto" w:after="120"/>
        <w:ind w:left="360"/>
        <w:jc w:val="both"/>
      </w:pPr>
      <w:r>
        <w:rPr>
          <w:rFonts w:ascii="Arial Narrow" w:hAnsi="Arial Narrow"/>
          <w:i/>
          <w:sz w:val="22"/>
        </w:rPr>
        <w:t>This research formulates two main problems: (1) How to identify genuine price movement momentum from fake-out manipulation in real-time? (2) How to prevent the system from experiencing ruin during market transition periods filled with consecutive losing streaks? The primary objective is to design, implement, and evaluate the Quant Professional System (QPS) architecture on BitTrade-v2. Specifically: (a) formulate dynamic transaction size management through Kelly Criterion modulated by Sharpe Ratio; (b) develop a High-Frequency Microstructure Analysis module via Order Book Imbalance (OBI) calculation; and (c) design a multi-coin architecture with dynamic volatility classification to expand market opportunity coverage.</w:t>
      </w:r>
    </w:p>
    <w:p>
      <w:pPr>
        <w:spacing w:line="276" w:lineRule="auto" w:after="120"/>
        <w:jc w:val="left"/>
      </w:pPr>
      <w:r>
        <w:rPr>
          <w:rFonts w:ascii="Arial Narrow" w:hAnsi="Arial Narrow"/>
          <w:b/>
          <w:i w:val="0"/>
          <w:sz w:val="24"/>
        </w:rPr>
        <w:t>Market Regime Detection</w:t>
      </w:r>
    </w:p>
    <w:p>
      <w:pPr>
        <w:spacing w:line="276" w:lineRule="auto" w:after="120"/>
        <w:jc w:val="both"/>
      </w:pPr>
      <w:r>
        <w:rPr>
          <w:rFonts w:ascii="Arial Narrow" w:hAnsi="Arial Narrow"/>
          <w:sz w:val="24"/>
        </w:rPr>
        <w:t>Deteksi market regime merupakan fondasi sistem perdagangan adaptif modern. Lo (2017) membuktikan bahwa pasar keuangan bersifat non-stasioner, bergerak bergantian antara fase momentum dan mean reversion. Pendekatan umum adalah memanfaatkan tingkat volatilitas persentase (standard deviation) sebagai ambang batas klasifikasi.</w:t>
      </w:r>
    </w:p>
    <w:p>
      <w:pPr>
        <w:spacing w:line="276" w:lineRule="auto" w:after="120"/>
        <w:ind w:left="360"/>
        <w:jc w:val="both"/>
      </w:pPr>
      <w:r>
        <w:rPr>
          <w:rFonts w:ascii="Arial Narrow" w:hAnsi="Arial Narrow"/>
          <w:i/>
          <w:sz w:val="22"/>
        </w:rPr>
        <w:t>Market regime detection is the foundation of modern adaptive trading systems. Lo (2017) proved that financial markets are non-stationary, alternating between momentum and mean reversion phases. A common approach uses percentage volatility (standard deviation) as a classification threshold.</w:t>
      </w:r>
    </w:p>
    <w:p>
      <w:pPr>
        <w:spacing w:line="276" w:lineRule="auto" w:after="120"/>
        <w:jc w:val="left"/>
      </w:pPr>
      <w:r>
        <w:rPr>
          <w:rFonts w:ascii="Arial Narrow" w:hAnsi="Arial Narrow"/>
          <w:b/>
          <w:i w:val="0"/>
          <w:sz w:val="24"/>
        </w:rPr>
        <w:t>Institutional Risk Management</w:t>
      </w:r>
    </w:p>
    <w:p>
      <w:pPr>
        <w:spacing w:line="276" w:lineRule="auto" w:after="120"/>
        <w:jc w:val="both"/>
      </w:pPr>
      <w:r>
        <w:rPr>
          <w:rFonts w:ascii="Arial Narrow" w:hAnsi="Arial Narrow"/>
          <w:sz w:val="24"/>
        </w:rPr>
        <w:t>Kriteria Kelly adalah formula matematika yang menentukan porsi kekayaan optimal untuk dipertaruhkan pada sebuah peluang investasi (MacLean et al., 2016). Sistem profesional modern mengadopsi Fractional Kelly (khususnya Quarter Kelly) untuk mengurangi risiko kebangkrutan. Alokasi modal tidak hanya memperhitungkan win rate, melainkan juga disesuaikan dengan imbal-risiko yang direpresentasikan oleh nilai Sharpe Ratio (Bailey &amp; Lopez de Prado, 2018; Pardo, 2020).</w:t>
      </w:r>
    </w:p>
    <w:p>
      <w:pPr>
        <w:spacing w:line="276" w:lineRule="auto" w:after="120"/>
        <w:ind w:left="360"/>
        <w:jc w:val="both"/>
      </w:pPr>
      <w:r>
        <w:rPr>
          <w:rFonts w:ascii="Arial Narrow" w:hAnsi="Arial Narrow"/>
          <w:i/>
          <w:sz w:val="22"/>
        </w:rPr>
        <w:t>The Kelly Criterion is a mathematical formula determining the optimal fraction of wealth to stake on an investment opportunity (MacLean et al., 2016). Modern professional systems adopt Fractional Kelly (particularly Quarter Kelly) to reduce ruin risk. Capital allocation accounts not only for win rate, but is also adjusted for risk-reward represented by the Sharpe Ratio (Bailey &amp; Lopez de Prado, 2018; Pardo, 2020).</w:t>
      </w:r>
    </w:p>
    <w:p>
      <w:pPr>
        <w:spacing w:line="276" w:lineRule="auto" w:after="120"/>
        <w:jc w:val="left"/>
      </w:pPr>
      <w:r>
        <w:rPr>
          <w:rFonts w:ascii="Arial Narrow" w:hAnsi="Arial Narrow"/>
          <w:b/>
          <w:i w:val="0"/>
          <w:sz w:val="24"/>
        </w:rPr>
        <w:t>Market Microstructure Theory</w:t>
      </w:r>
    </w:p>
    <w:p>
      <w:pPr>
        <w:spacing w:line="276" w:lineRule="auto" w:after="120"/>
        <w:jc w:val="both"/>
      </w:pPr>
      <w:r>
        <w:rPr>
          <w:rFonts w:ascii="Arial Narrow" w:hAnsi="Arial Narrow"/>
          <w:sz w:val="24"/>
        </w:rPr>
        <w:t>Mikrostruktur pasar mempelajari proses pembentukan harga pada tingkat terendah: pencocokan setiap bid dan ask order (Cartea et al., 2015). Order Book Imbalance (OBI) adalah matriks asimetri utama yang mengungkap niat tersembunyi pasar (Cont et al., 2014). Pada aset kripto, institusi pembentuk harga (market makers) menempatkan limit order masif untuk menciptakan Sell Wall atau Buy Wall, yang dapat terdeteksi melalui rasio OBI secara real-time (Ustun &amp; Toy, 2020).</w:t>
      </w:r>
    </w:p>
    <w:p>
      <w:pPr>
        <w:spacing w:line="276" w:lineRule="auto" w:after="120"/>
        <w:ind w:left="360"/>
        <w:jc w:val="both"/>
      </w:pPr>
      <w:r>
        <w:rPr>
          <w:rFonts w:ascii="Arial Narrow" w:hAnsi="Arial Narrow"/>
          <w:i/>
          <w:sz w:val="22"/>
        </w:rPr>
        <w:t>Market microstructure studies the price formation process at its lowest level: the matching of each bid and ask order (Cartea et al., 2015). Order Book Imbalance (OBI) is the primary asymmetry matrix revealing the market's hidden intentions (Cont et al., 2014). In crypto markets, market makers place massive limit orders creating Sell Walls or Buy Walls detectable through real-time OBI ratios (Ustun &amp; Toy, 2020).</w:t>
      </w:r>
    </w:p>
    <w:p>
      <w:pPr>
        <w:spacing w:line="276" w:lineRule="auto" w:after="240"/>
        <w:jc w:val="left"/>
      </w:pPr>
      <w:r>
        <w:rPr>
          <w:rFonts w:ascii="Arial Narrow" w:hAnsi="Arial Narrow"/>
          <w:b/>
          <w:i w:val="0"/>
          <w:sz w:val="24"/>
        </w:rPr>
        <w:t>METHOD</w:t>
      </w:r>
    </w:p>
    <w:p>
      <w:pPr>
        <w:spacing w:line="276" w:lineRule="auto" w:after="120"/>
        <w:jc w:val="left"/>
      </w:pPr>
      <w:r>
        <w:rPr>
          <w:rFonts w:ascii="Arial Narrow" w:hAnsi="Arial Narrow"/>
          <w:b/>
          <w:i w:val="0"/>
          <w:sz w:val="24"/>
        </w:rPr>
        <w:t>Core Technology and System Architecture</w:t>
      </w:r>
    </w:p>
    <w:p>
      <w:pPr>
        <w:spacing w:line="276" w:lineRule="auto" w:after="120"/>
        <w:jc w:val="both"/>
      </w:pPr>
      <w:r>
        <w:rPr>
          <w:rFonts w:ascii="Arial Narrow" w:hAnsi="Arial Narrow"/>
          <w:sz w:val="24"/>
        </w:rPr>
        <w:t>BitTrade-v2 Engine dibangun menggunakan bahasa pemrograman Rust dengan ekosistem Tokio (asynchronous runtime), memberikan jaminan keamanan memori dan kemampuan multithreading ekstrem (Blandy, 2021; Lattner, 2019). Persistensi data menggunakan PostgreSQL via sqlx. Sistem dirancang sebagai pipeline 5-tahap berbasis event-driven: (1) Ingestion, (2) Heuristic, (3) Conclude, (4) Risk &amp; Validate, (5) Executor. Untuk memastikan transparansi dan pemantauan sistem secara langsung, data operasional dan status pipeline event-driven Bot A dipublikasikan secara real-time pada portal monitoring eksternal di https://tradingsafe.mijdigital.my/bota/.</w:t>
      </w:r>
    </w:p>
    <w:p>
      <w:pPr>
        <w:spacing w:line="276" w:lineRule="auto" w:after="120"/>
        <w:ind w:left="360"/>
        <w:jc w:val="both"/>
      </w:pPr>
      <w:r>
        <w:rPr>
          <w:rFonts w:ascii="Arial Narrow" w:hAnsi="Arial Narrow"/>
          <w:i/>
          <w:sz w:val="22"/>
        </w:rPr>
        <w:t>BitTrade-v2 Engine is built using Rust with the Tokio ecosystem (async runtime), ensuring memory safety and extreme multithreading capabilities (Blandy, 2021; Lattner, 2019). Data persistence uses PostgreSQL via sqlx. The system is designed as a 5-stage event-driven pipeline: (1) Ingestion, (2) Heuristic, (3) Conclude, (4) Risk &amp; Validate, (5) Executor. To ensure transparency and real-time system monitoring, the operational data and event-driven pipeline status of Bot A are published in real-time on the external monitoring portal at https://tradingsafe.mijdigital.my/bota/.</w:t>
      </w:r>
    </w:p>
    <w:p>
      <w:pPr>
        <w:spacing w:line="276" w:lineRule="auto" w:after="120"/>
        <w:jc w:val="left"/>
      </w:pPr>
      <w:r>
        <w:rPr>
          <w:rFonts w:ascii="Arial Narrow" w:hAnsi="Arial Narrow"/>
          <w:b/>
          <w:i w:val="0"/>
          <w:sz w:val="24"/>
        </w:rPr>
        <w:t>Dynamic Risk Management</w:t>
      </w:r>
    </w:p>
    <w:p>
      <w:pPr>
        <w:spacing w:line="276" w:lineRule="auto" w:after="120"/>
        <w:jc w:val="both"/>
      </w:pPr>
      <w:r>
        <w:rPr>
          <w:rFonts w:ascii="Arial Narrow" w:hAnsi="Arial Narrow"/>
          <w:sz w:val="24"/>
        </w:rPr>
        <w:t>Modul QPS Risk menganalisis 20 transaksi SELL terakhir (Window T-20) dari basis data SQL untuk menghasilkan rata-rata pengembalian bersih per perdagangan (μ) dan volatilitas pengembalian (σ). Nilai Sharpe Ratio dan Quarter Kelly Fraction kemudian dihitung sebagai:</w:t>
      </w:r>
    </w:p>
    <w:p>
      <w:pPr>
        <w:spacing w:line="276" w:lineRule="auto" w:after="120"/>
        <w:ind w:left="360"/>
        <w:jc w:val="both"/>
      </w:pPr>
      <w:r>
        <w:rPr>
          <w:rFonts w:ascii="Arial Narrow" w:hAnsi="Arial Narrow"/>
          <w:i/>
          <w:sz w:val="22"/>
        </w:rPr>
        <w:t>The QPS Risk module analyzes the last 20 SELL transactions (T-20 Window) from the SQL database to produce average net return per trade (μ) and return volatility (σ). The Sharpe Ratio and Quarter Kelly Fraction are then computed as:</w:t>
      </w:r>
    </w:p>
    <w:p>
      <w:pPr>
        <w:spacing w:line="276" w:lineRule="auto" w:after="120"/>
        <w:jc w:val="center"/>
      </w:pPr>
      <w:r>
        <w:rPr>
          <w:rFonts w:ascii="Cambria Math" w:hAnsi="Cambria Math"/>
          <w:b w:val="0"/>
          <w:i/>
          <w:sz w:val="24"/>
        </w:rPr>
        <w:t>Sharpe = μ / σ          fquarter = 0.25 · (μ / σ²)</w:t>
      </w:r>
      <w:r>
        <w:rPr>
          <w:rFonts w:ascii="Arial Narrow" w:hAnsi="Arial Narrow"/>
          <w:b/>
          <w:i w:val="0"/>
          <w:sz w:val="24"/>
        </w:rPr>
        <w:t xml:space="preserve">             (1)</w:t>
      </w:r>
    </w:p>
    <w:p>
      <w:pPr>
        <w:spacing w:line="276" w:lineRule="auto" w:after="120"/>
        <w:jc w:val="both"/>
      </w:pPr>
      <w:r>
        <w:rPr>
          <w:rFonts w:ascii="Arial Narrow" w:hAnsi="Arial Narrow"/>
          <w:sz w:val="24"/>
        </w:rPr>
        <w:t>Apabila Sharpe Ratio bernilai negatif, QPS mengeluarkan sinyal Capital Preservation (alokasi minimum $5,05 per trade untuk menjaga sistem tetap beroperasi tanpa mengambil risiko modal besar). Apabila positif, sistem mengeksekusi budget berdasarkan proporsi Quarter Kelly Fraction (maksimal 35% dari modal).</w:t>
      </w:r>
    </w:p>
    <w:p>
      <w:pPr>
        <w:spacing w:line="276" w:lineRule="auto" w:after="120"/>
        <w:ind w:left="360"/>
        <w:jc w:val="both"/>
      </w:pPr>
      <w:r>
        <w:rPr>
          <w:rFonts w:ascii="Arial Narrow" w:hAnsi="Arial Narrow"/>
          <w:i/>
          <w:sz w:val="22"/>
        </w:rPr>
        <w:t>If Sharpe Ratio is negative, QPS issues a Capital Preservation signal (minimum $5.05 allocation per trade to keep the system operational without risking significant capital). If positive, the system executes budget based on Quarter Kelly Fraction proportion (maximum 35% of capital).</w:t>
      </w:r>
    </w:p>
    <w:p>
      <w:pPr>
        <w:spacing w:line="276" w:lineRule="auto" w:after="120"/>
        <w:jc w:val="left"/>
      </w:pPr>
      <w:r>
        <w:rPr>
          <w:rFonts w:ascii="Arial Narrow" w:hAnsi="Arial Narrow"/>
          <w:b/>
          <w:i w:val="0"/>
          <w:sz w:val="24"/>
        </w:rPr>
        <w:t>Order Book Imbalance Filter</w:t>
      </w:r>
    </w:p>
    <w:p>
      <w:pPr>
        <w:spacing w:line="276" w:lineRule="auto" w:after="120"/>
        <w:jc w:val="both"/>
      </w:pPr>
      <w:r>
        <w:rPr>
          <w:rFonts w:ascii="Arial Narrow" w:hAnsi="Arial Narrow"/>
          <w:sz w:val="24"/>
        </w:rPr>
        <w:t>Sistem memantau kuantitas volume pada antrean Best Bid dan Best Ask untuk menghitung koefisien tekanan melalui Order Book Imbalance (OBI):</w:t>
      </w:r>
    </w:p>
    <w:p>
      <w:pPr>
        <w:spacing w:line="276" w:lineRule="auto" w:after="120"/>
        <w:ind w:left="360"/>
        <w:jc w:val="both"/>
      </w:pPr>
      <w:r>
        <w:rPr>
          <w:rFonts w:ascii="Arial Narrow" w:hAnsi="Arial Narrow"/>
          <w:i/>
          <w:sz w:val="22"/>
        </w:rPr>
        <w:t>The system monitors volume quantities in the Best Bid and Best Ask queues to calculate the pressure coefficient via Order Book Imbalance (OBI):</w:t>
      </w:r>
    </w:p>
    <w:p>
      <w:pPr>
        <w:spacing w:line="276" w:lineRule="auto" w:after="120"/>
        <w:jc w:val="center"/>
      </w:pPr>
      <w:r>
        <w:rPr>
          <w:rFonts w:ascii="Cambria Math" w:hAnsi="Cambria Math"/>
          <w:b w:val="0"/>
          <w:i/>
          <w:sz w:val="24"/>
        </w:rPr>
        <w:t>OBI = VolumeBid / (VolumeBid + VolumeAsk)</w:t>
      </w:r>
      <w:r>
        <w:rPr>
          <w:rFonts w:ascii="Arial Narrow" w:hAnsi="Arial Narrow"/>
          <w:b/>
          <w:i w:val="0"/>
          <w:sz w:val="24"/>
        </w:rPr>
        <w:t xml:space="preserve">             (2)</w:t>
      </w:r>
    </w:p>
    <w:p>
      <w:pPr>
        <w:spacing w:line="276" w:lineRule="auto" w:after="120"/>
        <w:jc w:val="both"/>
      </w:pPr>
      <w:r>
        <w:rPr>
          <w:rFonts w:ascii="Arial Narrow" w:hAnsi="Arial Narrow"/>
          <w:sz w:val="24"/>
        </w:rPr>
        <w:t>Ambang penolakan keras ditetapkan pada OBI &lt; 0,40 (artinya ≥60% volume antrian utama dikuasai Sell Wall). Pada kondisi ini, sistem membatalkan perintah beli untuk menghindari jebakan paus pasar.</w:t>
      </w:r>
    </w:p>
    <w:p>
      <w:pPr>
        <w:spacing w:line="276" w:lineRule="auto" w:after="120"/>
        <w:ind w:left="360"/>
        <w:jc w:val="both"/>
      </w:pPr>
      <w:r>
        <w:rPr>
          <w:rFonts w:ascii="Arial Narrow" w:hAnsi="Arial Narrow"/>
          <w:i/>
          <w:sz w:val="22"/>
        </w:rPr>
        <w:t>A hard rejection threshold is set at OBI &lt; 0.40 (meaning ≥60% of main queue volume is controlled by Sell Wall). Under this condition, the system cancels buy orders to avoid market whale traps.</w:t>
      </w:r>
    </w:p>
    <w:p>
      <w:pPr>
        <w:spacing w:line="276" w:lineRule="auto" w:after="120"/>
        <w:jc w:val="left"/>
      </w:pPr>
      <w:r>
        <w:rPr>
          <w:rFonts w:ascii="Arial Narrow" w:hAnsi="Arial Narrow"/>
          <w:b/>
          <w:i w:val="0"/>
          <w:sz w:val="24"/>
        </w:rPr>
        <w:t>Multi-Coin Architecture</w:t>
      </w:r>
    </w:p>
    <w:p>
      <w:pPr>
        <w:spacing w:line="276" w:lineRule="auto" w:after="120"/>
        <w:jc w:val="both"/>
      </w:pPr>
      <w:r>
        <w:rPr>
          <w:rFonts w:ascii="Arial Narrow" w:hAnsi="Arial Narrow"/>
          <w:sz w:val="24"/>
        </w:rPr>
        <w:t>Pada Fase 5.2, sistem bertransformasi dari bot single-regime berbasis EMA menjadi sistem pemantauan multi-koin berbasis klasifikasi volatilitas dinamis. Bot berlangganan kanal WebSocket wss://stream.binance.com/stream?streams=!miniTicker@arr yang mengirimkan data harga seluruh pasangan USDT aktif secara simultan. Data disimpan dalam struktur Arc&lt;RwLock&lt;HashMap&lt;String, TickerData&gt;&gt;&gt; yang dapat dibaca paralel tanpa blokir.</w:t>
      </w:r>
    </w:p>
    <w:p>
      <w:pPr>
        <w:spacing w:line="276" w:lineRule="auto" w:after="120"/>
        <w:ind w:left="360"/>
        <w:jc w:val="both"/>
      </w:pPr>
      <w:r>
        <w:rPr>
          <w:rFonts w:ascii="Arial Narrow" w:hAnsi="Arial Narrow"/>
          <w:i/>
          <w:sz w:val="22"/>
        </w:rPr>
        <w:t>In Phase 5.2, the system transforms from a single-regime EMA-based bot to a multi-coin monitoring system based on dynamic volatility classification. The bot subscribes to the WebSocket channel wss://stream.binance.com/stream?streams=!miniTicker@arr delivering simultaneous price data for all active USDT pairs. Data is stored in an Arc&lt;RwLock&lt;HashMap&lt;String, TickerData&gt;&gt;&gt; structure readable in parallel without blocking.</w:t>
      </w:r>
    </w:p>
    <w:p>
      <w:pPr>
        <w:spacing w:line="276" w:lineRule="auto" w:after="120"/>
        <w:jc w:val="both"/>
      </w:pPr>
      <w:r>
        <w:rPr>
          <w:rFonts w:ascii="Arial Narrow" w:hAnsi="Arial Narrow"/>
          <w:sz w:val="24"/>
        </w:rPr>
        <w:t>Sistem secara otomatis menghitung Standard Deviation 24 jam per koin dan mengelompokkannya ke empat tier volatilitas. Parameter Trailing TP dikalibrasi adaptif per tier.</w:t>
      </w:r>
    </w:p>
    <w:p>
      <w:pPr>
        <w:spacing w:line="276" w:lineRule="auto" w:after="120"/>
        <w:ind w:left="360"/>
        <w:jc w:val="both"/>
      </w:pPr>
      <w:r>
        <w:rPr>
          <w:rFonts w:ascii="Arial Narrow" w:hAnsi="Arial Narrow"/>
          <w:i/>
          <w:sz w:val="22"/>
        </w:rPr>
        <w:t>The system automatically calculates the 24-hour Standard Deviation per coin and categorizes them into four volatility tiers. Trailing TP parameters are adaptively calibrated per tier.</w:t>
      </w:r>
    </w:p>
    <w:p>
      <w:pPr>
        <w:spacing w:line="276" w:lineRule="auto" w:after="120"/>
        <w:jc w:val="left"/>
      </w:pPr>
      <w:r>
        <w:rPr>
          <w:rFonts w:ascii="Arial Narrow" w:hAnsi="Arial Narrow"/>
          <w:b/>
          <w:i w:val="0"/>
          <w:sz w:val="22"/>
        </w:rPr>
        <w:t>Table 1. Trailing TP Parameter Configuration per Volatility Tier</w:t>
      </w:r>
    </w:p>
    <w:tbl>
      <w:tblPr>
        <w:tblW w:type="auto" w:w="0"/>
        <w:tblLayout w:type="fixed"/>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2549"/>
        <w:gridCol w:w="2549"/>
        <w:gridCol w:w="2549"/>
        <w:gridCol w:w="2549"/>
      </w:tblGrid>
      <w:tr>
        <w:tc>
          <w:tcPr>
            <w:tcW w:type="dxa" w:w="2549"/>
            <w:tcMar>
              <w:top w:w="60" w:type="dxa"/>
              <w:bottom w:w="60" w:type="dxa"/>
              <w:left w:w="80" w:type="dxa"/>
              <w:right w:w="80" w:type="dxa"/>
            </w:tcMar>
          </w:tcPr>
          <w:p>
            <w:pPr>
              <w:spacing w:line="276" w:lineRule="auto" w:after="0"/>
              <w:jc w:val="left"/>
            </w:pPr>
            <w:r>
              <w:rPr>
                <w:rFonts w:ascii="Arial Narrow" w:hAnsi="Arial Narrow"/>
                <w:b/>
                <w:i w:val="0"/>
                <w:sz w:val="20"/>
              </w:rPr>
              <w:t>Volatility Tier</w:t>
            </w:r>
          </w:p>
        </w:tc>
        <w:tc>
          <w:tcPr>
            <w:tcW w:type="dxa" w:w="2549"/>
            <w:tcMar>
              <w:top w:w="60" w:type="dxa"/>
              <w:bottom w:w="60" w:type="dxa"/>
              <w:left w:w="80" w:type="dxa"/>
              <w:right w:w="80" w:type="dxa"/>
            </w:tcMar>
          </w:tcPr>
          <w:p>
            <w:pPr>
              <w:spacing w:line="276" w:lineRule="auto" w:after="0"/>
              <w:jc w:val="left"/>
            </w:pPr>
            <w:r>
              <w:rPr>
                <w:rFonts w:ascii="Arial Narrow" w:hAnsi="Arial Narrow"/>
                <w:b/>
                <w:i w:val="0"/>
                <w:sz w:val="20"/>
              </w:rPr>
              <w:t>24h StdDev Threshold</w:t>
            </w:r>
          </w:p>
        </w:tc>
        <w:tc>
          <w:tcPr>
            <w:tcW w:type="dxa" w:w="2549"/>
            <w:tcMar>
              <w:top w:w="60" w:type="dxa"/>
              <w:bottom w:w="60" w:type="dxa"/>
              <w:left w:w="80" w:type="dxa"/>
              <w:right w:w="80" w:type="dxa"/>
            </w:tcMar>
          </w:tcPr>
          <w:p>
            <w:pPr>
              <w:spacing w:line="276" w:lineRule="auto" w:after="0"/>
              <w:jc w:val="left"/>
            </w:pPr>
            <w:r>
              <w:rPr>
                <w:rFonts w:ascii="Arial Narrow" w:hAnsi="Arial Narrow"/>
                <w:b/>
                <w:i w:val="0"/>
                <w:sz w:val="20"/>
              </w:rPr>
              <w:t>Trailing TP Trigger</w:t>
            </w:r>
          </w:p>
        </w:tc>
        <w:tc>
          <w:tcPr>
            <w:tcW w:type="dxa" w:w="2549"/>
            <w:tcMar>
              <w:top w:w="60" w:type="dxa"/>
              <w:bottom w:w="60" w:type="dxa"/>
              <w:left w:w="80" w:type="dxa"/>
              <w:right w:w="80" w:type="dxa"/>
            </w:tcMar>
          </w:tcPr>
          <w:p>
            <w:pPr>
              <w:spacing w:line="276" w:lineRule="auto" w:after="0"/>
              <w:jc w:val="left"/>
            </w:pPr>
            <w:r>
              <w:rPr>
                <w:rFonts w:ascii="Arial Narrow" w:hAnsi="Arial Narrow"/>
                <w:b/>
                <w:i w:val="0"/>
                <w:sz w:val="20"/>
              </w:rPr>
              <w:t>Trailing Pullback</w:t>
            </w:r>
          </w:p>
        </w:tc>
      </w:tr>
      <w:tr>
        <w:tc>
          <w:tcPr>
            <w:tcW w:type="dxa" w:w="2549"/>
            <w:tcMar>
              <w:top w:w="60" w:type="dxa"/>
              <w:bottom w:w="60" w:type="dxa"/>
              <w:left w:w="80" w:type="dxa"/>
              <w:right w:w="80" w:type="dxa"/>
            </w:tcMar>
          </w:tcPr>
          <w:p>
            <w:pPr>
              <w:spacing w:line="276" w:lineRule="auto" w:after="0"/>
              <w:jc w:val="left"/>
            </w:pPr>
            <w:r>
              <w:rPr>
                <w:rFonts w:ascii="Arial Narrow" w:hAnsi="Arial Narrow"/>
                <w:b w:val="0"/>
                <w:i w:val="0"/>
                <w:sz w:val="20"/>
              </w:rPr>
              <w:t>EXTREME</w:t>
            </w:r>
          </w:p>
        </w:tc>
        <w:tc>
          <w:tcPr>
            <w:tcW w:type="dxa" w:w="2549"/>
            <w:tcMar>
              <w:top w:w="60" w:type="dxa"/>
              <w:bottom w:w="60" w:type="dxa"/>
              <w:left w:w="80" w:type="dxa"/>
              <w:right w:w="80" w:type="dxa"/>
            </w:tcMar>
          </w:tcPr>
          <w:p>
            <w:pPr>
              <w:spacing w:line="276" w:lineRule="auto" w:after="0"/>
              <w:jc w:val="left"/>
            </w:pPr>
            <w:r>
              <w:rPr>
                <w:rFonts w:ascii="Arial Narrow" w:hAnsi="Arial Narrow"/>
                <w:b w:val="0"/>
                <w:i w:val="0"/>
                <w:sz w:val="20"/>
              </w:rPr>
              <w:t>≥ 3.0%</w:t>
            </w:r>
          </w:p>
        </w:tc>
        <w:tc>
          <w:tcPr>
            <w:tcW w:type="dxa" w:w="2549"/>
            <w:tcMar>
              <w:top w:w="60" w:type="dxa"/>
              <w:bottom w:w="60" w:type="dxa"/>
              <w:left w:w="80" w:type="dxa"/>
              <w:right w:w="80" w:type="dxa"/>
            </w:tcMar>
          </w:tcPr>
          <w:p>
            <w:pPr>
              <w:spacing w:line="276" w:lineRule="auto" w:after="0"/>
              <w:jc w:val="left"/>
            </w:pPr>
            <w:r>
              <w:rPr>
                <w:rFonts w:ascii="Arial Narrow" w:hAnsi="Arial Narrow"/>
                <w:b w:val="0"/>
                <w:i w:val="0"/>
                <w:sz w:val="20"/>
              </w:rPr>
              <w:t>3.0%</w:t>
            </w:r>
          </w:p>
        </w:tc>
        <w:tc>
          <w:tcPr>
            <w:tcW w:type="dxa" w:w="2549"/>
            <w:tcMar>
              <w:top w:w="60" w:type="dxa"/>
              <w:bottom w:w="60" w:type="dxa"/>
              <w:left w:w="80" w:type="dxa"/>
              <w:right w:w="80" w:type="dxa"/>
            </w:tcMar>
          </w:tcPr>
          <w:p>
            <w:pPr>
              <w:spacing w:line="276" w:lineRule="auto" w:after="0"/>
              <w:jc w:val="left"/>
            </w:pPr>
            <w:r>
              <w:rPr>
                <w:rFonts w:ascii="Arial Narrow" w:hAnsi="Arial Narrow"/>
                <w:b w:val="0"/>
                <w:i w:val="0"/>
                <w:sz w:val="20"/>
              </w:rPr>
              <w:t>1.5%</w:t>
            </w:r>
          </w:p>
        </w:tc>
      </w:tr>
      <w:tr>
        <w:tc>
          <w:tcPr>
            <w:tcW w:type="dxa" w:w="2549"/>
            <w:tcMar>
              <w:top w:w="60" w:type="dxa"/>
              <w:bottom w:w="60" w:type="dxa"/>
              <w:left w:w="80" w:type="dxa"/>
              <w:right w:w="80" w:type="dxa"/>
            </w:tcMar>
          </w:tcPr>
          <w:p>
            <w:pPr>
              <w:spacing w:line="276" w:lineRule="auto" w:after="0"/>
              <w:jc w:val="left"/>
            </w:pPr>
            <w:r>
              <w:rPr>
                <w:rFonts w:ascii="Arial Narrow" w:hAnsi="Arial Narrow"/>
                <w:b w:val="0"/>
                <w:i w:val="0"/>
                <w:sz w:val="20"/>
              </w:rPr>
              <w:t>HYPER</w:t>
            </w:r>
          </w:p>
        </w:tc>
        <w:tc>
          <w:tcPr>
            <w:tcW w:type="dxa" w:w="2549"/>
            <w:tcMar>
              <w:top w:w="60" w:type="dxa"/>
              <w:bottom w:w="60" w:type="dxa"/>
              <w:left w:w="80" w:type="dxa"/>
              <w:right w:w="80" w:type="dxa"/>
            </w:tcMar>
          </w:tcPr>
          <w:p>
            <w:pPr>
              <w:spacing w:line="276" w:lineRule="auto" w:after="0"/>
              <w:jc w:val="left"/>
            </w:pPr>
            <w:r>
              <w:rPr>
                <w:rFonts w:ascii="Arial Narrow" w:hAnsi="Arial Narrow"/>
                <w:b w:val="0"/>
                <w:i w:val="0"/>
                <w:sz w:val="20"/>
              </w:rPr>
              <w:t>1.5% – 3.0%</w:t>
            </w:r>
          </w:p>
        </w:tc>
        <w:tc>
          <w:tcPr>
            <w:tcW w:type="dxa" w:w="2549"/>
            <w:tcMar>
              <w:top w:w="60" w:type="dxa"/>
              <w:bottom w:w="60" w:type="dxa"/>
              <w:left w:w="80" w:type="dxa"/>
              <w:right w:w="80" w:type="dxa"/>
            </w:tcMar>
          </w:tcPr>
          <w:p>
            <w:pPr>
              <w:spacing w:line="276" w:lineRule="auto" w:after="0"/>
              <w:jc w:val="left"/>
            </w:pPr>
            <w:r>
              <w:rPr>
                <w:rFonts w:ascii="Arial Narrow" w:hAnsi="Arial Narrow"/>
                <w:b w:val="0"/>
                <w:i w:val="0"/>
                <w:sz w:val="20"/>
              </w:rPr>
              <w:t>2.0%</w:t>
            </w:r>
          </w:p>
        </w:tc>
        <w:tc>
          <w:tcPr>
            <w:tcW w:type="dxa" w:w="2549"/>
            <w:tcMar>
              <w:top w:w="60" w:type="dxa"/>
              <w:bottom w:w="60" w:type="dxa"/>
              <w:left w:w="80" w:type="dxa"/>
              <w:right w:w="80" w:type="dxa"/>
            </w:tcMar>
          </w:tcPr>
          <w:p>
            <w:pPr>
              <w:spacing w:line="276" w:lineRule="auto" w:after="0"/>
              <w:jc w:val="left"/>
            </w:pPr>
            <w:r>
              <w:rPr>
                <w:rFonts w:ascii="Arial Narrow" w:hAnsi="Arial Narrow"/>
                <w:b w:val="0"/>
                <w:i w:val="0"/>
                <w:sz w:val="20"/>
              </w:rPr>
              <w:t>1.0%</w:t>
            </w:r>
          </w:p>
        </w:tc>
      </w:tr>
      <w:tr>
        <w:tc>
          <w:tcPr>
            <w:tcW w:type="dxa" w:w="2549"/>
            <w:tcMar>
              <w:top w:w="60" w:type="dxa"/>
              <w:bottom w:w="60" w:type="dxa"/>
              <w:left w:w="80" w:type="dxa"/>
              <w:right w:w="80" w:type="dxa"/>
            </w:tcMar>
          </w:tcPr>
          <w:p>
            <w:pPr>
              <w:spacing w:line="276" w:lineRule="auto" w:after="0"/>
              <w:jc w:val="left"/>
            </w:pPr>
            <w:r>
              <w:rPr>
                <w:rFonts w:ascii="Arial Narrow" w:hAnsi="Arial Narrow"/>
                <w:b w:val="0"/>
                <w:i w:val="0"/>
                <w:sz w:val="20"/>
              </w:rPr>
              <w:t>HIGH</w:t>
            </w:r>
          </w:p>
        </w:tc>
        <w:tc>
          <w:tcPr>
            <w:tcW w:type="dxa" w:w="2549"/>
            <w:tcMar>
              <w:top w:w="60" w:type="dxa"/>
              <w:bottom w:w="60" w:type="dxa"/>
              <w:left w:w="80" w:type="dxa"/>
              <w:right w:w="80" w:type="dxa"/>
            </w:tcMar>
          </w:tcPr>
          <w:p>
            <w:pPr>
              <w:spacing w:line="276" w:lineRule="auto" w:after="0"/>
              <w:jc w:val="left"/>
            </w:pPr>
            <w:r>
              <w:rPr>
                <w:rFonts w:ascii="Arial Narrow" w:hAnsi="Arial Narrow"/>
                <w:b w:val="0"/>
                <w:i w:val="0"/>
                <w:sz w:val="20"/>
              </w:rPr>
              <w:t>0.5% – 1.5%</w:t>
            </w:r>
          </w:p>
        </w:tc>
        <w:tc>
          <w:tcPr>
            <w:tcW w:type="dxa" w:w="2549"/>
            <w:tcMar>
              <w:top w:w="60" w:type="dxa"/>
              <w:bottom w:w="60" w:type="dxa"/>
              <w:left w:w="80" w:type="dxa"/>
              <w:right w:w="80" w:type="dxa"/>
            </w:tcMar>
          </w:tcPr>
          <w:p>
            <w:pPr>
              <w:spacing w:line="276" w:lineRule="auto" w:after="0"/>
              <w:jc w:val="left"/>
            </w:pPr>
            <w:r>
              <w:rPr>
                <w:rFonts w:ascii="Arial Narrow" w:hAnsi="Arial Narrow"/>
                <w:b w:val="0"/>
                <w:i w:val="0"/>
                <w:sz w:val="20"/>
              </w:rPr>
              <w:t>1.5%</w:t>
            </w:r>
          </w:p>
        </w:tc>
        <w:tc>
          <w:tcPr>
            <w:tcW w:type="dxa" w:w="2549"/>
            <w:tcMar>
              <w:top w:w="60" w:type="dxa"/>
              <w:bottom w:w="60" w:type="dxa"/>
              <w:left w:w="80" w:type="dxa"/>
              <w:right w:w="80" w:type="dxa"/>
            </w:tcMar>
          </w:tcPr>
          <w:p>
            <w:pPr>
              <w:spacing w:line="276" w:lineRule="auto" w:after="0"/>
              <w:jc w:val="left"/>
            </w:pPr>
            <w:r>
              <w:rPr>
                <w:rFonts w:ascii="Arial Narrow" w:hAnsi="Arial Narrow"/>
                <w:b w:val="0"/>
                <w:i w:val="0"/>
                <w:sz w:val="20"/>
              </w:rPr>
              <w:t>0.8%</w:t>
            </w:r>
          </w:p>
        </w:tc>
      </w:tr>
      <w:tr>
        <w:tc>
          <w:tcPr>
            <w:tcW w:type="dxa" w:w="2549"/>
            <w:tcMar>
              <w:top w:w="60" w:type="dxa"/>
              <w:bottom w:w="60" w:type="dxa"/>
              <w:left w:w="80" w:type="dxa"/>
              <w:right w:w="80" w:type="dxa"/>
            </w:tcMar>
          </w:tcPr>
          <w:p>
            <w:pPr>
              <w:spacing w:line="276" w:lineRule="auto" w:after="0"/>
              <w:jc w:val="left"/>
            </w:pPr>
            <w:r>
              <w:rPr>
                <w:rFonts w:ascii="Arial Narrow" w:hAnsi="Arial Narrow"/>
                <w:b w:val="0"/>
                <w:i w:val="0"/>
                <w:sz w:val="20"/>
              </w:rPr>
              <w:t>LOW</w:t>
            </w:r>
          </w:p>
        </w:tc>
        <w:tc>
          <w:tcPr>
            <w:tcW w:type="dxa" w:w="2549"/>
            <w:tcMar>
              <w:top w:w="60" w:type="dxa"/>
              <w:bottom w:w="60" w:type="dxa"/>
              <w:left w:w="80" w:type="dxa"/>
              <w:right w:w="80" w:type="dxa"/>
            </w:tcMar>
          </w:tcPr>
          <w:p>
            <w:pPr>
              <w:spacing w:line="276" w:lineRule="auto" w:after="0"/>
              <w:jc w:val="left"/>
            </w:pPr>
            <w:r>
              <w:rPr>
                <w:rFonts w:ascii="Arial Narrow" w:hAnsi="Arial Narrow"/>
                <w:b w:val="0"/>
                <w:i w:val="0"/>
                <w:sz w:val="20"/>
              </w:rPr>
              <w:t>&lt; 0.5%</w:t>
            </w:r>
          </w:p>
        </w:tc>
        <w:tc>
          <w:tcPr>
            <w:tcW w:type="dxa" w:w="2549"/>
            <w:tcMar>
              <w:top w:w="60" w:type="dxa"/>
              <w:bottom w:w="60" w:type="dxa"/>
              <w:left w:w="80" w:type="dxa"/>
              <w:right w:w="80" w:type="dxa"/>
            </w:tcMar>
          </w:tcPr>
          <w:p>
            <w:pPr>
              <w:spacing w:line="276" w:lineRule="auto" w:after="0"/>
              <w:jc w:val="left"/>
            </w:pPr>
            <w:r>
              <w:rPr>
                <w:rFonts w:ascii="Arial Narrow" w:hAnsi="Arial Narrow"/>
                <w:b w:val="0"/>
                <w:i w:val="0"/>
                <w:sz w:val="20"/>
              </w:rPr>
              <w:t>1.2%</w:t>
            </w:r>
          </w:p>
        </w:tc>
        <w:tc>
          <w:tcPr>
            <w:tcW w:type="dxa" w:w="2549"/>
            <w:tcMar>
              <w:top w:w="60" w:type="dxa"/>
              <w:bottom w:w="60" w:type="dxa"/>
              <w:left w:w="80" w:type="dxa"/>
              <w:right w:w="80" w:type="dxa"/>
            </w:tcMar>
          </w:tcPr>
          <w:p>
            <w:pPr>
              <w:spacing w:line="276" w:lineRule="auto" w:after="0"/>
              <w:jc w:val="left"/>
            </w:pPr>
            <w:r>
              <w:rPr>
                <w:rFonts w:ascii="Arial Narrow" w:hAnsi="Arial Narrow"/>
                <w:b w:val="0"/>
                <w:i w:val="0"/>
                <w:sz w:val="20"/>
              </w:rPr>
              <w:t>0.6%</w:t>
            </w:r>
          </w:p>
        </w:tc>
      </w:tr>
    </w:tbl>
    <w:p/>
    <w:p>
      <w:pPr>
        <w:spacing w:line="276" w:lineRule="auto" w:after="120"/>
        <w:jc w:val="both"/>
      </w:pPr>
      <w:r>
        <w:rPr>
          <w:rFonts w:ascii="Arial Narrow" w:hAnsi="Arial Narrow"/>
          <w:sz w:val="24"/>
        </w:rPr>
        <w:t>Setiap siklus analisis (tiap menit), sistem menjalankan pipeline seleksi 4 tahap untuk memilih 100 koin paling potensial dari 400+ pasangan USDT aktif: (1) Filter minimum (harga &gt;0 dan volume 24h &gt;$100.000); (2) Pemeringkatan berdasarkan StdDev 24h; (3) Bobot volume sebagai tiebreaker; (4) Batasan maksimum Top-100.</w:t>
      </w:r>
    </w:p>
    <w:p>
      <w:pPr>
        <w:spacing w:line="276" w:lineRule="auto" w:after="120"/>
        <w:ind w:left="360"/>
        <w:jc w:val="both"/>
      </w:pPr>
      <w:r>
        <w:rPr>
          <w:rFonts w:ascii="Arial Narrow" w:hAnsi="Arial Narrow"/>
          <w:i/>
          <w:sz w:val="22"/>
        </w:rPr>
        <w:t>Each analysis cycle (per minute), the system runs a 4-stage selection pipeline to choose the 100 most promising coins from 400+ active USDT pairs: (1) Minimum filter (price &gt;0 and 24h volume &gt;$100,000); (2) Ranking by 24h StdDev; (3) Volume weight as tiebreaker; (4) Top-100 maximum limit.</w:t>
      </w:r>
    </w:p>
    <w:p>
      <w:pPr>
        <w:spacing w:line="276" w:lineRule="auto" w:after="120"/>
        <w:jc w:val="left"/>
      </w:pPr>
      <w:r>
        <w:rPr>
          <w:rFonts w:ascii="Arial Narrow" w:hAnsi="Arial Narrow"/>
          <w:b/>
          <w:i w:val="0"/>
          <w:sz w:val="24"/>
        </w:rPr>
        <w:t>QPS Auto-Recovery Mode</w:t>
      </w:r>
    </w:p>
    <w:p>
      <w:pPr>
        <w:spacing w:line="276" w:lineRule="auto" w:after="120"/>
        <w:jc w:val="both"/>
      </w:pPr>
      <w:r>
        <w:rPr>
          <w:rFonts w:ascii="Arial Narrow" w:hAnsi="Arial Narrow"/>
          <w:sz w:val="24"/>
        </w:rPr>
        <w:t>Salah satu kelemahan desain QPS Fase 5.0 adalah perilaku binary halt: ketika Sharpe Ratio negatif, sistem mengembalikan alokasi 0.0 sehingga bot berhenti total. Kondisi ini berpotensi menyebabkan deadlock operasional—bot tidak pernah mengeksekusi transaksi, sehingga window T-20 tidak pernah terperbarui, dan Sharpe Ratio tidak pernah pulih secara mandiri.</w:t>
      </w:r>
    </w:p>
    <w:p>
      <w:pPr>
        <w:spacing w:line="276" w:lineRule="auto" w:after="120"/>
        <w:ind w:left="360"/>
        <w:jc w:val="both"/>
      </w:pPr>
      <w:r>
        <w:rPr>
          <w:rFonts w:ascii="Arial Narrow" w:hAnsi="Arial Narrow"/>
          <w:i/>
          <w:sz w:val="22"/>
        </w:rPr>
        <w:t>A key design weakness in QPS Phase 5.0 was its binary halt behavior: when Sharpe Ratio turned negative, the system returned a 0.0 allocation, causing the bot to stop completely. This created an operational deadlock—the bot never executes trades, the T-20 window never refreshes, and the Sharpe Ratio can never self-recover.</w:t>
      </w:r>
    </w:p>
    <w:p>
      <w:pPr>
        <w:spacing w:line="276" w:lineRule="auto" w:after="120"/>
        <w:jc w:val="both"/>
      </w:pPr>
      <w:r>
        <w:rPr>
          <w:rFonts w:ascii="Arial Narrow" w:hAnsi="Arial Narrow"/>
          <w:sz w:val="24"/>
        </w:rPr>
        <w:t>Pada Fase 5.2, mekanisme ini dirombak menjadi QPS Auto-Recovery Mode. Modul risk.rs kini mengembalikan nilai sinyal khusus -1.0 (bukan 0.0) saat Sharpe Ratio negatif. Setiap mesin strategi (breakout.rs, uptrend.rs, downtrend.rs, sideways.rs) mendeteksi sinyal ini dan menetapkan budget flat minimum sebesar $5,05 per trade—cukup untuk memenuhi batas minimum order Binance—alih-alih memblokir eksekusi total. Mekanisme ini memastikan sistem selalu beroperasi pada intensitas rendah saat kinerja sedang buruk, membangun riwayat transaksi baru agar Sharpe Ratio dapat pulih secara otomatis.</w:t>
      </w:r>
    </w:p>
    <w:p>
      <w:pPr>
        <w:spacing w:line="276" w:lineRule="auto" w:after="120"/>
        <w:ind w:left="360"/>
        <w:jc w:val="both"/>
      </w:pPr>
      <w:r>
        <w:rPr>
          <w:rFonts w:ascii="Arial Narrow" w:hAnsi="Arial Narrow"/>
          <w:i/>
          <w:sz w:val="22"/>
        </w:rPr>
        <w:t>In Phase 5.2, this mechanism was redesigned as the QPS Auto-Recovery Mode. The risk.rs module now returns a special signal value of -1.0 (not 0.0) when Sharpe Ratio is negative. Each strategy engine (breakout.rs, uptrend.rs, downtrend.rs, sideways.rs) detects this signal and sets a flat minimum budget of $5.05 per trade—sufficient to meet Binance's minimum order threshold—instead of blocking execution entirely. This mechanism ensures the system always operates at low intensity during poor performance periods, building new transaction history so the Sharpe Ratio can recover autonomously.</w:t>
      </w:r>
    </w:p>
    <w:p>
      <w:pPr>
        <w:spacing w:line="276" w:lineRule="auto" w:after="120"/>
        <w:jc w:val="left"/>
      </w:pPr>
      <w:r>
        <w:rPr>
          <w:rFonts w:ascii="Arial Narrow" w:hAnsi="Arial Narrow"/>
          <w:b/>
          <w:i w:val="0"/>
          <w:sz w:val="24"/>
        </w:rPr>
        <w:t>Evaluation Design</w:t>
      </w:r>
    </w:p>
    <w:p>
      <w:pPr>
        <w:spacing w:line="276" w:lineRule="auto" w:after="120"/>
        <w:jc w:val="both"/>
      </w:pPr>
      <w:r>
        <w:rPr>
          <w:rFonts w:ascii="Arial Narrow" w:hAnsi="Arial Narrow"/>
          <w:sz w:val="24"/>
        </w:rPr>
        <w:t>Evaluasi dilakukan dalam dua mode: (1) Backtest formal menggunakan data historis 16 bulan terakhir dengan parameter adaptif teroptimasi (Fase 5.1); (2) Live deployment pada lingkungan simulasi dengan saldo awal $200 (Fase 5.2). Metrik evaluasi mencakup: Win Rate, Max Drawdown, Frekuensi Perdagangan, Net P&amp;L, dan Sharpe Ratio kumulatif.</w:t>
      </w:r>
    </w:p>
    <w:p>
      <w:pPr>
        <w:spacing w:line="276" w:lineRule="auto" w:after="120"/>
        <w:ind w:left="360"/>
        <w:jc w:val="both"/>
      </w:pPr>
      <w:r>
        <w:rPr>
          <w:rFonts w:ascii="Arial Narrow" w:hAnsi="Arial Narrow"/>
          <w:i/>
          <w:sz w:val="22"/>
        </w:rPr>
        <w:t>Evaluation was conducted in two modes: (1) Formal backtest using the last 16 months of historical data with optimized adaptive parameters (Phase 5.1); (2) Live deployment on a simulation environment with $200 starting balance (Phase 5.2). Evaluation metrics include: Win Rate, Max Drawdown, Trade Frequency, Net P&amp;L, and cumulative Sharpe Ratio.</w:t>
      </w:r>
    </w:p>
    <w:p>
      <w:pPr>
        <w:spacing w:line="276" w:lineRule="auto" w:after="240"/>
        <w:jc w:val="left"/>
      </w:pPr>
      <w:r>
        <w:rPr>
          <w:rFonts w:ascii="Arial Narrow" w:hAnsi="Arial Narrow"/>
          <w:b/>
          <w:i w:val="0"/>
          <w:sz w:val="24"/>
        </w:rPr>
        <w:t>RESULTS AND DISCUSSION</w:t>
      </w:r>
    </w:p>
    <w:p>
      <w:pPr>
        <w:spacing w:line="276" w:lineRule="auto" w:after="120"/>
        <w:jc w:val="left"/>
      </w:pPr>
      <w:r>
        <w:rPr>
          <w:rFonts w:ascii="Arial Narrow" w:hAnsi="Arial Narrow"/>
          <w:b/>
          <w:i w:val="0"/>
          <w:sz w:val="24"/>
        </w:rPr>
        <w:t>Pre-QPS Evaluation</w:t>
      </w:r>
    </w:p>
    <w:p>
      <w:pPr>
        <w:spacing w:line="276" w:lineRule="auto" w:after="120"/>
        <w:jc w:val="both"/>
      </w:pPr>
      <w:r>
        <w:rPr>
          <w:rFonts w:ascii="Arial Narrow" w:hAnsi="Arial Narrow"/>
          <w:sz w:val="24"/>
        </w:rPr>
        <w:t>Pengujian coba jalan 48 jam pada Fase 4.2 menghasilkan Win Rate 30,0% dengan Net P&amp;L kumulatif −$12,22. Pembedahan kronologis mengungkap dua pola destruktif dominan: FOMO Re-entry Trap (re-entry pasca profit di harga mahal) dan Dead Volume Fake-out (masuk saat volume kosong). Pada Fase awal operasional QPS (Fase 5.0), sistem mencatat 0 transaksi selama 9 hari, bukan indikasi perlindungan risiko berhasil, melainkan kegagalan parameter threshold statis.</w:t>
      </w:r>
    </w:p>
    <w:p>
      <w:pPr>
        <w:spacing w:line="276" w:lineRule="auto" w:after="120"/>
        <w:ind w:left="360"/>
        <w:jc w:val="both"/>
      </w:pPr>
      <w:r>
        <w:rPr>
          <w:rFonts w:ascii="Arial Narrow" w:hAnsi="Arial Narrow"/>
          <w:i/>
          <w:sz w:val="22"/>
        </w:rPr>
        <w:t>The 48-hour test run in Phase 4.2 yielded a 30.0% Win Rate with cumulative Net P&amp;L of −$12.22. Chronological dissection revealed two dominant destructive patterns: FOMO Re-entry Trap (re-entering post-profit at expensive prices) and Dead Volume Fake-out (entering when volume is empty). In the early QPS operational phase (Phase 5.0), the system recorded 0 transactions over 9 days—not indicative of successful risk protection, but rather a failure of static threshold parameters.</w:t>
      </w:r>
    </w:p>
    <w:tbl>
      <w:tblPr>
        <w:tblW w:type="auto" w:w="0"/>
        <w:tblLayout w:type="autofit"/>
        <w:tblLook w:firstColumn="1" w:firstRow="1" w:lastColumn="0" w:lastRow="0" w:noHBand="0" w:noVBand="1" w:val="04A0"/>
      </w:tblPr>
      <w:tblGrid>
        <w:gridCol w:w="10209"/>
      </w:tblGrid>
      <w:tr>
        <w:tc>
          <w:tcPr>
            <w:tcW w:type="dxa" w:w="10209"/>
            <w:tcBorders>
              <w:left w:val="single" w:sz="24" w:space="0" w:color="000000"/>
              <w:top w:val="none"/>
              <w:right w:val="none"/>
              <w:bottom w:val="none"/>
            </w:tcBorders>
            <w:tcMar>
              <w:top w:w="120" w:type="dxa"/>
              <w:bottom w:w="120" w:type="dxa"/>
              <w:left w:w="150" w:type="dxa"/>
              <w:right w:w="150" w:type="dxa"/>
            </w:tcMar>
          </w:tcPr>
          <w:p>
            <w:pPr>
              <w:spacing w:line="276" w:lineRule="auto" w:after="80"/>
              <w:jc w:val="left"/>
            </w:pPr>
            <w:r>
              <w:rPr>
                <w:rFonts w:ascii="Arial Narrow" w:hAnsi="Arial Narrow"/>
                <w:b/>
                <w:i w:val="0"/>
                <w:sz w:val="20"/>
              </w:rPr>
              <w:t>CRITICAL FINDING</w:t>
            </w:r>
          </w:p>
          <w:p>
            <w:pPr>
              <w:spacing w:line="276" w:lineRule="auto" w:after="0"/>
              <w:jc w:val="both"/>
            </w:pPr>
            <w:r>
              <w:rPr>
                <w:rFonts w:ascii="Arial Narrow" w:hAnsi="Arial Narrow"/>
                <w:b w:val="0"/>
                <w:i w:val="0"/>
                <w:sz w:val="20"/>
              </w:rPr>
              <w:t>Data riil membuktikan OBI level-1 jarang melampaui 0,40—faktanya &gt;85% observasi berada di bawah 0,10. Dari 590 sinyal Golden Cross terpicu, 100% diblokir sebelum dievaluasi modul Kelly/Sharpe. Strategi Sideways tercatat 0 kali aktif akibat ambang volatilitas kaku (0,085%).</w:t>
              <w:br/>
              <w:t>Real data proved level-1 OBI rarely exceeds 0.40—in fact, &gt;85% of observations sit below 0.10. Of 590 triggered Golden Cross signals, 100% were blocked before evaluation by the Kelly/Sharpe module. The Sideways strategy triggered 0 times due to a rigid 0.085% volatility threshold.</w:t>
            </w:r>
          </w:p>
        </w:tc>
      </w:tr>
    </w:tbl>
    <w:p/>
    <w:p>
      <w:pPr>
        <w:spacing w:line="276" w:lineRule="auto" w:after="120"/>
        <w:jc w:val="left"/>
      </w:pPr>
      <w:r>
        <w:rPr>
          <w:rFonts w:ascii="Arial Narrow" w:hAnsi="Arial Narrow"/>
          <w:b/>
          <w:i w:val="0"/>
          <w:sz w:val="24"/>
        </w:rPr>
        <w:t>Qualitative Comparison</w:t>
      </w:r>
    </w:p>
    <w:p>
      <w:pPr>
        <w:spacing w:line="276" w:lineRule="auto" w:after="120"/>
        <w:jc w:val="left"/>
      </w:pPr>
      <w:r>
        <w:rPr>
          <w:rFonts w:ascii="Arial Narrow" w:hAnsi="Arial Narrow"/>
          <w:b/>
          <w:i w:val="0"/>
          <w:sz w:val="22"/>
        </w:rPr>
        <w:t>Table 2. Qualitative Comparison Pre-QPS and QPS</w:t>
      </w:r>
    </w:p>
    <w:tbl>
      <w:tblPr>
        <w:tblW w:type="auto" w:w="0"/>
        <w:tblLayout w:type="fixed"/>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3600"/>
        <w:gridCol w:w="3298"/>
        <w:gridCol w:w="3312"/>
      </w:tblGrid>
      <w:tr>
        <w:tc>
          <w:tcPr>
            <w:tcW w:type="dxa" w:w="3600"/>
            <w:tcMar>
              <w:top w:w="60" w:type="dxa"/>
              <w:bottom w:w="60" w:type="dxa"/>
              <w:left w:w="80" w:type="dxa"/>
              <w:right w:w="80" w:type="dxa"/>
            </w:tcMar>
          </w:tcPr>
          <w:p>
            <w:pPr>
              <w:spacing w:line="276" w:lineRule="auto" w:after="0"/>
              <w:jc w:val="left"/>
            </w:pPr>
            <w:r>
              <w:rPr>
                <w:rFonts w:ascii="Arial Narrow" w:hAnsi="Arial Narrow"/>
                <w:b/>
                <w:i w:val="0"/>
                <w:sz w:val="20"/>
              </w:rPr>
              <w:t>Evaluation Parameter</w:t>
            </w:r>
          </w:p>
        </w:tc>
        <w:tc>
          <w:tcPr>
            <w:tcW w:type="dxa" w:w="3298"/>
            <w:tcMar>
              <w:top w:w="60" w:type="dxa"/>
              <w:bottom w:w="60" w:type="dxa"/>
              <w:left w:w="80" w:type="dxa"/>
              <w:right w:w="80" w:type="dxa"/>
            </w:tcMar>
          </w:tcPr>
          <w:p>
            <w:pPr>
              <w:spacing w:line="276" w:lineRule="auto" w:after="0"/>
              <w:jc w:val="left"/>
            </w:pPr>
            <w:r>
              <w:rPr>
                <w:rFonts w:ascii="Arial Narrow" w:hAnsi="Arial Narrow"/>
                <w:b/>
                <w:i w:val="0"/>
                <w:sz w:val="20"/>
              </w:rPr>
              <w:t>Pre-QPS (Phase 4)</w:t>
            </w:r>
          </w:p>
        </w:tc>
        <w:tc>
          <w:tcPr>
            <w:tcW w:type="dxa" w:w="3312"/>
            <w:tcMar>
              <w:top w:w="60" w:type="dxa"/>
              <w:bottom w:w="60" w:type="dxa"/>
              <w:left w:w="80" w:type="dxa"/>
              <w:right w:w="80" w:type="dxa"/>
            </w:tcMar>
          </w:tcPr>
          <w:p>
            <w:pPr>
              <w:spacing w:line="276" w:lineRule="auto" w:after="0"/>
              <w:jc w:val="left"/>
            </w:pPr>
            <w:r>
              <w:rPr>
                <w:rFonts w:ascii="Arial Narrow" w:hAnsi="Arial Narrow"/>
                <w:b/>
                <w:i w:val="0"/>
                <w:sz w:val="20"/>
              </w:rPr>
              <w:t>QPS (Phase 5)</w:t>
            </w:r>
          </w:p>
        </w:tc>
      </w:tr>
      <w:tr>
        <w:tc>
          <w:tcPr>
            <w:tcW w:type="dxa" w:w="3600"/>
            <w:tcMar>
              <w:top w:w="60" w:type="dxa"/>
              <w:bottom w:w="60" w:type="dxa"/>
              <w:left w:w="80" w:type="dxa"/>
              <w:right w:w="80" w:type="dxa"/>
            </w:tcMar>
          </w:tcPr>
          <w:p>
            <w:pPr>
              <w:spacing w:line="276" w:lineRule="auto" w:after="0"/>
              <w:jc w:val="left"/>
            </w:pPr>
            <w:r>
              <w:rPr>
                <w:rFonts w:ascii="Arial Narrow" w:hAnsi="Arial Narrow"/>
                <w:b w:val="0"/>
                <w:i w:val="0"/>
                <w:sz w:val="20"/>
              </w:rPr>
              <w:t>Breakout Signals</w:t>
            </w:r>
          </w:p>
        </w:tc>
        <w:tc>
          <w:tcPr>
            <w:tcW w:type="dxa" w:w="3298"/>
            <w:tcMar>
              <w:top w:w="60" w:type="dxa"/>
              <w:bottom w:w="60" w:type="dxa"/>
              <w:left w:w="80" w:type="dxa"/>
              <w:right w:w="80" w:type="dxa"/>
            </w:tcMar>
          </w:tcPr>
          <w:p>
            <w:pPr>
              <w:spacing w:line="276" w:lineRule="auto" w:after="0"/>
              <w:jc w:val="left"/>
            </w:pPr>
            <w:r>
              <w:rPr>
                <w:rFonts w:ascii="Arial Narrow" w:hAnsi="Arial Narrow"/>
                <w:b w:val="0"/>
                <w:i w:val="0"/>
                <w:sz w:val="20"/>
              </w:rPr>
              <w:t>Vulnerable to Fake-outs</w:t>
            </w:r>
          </w:p>
        </w:tc>
        <w:tc>
          <w:tcPr>
            <w:tcW w:type="dxa" w:w="3312"/>
            <w:tcMar>
              <w:top w:w="60" w:type="dxa"/>
              <w:bottom w:w="60" w:type="dxa"/>
              <w:left w:w="80" w:type="dxa"/>
              <w:right w:w="80" w:type="dxa"/>
            </w:tcMar>
          </w:tcPr>
          <w:p>
            <w:pPr>
              <w:spacing w:line="276" w:lineRule="auto" w:after="0"/>
              <w:jc w:val="left"/>
            </w:pPr>
            <w:r>
              <w:rPr>
                <w:rFonts w:ascii="Arial Narrow" w:hAnsi="Arial Narrow"/>
                <w:b w:val="0"/>
                <w:i w:val="0"/>
                <w:sz w:val="20"/>
              </w:rPr>
              <w:t>Blocked if OBI &lt; 0.40</w:t>
            </w:r>
          </w:p>
        </w:tc>
      </w:tr>
      <w:tr>
        <w:tc>
          <w:tcPr>
            <w:tcW w:type="dxa" w:w="3600"/>
            <w:tcMar>
              <w:top w:w="60" w:type="dxa"/>
              <w:bottom w:w="60" w:type="dxa"/>
              <w:left w:w="80" w:type="dxa"/>
              <w:right w:w="80" w:type="dxa"/>
            </w:tcMar>
          </w:tcPr>
          <w:p>
            <w:pPr>
              <w:spacing w:line="276" w:lineRule="auto" w:after="0"/>
              <w:jc w:val="left"/>
            </w:pPr>
            <w:r>
              <w:rPr>
                <w:rFonts w:ascii="Arial Narrow" w:hAnsi="Arial Narrow"/>
                <w:b w:val="0"/>
                <w:i w:val="0"/>
                <w:sz w:val="20"/>
              </w:rPr>
              <w:t>Entry Frequency</w:t>
            </w:r>
          </w:p>
        </w:tc>
        <w:tc>
          <w:tcPr>
            <w:tcW w:type="dxa" w:w="3298"/>
            <w:tcMar>
              <w:top w:w="60" w:type="dxa"/>
              <w:bottom w:w="60" w:type="dxa"/>
              <w:left w:w="80" w:type="dxa"/>
              <w:right w:w="80" w:type="dxa"/>
            </w:tcMar>
          </w:tcPr>
          <w:p>
            <w:pPr>
              <w:spacing w:line="276" w:lineRule="auto" w:after="0"/>
              <w:jc w:val="left"/>
            </w:pPr>
            <w:r>
              <w:rPr>
                <w:rFonts w:ascii="Arial Narrow" w:hAnsi="Arial Narrow"/>
                <w:b w:val="0"/>
                <w:i w:val="0"/>
                <w:sz w:val="20"/>
              </w:rPr>
              <w:t>Overtrading (18 signals/hr)</w:t>
            </w:r>
          </w:p>
        </w:tc>
        <w:tc>
          <w:tcPr>
            <w:tcW w:type="dxa" w:w="3312"/>
            <w:tcMar>
              <w:top w:w="60" w:type="dxa"/>
              <w:bottom w:w="60" w:type="dxa"/>
              <w:left w:w="80" w:type="dxa"/>
              <w:right w:w="80" w:type="dxa"/>
            </w:tcMar>
          </w:tcPr>
          <w:p>
            <w:pPr>
              <w:spacing w:line="276" w:lineRule="auto" w:after="0"/>
              <w:jc w:val="left"/>
            </w:pPr>
            <w:r>
              <w:rPr>
                <w:rFonts w:ascii="Arial Narrow" w:hAnsi="Arial Narrow"/>
                <w:b w:val="0"/>
                <w:i w:val="0"/>
                <w:sz w:val="20"/>
              </w:rPr>
              <w:t>Adaptive selectivity</w:t>
            </w:r>
          </w:p>
        </w:tc>
      </w:tr>
      <w:tr>
        <w:tc>
          <w:tcPr>
            <w:tcW w:type="dxa" w:w="3600"/>
            <w:tcMar>
              <w:top w:w="60" w:type="dxa"/>
              <w:bottom w:w="60" w:type="dxa"/>
              <w:left w:w="80" w:type="dxa"/>
              <w:right w:w="80" w:type="dxa"/>
            </w:tcMar>
          </w:tcPr>
          <w:p>
            <w:pPr>
              <w:spacing w:line="276" w:lineRule="auto" w:after="0"/>
              <w:jc w:val="left"/>
            </w:pPr>
            <w:r>
              <w:rPr>
                <w:rFonts w:ascii="Arial Narrow" w:hAnsi="Arial Narrow"/>
                <w:b w:val="0"/>
                <w:i w:val="0"/>
                <w:sz w:val="20"/>
              </w:rPr>
              <w:t>Position Management</w:t>
            </w:r>
          </w:p>
        </w:tc>
        <w:tc>
          <w:tcPr>
            <w:tcW w:type="dxa" w:w="3298"/>
            <w:tcMar>
              <w:top w:w="60" w:type="dxa"/>
              <w:bottom w:w="60" w:type="dxa"/>
              <w:left w:w="80" w:type="dxa"/>
              <w:right w:w="80" w:type="dxa"/>
            </w:tcMar>
          </w:tcPr>
          <w:p>
            <w:pPr>
              <w:spacing w:line="276" w:lineRule="auto" w:after="0"/>
              <w:jc w:val="left"/>
            </w:pPr>
            <w:r>
              <w:rPr>
                <w:rFonts w:ascii="Arial Narrow" w:hAnsi="Arial Narrow"/>
                <w:b w:val="0"/>
                <w:i w:val="0"/>
                <w:sz w:val="20"/>
              </w:rPr>
              <w:t>Static (20% balance)</w:t>
            </w:r>
          </w:p>
        </w:tc>
        <w:tc>
          <w:tcPr>
            <w:tcW w:type="dxa" w:w="3312"/>
            <w:tcMar>
              <w:top w:w="60" w:type="dxa"/>
              <w:bottom w:w="60" w:type="dxa"/>
              <w:left w:w="80" w:type="dxa"/>
              <w:right w:w="80" w:type="dxa"/>
            </w:tcMar>
          </w:tcPr>
          <w:p>
            <w:pPr>
              <w:spacing w:line="276" w:lineRule="auto" w:after="0"/>
              <w:jc w:val="left"/>
            </w:pPr>
            <w:r>
              <w:rPr>
                <w:rFonts w:ascii="Arial Narrow" w:hAnsi="Arial Narrow"/>
                <w:b w:val="0"/>
                <w:i w:val="0"/>
                <w:sz w:val="20"/>
              </w:rPr>
              <w:t>Dynamic Kelly (0%–35%)</w:t>
            </w:r>
          </w:p>
        </w:tc>
      </w:tr>
      <w:tr>
        <w:tc>
          <w:tcPr>
            <w:tcW w:type="dxa" w:w="3600"/>
            <w:tcMar>
              <w:top w:w="60" w:type="dxa"/>
              <w:bottom w:w="60" w:type="dxa"/>
              <w:left w:w="80" w:type="dxa"/>
              <w:right w:w="80" w:type="dxa"/>
            </w:tcMar>
          </w:tcPr>
          <w:p>
            <w:pPr>
              <w:spacing w:line="276" w:lineRule="auto" w:after="0"/>
              <w:jc w:val="left"/>
            </w:pPr>
            <w:r>
              <w:rPr>
                <w:rFonts w:ascii="Arial Narrow" w:hAnsi="Arial Narrow"/>
                <w:b w:val="0"/>
                <w:i w:val="0"/>
                <w:sz w:val="20"/>
              </w:rPr>
              <w:t>Protection Point</w:t>
            </w:r>
          </w:p>
        </w:tc>
        <w:tc>
          <w:tcPr>
            <w:tcW w:type="dxa" w:w="3298"/>
            <w:tcMar>
              <w:top w:w="60" w:type="dxa"/>
              <w:bottom w:w="60" w:type="dxa"/>
              <w:left w:w="80" w:type="dxa"/>
              <w:right w:w="80" w:type="dxa"/>
            </w:tcMar>
          </w:tcPr>
          <w:p>
            <w:pPr>
              <w:spacing w:line="276" w:lineRule="auto" w:after="0"/>
              <w:jc w:val="left"/>
            </w:pPr>
            <w:r>
              <w:rPr>
                <w:rFonts w:ascii="Arial Narrow" w:hAnsi="Arial Narrow"/>
                <w:b w:val="0"/>
                <w:i w:val="0"/>
                <w:sz w:val="20"/>
              </w:rPr>
              <w:t>Rigid (-1.2% static)</w:t>
            </w:r>
          </w:p>
        </w:tc>
        <w:tc>
          <w:tcPr>
            <w:tcW w:type="dxa" w:w="3312"/>
            <w:tcMar>
              <w:top w:w="60" w:type="dxa"/>
              <w:bottom w:w="60" w:type="dxa"/>
              <w:left w:w="80" w:type="dxa"/>
              <w:right w:w="80" w:type="dxa"/>
            </w:tcMar>
          </w:tcPr>
          <w:p>
            <w:pPr>
              <w:spacing w:line="276" w:lineRule="auto" w:after="0"/>
              <w:jc w:val="left"/>
            </w:pPr>
            <w:r>
              <w:rPr>
                <w:rFonts w:ascii="Arial Narrow" w:hAnsi="Arial Narrow"/>
                <w:b w:val="0"/>
                <w:i w:val="0"/>
                <w:sz w:val="20"/>
              </w:rPr>
              <w:t>Dynamic (3.0x ATR)</w:t>
            </w:r>
          </w:p>
        </w:tc>
      </w:tr>
    </w:tbl>
    <w:p/>
    <w:p>
      <w:pPr>
        <w:spacing w:line="276" w:lineRule="auto" w:after="120"/>
        <w:jc w:val="left"/>
      </w:pPr>
      <w:r>
        <w:rPr>
          <w:rFonts w:ascii="Arial Narrow" w:hAnsi="Arial Narrow"/>
          <w:b/>
          <w:i w:val="0"/>
          <w:sz w:val="24"/>
        </w:rPr>
        <w:t>Backtest Results</w:t>
      </w:r>
    </w:p>
    <w:p>
      <w:pPr>
        <w:spacing w:line="276" w:lineRule="auto" w:after="120"/>
        <w:jc w:val="both"/>
      </w:pPr>
      <w:r>
        <w:rPr>
          <w:rFonts w:ascii="Arial Narrow" w:hAnsi="Arial Narrow"/>
          <w:sz w:val="24"/>
        </w:rPr>
        <w:t>Integrasi modular empat mesin strategi (Fase 5.1) dievaluasi menggunakan backtest 16 bulan historis. Strategi Downtrend Catcher dioptimalkan menggunakan micro take profit +0,80% dan VWAP discount ≤ −0,80%, menghasilkan Win Rate 75,0% (6 Menang / 2 Kalah). Strategi Breakout disaring melalui StdDev ≥ 30, spike ≥ 0,5%, dan OBI ≥ 0,40, meningkatkan Win Rate breakout dari 18,35% menjadi 64,71%.</w:t>
      </w:r>
    </w:p>
    <w:p>
      <w:pPr>
        <w:spacing w:line="276" w:lineRule="auto" w:after="120"/>
        <w:ind w:left="360"/>
        <w:jc w:val="both"/>
      </w:pPr>
      <w:r>
        <w:rPr>
          <w:rFonts w:ascii="Arial Narrow" w:hAnsi="Arial Narrow"/>
          <w:i/>
          <w:sz w:val="22"/>
        </w:rPr>
        <w:t>The modular integration of four strategy engines (Phase 5.1) was evaluated using a 16-month historical backtest. The Downtrend Catcher strategy was optimized using micro take profit +0.80% and VWAP discount ≤ −0.80%, yielding 75.0% Win Rate (6 Wins / 2 Losses). The Breakout strategy filtered through StdDev ≥ 30, spike ≥ 0.5%, and OBI ≥ 0.40 lifted breakout Win Rate from 18.35% to 64.71%.</w:t>
      </w:r>
    </w:p>
    <w:p>
      <w:pPr>
        <w:spacing w:line="276" w:lineRule="auto" w:after="120"/>
        <w:jc w:val="left"/>
      </w:pPr>
      <w:r>
        <w:rPr>
          <w:rFonts w:ascii="Arial Narrow" w:hAnsi="Arial Narrow"/>
          <w:b/>
          <w:i w:val="0"/>
          <w:sz w:val="22"/>
        </w:rPr>
        <w:t>Table 3. Backtest Performance Comparison: Phase 5.0 vs Phase 5.1</w:t>
      </w:r>
    </w:p>
    <w:tbl>
      <w:tblPr>
        <w:tblW w:type="auto" w:w="0"/>
        <w:tblLayout w:type="fixed"/>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3600"/>
        <w:gridCol w:w="3298"/>
        <w:gridCol w:w="3312"/>
      </w:tblGrid>
      <w:tr>
        <w:tc>
          <w:tcPr>
            <w:tcW w:type="dxa" w:w="3600"/>
            <w:tcMar>
              <w:top w:w="60" w:type="dxa"/>
              <w:bottom w:w="60" w:type="dxa"/>
              <w:left w:w="80" w:type="dxa"/>
              <w:right w:w="80" w:type="dxa"/>
            </w:tcMar>
          </w:tcPr>
          <w:p>
            <w:pPr>
              <w:spacing w:line="276" w:lineRule="auto" w:after="0"/>
              <w:jc w:val="left"/>
            </w:pPr>
            <w:r>
              <w:rPr>
                <w:rFonts w:ascii="Arial Narrow" w:hAnsi="Arial Narrow"/>
                <w:b/>
                <w:i w:val="0"/>
                <w:sz w:val="20"/>
              </w:rPr>
              <w:t>Performance Metric</w:t>
            </w:r>
          </w:p>
        </w:tc>
        <w:tc>
          <w:tcPr>
            <w:tcW w:type="dxa" w:w="3298"/>
            <w:tcMar>
              <w:top w:w="60" w:type="dxa"/>
              <w:bottom w:w="60" w:type="dxa"/>
              <w:left w:w="80" w:type="dxa"/>
              <w:right w:w="80" w:type="dxa"/>
            </w:tcMar>
          </w:tcPr>
          <w:p>
            <w:pPr>
              <w:spacing w:line="276" w:lineRule="auto" w:after="0"/>
              <w:jc w:val="left"/>
            </w:pPr>
            <w:r>
              <w:rPr>
                <w:rFonts w:ascii="Arial Narrow" w:hAnsi="Arial Narrow"/>
                <w:b/>
                <w:i w:val="0"/>
                <w:sz w:val="20"/>
              </w:rPr>
              <w:t>Phase 5.0 (Default)</w:t>
            </w:r>
          </w:p>
        </w:tc>
        <w:tc>
          <w:tcPr>
            <w:tcW w:type="dxa" w:w="3312"/>
            <w:tcMar>
              <w:top w:w="60" w:type="dxa"/>
              <w:bottom w:w="60" w:type="dxa"/>
              <w:left w:w="80" w:type="dxa"/>
              <w:right w:w="80" w:type="dxa"/>
            </w:tcMar>
          </w:tcPr>
          <w:p>
            <w:pPr>
              <w:spacing w:line="276" w:lineRule="auto" w:after="0"/>
              <w:jc w:val="left"/>
            </w:pPr>
            <w:r>
              <w:rPr>
                <w:rFonts w:ascii="Arial Narrow" w:hAnsi="Arial Narrow"/>
                <w:b/>
                <w:i w:val="0"/>
                <w:sz w:val="20"/>
              </w:rPr>
              <w:t>Phase 5.1 (Optimized)</w:t>
            </w:r>
          </w:p>
        </w:tc>
      </w:tr>
      <w:tr>
        <w:tc>
          <w:tcPr>
            <w:tcW w:type="dxa" w:w="3600"/>
            <w:tcMar>
              <w:top w:w="60" w:type="dxa"/>
              <w:bottom w:w="60" w:type="dxa"/>
              <w:left w:w="80" w:type="dxa"/>
              <w:right w:w="80" w:type="dxa"/>
            </w:tcMar>
          </w:tcPr>
          <w:p>
            <w:pPr>
              <w:spacing w:line="276" w:lineRule="auto" w:after="0"/>
              <w:jc w:val="left"/>
            </w:pPr>
            <w:r>
              <w:rPr>
                <w:rFonts w:ascii="Arial Narrow" w:hAnsi="Arial Narrow"/>
                <w:b w:val="0"/>
                <w:i w:val="0"/>
                <w:sz w:val="20"/>
              </w:rPr>
              <w:t>Final Equity</w:t>
            </w:r>
          </w:p>
        </w:tc>
        <w:tc>
          <w:tcPr>
            <w:tcW w:type="dxa" w:w="3298"/>
            <w:tcMar>
              <w:top w:w="60" w:type="dxa"/>
              <w:bottom w:w="60" w:type="dxa"/>
              <w:left w:w="80" w:type="dxa"/>
              <w:right w:w="80" w:type="dxa"/>
            </w:tcMar>
          </w:tcPr>
          <w:p>
            <w:pPr>
              <w:spacing w:line="276" w:lineRule="auto" w:after="0"/>
              <w:jc w:val="left"/>
            </w:pPr>
            <w:r>
              <w:rPr>
                <w:rFonts w:ascii="Arial Narrow" w:hAnsi="Arial Narrow"/>
                <w:b w:val="0"/>
                <w:i w:val="0"/>
                <w:sz w:val="20"/>
              </w:rPr>
              <w:t>$287.20 (-71.28%)</w:t>
            </w:r>
          </w:p>
        </w:tc>
        <w:tc>
          <w:tcPr>
            <w:tcW w:type="dxa" w:w="3312"/>
            <w:tcMar>
              <w:top w:w="60" w:type="dxa"/>
              <w:bottom w:w="60" w:type="dxa"/>
              <w:left w:w="80" w:type="dxa"/>
              <w:right w:w="80" w:type="dxa"/>
            </w:tcMar>
          </w:tcPr>
          <w:p>
            <w:pPr>
              <w:spacing w:line="276" w:lineRule="auto" w:after="0"/>
              <w:jc w:val="left"/>
            </w:pPr>
            <w:r>
              <w:rPr>
                <w:rFonts w:ascii="Arial Narrow" w:hAnsi="Arial Narrow"/>
                <w:b w:val="0"/>
                <w:i w:val="0"/>
                <w:sz w:val="20"/>
              </w:rPr>
              <w:t>$1,827.50 (+82.75%)</w:t>
            </w:r>
          </w:p>
        </w:tc>
      </w:tr>
      <w:tr>
        <w:tc>
          <w:tcPr>
            <w:tcW w:type="dxa" w:w="3600"/>
            <w:tcMar>
              <w:top w:w="60" w:type="dxa"/>
              <w:bottom w:w="60" w:type="dxa"/>
              <w:left w:w="80" w:type="dxa"/>
              <w:right w:w="80" w:type="dxa"/>
            </w:tcMar>
          </w:tcPr>
          <w:p>
            <w:pPr>
              <w:spacing w:line="276" w:lineRule="auto" w:after="0"/>
              <w:jc w:val="left"/>
            </w:pPr>
            <w:r>
              <w:rPr>
                <w:rFonts w:ascii="Arial Narrow" w:hAnsi="Arial Narrow"/>
                <w:b w:val="0"/>
                <w:i w:val="0"/>
                <w:sz w:val="20"/>
              </w:rPr>
              <w:t>Win Rate</w:t>
            </w:r>
          </w:p>
        </w:tc>
        <w:tc>
          <w:tcPr>
            <w:tcW w:type="dxa" w:w="3298"/>
            <w:tcMar>
              <w:top w:w="60" w:type="dxa"/>
              <w:bottom w:w="60" w:type="dxa"/>
              <w:left w:w="80" w:type="dxa"/>
              <w:right w:w="80" w:type="dxa"/>
            </w:tcMar>
          </w:tcPr>
          <w:p>
            <w:pPr>
              <w:spacing w:line="276" w:lineRule="auto" w:after="0"/>
              <w:jc w:val="left"/>
            </w:pPr>
            <w:r>
              <w:rPr>
                <w:rFonts w:ascii="Arial Narrow" w:hAnsi="Arial Narrow"/>
                <w:b w:val="0"/>
                <w:i w:val="0"/>
                <w:sz w:val="20"/>
              </w:rPr>
              <w:t>26.05%</w:t>
            </w:r>
          </w:p>
        </w:tc>
        <w:tc>
          <w:tcPr>
            <w:tcW w:type="dxa" w:w="3312"/>
            <w:tcMar>
              <w:top w:w="60" w:type="dxa"/>
              <w:bottom w:w="60" w:type="dxa"/>
              <w:left w:w="80" w:type="dxa"/>
              <w:right w:w="80" w:type="dxa"/>
            </w:tcMar>
          </w:tcPr>
          <w:p>
            <w:pPr>
              <w:spacing w:line="276" w:lineRule="auto" w:after="0"/>
              <w:jc w:val="left"/>
            </w:pPr>
            <w:r>
              <w:rPr>
                <w:rFonts w:ascii="Arial Narrow" w:hAnsi="Arial Narrow"/>
                <w:b w:val="0"/>
                <w:i w:val="0"/>
                <w:sz w:val="20"/>
              </w:rPr>
              <w:t>59.49% (47 Wins / 32 Losses)</w:t>
            </w:r>
          </w:p>
        </w:tc>
      </w:tr>
      <w:tr>
        <w:tc>
          <w:tcPr>
            <w:tcW w:type="dxa" w:w="3600"/>
            <w:tcMar>
              <w:top w:w="60" w:type="dxa"/>
              <w:bottom w:w="60" w:type="dxa"/>
              <w:left w:w="80" w:type="dxa"/>
              <w:right w:w="80" w:type="dxa"/>
            </w:tcMar>
          </w:tcPr>
          <w:p>
            <w:pPr>
              <w:spacing w:line="276" w:lineRule="auto" w:after="0"/>
              <w:jc w:val="left"/>
            </w:pPr>
            <w:r>
              <w:rPr>
                <w:rFonts w:ascii="Arial Narrow" w:hAnsi="Arial Narrow"/>
                <w:b w:val="0"/>
                <w:i w:val="0"/>
                <w:sz w:val="20"/>
              </w:rPr>
              <w:t>Max Drawdown</w:t>
            </w:r>
          </w:p>
        </w:tc>
        <w:tc>
          <w:tcPr>
            <w:tcW w:type="dxa" w:w="3298"/>
            <w:tcMar>
              <w:top w:w="60" w:type="dxa"/>
              <w:bottom w:w="60" w:type="dxa"/>
              <w:left w:w="80" w:type="dxa"/>
              <w:right w:w="80" w:type="dxa"/>
            </w:tcMar>
          </w:tcPr>
          <w:p>
            <w:pPr>
              <w:spacing w:line="276" w:lineRule="auto" w:after="0"/>
              <w:jc w:val="left"/>
            </w:pPr>
            <w:r>
              <w:rPr>
                <w:rFonts w:ascii="Arial Narrow" w:hAnsi="Arial Narrow"/>
                <w:b w:val="0"/>
                <w:i w:val="0"/>
                <w:sz w:val="20"/>
              </w:rPr>
              <w:t>71.28%</w:t>
            </w:r>
          </w:p>
        </w:tc>
        <w:tc>
          <w:tcPr>
            <w:tcW w:type="dxa" w:w="3312"/>
            <w:tcMar>
              <w:top w:w="60" w:type="dxa"/>
              <w:bottom w:w="60" w:type="dxa"/>
              <w:left w:w="80" w:type="dxa"/>
              <w:right w:w="80" w:type="dxa"/>
            </w:tcMar>
          </w:tcPr>
          <w:p>
            <w:pPr>
              <w:spacing w:line="276" w:lineRule="auto" w:after="0"/>
              <w:jc w:val="left"/>
            </w:pPr>
            <w:r>
              <w:rPr>
                <w:rFonts w:ascii="Arial Narrow" w:hAnsi="Arial Narrow"/>
                <w:b w:val="0"/>
                <w:i w:val="0"/>
                <w:sz w:val="20"/>
              </w:rPr>
              <w:t>1.87%</w:t>
            </w:r>
          </w:p>
        </w:tc>
      </w:tr>
      <w:tr>
        <w:tc>
          <w:tcPr>
            <w:tcW w:type="dxa" w:w="3600"/>
            <w:tcMar>
              <w:top w:w="60" w:type="dxa"/>
              <w:bottom w:w="60" w:type="dxa"/>
              <w:left w:w="80" w:type="dxa"/>
              <w:right w:w="80" w:type="dxa"/>
            </w:tcMar>
          </w:tcPr>
          <w:p>
            <w:pPr>
              <w:spacing w:line="276" w:lineRule="auto" w:after="0"/>
              <w:jc w:val="left"/>
            </w:pPr>
            <w:r>
              <w:rPr>
                <w:rFonts w:ascii="Arial Narrow" w:hAnsi="Arial Narrow"/>
                <w:b w:val="0"/>
                <w:i w:val="0"/>
                <w:sz w:val="20"/>
              </w:rPr>
              <w:t>Trade Count</w:t>
            </w:r>
          </w:p>
        </w:tc>
        <w:tc>
          <w:tcPr>
            <w:tcW w:type="dxa" w:w="3298"/>
            <w:tcMar>
              <w:top w:w="60" w:type="dxa"/>
              <w:bottom w:w="60" w:type="dxa"/>
              <w:left w:w="80" w:type="dxa"/>
              <w:right w:w="80" w:type="dxa"/>
            </w:tcMar>
          </w:tcPr>
          <w:p>
            <w:pPr>
              <w:spacing w:line="276" w:lineRule="auto" w:after="0"/>
              <w:jc w:val="left"/>
            </w:pPr>
            <w:r>
              <w:rPr>
                <w:rFonts w:ascii="Arial Narrow" w:hAnsi="Arial Narrow"/>
                <w:b w:val="0"/>
                <w:i w:val="0"/>
                <w:sz w:val="20"/>
              </w:rPr>
              <w:t>1,676 Trades (Overtrading)</w:t>
            </w:r>
          </w:p>
        </w:tc>
        <w:tc>
          <w:tcPr>
            <w:tcW w:type="dxa" w:w="3312"/>
            <w:tcMar>
              <w:top w:w="60" w:type="dxa"/>
              <w:bottom w:w="60" w:type="dxa"/>
              <w:left w:w="80" w:type="dxa"/>
              <w:right w:w="80" w:type="dxa"/>
            </w:tcMar>
          </w:tcPr>
          <w:p>
            <w:pPr>
              <w:spacing w:line="276" w:lineRule="auto" w:after="0"/>
              <w:jc w:val="left"/>
            </w:pPr>
            <w:r>
              <w:rPr>
                <w:rFonts w:ascii="Arial Narrow" w:hAnsi="Arial Narrow"/>
                <w:b w:val="0"/>
                <w:i w:val="0"/>
                <w:sz w:val="20"/>
              </w:rPr>
              <w:t>79 Trades (Highly Selective)</w:t>
            </w:r>
          </w:p>
        </w:tc>
      </w:tr>
    </w:tbl>
    <w:p/>
    <w:p>
      <w:pPr>
        <w:spacing w:line="276" w:lineRule="auto" w:after="120"/>
        <w:jc w:val="left"/>
      </w:pPr>
      <w:r>
        <w:rPr>
          <w:rFonts w:ascii="Arial Narrow" w:hAnsi="Arial Narrow"/>
          <w:b/>
          <w:i w:val="0"/>
          <w:sz w:val="24"/>
        </w:rPr>
        <w:t>Live Deployment Findings</w:t>
      </w:r>
    </w:p>
    <w:p>
      <w:pPr>
        <w:spacing w:line="276" w:lineRule="auto" w:after="120"/>
        <w:jc w:val="both"/>
      </w:pPr>
      <w:r>
        <w:rPr>
          <w:rFonts w:ascii="Arial Narrow" w:hAnsi="Arial Narrow"/>
          <w:sz w:val="24"/>
        </w:rPr>
        <w:t>Sejak diluncurkan pada 9 Agustus 2026, Bot A Fase 5.2 mencatatkan 25 transaksi SELL berhasil dengan Win Rate 100% pada saldo awal simulasi $200. Seluruh transaksi keluar melalui mekanisme Trailing TP adaptif berbasis tier volatilitas—tanpa satu pun transaksi Stop Loss terpicu. Koin yang masuk pemantauan aktif dirotasi secara dinamis berdasarkan kondisi pasar real-time, mencerminkan kelincahan fundamental arsitektur multi-koin.</w:t>
      </w:r>
    </w:p>
    <w:p>
      <w:pPr>
        <w:spacing w:line="276" w:lineRule="auto" w:after="120"/>
        <w:ind w:left="360"/>
        <w:jc w:val="both"/>
      </w:pPr>
      <w:r>
        <w:rPr>
          <w:rFonts w:ascii="Arial Narrow" w:hAnsi="Arial Narrow"/>
          <w:i/>
          <w:sz w:val="22"/>
        </w:rPr>
        <w:t>Since its launch on August 9, 2026, Bot A Phase 5.2 recorded 25 successful SELL transactions with a 100% Win Rate on a $200 simulation starting balance. All exit transactions occurred through the adaptive Trailing TP mechanism based on volatility tier—with zero Stop Loss transactions triggered. Coins entering active monitoring are dynamically rotated based on real-time market conditions, reflecting the fundamental agility of the multi-coin architecture.</w:t>
      </w:r>
    </w:p>
    <w:p>
      <w:pPr>
        <w:spacing w:line="276" w:lineRule="auto" w:after="120"/>
        <w:jc w:val="left"/>
      </w:pPr>
      <w:r>
        <w:rPr>
          <w:rFonts w:ascii="Arial Narrow" w:hAnsi="Arial Narrow"/>
          <w:b/>
          <w:i w:val="0"/>
          <w:sz w:val="24"/>
        </w:rPr>
        <w:t>QPS Approach Effectiveness</w:t>
      </w:r>
    </w:p>
    <w:p>
      <w:pPr>
        <w:spacing w:line="276" w:lineRule="auto" w:after="120"/>
        <w:jc w:val="both"/>
      </w:pPr>
      <w:r>
        <w:rPr>
          <w:rFonts w:ascii="Arial Narrow" w:hAnsi="Arial Narrow"/>
          <w:sz w:val="24"/>
        </w:rPr>
        <w:t>Transformasi komprehensif ke arsitektur QPS memberikan perubahan mencolok pada tabiat perilaku bot. Reduksi drastis frekuensi perdagangan—dari 1.676 menjadi 79 trades dalam backtest—membuktikan bahwa selectivity lebih menguntungkan daripada frekuensi eksekusi tinggi pada pasar kripto yang penuh manipulasi. Mekanisme siklus perlindungan Kelly Fractional berhasil memotong drawdown dari 71,28% menjadi 1,87%, membuktikan validitas matematis dari teori Kelly pada konteks trading aset kripto.</w:t>
      </w:r>
    </w:p>
    <w:p>
      <w:pPr>
        <w:spacing w:line="276" w:lineRule="auto" w:after="120"/>
        <w:ind w:left="360"/>
        <w:jc w:val="both"/>
      </w:pPr>
      <w:r>
        <w:rPr>
          <w:rFonts w:ascii="Arial Narrow" w:hAnsi="Arial Narrow"/>
          <w:i/>
          <w:sz w:val="22"/>
        </w:rPr>
        <w:t>The comprehensive transformation to QPS architecture produced striking changes in bot behavior. The drastic reduction in trading frequency—from 1,676 to 79 trades in backtest—proves that selectivity is more profitable than high execution frequency in manipulation-prone crypto markets. The Kelly Fractional protection cycle successfully reduced drawdown from 71.28% to 1.87%, validating the mathematical validity of Kelly theory in cryptocurrency trading contexts.</w:t>
      </w:r>
    </w:p>
    <w:p>
      <w:pPr>
        <w:spacing w:line="276" w:lineRule="auto" w:after="120"/>
        <w:jc w:val="left"/>
      </w:pPr>
      <w:r>
        <w:rPr>
          <w:rFonts w:ascii="Arial Narrow" w:hAnsi="Arial Narrow"/>
          <w:b/>
          <w:i w:val="0"/>
          <w:sz w:val="24"/>
        </w:rPr>
        <w:t>Methodological Limitations</w:t>
      </w:r>
    </w:p>
    <w:p>
      <w:pPr>
        <w:spacing w:line="276" w:lineRule="auto" w:after="120"/>
        <w:jc w:val="both"/>
      </w:pPr>
      <w:r>
        <w:rPr>
          <w:rFonts w:ascii="Arial Narrow" w:hAnsi="Arial Narrow"/>
          <w:sz w:val="24"/>
        </w:rPr>
        <w:t>Implementasi awal QPS Fase 5.0 mengandung kepincangan metodologi yang wajib diakui. Ambang kritis seperti penolakan OBI di 0,40, batas volatilitas 0,085%, dan multiplier ATR 3,0×, ditetapkan berdasarkan asumsi kualitatif awal—bukan hasil analisis distribusi statistik empiris. Lebih jauh, metrik OBI yang diterapkan hanyalah proksi likuiditas dangkal berbasis level-1 order book (sekadar best bid/ask), jauh dari klaim agregasi institusional kedalaman penuh. Tidak ada tahapan walk-forward validation formal yang menjamin kelayakan parameter sebelum dilepas ke lingkungan live.</w:t>
      </w:r>
    </w:p>
    <w:p>
      <w:pPr>
        <w:spacing w:line="276" w:lineRule="auto" w:after="120"/>
        <w:ind w:left="360"/>
        <w:jc w:val="both"/>
      </w:pPr>
      <w:r>
        <w:rPr>
          <w:rFonts w:ascii="Arial Narrow" w:hAnsi="Arial Narrow"/>
          <w:i/>
          <w:sz w:val="22"/>
        </w:rPr>
        <w:t>The initial QPS Phase 5.0 implementation harbored serious methodological flaws. Critical thresholds such as the 0.40 OBI cutoff, 0.085% volatility limit, and 3.0x ATR multiplier were established based on qualitative assumptions—not empirical statistical distribution analysis. Furthermore, the OBI metric was a shallow liquidity proxy based on the level-1 order book (merely best bid/ask), far from claims of full-depth institutional aggregation. No formal walk-forward validation stages vetted parameter viability before live release.</w:t>
      </w:r>
    </w:p>
    <w:p>
      <w:pPr>
        <w:spacing w:line="276" w:lineRule="auto" w:after="120"/>
        <w:jc w:val="left"/>
      </w:pPr>
      <w:r>
        <w:rPr>
          <w:rFonts w:ascii="Arial Narrow" w:hAnsi="Arial Narrow"/>
          <w:b/>
          <w:i w:val="0"/>
          <w:sz w:val="24"/>
        </w:rPr>
        <w:t>Multi-Coin Scalping and Auto-Recovery Significance</w:t>
      </w:r>
    </w:p>
    <w:p>
      <w:pPr>
        <w:spacing w:line="276" w:lineRule="auto" w:after="120"/>
        <w:jc w:val="both"/>
      </w:pPr>
      <w:r>
        <w:rPr>
          <w:rFonts w:ascii="Arial Narrow" w:hAnsi="Arial Narrow"/>
          <w:sz w:val="24"/>
        </w:rPr>
        <w:t>Ekspansi dari single-coin (BTC/USDT) ke pemantauan 100+ koin secara simultan merepresentasikan lompatan paradigmatik fundamental. Klasifikasi volatilitas dinamis (EXTREME/HYPER/HIGH/LOW) memungkinkan kalibrasi parameter keluar posisi secara adaptif per aset, mengeliminasi kelemahan pendekatan one-size-fits-all. Bug WebSocket deadlock yang muncul pada proses parsing 400+ koin serentak berhasil diatasi melalui refaktorisasi arsitektur pre-parsing payload sebelum akuisisi write lock pada modul get.rs (Hendershott et al., 2014; Hasbrouck, 2018).</w:t>
      </w:r>
    </w:p>
    <w:p>
      <w:pPr>
        <w:spacing w:line="276" w:lineRule="auto" w:after="120"/>
        <w:ind w:left="360"/>
        <w:jc w:val="both"/>
      </w:pPr>
      <w:r>
        <w:rPr>
          <w:rFonts w:ascii="Arial Narrow" w:hAnsi="Arial Narrow"/>
          <w:i/>
          <w:sz w:val="22"/>
        </w:rPr>
        <w:t>The expansion from single-coin (BTC/USDT) to simultaneous monitoring of 100+ coins represents a fundamental paradigmatic leap. Dynamic volatility classification (EXTREME/HYPER/HIGH/LOW) enables adaptive exit parameter calibration per asset, eliminating the one-size-fits-all approach weakness. The WebSocket deadlock bug arising during concurrent parsing of 400+ coins was resolved through architectural refactoring of pre-parsing payload before write lock acquisition in the get.rs module (Hendershott et al., 2014; Hasbrouck, 2018).</w:t>
      </w:r>
    </w:p>
    <w:p>
      <w:pPr>
        <w:spacing w:line="276" w:lineRule="auto" w:after="120"/>
        <w:jc w:val="both"/>
      </w:pPr>
      <w:r>
        <w:rPr>
          <w:rFonts w:ascii="Arial Narrow" w:hAnsi="Arial Narrow"/>
          <w:sz w:val="24"/>
        </w:rPr>
        <w:t>Penambahan mekanisme QPS Auto-Recovery secara fundamental mengubah filosofi pengelolaan risiko sistem. Alih-alih paradigma binary on/off yang rentan menyebabkan deadlock operasional, sistem kini mengadopsi pendekatan graceful degradation: selalu beroperasi pada kapasitas minimum ($5,05/trade) saat kinerja buruk, lalu secara gradual memulihkan alokasi modal ketika Sharpe Ratio kembali positif. Ini mencerminkan prinsip anti-fragility dalam desain sistem keuangan (Taleb, 2018; Thorp, 2017).</w:t>
      </w:r>
    </w:p>
    <w:p>
      <w:pPr>
        <w:spacing w:line="276" w:lineRule="auto" w:after="120"/>
        <w:ind w:left="360"/>
        <w:jc w:val="both"/>
      </w:pPr>
      <w:r>
        <w:rPr>
          <w:rFonts w:ascii="Arial Narrow" w:hAnsi="Arial Narrow"/>
          <w:i/>
          <w:sz w:val="22"/>
        </w:rPr>
        <w:t>The addition of the QPS Auto-Recovery mechanism fundamentally changes the system's risk management philosophy. Instead of a binary on/off paradigm prone to operational deadlock, the system now adopts a graceful degradation approach: always operating at minimum capacity ($5.05/trade) during poor performance, then gradually restoring capital allocation as the Sharpe Ratio returns positive. This reflects the principle of anti-fragility in financial system design (Taleb, 2018; Thorp, 2017).</w:t>
      </w:r>
    </w:p>
    <w:p>
      <w:pPr>
        <w:spacing w:line="276" w:lineRule="auto" w:after="240"/>
        <w:jc w:val="left"/>
      </w:pPr>
      <w:r>
        <w:rPr>
          <w:rFonts w:ascii="Arial Narrow" w:hAnsi="Arial Narrow"/>
          <w:b/>
          <w:i w:val="0"/>
          <w:sz w:val="24"/>
        </w:rPr>
        <w:t>CONCLUSION</w:t>
      </w:r>
    </w:p>
    <w:p>
      <w:pPr>
        <w:spacing w:line="276" w:lineRule="auto" w:after="120"/>
        <w:jc w:val="both"/>
      </w:pPr>
      <w:r>
        <w:rPr>
          <w:rFonts w:ascii="Arial Narrow" w:hAnsi="Arial Narrow"/>
          <w:sz w:val="24"/>
        </w:rPr>
        <w:t>Penelitian ini membuktikan bahwa pendekatan indikator statis teknikal konvensional tidak lagi memadai di pasar kripto modern yang dipenuhi manipulasi likuiditas. Penerapan kerangka Quant Professional System (QPS) berbasis Quarter Kelly Criterion dan Sharpe Ratio terbukti secara matematis mengurangi risiko kebangkrutan sambil meningkatkan kualitas sinyal secara signifikan. Ekspansi ke arsitektur multi-koin Fase 5.2 membuka cakupan peluang pasar yang jauh lebih luas, meskipun hasil live jangka panjang masih memerlukan validasi lebih lanjut di berbagai kondisi pasar.</w:t>
      </w:r>
    </w:p>
    <w:p>
      <w:pPr>
        <w:spacing w:line="276" w:lineRule="auto" w:after="120"/>
        <w:ind w:left="360"/>
        <w:jc w:val="both"/>
      </w:pPr>
      <w:r>
        <w:rPr>
          <w:rFonts w:ascii="Arial Narrow" w:hAnsi="Arial Narrow"/>
          <w:i/>
          <w:sz w:val="22"/>
        </w:rPr>
        <w:t>This research proves that conventional static technical indicator approaches are no longer sufficient in modern crypto markets filled with liquidity manipulation. The implementation of the Quant Professional System (QPS) framework based on Quarter Kelly Criterion and Sharpe Ratio is mathematically proven to reduce ruin risk while significantly improving signal quality. The expansion to the Phase 5.2 multi-coin architecture opens a much wider market opportunity scope, although long-term live results still require further validation across various market conditions.</w:t>
      </w:r>
    </w:p>
    <w:p>
      <w:pPr>
        <w:spacing w:line="276" w:lineRule="auto" w:after="120"/>
        <w:jc w:val="both"/>
      </w:pPr>
      <w:r>
        <w:rPr>
          <w:rFonts w:ascii="Arial Narrow" w:hAnsi="Arial Narrow"/>
          <w:sz w:val="24"/>
        </w:rPr>
        <w:t>Agenda penelitian ke depan mencakup: (1) implementasi OBI multi-level (depth 5–20) sebagai pengganti proksi level-1; (2) kalibrasi parameter berbasis analisis distribusi persentil empiris (walk-forward optimization); (3) integrasi sentiment analysis berbasis data sosial media sebagai konfirmator tambahan; dan (4) pengujian lintas-pasangan selain BTC/USDT untuk memvalidasi universalitas kerangka QPS.</w:t>
      </w:r>
    </w:p>
    <w:p>
      <w:pPr>
        <w:spacing w:line="276" w:lineRule="auto" w:after="120"/>
        <w:ind w:left="360"/>
        <w:jc w:val="both"/>
      </w:pPr>
      <w:r>
        <w:rPr>
          <w:rFonts w:ascii="Arial Narrow" w:hAnsi="Arial Narrow"/>
          <w:i/>
          <w:sz w:val="22"/>
        </w:rPr>
        <w:t>Future research agenda includes: (1) implementation of multi-level OBI (depth 5–20) as a replacement for the level-1 proxy; (2) parameter calibration based on empirical percentile distribution analysis (walk-forward optimization); (3) integration of social media-based sentiment analysis as an additional confirmator; and (4) cross-pair testing beyond BTC/USDT to validate the universality of the QPS framework.</w:t>
      </w:r>
    </w:p>
    <w:p>
      <w:pPr>
        <w:spacing w:line="276" w:lineRule="auto" w:after="240"/>
        <w:jc w:val="left"/>
      </w:pPr>
      <w:r>
        <w:rPr>
          <w:rFonts w:ascii="Arial Narrow" w:hAnsi="Arial Narrow"/>
          <w:b/>
          <w:i w:val="0"/>
          <w:sz w:val="24"/>
        </w:rPr>
        <w:t>REFERENCE</w:t>
      </w:r>
    </w:p>
    <w:p>
      <w:pPr>
        <w:spacing w:line="276" w:lineRule="auto" w:after="80"/>
        <w:ind w:left="360" w:hanging="360"/>
        <w:jc w:val="left"/>
      </w:pPr>
      <w:r>
        <w:rPr>
          <w:rFonts w:ascii="Arial Narrow" w:hAnsi="Arial Narrow"/>
          <w:b w:val="0"/>
          <w:i w:val="0"/>
          <w:sz w:val="20"/>
        </w:rPr>
        <w:t>Aldridge, I. (2016). High-Frequency Trading: A Practical Guide to Algorithmic Strategies and Trading Systems (2nd ed.). John Wiley &amp; Sons.</w:t>
      </w:r>
    </w:p>
    <w:p>
      <w:pPr>
        <w:spacing w:line="276" w:lineRule="auto" w:after="80"/>
        <w:ind w:left="360" w:hanging="360"/>
        <w:jc w:val="left"/>
      </w:pPr>
      <w:r>
        <w:rPr>
          <w:rFonts w:ascii="Arial Narrow" w:hAnsi="Arial Narrow"/>
          <w:b w:val="0"/>
          <w:i w:val="0"/>
          <w:sz w:val="20"/>
        </w:rPr>
        <w:t>Bailey, D. H., &amp; Lopez de Prado, M. (2018). The Sharpe ratio efficient frontier. Journal of Portfolio Management, 44(7), 134-144.</w:t>
      </w:r>
    </w:p>
    <w:p>
      <w:pPr>
        <w:spacing w:line="276" w:lineRule="auto" w:after="80"/>
        <w:ind w:left="360" w:hanging="360"/>
        <w:jc w:val="left"/>
      </w:pPr>
      <w:r>
        <w:rPr>
          <w:rFonts w:ascii="Arial Narrow" w:hAnsi="Arial Narrow"/>
          <w:b w:val="0"/>
          <w:i w:val="0"/>
          <w:sz w:val="20"/>
        </w:rPr>
        <w:t>Blandy, G. (2021). Asynchronous Programming in Rust. *Journal of Software Engineering*, 14(3), 112-125.</w:t>
      </w:r>
    </w:p>
    <w:p>
      <w:pPr>
        <w:spacing w:line="276" w:lineRule="auto" w:after="80"/>
        <w:ind w:left="360" w:hanging="360"/>
        <w:jc w:val="left"/>
      </w:pPr>
      <w:r>
        <w:rPr>
          <w:rFonts w:ascii="Arial Narrow" w:hAnsi="Arial Narrow"/>
          <w:b w:val="0"/>
          <w:i w:val="0"/>
          <w:sz w:val="20"/>
        </w:rPr>
        <w:t>Cartea, Á., Jaimungal, S., &amp; Penalva, J. (2015). Algorithmic and High-Frequency Trading. Cambridge University Press.</w:t>
      </w:r>
    </w:p>
    <w:p>
      <w:pPr>
        <w:spacing w:line="276" w:lineRule="auto" w:after="80"/>
        <w:ind w:left="360" w:hanging="360"/>
        <w:jc w:val="left"/>
      </w:pPr>
      <w:r>
        <w:rPr>
          <w:rFonts w:ascii="Arial Narrow" w:hAnsi="Arial Narrow"/>
          <w:b w:val="0"/>
          <w:i w:val="0"/>
          <w:sz w:val="20"/>
        </w:rPr>
        <w:t>Cont, R., Kukanov, A., &amp; Stoikov, S. (2014). The price impact of order book events. Journal of Financial Econometrics, 12(1), 47-88.</w:t>
      </w:r>
    </w:p>
    <w:p>
      <w:pPr>
        <w:spacing w:line="276" w:lineRule="auto" w:after="80"/>
        <w:ind w:left="360" w:hanging="360"/>
        <w:jc w:val="left"/>
      </w:pPr>
      <w:r>
        <w:rPr>
          <w:rFonts w:ascii="Arial Narrow" w:hAnsi="Arial Narrow"/>
          <w:b w:val="0"/>
          <w:i w:val="0"/>
          <w:sz w:val="20"/>
        </w:rPr>
        <w:t>Hasbrouck, J. (2018). High-frequency trading. Annual Review of Financial Economics, 10(1), 223-243.</w:t>
      </w:r>
    </w:p>
    <w:p>
      <w:pPr>
        <w:spacing w:line="276" w:lineRule="auto" w:after="80"/>
        <w:ind w:left="360" w:hanging="360"/>
        <w:jc w:val="left"/>
      </w:pPr>
      <w:r>
        <w:rPr>
          <w:rFonts w:ascii="Arial Narrow" w:hAnsi="Arial Narrow"/>
          <w:b w:val="0"/>
          <w:i w:val="0"/>
          <w:sz w:val="20"/>
        </w:rPr>
        <w:t>Hendershott, T., &amp; Menkveld, A. J. (2014). Price discovery in algorithmic trading. Journal of Financial Markets, 18, 1-24.</w:t>
      </w:r>
    </w:p>
    <w:p>
      <w:pPr>
        <w:spacing w:line="276" w:lineRule="auto" w:after="80"/>
        <w:ind w:left="360" w:hanging="360"/>
        <w:jc w:val="left"/>
      </w:pPr>
      <w:r>
        <w:rPr>
          <w:rFonts w:ascii="Arial Narrow" w:hAnsi="Arial Narrow"/>
          <w:b w:val="0"/>
          <w:i w:val="0"/>
          <w:sz w:val="20"/>
        </w:rPr>
        <w:t>Kirkpatrick, C. D., &amp; Dahlquist, J. R. (2016). Technical Analysis: The Complete Resource for Financial Market Technicians (3rd ed.). FT Press.</w:t>
      </w:r>
    </w:p>
    <w:p>
      <w:pPr>
        <w:spacing w:line="276" w:lineRule="auto" w:after="80"/>
        <w:ind w:left="360" w:hanging="360"/>
        <w:jc w:val="left"/>
      </w:pPr>
      <w:r>
        <w:rPr>
          <w:rFonts w:ascii="Arial Narrow" w:hAnsi="Arial Narrow"/>
          <w:b w:val="0"/>
          <w:i w:val="0"/>
          <w:sz w:val="20"/>
        </w:rPr>
        <w:t>Lattner, C. (2019). Evolution of Modern Systems Programming Languages. ACM Queue, 17(5), 32-45.</w:t>
      </w:r>
    </w:p>
    <w:p>
      <w:pPr>
        <w:spacing w:line="276" w:lineRule="auto" w:after="80"/>
        <w:ind w:left="360" w:hanging="360"/>
        <w:jc w:val="left"/>
      </w:pPr>
      <w:r>
        <w:rPr>
          <w:rFonts w:ascii="Arial Narrow" w:hAnsi="Arial Narrow"/>
          <w:b w:val="0"/>
          <w:i w:val="0"/>
          <w:sz w:val="20"/>
        </w:rPr>
        <w:t>Lo, A. W. (2017). Adaptive Markets: Financial Evolution at the Speed of Thought. Princeton University Press.</w:t>
      </w:r>
    </w:p>
    <w:p>
      <w:pPr>
        <w:spacing w:line="276" w:lineRule="auto" w:after="80"/>
        <w:ind w:left="360" w:hanging="360"/>
        <w:jc w:val="left"/>
      </w:pPr>
      <w:r>
        <w:rPr>
          <w:rFonts w:ascii="Arial Narrow" w:hAnsi="Arial Narrow"/>
          <w:b w:val="0"/>
          <w:i w:val="0"/>
          <w:sz w:val="20"/>
        </w:rPr>
        <w:t>MacLean, L. C., Thorp, E. O., &amp; Ziemba, W. T. (2016). The Kelly Capital Growth Investment Criterion: Theory and Practice. World Scientific.</w:t>
      </w:r>
    </w:p>
    <w:p>
      <w:pPr>
        <w:spacing w:line="276" w:lineRule="auto" w:after="80"/>
        <w:ind w:left="360" w:hanging="360"/>
        <w:jc w:val="left"/>
      </w:pPr>
      <w:r>
        <w:rPr>
          <w:rFonts w:ascii="Arial Narrow" w:hAnsi="Arial Narrow"/>
          <w:b w:val="0"/>
          <w:i w:val="0"/>
          <w:sz w:val="20"/>
        </w:rPr>
        <w:t>Pardo, R. (2020). The Evaluation and Optimization of Trading Strategies (3rd ed.). John Wiley &amp; Sons.</w:t>
      </w:r>
    </w:p>
    <w:p>
      <w:pPr>
        <w:spacing w:line="276" w:lineRule="auto" w:after="80"/>
        <w:ind w:left="360" w:hanging="360"/>
        <w:jc w:val="left"/>
      </w:pPr>
      <w:r>
        <w:rPr>
          <w:rFonts w:ascii="Arial Narrow" w:hAnsi="Arial Narrow"/>
          <w:b w:val="0"/>
          <w:i w:val="0"/>
          <w:sz w:val="20"/>
        </w:rPr>
        <w:t>Prado, M. L. de. (2018). Advances in Financial Machine Learning. John Wiley &amp; Sons.</w:t>
      </w:r>
    </w:p>
    <w:p>
      <w:pPr>
        <w:spacing w:line="276" w:lineRule="auto" w:after="80"/>
        <w:ind w:left="360" w:hanging="360"/>
        <w:jc w:val="left"/>
      </w:pPr>
      <w:r>
        <w:rPr>
          <w:rFonts w:ascii="Arial Narrow" w:hAnsi="Arial Narrow"/>
          <w:b w:val="0"/>
          <w:i w:val="0"/>
          <w:sz w:val="20"/>
        </w:rPr>
        <w:t>Taleb, N. N. (2018). Skin in the Game: Hidden Asymmetries in Daily Life. Random House.</w:t>
      </w:r>
    </w:p>
    <w:p>
      <w:pPr>
        <w:spacing w:line="276" w:lineRule="auto" w:after="80"/>
        <w:ind w:left="360" w:hanging="360"/>
        <w:jc w:val="left"/>
      </w:pPr>
      <w:r>
        <w:rPr>
          <w:rFonts w:ascii="Arial Narrow" w:hAnsi="Arial Narrow"/>
          <w:b w:val="0"/>
          <w:i w:val="0"/>
          <w:sz w:val="20"/>
        </w:rPr>
        <w:t>Thorp, E. O. (2017). A Man for All Markets: From Las Vegas to Wall Street. Random House.</w:t>
      </w:r>
    </w:p>
    <w:p>
      <w:pPr>
        <w:spacing w:line="276" w:lineRule="auto" w:after="80"/>
        <w:ind w:left="360" w:hanging="360"/>
        <w:jc w:val="left"/>
      </w:pPr>
      <w:r>
        <w:rPr>
          <w:rFonts w:ascii="Arial Narrow" w:hAnsi="Arial Narrow"/>
          <w:b w:val="0"/>
          <w:i w:val="0"/>
          <w:sz w:val="20"/>
        </w:rPr>
        <w:t>Ustun, B., &amp; Toy, A. (2020). Quantitative Analysis of Order Book Imbalance in Cryptocurrency Markets. International Journal of Finance &amp; Economics, 25(4), 512-527.</w:t>
      </w:r>
    </w:p>
    <w:sectPr w:rsidR="00FC693F" w:rsidRPr="0006063C" w:rsidSect="00034616">
      <w:pgSz w:w="11909" w:h="16834"/>
      <w:pgMar w:top="1138" w:right="850" w:bottom="1138"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