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40"/>
          <w:szCs w:val="40"/>
        </w:rPr>
        <w:t xml:space="preserve">PROPOSAL LOMBA INOVASI DAERAH</w:t>
      </w:r>
    </w:p>
    <w:p>
      <w:pPr>
        <w:spacing w:after="80"/>
        <w:jc w:val="center"/>
      </w:pPr>
      <w:r>
        <w:rPr>
          <w:rFonts w:ascii="Times New Roman" w:cs="Times New Roman" w:eastAsia="Times New Roman" w:hAnsi="Times New Roman"/>
          <w:b/>
          <w:bCs/>
          <w:sz w:val="40"/>
          <w:szCs w:val="40"/>
        </w:rPr>
        <w:t xml:space="preserve">KABUPATEN CIANJUR</w:t>
      </w:r>
    </w:p>
    <w:p>
      <w:pPr>
        <w:spacing w:after="80"/>
        <w:jc w:val="center"/>
      </w:pPr>
      <w:r>
        <w:rPr>
          <w:rFonts w:ascii="Times New Roman" w:cs="Times New Roman" w:eastAsia="Times New Roman" w:hAnsi="Times New Roman"/>
          <w:b/>
          <w:bCs/>
          <w:sz w:val="40"/>
          <w:szCs w:val="40"/>
        </w:rPr>
        <w:t xml:space="preserve">TAHUN 2026</w:t>
      </w:r>
    </w:p>
    <w:p>
      <w:pPr>
        <w:spacing w:after="200"/>
        <w:jc w:val="center"/>
      </w:pPr>
      <w:r>
        <w:rPr>
          <w:sz w:val="32"/>
          <w:szCs w:val="32"/>
          <w:highlight w:val="yellow"/>
          <w:highlightCs w:val="yellow"/>
        </w:rPr>
        <w:t xml:space="preserve">KATEGORI MASYARAKAT UMUM DAN PELAJAR/MAHASISWA</w:t>
      </w:r>
    </w:p>
    <w:p>
      <w:pPr>
        <w:pStyle w:val="bagian1"/>
        <w:spacing w:after="120" w:before="240"/>
      </w:pPr>
      <w:r>
        <w:rPr>
          <w:rFonts w:ascii="Times New Roman" w:cs="Times New Roman" w:eastAsia="Times New Roman" w:hAnsi="Times New Roman"/>
          <w:b/>
          <w:bCs/>
          <w:sz w:val="24"/>
          <w:szCs w:val="24"/>
        </w:rPr>
        <w:t xml:space="preserve">RINGKASAN EKSEKUTIF</w:t>
      </w:r>
    </w:p>
    <w:p>
      <w:pPr>
        <w:spacing w:after="160" w:line="360"/>
        <w:jc w:val="both"/>
      </w:pPr>
      <w:r>
        <w:rPr>
          <w:rFonts w:ascii="Times New Roman" w:cs="Times New Roman" w:eastAsia="Times New Roman" w:hAnsi="Times New Roman"/>
          <w:b w:val="false"/>
          <w:bCs w:val="false"/>
          <w:i w:val="false"/>
          <w:iCs w:val="false"/>
          <w:sz w:val="22"/>
          <w:szCs w:val="22"/>
        </w:rPr>
        <w:t xml:space="preserve">Arumanis (Air Minum dan Sanitasi) adalah inovasi </w:t>
      </w:r>
      <w:r>
        <w:rPr>
          <w:rFonts w:ascii="Times New Roman" w:cs="Times New Roman" w:eastAsia="Times New Roman" w:hAnsi="Times New Roman"/>
          <w:b w:val="false"/>
          <w:bCs w:val="false"/>
          <w:i/>
          <w:iCs/>
          <w:sz w:val="22"/>
          <w:szCs w:val="22"/>
        </w:rPr>
        <w:t xml:space="preserve">digital</w:t>
      </w:r>
      <w:r>
        <w:rPr>
          <w:rFonts w:ascii="Times New Roman" w:cs="Times New Roman" w:eastAsia="Times New Roman" w:hAnsi="Times New Roman"/>
          <w:b w:val="false"/>
          <w:bCs w:val="false"/>
          <w:i w:val="false"/>
          <w:iCs w:val="false"/>
          <w:sz w:val="22"/>
          <w:szCs w:val="22"/>
        </w:rPr>
        <w:t xml:space="preserve"> inisiatif masyarakat yang dikembangkan Ilham Taufiq dan diadopsi Dinas Perumahan dan Kawasan Permukiman (DPKP) Kabupaten Cianjur untuk memantau konstruksi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perdesaan serta sanitasi—khususnya pengelolaan air limbah—di 33 kecamatan dan 365 desa.</w:t>
      </w:r>
    </w:p>
    <w:p>
      <w:pPr>
        <w:spacing w:after="160" w:line="360"/>
        <w:jc w:val="both"/>
      </w:pPr>
      <w:r>
        <w:rPr>
          <w:rFonts w:ascii="Times New Roman" w:cs="Times New Roman" w:eastAsia="Times New Roman" w:hAnsi="Times New Roman"/>
          <w:b w:val="false"/>
          <w:bCs w:val="false"/>
          <w:i w:val="false"/>
          <w:iCs w:val="false"/>
          <w:sz w:val="22"/>
          <w:szCs w:val="22"/>
        </w:rPr>
        <w:t xml:space="preserve">Permasalahan: data progres fisik, keuangan, dan dokumentasi lapangan tersebar (</w:t>
      </w:r>
      <w:r>
        <w:rPr>
          <w:rFonts w:ascii="Times New Roman" w:cs="Times New Roman" w:eastAsia="Times New Roman" w:hAnsi="Times New Roman"/>
          <w:b w:val="false"/>
          <w:bCs w:val="false"/>
          <w:i/>
          <w:iCs/>
          <w:sz w:val="22"/>
          <w:szCs w:val="22"/>
        </w:rPr>
        <w:t xml:space="preserve">Excel</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PDF</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WhatsApp</w:t>
      </w:r>
      <w:r>
        <w:rPr>
          <w:rFonts w:ascii="Times New Roman" w:cs="Times New Roman" w:eastAsia="Times New Roman" w:hAnsi="Times New Roman"/>
          <w:b w:val="false"/>
          <w:bCs w:val="false"/>
          <w:i w:val="false"/>
          <w:iCs w:val="false"/>
          <w:sz w:val="22"/>
          <w:szCs w:val="22"/>
        </w:rPr>
        <w:t xml:space="preserve">, berkas fisik) sehingga </w:t>
      </w:r>
      <w:r>
        <w:rPr>
          <w:rFonts w:ascii="Times New Roman" w:cs="Times New Roman" w:eastAsia="Times New Roman" w:hAnsi="Times New Roman"/>
          <w:b w:val="false"/>
          <w:bCs w:val="false"/>
          <w:i/>
          <w:iCs/>
          <w:sz w:val="22"/>
          <w:szCs w:val="22"/>
        </w:rPr>
        <w:t xml:space="preserve">deviasi</w:t>
      </w:r>
      <w:r>
        <w:rPr>
          <w:rFonts w:ascii="Times New Roman" w:cs="Times New Roman" w:eastAsia="Times New Roman" w:hAnsi="Times New Roman"/>
          <w:b w:val="false"/>
          <w:bCs w:val="false"/>
          <w:i w:val="false"/>
          <w:iCs w:val="false"/>
          <w:sz w:val="22"/>
          <w:szCs w:val="22"/>
        </w:rPr>
        <w:t xml:space="preserve"> proyek terdeteksi terlambat dan rek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tulasi Standar Pelayanan Minimum (SPM) memakan 5–10 hari kerja.</w:t>
      </w:r>
    </w:p>
    <w:p>
      <w:pPr>
        <w:spacing w:after="160" w:line="360"/>
        <w:jc w:val="both"/>
      </w:pPr>
      <w:r>
        <w:rPr>
          <w:rFonts w:ascii="Times New Roman" w:cs="Times New Roman" w:eastAsia="Times New Roman" w:hAnsi="Times New Roman"/>
          <w:b w:val="false"/>
          <w:bCs w:val="false"/>
          <w:i w:val="false"/>
          <w:iCs w:val="false"/>
          <w:sz w:val="22"/>
          <w:szCs w:val="22"/>
        </w:rPr>
        <w:t xml:space="preserve">Solusi: satu aplikasi terintegrasi dengan fitur pengawasan lapangan, peta capaian per desa, dan pembaruan data secara langsung. Bukti adopsi per 29 Juni 2026: 558 pekerjaan, 29 pengawas aktif, 6.453 foto dokumentasi, 364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terdata </w:t>
      </w:r>
      <w:r>
        <w:rPr>
          <w:rFonts w:ascii="Times New Roman" w:cs="Times New Roman" w:eastAsia="Times New Roman" w:hAnsi="Times New Roman"/>
          <w:b w:val="false"/>
          <w:bCs w:val="false"/>
          <w:i/>
          <w:iCs/>
          <w:sz w:val="22"/>
          <w:szCs w:val="22"/>
        </w:rPr>
        <w:t xml:space="preserve">digital</w:t>
      </w:r>
      <w:r>
        <w:rPr>
          <w:rFonts w:ascii="Times New Roman" w:cs="Times New Roman" w:eastAsia="Times New Roman" w:hAnsi="Times New Roman"/>
          <w:b w:val="false"/>
          <w:bCs w:val="false"/>
          <w:i w:val="false"/>
          <w:iCs w:val="false"/>
          <w:sz w:val="22"/>
          <w:szCs w:val="22"/>
        </w:rPr>
        <w:t xml:space="preserve">.</w:t>
      </w:r>
    </w:p>
    <w:p>
      <w:pPr>
        <w:spacing w:after="160" w:line="360"/>
        <w:jc w:val="both"/>
      </w:pPr>
      <w:r>
        <w:rPr>
          <w:rFonts w:ascii="Times New Roman" w:cs="Times New Roman" w:eastAsia="Times New Roman" w:hAnsi="Times New Roman"/>
          <w:b w:val="false"/>
          <w:bCs w:val="false"/>
          <w:i w:val="false"/>
          <w:iCs w:val="false"/>
          <w:sz w:val="22"/>
          <w:szCs w:val="22"/>
        </w:rPr>
        <w:t xml:space="preserve">Dampak sistem (bukan capaian infrastruktur fisik): rek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tulasi Standar Pelayanan Minimum (SPM) kurang dari 1 hari (dari 5–10 hari), laporan pengawas mingguan terstruktur, masyarakat dapat cek capaian desa kapan saja. Capaian layanan fisik Standar Pelayanan Minimum (SPM) air minum 13,25% dan sanitasi 1,90% mencerminkan kondisi wilayah—Arumanis memetakan kekurangan layanan agar intervensi prioritas dapat ditargetkan.</w:t>
      </w:r>
    </w:p>
    <w:p>
      <w:pPr>
        <w:spacing w:after="160" w:line="360"/>
        <w:jc w:val="center"/>
      </w:pPr>
      <w:r>
        <w:rPr>
          <w:rFonts w:ascii="Times New Roman" w:cs="Times New Roman" w:eastAsia="Times New Roman" w:hAnsi="Times New Roman"/>
          <w:b w:val="false"/>
          <w:bCs w:val="false"/>
          <w:i w:val="false"/>
          <w:iCs w:val="false"/>
          <w:sz w:val="22"/>
          <w:szCs w:val="22"/>
        </w:rPr>
        <w:t xml:space="preserve">Alamat aplikasi dan QR demo tercantum pada Lampiran Administratif.</w:t>
      </w:r>
    </w:p>
    <w:p>
      <w:pPr>
        <w:spacing w:after="280"/>
      </w:pPr>
    </w:p>
    <w:p>
      <w:pPr>
        <w:pStyle w:val="bagian1"/>
        <w:spacing w:after="120" w:before="240"/>
      </w:pPr>
      <w:r>
        <w:rPr>
          <w:rFonts w:ascii="Times New Roman" w:cs="Times New Roman" w:eastAsia="Times New Roman" w:hAnsi="Times New Roman"/>
          <w:b/>
          <w:bCs/>
          <w:sz w:val="24"/>
          <w:szCs w:val="24"/>
        </w:rPr>
        <w:t xml:space="preserve">BAGIAN I :  IDENTITAS INOVASI</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3109"/>
        <w:gridCol w:w="6271"/>
      </w:tblGrid>
      <w:tr>
        <w:tc>
          <w:tcPr>
            <w:tcW w:type="dxa" w:w="3109"/>
            <w:tcBorders>
              <w:top w:val="single" w:color="000000" w:sz="8"/>
              <w:left w:val="single" w:color="000000" w:sz="8"/>
              <w:bottom w:val="single" w:color="000000" w:sz="8"/>
              <w:right w:val="single" w:color="000000" w:sz="8"/>
            </w:tcBorders>
            <w:shd w:fill="F2F2F2" w:val="clear"/>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Nama Inovasi</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Arumanis – Air Minum dan Sanitasi</w:t>
            </w:r>
          </w:p>
        </w:tc>
      </w:tr>
      <w:tr>
        <w:tc>
          <w:tcPr>
            <w:tcW w:type="dxa" w:w="3109"/>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Tahapan Inovasi</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 ) Inisiatif</w:t>
            </w:r>
          </w:p>
          <w:p>
            <w:pPr>
              <w:spacing w:after="40" w:before="40" w:line="360"/>
            </w:pPr>
            <w:r>
              <w:rPr>
                <w:rFonts w:ascii="Times New Roman" w:cs="Times New Roman" w:eastAsia="Times New Roman" w:hAnsi="Times New Roman"/>
                <w:sz w:val="22"/>
                <w:szCs w:val="22"/>
              </w:rPr>
              <w:t xml:space="preserve">( ) Uji Coba</w:t>
            </w:r>
          </w:p>
          <w:p>
            <w:pPr>
              <w:spacing w:after="40" w:before="40" w:line="360"/>
            </w:pPr>
            <w:r>
              <w:rPr>
                <w:rFonts w:ascii="Times New Roman" w:cs="Times New Roman" w:eastAsia="Times New Roman" w:hAnsi="Times New Roman"/>
                <w:sz w:val="22"/>
                <w:szCs w:val="22"/>
              </w:rPr>
              <w:t xml:space="preserve">(x) Diterapkan</w:t>
            </w:r>
          </w:p>
        </w:tc>
      </w:tr>
      <w:tr>
        <w:tc>
          <w:tcPr>
            <w:tcW w:type="dxa" w:w="3109"/>
            <w:tcBorders>
              <w:top w:val="single" w:color="000000" w:sz="8"/>
              <w:left w:val="single" w:color="000000" w:sz="8"/>
              <w:bottom w:val="single" w:color="000000" w:sz="8"/>
              <w:right w:val="single" w:color="000000" w:sz="8"/>
            </w:tcBorders>
            <w:shd w:fill="F2F2F2" w:val="clear"/>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Inisiator Inovasi</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(x) Masyarakat Umum</w:t>
            </w:r>
          </w:p>
          <w:p>
            <w:pPr>
              <w:spacing w:after="40" w:before="40" w:line="360"/>
            </w:pPr>
            <w:r>
              <w:rPr>
                <w:rFonts w:ascii="Times New Roman" w:cs="Times New Roman" w:eastAsia="Times New Roman" w:hAnsi="Times New Roman"/>
                <w:sz w:val="22"/>
                <w:szCs w:val="22"/>
              </w:rPr>
              <w:t xml:space="preserve">( ) Pelajar</w:t>
            </w:r>
          </w:p>
        </w:tc>
      </w:tr>
      <w:tr>
        <w:tc>
          <w:tcPr>
            <w:tcW w:type="dxa" w:w="3109"/>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Nama Inisiator</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Ilham Taufiq</w:t>
            </w:r>
          </w:p>
        </w:tc>
      </w:tr>
      <w:tr>
        <w:tc>
          <w:tcPr>
            <w:tcW w:type="dxa" w:w="3109"/>
            <w:tcBorders>
              <w:top w:val="single" w:color="000000" w:sz="8"/>
              <w:left w:val="single" w:color="000000" w:sz="8"/>
              <w:bottom w:val="single" w:color="000000" w:sz="8"/>
              <w:right w:val="single" w:color="000000" w:sz="8"/>
            </w:tcBorders>
            <w:shd w:fill="F2F2F2" w:val="clear"/>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Profil Inisiator</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Warga Kabupaten Cianjur; pengembang utama Arumanis. DPKP Kab. Cianjur berperan sebagai mitra adopsi dan pengguna operasional.</w:t>
            </w:r>
          </w:p>
        </w:tc>
      </w:tr>
      <w:tr>
        <w:tc>
          <w:tcPr>
            <w:tcW w:type="dxa" w:w="3109"/>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Jenis Inovasi</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(x) Digital</w:t>
            </w:r>
          </w:p>
          <w:p>
            <w:pPr>
              <w:spacing w:after="40" w:before="40" w:line="360"/>
            </w:pPr>
            <w:r>
              <w:rPr>
                <w:rFonts w:ascii="Times New Roman" w:cs="Times New Roman" w:eastAsia="Times New Roman" w:hAnsi="Times New Roman"/>
                <w:sz w:val="22"/>
                <w:szCs w:val="22"/>
              </w:rPr>
              <w:t xml:space="preserve">( ) Non-Digital</w:t>
            </w:r>
          </w:p>
        </w:tc>
      </w:tr>
      <w:tr>
        <w:tc>
          <w:tcPr>
            <w:tcW w:type="dxa" w:w="3109"/>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Titik Koordinat</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-6.82478266796685, 107.13908061164075</w:t>
            </w:r>
          </w:p>
        </w:tc>
      </w:tr>
      <w:tr>
        <w:tc>
          <w:tcPr>
            <w:tcW w:type="dxa" w:w="3109"/>
            <w:tcBorders>
              <w:top w:val="single" w:color="000000" w:sz="8"/>
              <w:left w:val="single" w:color="000000" w:sz="8"/>
              <w:bottom w:val="single" w:color="000000" w:sz="8"/>
              <w:right w:val="single" w:color="000000" w:sz="8"/>
            </w:tcBorders>
            <w:shd w:fill="F2F2F2" w:val="clear"/>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Bidang inovasi</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Bidang Air Minum dan Sanitasi</w:t>
            </w:r>
          </w:p>
        </w:tc>
      </w:tr>
      <w:tr>
        <w:tc>
          <w:tcPr>
            <w:tcW w:type="dxa" w:w="3109"/>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Tanggal Uji Coba</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Januari 2024</w:t>
            </w:r>
          </w:p>
        </w:tc>
      </w:tr>
      <w:tr>
        <w:tc>
          <w:tcPr>
            <w:tcW w:type="dxa" w:w="3109"/>
            <w:tcBorders>
              <w:top w:val="single" w:color="000000" w:sz="8"/>
              <w:left w:val="single" w:color="000000" w:sz="8"/>
              <w:bottom w:val="single" w:color="000000" w:sz="8"/>
              <w:right w:val="single" w:color="000000" w:sz="8"/>
            </w:tcBorders>
            <w:shd w:fill="F2F2F2" w:val="clear"/>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Tanggal Diterapkan</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Januari 2025</w:t>
            </w:r>
          </w:p>
        </w:tc>
      </w:tr>
      <w:tr>
        <w:tc>
          <w:tcPr>
            <w:tcW w:type="dxa" w:w="3109"/>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Tanggal Pengembangan</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Januari 2026 – Desember 2027</w:t>
            </w:r>
          </w:p>
        </w:tc>
      </w:tr>
    </w:tbl>
    <w:p>
      <w:pPr>
        <w:spacing w:after="200"/>
      </w:pPr>
    </w:p>
    <w:p>
      <w:pPr>
        <w:pStyle w:val="bagian1"/>
        <w:spacing w:after="120" w:before="240"/>
      </w:pPr>
      <w:r>
        <w:rPr>
          <w:rFonts w:ascii="Times New Roman" w:cs="Times New Roman" w:eastAsia="Times New Roman" w:hAnsi="Times New Roman"/>
          <w:b/>
          <w:bCs/>
          <w:sz w:val="24"/>
          <w:szCs w:val="24"/>
        </w:rPr>
        <w:t xml:space="preserve">BAGIAN II :  RANCANG BANGUN INOVASI</w:t>
      </w:r>
    </w:p>
    <w:p>
      <w:pPr>
        <w:pStyle w:val="bagian2"/>
        <w:spacing w:after="80" w:before="200"/>
      </w:pPr>
      <w:r>
        <w:rPr>
          <w:rFonts w:ascii="Times New Roman" w:cs="Times New Roman" w:eastAsia="Times New Roman" w:hAnsi="Times New Roman"/>
          <w:b/>
          <w:bCs/>
          <w:sz w:val="22"/>
          <w:szCs w:val="22"/>
        </w:rPr>
        <w:t xml:space="preserve">Catatan Metodologi Data</w:t>
      </w:r>
    </w:p>
    <w:p>
      <w:pPr>
        <w:spacing w:after="160" w:line="360"/>
        <w:jc w:val="both"/>
      </w:pPr>
      <w:r>
        <w:rPr>
          <w:rFonts w:ascii="Times New Roman" w:cs="Times New Roman" w:eastAsia="Times New Roman" w:hAnsi="Times New Roman"/>
          <w:b w:val="false"/>
          <w:bCs w:val="false"/>
          <w:i w:val="false"/>
          <w:iCs w:val="false"/>
          <w:sz w:val="22"/>
          <w:szCs w:val="22"/>
        </w:rPr>
        <w:t xml:space="preserve">Catatan metodologi data: angka dalam proposal ini bersumber dari data operasional Arumanis per tanggal pengambilan data, telah diverifikasi operator data, dan masih dalam proses harmonisasi arsip multi-sumber sejak 2017. Capaian kuantitatif bersifat progresif seiring penyempurnaan data.</w:t>
      </w:r>
    </w:p>
    <w:p>
      <w:pPr>
        <w:pStyle w:val="bagian2"/>
        <w:spacing w:after="80" w:before="200"/>
      </w:pPr>
      <w:r>
        <w:rPr>
          <w:rFonts w:ascii="Times New Roman" w:cs="Times New Roman" w:eastAsia="Times New Roman" w:hAnsi="Times New Roman"/>
          <w:b/>
          <w:bCs/>
          <w:sz w:val="22"/>
          <w:szCs w:val="22"/>
        </w:rPr>
        <w:t xml:space="preserve">Dasar Hukum</w:t>
      </w:r>
    </w:p>
    <w:p>
      <w:pPr>
        <w:spacing w:after="160" w:line="360"/>
        <w:jc w:val="both"/>
      </w:pPr>
      <w:r>
        <w:rPr>
          <w:rFonts w:ascii="Times New Roman" w:cs="Times New Roman" w:eastAsia="Times New Roman" w:hAnsi="Times New Roman"/>
          <w:b w:val="false"/>
          <w:bCs w:val="false"/>
          <w:i w:val="false"/>
          <w:iCs w:val="false"/>
          <w:sz w:val="22"/>
          <w:szCs w:val="22"/>
        </w:rPr>
        <w:t xml:space="preserve">Inovasi Arumanis berlandaskan Undang-Undang Nomor 17 Tahun 2019 tentang Sumber Daya Air; Undang-Undang Nomor 23 Tahun 2014 tentang Pemerintahan Daerah; Undang-Undang Nomor 11 Tahun 2008 tentang Informasi dan Transaksi Elektronik; Undang-Undang Nomor 14 Tahun 2008 tentang Keterbukaan Informasi Publik; serta Undang-Undang Nomor 18 Tahun 2008 tentang Pengelolaan Sampah (kaitan sanitasi lingkungan).</w:t>
      </w:r>
    </w:p>
    <w:p>
      <w:pPr>
        <w:spacing w:after="160" w:line="360"/>
        <w:jc w:val="both"/>
      </w:pPr>
      <w:r>
        <w:rPr>
          <w:rFonts w:ascii="Times New Roman" w:cs="Times New Roman" w:eastAsia="Times New Roman" w:hAnsi="Times New Roman"/>
          <w:b w:val="false"/>
          <w:bCs w:val="false"/>
          <w:i w:val="false"/>
          <w:iCs w:val="false"/>
          <w:sz w:val="22"/>
          <w:szCs w:val="22"/>
        </w:rPr>
        <w:t xml:space="preserve">Bidang air minum: Peraturan Pemerintah Nomor 16 Tahun 2005 tentang Pengembangan Sistem Penyediaan Air Minum; Permen PUPR Nomor 18/PRT/M/2007 tentang Pedoman Pengembangan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Permen PU Nomor 20 Tahun 2006 tentang Persyaratan Teknis Pengembangan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Bidang sanitasi: Permen PUPR Nomor 14/PRT/M/2014 tentang Penyediaan Air Minum dan Sanitasi Berbasis Masyarakat (PAMSIMAS); Permenkes Nomor 2 Tahun 2023 tentang Standar Pelayanan Minimum Bidang Kesehatan; Permen PUPR Nomor 27/PRT/M/2018 tentang Persyaratan Teknis Pengolahan Air Limbah Domestik.</w:t>
      </w:r>
    </w:p>
    <w:p>
      <w:pPr>
        <w:spacing w:after="160" w:line="360"/>
        <w:jc w:val="both"/>
      </w:pPr>
      <w:r>
        <w:rPr>
          <w:rFonts w:ascii="Times New Roman" w:cs="Times New Roman" w:eastAsia="Times New Roman" w:hAnsi="Times New Roman"/>
          <w:b w:val="false"/>
          <w:bCs w:val="false"/>
          <w:i w:val="false"/>
          <w:iCs w:val="false"/>
          <w:sz w:val="22"/>
          <w:szCs w:val="22"/>
        </w:rPr>
        <w:t xml:space="preserve">Tata kelola </w:t>
      </w:r>
      <w:r>
        <w:rPr>
          <w:rFonts w:ascii="Times New Roman" w:cs="Times New Roman" w:eastAsia="Times New Roman" w:hAnsi="Times New Roman"/>
          <w:b w:val="false"/>
          <w:bCs w:val="false"/>
          <w:i/>
          <w:iCs/>
          <w:sz w:val="22"/>
          <w:szCs w:val="22"/>
        </w:rPr>
        <w:t xml:space="preserve">digital</w:t>
      </w:r>
      <w:r>
        <w:rPr>
          <w:rFonts w:ascii="Times New Roman" w:cs="Times New Roman" w:eastAsia="Times New Roman" w:hAnsi="Times New Roman"/>
          <w:b w:val="false"/>
          <w:bCs w:val="false"/>
          <w:i w:val="false"/>
          <w:iCs w:val="false"/>
          <w:sz w:val="22"/>
          <w:szCs w:val="22"/>
        </w:rPr>
        <w:t xml:space="preserve">: Permendagri Nomor 59 Tahun 2016 tentang Penerapan SPBE; Permendagri Nomor 108 Tahun 2016 tentang Pedoman Evaluasi SPBE. Tingkat daerah: Perda Kab. Cianjur Nomor 14 Tahun 2021 (Perumdam Tirta Mukti); Perda Nomor 1 Tahun 2021 (penyertaan modal); Perda Nomor 18 Tahun 2021 (susunan perangkat daerah); Perbup Nomor 102 Tahun 2021 (tugas-fungsi DPKP); Perbup Nomor 23 Tahun 2020 (RAD PAMSIMAS 2019–2023); RPJMD 2025–2029; Kajian RI</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Kabupaten Cianjur.</w:t>
      </w:r>
    </w:p>
    <w:p>
      <w:pPr>
        <w:pStyle w:val="bagian2"/>
        <w:spacing w:after="80" w:before="200"/>
      </w:pPr>
      <w:r>
        <w:rPr>
          <w:rFonts w:ascii="Times New Roman" w:cs="Times New Roman" w:eastAsia="Times New Roman" w:hAnsi="Times New Roman"/>
          <w:b/>
          <w:bCs/>
          <w:sz w:val="22"/>
          <w:szCs w:val="22"/>
        </w:rPr>
        <w:t xml:space="preserve">Konteks dan Latar Belakang</w:t>
      </w:r>
    </w:p>
    <w:p>
      <w:pPr>
        <w:spacing w:after="160" w:line="360"/>
        <w:jc w:val="both"/>
      </w:pPr>
      <w:r>
        <w:rPr>
          <w:rFonts w:ascii="Times New Roman" w:cs="Times New Roman" w:eastAsia="Times New Roman" w:hAnsi="Times New Roman"/>
          <w:b w:val="false"/>
          <w:bCs w:val="false"/>
          <w:i w:val="false"/>
          <w:iCs w:val="false"/>
          <w:sz w:val="22"/>
          <w:szCs w:val="22"/>
        </w:rPr>
        <w:t xml:space="preserve">Inti inovasi Arumanis adalah aplikasi pemantauan pelaksanaan pekerjaan konstruksi infrastruktur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perdesaan serta pekerjaan sanitasi, khususnya pada bidang pengelolaan air limbah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LD-T,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LD-S, IPLT, dan infrastruktur terkait). Pekerjaan tersebar di 33 kecamatan dan 365 desa/kelurahan Kabupaten Cianjur, dengan pelaksana yang melibatkan dinas, pengawas lapangan, konsultan, kontraktor, dan pengelola desa.</w:t>
      </w:r>
    </w:p>
    <w:p>
      <w:pPr>
        <w:spacing w:after="160" w:line="360"/>
        <w:jc w:val="both"/>
      </w:pPr>
      <w:r>
        <w:rPr>
          <w:rFonts w:ascii="Times New Roman" w:cs="Times New Roman" w:eastAsia="Times New Roman" w:hAnsi="Times New Roman"/>
          <w:b w:val="false"/>
          <w:bCs w:val="false"/>
          <w:i w:val="false"/>
          <w:iCs w:val="false"/>
          <w:sz w:val="22"/>
          <w:szCs w:val="22"/>
        </w:rPr>
        <w:t xml:space="preserve">Sebelum Arumanis, pemantauan progres fisik, keuangan, dan dokumentasi lapangan banyak dilakukan secara manual. Laporan konstruksi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dan sanitasi kerap dikirim melalui berkas </w:t>
      </w:r>
      <w:r>
        <w:rPr>
          <w:rFonts w:ascii="Times New Roman" w:cs="Times New Roman" w:eastAsia="Times New Roman" w:hAnsi="Times New Roman"/>
          <w:b w:val="false"/>
          <w:bCs w:val="false"/>
          <w:i/>
          <w:iCs/>
          <w:sz w:val="22"/>
          <w:szCs w:val="22"/>
        </w:rPr>
        <w:t xml:space="preserve">Excel</w:t>
      </w:r>
      <w:r>
        <w:rPr>
          <w:rFonts w:ascii="Times New Roman" w:cs="Times New Roman" w:eastAsia="Times New Roman" w:hAnsi="Times New Roman"/>
          <w:b w:val="false"/>
          <w:bCs w:val="false"/>
          <w:i w:val="false"/>
          <w:iCs w:val="false"/>
          <w:sz w:val="22"/>
          <w:szCs w:val="22"/>
        </w:rPr>
        <w:t xml:space="preserve">, dokumen cetak, atau pesan instan tanpa arsip terpusat. Penyimpangan pekerjaan—misalnya keterlambatan progres fisik, ketidaksesuaian hasil, atau kekurangan dokumentasi—baru terdeteksi setelah periode pelaporan berakhir.</w:t>
      </w:r>
    </w:p>
    <w:p>
      <w:pPr>
        <w:spacing w:after="160" w:line="360"/>
        <w:jc w:val="both"/>
      </w:pPr>
      <w:r>
        <w:rPr>
          <w:rFonts w:ascii="Times New Roman" w:cs="Times New Roman" w:eastAsia="Times New Roman" w:hAnsi="Times New Roman"/>
          <w:b w:val="false"/>
          <w:bCs w:val="false"/>
          <w:i w:val="false"/>
          <w:iCs w:val="false"/>
          <w:sz w:val="22"/>
          <w:szCs w:val="22"/>
        </w:rPr>
        <w:t xml:space="preserve">Di luar fungsi pemantauan konstruksi, Arumanis menyajikan rek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tulasi capaian Standar Pelayanan Minimum (SPM), peta per desa, laporan siap unduh, statistik pengawas, dan informasi terbuka bagi masyarakat—diperbarui langsung tanpa menunggu rekap manual. Data terhimpun dari berbagai sumber sejak 2017; jejak capaian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tertua tahun 2009 dari arsip historis.</w:t>
      </w:r>
    </w:p>
    <w:p>
      <w:pPr>
        <w:pStyle w:val="bagian2"/>
        <w:spacing w:after="80" w:before="200"/>
      </w:pPr>
      <w:r>
        <w:rPr>
          <w:rFonts w:ascii="Times New Roman" w:cs="Times New Roman" w:eastAsia="Times New Roman" w:hAnsi="Times New Roman"/>
          <w:b/>
          <w:bCs/>
          <w:sz w:val="22"/>
          <w:szCs w:val="22"/>
        </w:rPr>
        <w:t xml:space="preserve">Dampak Sistem versus Capaian Layanan Fisik</w:t>
      </w:r>
    </w:p>
    <w:p>
      <w:pPr>
        <w:spacing w:after="160" w:line="360"/>
        <w:jc w:val="both"/>
      </w:pPr>
      <w:r>
        <w:rPr>
          <w:rFonts w:ascii="Times New Roman" w:cs="Times New Roman" w:eastAsia="Times New Roman" w:hAnsi="Times New Roman"/>
          <w:b w:val="false"/>
          <w:bCs w:val="false"/>
          <w:i w:val="false"/>
          <w:iCs w:val="false"/>
          <w:sz w:val="22"/>
          <w:szCs w:val="22"/>
        </w:rPr>
        <w:t xml:space="preserve">Penting dibedakan: (A) capaian layanan fisik air minum dan sanitasi di wilayah—bergantung pada pembangunan infrastruktur dan anggaran jangka panjang; serta (B) capaian sistem Arumanis—kemampuan memantau, merek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tulasi, dan mempublikasikan data secara terukur. Penilaian inovasi LIDA mengacu pada (B), sementara angka (A) menjadi dasar perencanaan intervensi.</w:t>
      </w:r>
    </w:p>
    <w:p>
      <w:pPr>
        <w:spacing w:after="160" w:line="360"/>
        <w:jc w:val="both"/>
      </w:pPr>
      <w:r>
        <w:rPr>
          <w:rFonts w:ascii="Times New Roman" w:cs="Times New Roman" w:eastAsia="Times New Roman" w:hAnsi="Times New Roman"/>
          <w:b w:val="false"/>
          <w:bCs w:val="false"/>
          <w:i w:val="false"/>
          <w:iCs w:val="false"/>
          <w:sz w:val="22"/>
          <w:szCs w:val="22"/>
        </w:rPr>
        <w:t xml:space="preserve">Capaian layanan fisik Standar Pelayanan Minimum (SPM) per 29 Juni 2026: air minum 53.206 KK / 266.020 jiwa (13,25% dari target 534.952 KK); sanitasi 9.645 KK / 48.225 jiwa (1,90% dari target 507.000 KK).</w:t>
      </w:r>
    </w:p>
    <w:p>
      <w:pPr>
        <w:spacing w:after="160" w:line="360"/>
        <w:jc w:val="both"/>
      </w:pPr>
      <w:r>
        <w:rPr>
          <w:rFonts w:ascii="Times New Roman" w:cs="Times New Roman" w:eastAsia="Times New Roman" w:hAnsi="Times New Roman"/>
          <w:b w:val="false"/>
          <w:bCs w:val="false"/>
          <w:i w:val="false"/>
          <w:iCs w:val="false"/>
          <w:sz w:val="22"/>
          <w:szCs w:val="22"/>
        </w:rPr>
        <w:t xml:space="preserve">Capaian sistem Arumanis per 29 Juni 2026: 558 paket pekerjaan terpantau, rek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tulasi Standar Pelayanan Minimum (SPM) kurang dari 1 hari (sebelumnya 5–10 hari), 29 pengawas aktif dengan laporan mingguan terstruktur, 6.453 foto dokumentasi terarsip, 364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terdata </w:t>
      </w:r>
      <w:r>
        <w:rPr>
          <w:rFonts w:ascii="Times New Roman" w:cs="Times New Roman" w:eastAsia="Times New Roman" w:hAnsi="Times New Roman"/>
          <w:b w:val="false"/>
          <w:bCs w:val="false"/>
          <w:i/>
          <w:iCs/>
          <w:sz w:val="22"/>
          <w:szCs w:val="22"/>
        </w:rPr>
        <w:t xml:space="preserve">digital</w:t>
      </w:r>
      <w:r>
        <w:rPr>
          <w:rFonts w:ascii="Times New Roman" w:cs="Times New Roman" w:eastAsia="Times New Roman" w:hAnsi="Times New Roman"/>
          <w:b w:val="false"/>
          <w:bCs w:val="false"/>
          <w:i w:val="false"/>
          <w:iCs w:val="false"/>
          <w:sz w:val="22"/>
          <w:szCs w:val="22"/>
        </w:rPr>
        <w:t xml:space="preserve">, peta capaian 365 desa dapat diakses masyarakat tanpa pendaftaran.</w:t>
      </w:r>
    </w:p>
    <w:p>
      <w:pPr>
        <w:spacing w:after="160" w:line="360"/>
        <w:jc w:val="both"/>
      </w:pPr>
      <w:r>
        <w:rPr>
          <w:rFonts w:ascii="Times New Roman" w:cs="Times New Roman" w:eastAsia="Times New Roman" w:hAnsi="Times New Roman"/>
          <w:b w:val="false"/>
          <w:bCs w:val="false"/>
          <w:i w:val="false"/>
          <w:iCs w:val="false"/>
          <w:sz w:val="22"/>
          <w:szCs w:val="22"/>
        </w:rPr>
        <w:t xml:space="preserve">Inventaris terintegrasi: 558 pekerjaan, 364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162 infrastruktur sanitasi. Urgensi </w:t>
      </w:r>
      <w:r>
        <w:rPr>
          <w:rFonts w:ascii="Times New Roman" w:cs="Times New Roman" w:eastAsia="Times New Roman" w:hAnsi="Times New Roman"/>
          <w:b w:val="false"/>
          <w:bCs w:val="false"/>
          <w:i/>
          <w:iCs/>
          <w:sz w:val="22"/>
          <w:szCs w:val="22"/>
        </w:rPr>
        <w:t xml:space="preserve">gap</w:t>
      </w:r>
      <w:r>
        <w:rPr>
          <w:rFonts w:ascii="Times New Roman" w:cs="Times New Roman" w:eastAsia="Times New Roman" w:hAnsi="Times New Roman"/>
          <w:b w:val="false"/>
          <w:bCs w:val="false"/>
          <w:i w:val="false"/>
          <w:iCs w:val="false"/>
          <w:sz w:val="22"/>
          <w:szCs w:val="22"/>
        </w:rPr>
        <w:t xml:space="preserve"> layanan fisik: 481.746 KK belum terlayani air minum; 497.355 KK belum memanfaatkan sanitasi layak; 261 desa belum berinfrastruktur terpetakan.</w:t>
      </w:r>
    </w:p>
    <w:p>
      <w:pPr>
        <w:spacing w:after="160" w:line="360"/>
        <w:jc w:val="both"/>
      </w:pPr>
      <w:r>
        <w:rPr>
          <w:rFonts w:ascii="Times New Roman" w:cs="Times New Roman" w:eastAsia="Times New Roman" w:hAnsi="Times New Roman"/>
          <w:b w:val="false"/>
          <w:bCs w:val="false"/>
          <w:i w:val="false"/>
          <w:iCs w:val="false"/>
          <w:sz w:val="22"/>
          <w:szCs w:val="22"/>
        </w:rPr>
        <w:t xml:space="preserve">Peta anggaran terhimpun: air minum Rp 91,47 miliar, sanitasi Rp 63,30 miliar, pekerjaan Rp 95,28 miliar (466 kontrak), pengawasan Rp 14,46 miliar.</w:t>
      </w:r>
    </w:p>
    <w:p>
      <w:pPr>
        <w:pStyle w:val="bagian2"/>
        <w:spacing w:after="80" w:before="200"/>
      </w:pPr>
      <w:r>
        <w:rPr>
          <w:rFonts w:ascii="Times New Roman" w:cs="Times New Roman" w:eastAsia="Times New Roman" w:hAnsi="Times New Roman"/>
          <w:b/>
          <w:bCs/>
          <w:sz w:val="22"/>
          <w:szCs w:val="22"/>
        </w:rPr>
        <w:t xml:space="preserve">Rekapitulasi Data Terhimpun</w:t>
      </w:r>
    </w:p>
    <w:p>
      <w:pPr>
        <w:spacing w:after="160" w:line="360"/>
        <w:jc w:val="both"/>
      </w:pPr>
      <w:r>
        <w:rPr>
          <w:rFonts w:ascii="Times New Roman" w:cs="Times New Roman" w:eastAsia="Times New Roman" w:hAnsi="Times New Roman"/>
          <w:b w:val="false"/>
          <w:bCs w:val="false"/>
          <w:i w:val="false"/>
          <w:iCs w:val="false"/>
          <w:sz w:val="22"/>
          <w:szCs w:val="22"/>
        </w:rPr>
        <w:t xml:space="preserve">Arumanis telah menghimpun data operasional dari berbagai sumber. Proses sinkronisasi resmi dimulai sejak 2017, namun impor capaian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memuat jejak historis hingga tahun 2009.</w:t>
      </w:r>
    </w:p>
    <w:p>
      <w:pPr>
        <w:spacing w:after="160" w:line="360"/>
        <w:jc w:val="both"/>
      </w:pPr>
      <w:r>
        <w:rPr>
          <w:rFonts w:ascii="Times New Roman" w:cs="Times New Roman" w:eastAsia="Times New Roman" w:hAnsi="Times New Roman"/>
          <w:b w:val="false"/>
          <w:bCs w:val="false"/>
          <w:i w:val="false"/>
          <w:iCs w:val="false"/>
          <w:sz w:val="22"/>
          <w:szCs w:val="22"/>
        </w:rPr>
        <w:t xml:space="preserve">Capaian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per tahun: tahun 2009 (1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1 unit, 218 KK / 1.088 jiwa); tahun 2014 (1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1 unit, 215 KK / 1.075 jiwa); tahun 2020 (63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63 unit, 13.125 KK / 65.607 jiwa); tahun 2021 (59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59 unit, 10.696 KK / 53.433 jiwa); tahun 2022 (61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61 unit, 10.312 KK / 51.546 jiwa); tahun 2023 (55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55 unit, 5.920 KK / 29.601 jiwa); tahun 2024 (192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192 unit, 5.093 KK / 25.479 jiwa); tahun 2025 (71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71 unit, 7.552 KK / 37.828 jiwa); tahun 2026 (5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5 unit, 75 KK / 363 jiwa).</w:t>
      </w:r>
    </w:p>
    <w:p>
      <w:pPr>
        <w:spacing w:after="160" w:line="360"/>
        <w:jc w:val="both"/>
      </w:pPr>
      <w:r>
        <w:rPr>
          <w:rFonts w:ascii="Times New Roman" w:cs="Times New Roman" w:eastAsia="Times New Roman" w:hAnsi="Times New Roman"/>
          <w:b w:val="false"/>
          <w:bCs w:val="false"/>
          <w:i w:val="false"/>
          <w:iCs w:val="false"/>
          <w:sz w:val="22"/>
          <w:szCs w:val="22"/>
        </w:rPr>
        <w:t xml:space="preserve">Pemantauan pekerjaan konstruksi per tahun anggaran: 2024: 183 pekerjaan, 145 kontrak, pagu Rp 31,32 miliar; 2025: 241 pekerjaan, 225 kontrak, pagu Rp 48,19 miliar; 2026: 134 pekerjaan, 96 kontrak, pagu Rp 15,76 miliar. Total kumulatif: 558 pekerjaan, 241 hasil fisik, 1.381 penerima manfaat, pagu Rp 95,28 miliar.</w:t>
      </w:r>
    </w:p>
    <w:p>
      <w:pPr>
        <w:pStyle w:val="bagian2"/>
        <w:spacing w:after="80" w:before="200"/>
      </w:pPr>
      <w:r>
        <w:rPr>
          <w:rFonts w:ascii="Times New Roman" w:cs="Times New Roman" w:eastAsia="Times New Roman" w:hAnsi="Times New Roman"/>
          <w:b/>
          <w:bCs/>
          <w:sz w:val="22"/>
          <w:szCs w:val="22"/>
        </w:rPr>
        <w:t xml:space="preserve">Statistik dan Visualisasi Data</w:t>
      </w:r>
    </w:p>
    <w:p>
      <w:pPr>
        <w:spacing w:after="160" w:line="360"/>
        <w:jc w:val="both"/>
      </w:pPr>
      <w:r>
        <w:rPr>
          <w:rFonts w:ascii="Times New Roman" w:cs="Times New Roman" w:eastAsia="Times New Roman" w:hAnsi="Times New Roman"/>
          <w:b w:val="false"/>
          <w:bCs w:val="false"/>
          <w:i w:val="false"/>
          <w:iCs w:val="false"/>
          <w:sz w:val="22"/>
          <w:szCs w:val="22"/>
        </w:rPr>
        <w:t xml:space="preserve">Visualisasi berikut disusun dari data operasional Arumanis untuk memperjelas tren pelaksanaan dan dampak sistem. Diagram batang disajikan dalam format tabel agar tetap terbaca pada dokumen cetak.</w:t>
      </w:r>
    </w:p>
    <w:p>
      <w:pPr>
        <w:pStyle w:val="bagian3"/>
        <w:spacing w:after="60" w:before="160"/>
      </w:pPr>
      <w:r>
        <w:rPr>
          <w:rFonts w:ascii="Times New Roman" w:cs="Times New Roman" w:eastAsia="Times New Roman" w:hAnsi="Times New Roman"/>
          <w:b/>
          <w:bCs/>
          <w:sz w:val="22"/>
          <w:szCs w:val="22"/>
        </w:rPr>
        <w:t xml:space="preserve">Grafik 1. Tren pekerjaan konstruksi per tahun anggaran</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2800"/>
        <w:gridCol w:w="6580"/>
      </w:tblGrid>
      <w:tr>
        <w:tc>
          <w:tcPr>
            <w:tcW w:type="dxa" w:w="28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Tahun</w:t>
            </w:r>
          </w:p>
        </w:tc>
        <w:tc>
          <w:tcPr>
            <w:tcW w:type="dxa" w:w="658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Distribusi</w:t>
            </w:r>
          </w:p>
        </w:tc>
      </w:tr>
      <w:tr>
        <w:tc>
          <w:tcPr>
            <w:tcW w:type="dxa" w:w="28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Tahun 2024</w:t>
            </w:r>
          </w:p>
        </w:tc>
        <w:tc>
          <w:tcPr>
            <w:tcW w:type="dxa" w:w="658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6580"/>
              <w:tblBorders>
                <w:top w:val="single" w:color="auto" w:sz="4"/>
                <w:left w:val="single" w:color="auto" w:sz="4"/>
                <w:bottom w:val="single" w:color="auto" w:sz="4"/>
                <w:right w:val="single" w:color="auto" w:sz="4"/>
                <w:insideH w:val="single" w:color="auto" w:sz="4"/>
                <w:insideV w:val="single" w:color="auto" w:sz="4"/>
              </w:tblBorders>
            </w:tblPr>
            <w:tblGrid>
              <w:gridCol w:w="5001"/>
              <w:gridCol w:w="1579"/>
            </w:tblGrid>
            <w:tr>
              <w:tc>
                <w:tcPr>
                  <w:shd w:fill="2E75B6"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183 paket</w:t>
                  </w:r>
                </w:p>
              </w:tc>
              <w:tc>
                <w:p/>
              </w:tc>
            </w:tr>
          </w:tbl>
          <w:p/>
        </w:tc>
      </w:tr>
      <w:tr>
        <w:tc>
          <w:tcPr>
            <w:tcW w:type="dxa" w:w="28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Tahun 2025</w:t>
            </w:r>
          </w:p>
        </w:tc>
        <w:tc>
          <w:tcPr>
            <w:tcW w:type="dxa" w:w="658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6580"/>
              <w:tblBorders>
                <w:top w:val="single" w:color="auto" w:sz="4"/>
                <w:left w:val="single" w:color="auto" w:sz="4"/>
                <w:bottom w:val="single" w:color="auto" w:sz="4"/>
                <w:right w:val="single" w:color="auto" w:sz="4"/>
                <w:insideH w:val="single" w:color="auto" w:sz="4"/>
                <w:insideV w:val="single" w:color="auto" w:sz="4"/>
              </w:tblBorders>
            </w:tblPr>
            <w:tblGrid>
              <w:gridCol w:w="6580"/>
              <w:gridCol w:w="200"/>
            </w:tblGrid>
            <w:tr>
              <w:tc>
                <w:tcPr>
                  <w:shd w:fill="2E75B6"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241 paket</w:t>
                  </w:r>
                </w:p>
              </w:tc>
              <w:tc>
                <w:p/>
              </w:tc>
            </w:tr>
          </w:tbl>
          <w:p/>
        </w:tc>
      </w:tr>
      <w:tr>
        <w:tc>
          <w:tcPr>
            <w:tcW w:type="dxa" w:w="28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Tahun 2026</w:t>
            </w:r>
          </w:p>
        </w:tc>
        <w:tc>
          <w:tcPr>
            <w:tcW w:type="dxa" w:w="658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6580"/>
              <w:tblBorders>
                <w:top w:val="single" w:color="auto" w:sz="4"/>
                <w:left w:val="single" w:color="auto" w:sz="4"/>
                <w:bottom w:val="single" w:color="auto" w:sz="4"/>
                <w:right w:val="single" w:color="auto" w:sz="4"/>
                <w:insideH w:val="single" w:color="auto" w:sz="4"/>
                <w:insideV w:val="single" w:color="auto" w:sz="4"/>
              </w:tblBorders>
            </w:tblPr>
            <w:tblGrid>
              <w:gridCol w:w="3685"/>
              <w:gridCol w:w="2895"/>
            </w:tblGrid>
            <w:tr>
              <w:tc>
                <w:tcPr>
                  <w:shd w:fill="2E75B6"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134 paket</w:t>
                  </w:r>
                </w:p>
              </w:tc>
              <w:tc>
                <w:p/>
              </w:tc>
            </w:tr>
          </w:tbl>
          <w:p/>
        </w:tc>
      </w:tr>
    </w:tbl>
    <w:p>
      <w:pPr>
        <w:spacing w:after="160"/>
      </w:pPr>
    </w:p>
    <w:p>
      <w:pPr>
        <w:pStyle w:val="bagian3"/>
        <w:spacing w:after="60" w:before="160"/>
      </w:pPr>
      <w:r>
        <w:rPr>
          <w:rFonts w:ascii="Times New Roman" w:cs="Times New Roman" w:eastAsia="Times New Roman" w:hAnsi="Times New Roman"/>
          <w:b/>
          <w:bCs/>
          <w:sz w:val="22"/>
          <w:szCs w:val="22"/>
        </w:rPr>
        <w:t xml:space="preserve">Grafik 2. Lima kecamatan dengan pekerjaan terbanyak</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2800"/>
        <w:gridCol w:w="6580"/>
      </w:tblGrid>
      <w:tr>
        <w:tc>
          <w:tcPr>
            <w:tcW w:type="dxa" w:w="28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Kecamatan</w:t>
            </w:r>
          </w:p>
        </w:tc>
        <w:tc>
          <w:tcPr>
            <w:tcW w:type="dxa" w:w="658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Distribusi</w:t>
            </w:r>
          </w:p>
        </w:tc>
      </w:tr>
      <w:tr>
        <w:tc>
          <w:tcPr>
            <w:tcW w:type="dxa" w:w="28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Karangtengah</w:t>
            </w:r>
          </w:p>
        </w:tc>
        <w:tc>
          <w:tcPr>
            <w:tcW w:type="dxa" w:w="658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6580"/>
              <w:tblBorders>
                <w:top w:val="single" w:color="auto" w:sz="4"/>
                <w:left w:val="single" w:color="auto" w:sz="4"/>
                <w:bottom w:val="single" w:color="auto" w:sz="4"/>
                <w:right w:val="single" w:color="auto" w:sz="4"/>
                <w:insideH w:val="single" w:color="auto" w:sz="4"/>
                <w:insideV w:val="single" w:color="auto" w:sz="4"/>
              </w:tblBorders>
            </w:tblPr>
            <w:tblGrid>
              <w:gridCol w:w="6580"/>
              <w:gridCol w:w="200"/>
            </w:tblGrid>
            <w:tr>
              <w:tc>
                <w:tcPr>
                  <w:shd w:fill="4472C4"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50 paket</w:t>
                  </w:r>
                </w:p>
              </w:tc>
              <w:tc>
                <w:p/>
              </w:tc>
            </w:tr>
          </w:tbl>
          <w:p/>
        </w:tc>
      </w:tr>
      <w:tr>
        <w:tc>
          <w:tcPr>
            <w:tcW w:type="dxa" w:w="28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Cipanas</w:t>
            </w:r>
          </w:p>
        </w:tc>
        <w:tc>
          <w:tcPr>
            <w:tcW w:type="dxa" w:w="658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6580"/>
              <w:tblBorders>
                <w:top w:val="single" w:color="auto" w:sz="4"/>
                <w:left w:val="single" w:color="auto" w:sz="4"/>
                <w:bottom w:val="single" w:color="auto" w:sz="4"/>
                <w:right w:val="single" w:color="auto" w:sz="4"/>
                <w:insideH w:val="single" w:color="auto" w:sz="4"/>
                <w:insideV w:val="single" w:color="auto" w:sz="4"/>
              </w:tblBorders>
            </w:tblPr>
            <w:tblGrid>
              <w:gridCol w:w="4606"/>
              <w:gridCol w:w="1974"/>
            </w:tblGrid>
            <w:tr>
              <w:tc>
                <w:tcPr>
                  <w:shd w:fill="5B9BD5"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35 paket</w:t>
                  </w:r>
                </w:p>
              </w:tc>
              <w:tc>
                <w:p/>
              </w:tc>
            </w:tr>
          </w:tbl>
          <w:p/>
        </w:tc>
      </w:tr>
      <w:tr>
        <w:tc>
          <w:tcPr>
            <w:tcW w:type="dxa" w:w="28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Cianjur</w:t>
            </w:r>
          </w:p>
        </w:tc>
        <w:tc>
          <w:tcPr>
            <w:tcW w:type="dxa" w:w="658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6580"/>
              <w:tblBorders>
                <w:top w:val="single" w:color="auto" w:sz="4"/>
                <w:left w:val="single" w:color="auto" w:sz="4"/>
                <w:bottom w:val="single" w:color="auto" w:sz="4"/>
                <w:right w:val="single" w:color="auto" w:sz="4"/>
                <w:insideH w:val="single" w:color="auto" w:sz="4"/>
                <w:insideV w:val="single" w:color="auto" w:sz="4"/>
              </w:tblBorders>
            </w:tblPr>
            <w:tblGrid>
              <w:gridCol w:w="4343"/>
              <w:gridCol w:w="2237"/>
            </w:tblGrid>
            <w:tr>
              <w:tc>
                <w:tcPr>
                  <w:shd w:fill="70AD47"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33 paket</w:t>
                  </w:r>
                </w:p>
              </w:tc>
              <w:tc>
                <w:p/>
              </w:tc>
            </w:tr>
          </w:tbl>
          <w:p/>
        </w:tc>
      </w:tr>
      <w:tr>
        <w:tc>
          <w:tcPr>
            <w:tcW w:type="dxa" w:w="28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Mande</w:t>
            </w:r>
          </w:p>
        </w:tc>
        <w:tc>
          <w:tcPr>
            <w:tcW w:type="dxa" w:w="658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6580"/>
              <w:tblBorders>
                <w:top w:val="single" w:color="auto" w:sz="4"/>
                <w:left w:val="single" w:color="auto" w:sz="4"/>
                <w:bottom w:val="single" w:color="auto" w:sz="4"/>
                <w:right w:val="single" w:color="auto" w:sz="4"/>
                <w:insideH w:val="single" w:color="auto" w:sz="4"/>
                <w:insideV w:val="single" w:color="auto" w:sz="4"/>
              </w:tblBorders>
            </w:tblPr>
            <w:tblGrid>
              <w:gridCol w:w="4080"/>
              <w:gridCol w:w="2500"/>
            </w:tblGrid>
            <w:tr>
              <w:tc>
                <w:tcPr>
                  <w:shd w:fill="ED7D31"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31 paket</w:t>
                  </w:r>
                </w:p>
              </w:tc>
              <w:tc>
                <w:p/>
              </w:tc>
            </w:tr>
          </w:tbl>
          <w:p/>
        </w:tc>
      </w:tr>
      <w:tr>
        <w:tc>
          <w:tcPr>
            <w:tcW w:type="dxa" w:w="28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Naringgul</w:t>
            </w:r>
          </w:p>
        </w:tc>
        <w:tc>
          <w:tcPr>
            <w:tcW w:type="dxa" w:w="658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6580"/>
              <w:tblBorders>
                <w:top w:val="single" w:color="auto" w:sz="4"/>
                <w:left w:val="single" w:color="auto" w:sz="4"/>
                <w:bottom w:val="single" w:color="auto" w:sz="4"/>
                <w:right w:val="single" w:color="auto" w:sz="4"/>
                <w:insideH w:val="single" w:color="auto" w:sz="4"/>
                <w:insideV w:val="single" w:color="auto" w:sz="4"/>
              </w:tblBorders>
            </w:tblPr>
            <w:tblGrid>
              <w:gridCol w:w="3027"/>
              <w:gridCol w:w="3553"/>
            </w:tblGrid>
            <w:tr>
              <w:tc>
                <w:tcPr>
                  <w:shd w:fill="A5A5A5"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23 paket</w:t>
                  </w:r>
                </w:p>
              </w:tc>
              <w:tc>
                <w:p/>
              </w:tc>
            </w:tr>
          </w:tbl>
          <w:p/>
        </w:tc>
      </w:tr>
    </w:tbl>
    <w:p>
      <w:pPr>
        <w:spacing w:after="160"/>
      </w:pPr>
    </w:p>
    <w:p>
      <w:pPr>
        <w:pStyle w:val="bagian3"/>
        <w:spacing w:after="60" w:before="160"/>
      </w:pPr>
      <w:r>
        <w:rPr>
          <w:rFonts w:ascii="Times New Roman" w:cs="Times New Roman" w:eastAsia="Times New Roman" w:hAnsi="Times New Roman"/>
          <w:b/>
          <w:bCs/>
          <w:sz w:val="22"/>
          <w:szCs w:val="22"/>
        </w:rPr>
        <w:t xml:space="preserve">Grafik 3. Kegiatan per sumber dana</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2800"/>
        <w:gridCol w:w="6580"/>
      </w:tblGrid>
      <w:tr>
        <w:tc>
          <w:tcPr>
            <w:tcW w:type="dxa" w:w="28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Sumber dana</w:t>
            </w:r>
          </w:p>
        </w:tc>
        <w:tc>
          <w:tcPr>
            <w:tcW w:type="dxa" w:w="658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Distribusi</w:t>
            </w:r>
          </w:p>
        </w:tc>
      </w:tr>
      <w:tr>
        <w:tc>
          <w:tcPr>
            <w:tcW w:type="dxa" w:w="28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DAK</w:t>
            </w:r>
          </w:p>
        </w:tc>
        <w:tc>
          <w:tcPr>
            <w:tcW w:type="dxa" w:w="658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6580"/>
              <w:tblBorders>
                <w:top w:val="single" w:color="auto" w:sz="4"/>
                <w:left w:val="single" w:color="auto" w:sz="4"/>
                <w:bottom w:val="single" w:color="auto" w:sz="4"/>
                <w:right w:val="single" w:color="auto" w:sz="4"/>
                <w:insideH w:val="single" w:color="auto" w:sz="4"/>
                <w:insideV w:val="single" w:color="auto" w:sz="4"/>
              </w:tblBorders>
            </w:tblPr>
            <w:tblGrid>
              <w:gridCol w:w="1974"/>
              <w:gridCol w:w="4606"/>
            </w:tblGrid>
            <w:tr>
              <w:tc>
                <w:tcPr>
                  <w:shd w:fill="548235"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3 kegiatan</w:t>
                  </w:r>
                </w:p>
              </w:tc>
              <w:tc>
                <w:p/>
              </w:tc>
            </w:tr>
          </w:tbl>
          <w:p/>
        </w:tc>
      </w:tr>
      <w:tr>
        <w:tc>
          <w:tcPr>
            <w:tcW w:type="dxa" w:w="28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APBD</w:t>
            </w:r>
          </w:p>
        </w:tc>
        <w:tc>
          <w:tcPr>
            <w:tcW w:type="dxa" w:w="658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6580"/>
              <w:tblBorders>
                <w:top w:val="single" w:color="auto" w:sz="4"/>
                <w:left w:val="single" w:color="auto" w:sz="4"/>
                <w:bottom w:val="single" w:color="auto" w:sz="4"/>
                <w:right w:val="single" w:color="auto" w:sz="4"/>
                <w:insideH w:val="single" w:color="auto" w:sz="4"/>
                <w:insideV w:val="single" w:color="auto" w:sz="4"/>
              </w:tblBorders>
            </w:tblPr>
            <w:tblGrid>
              <w:gridCol w:w="6580"/>
              <w:gridCol w:w="200"/>
            </w:tblGrid>
            <w:tr>
              <w:tc>
                <w:tcPr>
                  <w:shd w:fill="548235"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10 kegiatan</w:t>
                  </w:r>
                </w:p>
              </w:tc>
              <w:tc>
                <w:p/>
              </w:tc>
            </w:tr>
          </w:tbl>
          <w:p/>
        </w:tc>
      </w:tr>
      <w:tr>
        <w:tc>
          <w:tcPr>
            <w:tcW w:type="dxa" w:w="28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DAU</w:t>
            </w:r>
          </w:p>
        </w:tc>
        <w:tc>
          <w:tcPr>
            <w:tcW w:type="dxa" w:w="658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6580"/>
              <w:tblBorders>
                <w:top w:val="single" w:color="auto" w:sz="4"/>
                <w:left w:val="single" w:color="auto" w:sz="4"/>
                <w:bottom w:val="single" w:color="auto" w:sz="4"/>
                <w:right w:val="single" w:color="auto" w:sz="4"/>
                <w:insideH w:val="single" w:color="auto" w:sz="4"/>
                <w:insideV w:val="single" w:color="auto" w:sz="4"/>
              </w:tblBorders>
            </w:tblPr>
            <w:tblGrid>
              <w:gridCol w:w="2632"/>
              <w:gridCol w:w="3948"/>
            </w:tblGrid>
            <w:tr>
              <w:tc>
                <w:tcPr>
                  <w:shd w:fill="548235"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4 kegiatan</w:t>
                  </w:r>
                </w:p>
              </w:tc>
              <w:tc>
                <w:p/>
              </w:tc>
            </w:tr>
          </w:tbl>
          <w:p/>
        </w:tc>
      </w:tr>
      <w:tr>
        <w:tc>
          <w:tcPr>
            <w:tcW w:type="dxa" w:w="28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PAD</w:t>
            </w:r>
          </w:p>
        </w:tc>
        <w:tc>
          <w:tcPr>
            <w:tcW w:type="dxa" w:w="658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6580"/>
              <w:tblBorders>
                <w:top w:val="single" w:color="auto" w:sz="4"/>
                <w:left w:val="single" w:color="auto" w:sz="4"/>
                <w:bottom w:val="single" w:color="auto" w:sz="4"/>
                <w:right w:val="single" w:color="auto" w:sz="4"/>
                <w:insideH w:val="single" w:color="auto" w:sz="4"/>
                <w:insideV w:val="single" w:color="auto" w:sz="4"/>
              </w:tblBorders>
            </w:tblPr>
            <w:tblGrid>
              <w:gridCol w:w="1974"/>
              <w:gridCol w:w="4606"/>
            </w:tblGrid>
            <w:tr>
              <w:tc>
                <w:tcPr>
                  <w:shd w:fill="548235"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3 kegiatan</w:t>
                  </w:r>
                </w:p>
              </w:tc>
              <w:tc>
                <w:p/>
              </w:tc>
            </w:tr>
          </w:tbl>
          <w:p/>
        </w:tc>
      </w:tr>
    </w:tbl>
    <w:p>
      <w:pPr>
        <w:spacing w:after="160"/>
      </w:pPr>
    </w:p>
    <w:p>
      <w:pPr>
        <w:pStyle w:val="bagian3"/>
        <w:spacing w:after="60" w:before="160"/>
      </w:pPr>
      <w:r>
        <w:rPr>
          <w:rFonts w:ascii="Times New Roman" w:cs="Times New Roman" w:eastAsia="Times New Roman" w:hAnsi="Times New Roman"/>
          <w:b/>
          <w:bCs/>
          <w:sz w:val="22"/>
          <w:szCs w:val="22"/>
        </w:rPr>
        <w:t xml:space="preserve">Grafik 4. Perbandingan dampak sistem (sebelum vs sesudah Arumanis)</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4180"/>
      </w:tblGrid>
      <w:tr>
        <w:tc>
          <w:tcPr>
            <w:tcW w:type="dxa" w:w="30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Indikator</w:t>
            </w:r>
          </w:p>
        </w:tc>
        <w:tc>
          <w:tcPr>
            <w:tcW w:type="dxa" w:w="11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Sebelum</w:t>
            </w:r>
          </w:p>
        </w:tc>
        <w:tc>
          <w:tcPr>
            <w:tcW w:type="dxa" w:w="11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Sesudah</w:t>
            </w:r>
          </w:p>
        </w:tc>
        <w:tc>
          <w:tcPr>
            <w:tcW w:type="dxa" w:w="418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Perbandingan visual</w:t>
            </w:r>
          </w:p>
        </w:tc>
      </w:tr>
      <w:tr>
        <w:tc>
          <w:tcPr>
            <w:tcW w:type="dxa" w:w="30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Waktu rek</w:t>
            </w:r>
            <w:r>
              <w:rPr>
                <w:rFonts w:ascii="Times New Roman" w:cs="Times New Roman" w:eastAsia="Times New Roman" w:hAnsi="Times New Roman"/>
                <w:b w:val="false"/>
                <w:bCs w:val="false"/>
                <w:i/>
                <w:iCs/>
                <w:sz w:val="20"/>
                <w:szCs w:val="20"/>
              </w:rPr>
              <w:t xml:space="preserve">api</w:t>
            </w:r>
            <w:r>
              <w:rPr>
                <w:rFonts w:ascii="Times New Roman" w:cs="Times New Roman" w:eastAsia="Times New Roman" w:hAnsi="Times New Roman"/>
                <w:b w:val="false"/>
                <w:bCs w:val="false"/>
                <w:i w:val="false"/>
                <w:iCs w:val="false"/>
                <w:sz w:val="20"/>
                <w:szCs w:val="20"/>
              </w:rPr>
              <w:t xml:space="preserve">tulasi SPM (hari kerja)</w:t>
            </w:r>
          </w:p>
        </w:tc>
        <w:tc>
          <w:tcPr>
            <w:tcW w:type="dxa" w:w="11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8</w:t>
            </w:r>
          </w:p>
        </w:tc>
        <w:tc>
          <w:tcPr>
            <w:tcW w:type="dxa" w:w="11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1</w:t>
            </w:r>
          </w:p>
        </w:tc>
        <w:tc>
          <w:tcPr>
            <w:tcW w:type="dxa" w:w="418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4180"/>
              <w:tblBorders>
                <w:top w:val="single" w:color="auto" w:sz="4"/>
                <w:left w:val="single" w:color="auto" w:sz="4"/>
                <w:bottom w:val="single" w:color="auto" w:sz="4"/>
                <w:right w:val="single" w:color="auto" w:sz="4"/>
                <w:insideH w:val="single" w:color="auto" w:sz="4"/>
                <w:insideV w:val="single" w:color="auto" w:sz="4"/>
              </w:tblBorders>
            </w:tblPr>
            <w:tblGrid>
              <w:gridCol w:w="2050"/>
              <w:gridCol w:w="2050"/>
            </w:tblGrid>
            <w:tr>
              <w:tc>
                <w:tcPr>
                  <w:tcW w:type="dxa" w:w="205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2050"/>
                    <w:tblBorders>
                      <w:top w:val="single" w:color="auto" w:sz="4"/>
                      <w:left w:val="single" w:color="auto" w:sz="4"/>
                      <w:bottom w:val="single" w:color="auto" w:sz="4"/>
                      <w:right w:val="single" w:color="auto" w:sz="4"/>
                      <w:insideH w:val="single" w:color="auto" w:sz="4"/>
                      <w:insideV w:val="single" w:color="auto" w:sz="4"/>
                    </w:tblBorders>
                  </w:tblPr>
                  <w:tblGrid>
                    <w:gridCol w:w="2050"/>
                    <w:gridCol w:w="200"/>
                  </w:tblGrid>
                  <w:tr>
                    <w:tc>
                      <w:tcPr>
                        <w:shd w:fill="A6A6A6"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7,5</w:t>
                        </w:r>
                      </w:p>
                    </w:tc>
                    <w:tc>
                      <w:p/>
                    </w:tc>
                  </w:tr>
                </w:tbl>
                <w:p/>
              </w:tc>
              <w:tc>
                <w:tcPr>
                  <w:tcW w:type="dxa" w:w="205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2050"/>
                    <w:tblBorders>
                      <w:top w:val="single" w:color="auto" w:sz="4"/>
                      <w:left w:val="single" w:color="auto" w:sz="4"/>
                      <w:bottom w:val="single" w:color="auto" w:sz="4"/>
                      <w:right w:val="single" w:color="auto" w:sz="4"/>
                      <w:insideH w:val="single" w:color="auto" w:sz="4"/>
                      <w:insideV w:val="single" w:color="auto" w:sz="4"/>
                    </w:tblBorders>
                  </w:tblPr>
                  <w:tblGrid>
                    <w:gridCol w:w="267"/>
                    <w:gridCol w:w="1783"/>
                  </w:tblGrid>
                  <w:tr>
                    <w:tc>
                      <w:tcPr>
                        <w:shd w:fill="2E75B6"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1</w:t>
                        </w:r>
                      </w:p>
                    </w:tc>
                    <w:tc>
                      <w:p/>
                    </w:tc>
                  </w:tr>
                </w:tbl>
                <w:p/>
              </w:tc>
            </w:tr>
          </w:tbl>
          <w:p/>
        </w:tc>
      </w:tr>
      <w:tr>
        <w:tc>
          <w:tcPr>
            <w:tcW w:type="dxa" w:w="30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Interval laporan pengawas (hari)</w:t>
            </w:r>
          </w:p>
        </w:tc>
        <w:tc>
          <w:tcPr>
            <w:tcW w:type="dxa" w:w="11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21</w:t>
            </w:r>
          </w:p>
        </w:tc>
        <w:tc>
          <w:tcPr>
            <w:tcW w:type="dxa" w:w="11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7</w:t>
            </w:r>
          </w:p>
        </w:tc>
        <w:tc>
          <w:tcPr>
            <w:tcW w:type="dxa" w:w="418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4180"/>
              <w:tblBorders>
                <w:top w:val="single" w:color="auto" w:sz="4"/>
                <w:left w:val="single" w:color="auto" w:sz="4"/>
                <w:bottom w:val="single" w:color="auto" w:sz="4"/>
                <w:right w:val="single" w:color="auto" w:sz="4"/>
                <w:insideH w:val="single" w:color="auto" w:sz="4"/>
                <w:insideV w:val="single" w:color="auto" w:sz="4"/>
              </w:tblBorders>
            </w:tblPr>
            <w:tblGrid>
              <w:gridCol w:w="2050"/>
              <w:gridCol w:w="2050"/>
            </w:tblGrid>
            <w:tr>
              <w:tc>
                <w:tcPr>
                  <w:tcW w:type="dxa" w:w="205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2050"/>
                    <w:tblBorders>
                      <w:top w:val="single" w:color="auto" w:sz="4"/>
                      <w:left w:val="single" w:color="auto" w:sz="4"/>
                      <w:bottom w:val="single" w:color="auto" w:sz="4"/>
                      <w:right w:val="single" w:color="auto" w:sz="4"/>
                      <w:insideH w:val="single" w:color="auto" w:sz="4"/>
                      <w:insideV w:val="single" w:color="auto" w:sz="4"/>
                    </w:tblBorders>
                  </w:tblPr>
                  <w:tblGrid>
                    <w:gridCol w:w="2050"/>
                    <w:gridCol w:w="200"/>
                  </w:tblGrid>
                  <w:tr>
                    <w:tc>
                      <w:tcPr>
                        <w:shd w:fill="A6A6A6"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21</w:t>
                        </w:r>
                      </w:p>
                    </w:tc>
                    <w:tc>
                      <w:p/>
                    </w:tc>
                  </w:tr>
                </w:tbl>
                <w:p/>
              </w:tc>
              <w:tc>
                <w:tcPr>
                  <w:tcW w:type="dxa" w:w="205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2050"/>
                    <w:tblBorders>
                      <w:top w:val="single" w:color="auto" w:sz="4"/>
                      <w:left w:val="single" w:color="auto" w:sz="4"/>
                      <w:bottom w:val="single" w:color="auto" w:sz="4"/>
                      <w:right w:val="single" w:color="auto" w:sz="4"/>
                      <w:insideH w:val="single" w:color="auto" w:sz="4"/>
                      <w:insideV w:val="single" w:color="auto" w:sz="4"/>
                    </w:tblBorders>
                  </w:tblPr>
                  <w:tblGrid>
                    <w:gridCol w:w="677"/>
                    <w:gridCol w:w="1373"/>
                  </w:tblGrid>
                  <w:tr>
                    <w:tc>
                      <w:tcPr>
                        <w:shd w:fill="2E75B6"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7</w:t>
                        </w:r>
                      </w:p>
                    </w:tc>
                    <w:tc>
                      <w:p/>
                    </w:tc>
                  </w:tr>
                </w:tbl>
                <w:p/>
              </w:tc>
            </w:tr>
          </w:tbl>
          <w:p/>
        </w:tc>
      </w:tr>
      <w:tr>
        <w:tc>
          <w:tcPr>
            <w:tcW w:type="dxa" w:w="30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Paket pekerjaan terpantau (jumlah)</w:t>
            </w:r>
          </w:p>
        </w:tc>
        <w:tc>
          <w:tcPr>
            <w:tcW w:type="dxa" w:w="11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0</w:t>
            </w:r>
          </w:p>
        </w:tc>
        <w:tc>
          <w:tcPr>
            <w:tcW w:type="dxa" w:w="11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558</w:t>
            </w:r>
          </w:p>
        </w:tc>
        <w:tc>
          <w:tcPr>
            <w:tcW w:type="dxa" w:w="418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4180"/>
              <w:tblBorders>
                <w:top w:val="single" w:color="auto" w:sz="4"/>
                <w:left w:val="single" w:color="auto" w:sz="4"/>
                <w:bottom w:val="single" w:color="auto" w:sz="4"/>
                <w:right w:val="single" w:color="auto" w:sz="4"/>
                <w:insideH w:val="single" w:color="auto" w:sz="4"/>
                <w:insideV w:val="single" w:color="auto" w:sz="4"/>
              </w:tblBorders>
            </w:tblPr>
            <w:tblGrid>
              <w:gridCol w:w="2050"/>
              <w:gridCol w:w="2050"/>
            </w:tblGrid>
            <w:tr>
              <w:tc>
                <w:tcPr>
                  <w:tcW w:type="dxa" w:w="205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2050"/>
                    <w:tblBorders>
                      <w:top w:val="single" w:color="auto" w:sz="4"/>
                      <w:left w:val="single" w:color="auto" w:sz="4"/>
                      <w:bottom w:val="single" w:color="auto" w:sz="4"/>
                      <w:right w:val="single" w:color="auto" w:sz="4"/>
                      <w:insideH w:val="single" w:color="auto" w:sz="4"/>
                      <w:insideV w:val="single" w:color="auto" w:sz="4"/>
                    </w:tblBorders>
                  </w:tblPr>
                  <w:tblGrid>
                    <w:gridCol w:w="123"/>
                    <w:gridCol w:w="1927"/>
                  </w:tblGrid>
                  <w:tr>
                    <w:tc>
                      <w:tcPr>
                        <w:shd w:fill="A6A6A6"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0</w:t>
                        </w:r>
                      </w:p>
                    </w:tc>
                    <w:tc>
                      <w:p/>
                    </w:tc>
                  </w:tr>
                </w:tbl>
                <w:p/>
              </w:tc>
              <w:tc>
                <w:tcPr>
                  <w:tcW w:type="dxa" w:w="205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2050"/>
                    <w:tblBorders>
                      <w:top w:val="single" w:color="auto" w:sz="4"/>
                      <w:left w:val="single" w:color="auto" w:sz="4"/>
                      <w:bottom w:val="single" w:color="auto" w:sz="4"/>
                      <w:right w:val="single" w:color="auto" w:sz="4"/>
                      <w:insideH w:val="single" w:color="auto" w:sz="4"/>
                      <w:insideV w:val="single" w:color="auto" w:sz="4"/>
                    </w:tblBorders>
                  </w:tblPr>
                  <w:tblGrid>
                    <w:gridCol w:w="2050"/>
                    <w:gridCol w:w="200"/>
                  </w:tblGrid>
                  <w:tr>
                    <w:tc>
                      <w:tcPr>
                        <w:shd w:fill="2E75B6"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558</w:t>
                        </w:r>
                      </w:p>
                    </w:tc>
                    <w:tc>
                      <w:p/>
                    </w:tc>
                  </w:tr>
                </w:tbl>
                <w:p/>
              </w:tc>
            </w:tr>
          </w:tbl>
          <w:p/>
        </w:tc>
      </w:tr>
      <w:tr>
        <w:tc>
          <w:tcPr>
            <w:tcW w:type="dxa" w:w="30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Foto dokumentasi terindeks</w:t>
            </w:r>
          </w:p>
        </w:tc>
        <w:tc>
          <w:tcPr>
            <w:tcW w:type="dxa" w:w="11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0</w:t>
            </w:r>
          </w:p>
        </w:tc>
        <w:tc>
          <w:tcPr>
            <w:tcW w:type="dxa" w:w="11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6.453</w:t>
            </w:r>
          </w:p>
        </w:tc>
        <w:tc>
          <w:tcPr>
            <w:tcW w:type="dxa" w:w="418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4180"/>
              <w:tblBorders>
                <w:top w:val="single" w:color="auto" w:sz="4"/>
                <w:left w:val="single" w:color="auto" w:sz="4"/>
                <w:bottom w:val="single" w:color="auto" w:sz="4"/>
                <w:right w:val="single" w:color="auto" w:sz="4"/>
                <w:insideH w:val="single" w:color="auto" w:sz="4"/>
                <w:insideV w:val="single" w:color="auto" w:sz="4"/>
              </w:tblBorders>
            </w:tblPr>
            <w:tblGrid>
              <w:gridCol w:w="2050"/>
              <w:gridCol w:w="2050"/>
            </w:tblGrid>
            <w:tr>
              <w:tc>
                <w:tcPr>
                  <w:tcW w:type="dxa" w:w="205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2050"/>
                    <w:tblBorders>
                      <w:top w:val="single" w:color="auto" w:sz="4"/>
                      <w:left w:val="single" w:color="auto" w:sz="4"/>
                      <w:bottom w:val="single" w:color="auto" w:sz="4"/>
                      <w:right w:val="single" w:color="auto" w:sz="4"/>
                      <w:insideH w:val="single" w:color="auto" w:sz="4"/>
                      <w:insideV w:val="single" w:color="auto" w:sz="4"/>
                    </w:tblBorders>
                  </w:tblPr>
                  <w:tblGrid>
                    <w:gridCol w:w="123"/>
                    <w:gridCol w:w="1927"/>
                  </w:tblGrid>
                  <w:tr>
                    <w:tc>
                      <w:tcPr>
                        <w:shd w:fill="A6A6A6"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0</w:t>
                        </w:r>
                      </w:p>
                    </w:tc>
                    <w:tc>
                      <w:p/>
                    </w:tc>
                  </w:tr>
                </w:tbl>
                <w:p/>
              </w:tc>
              <w:tc>
                <w:tcPr>
                  <w:tcW w:type="dxa" w:w="2050"/>
                  <w:tcBorders>
                    <w:top w:val="single" w:color="000000" w:sz="8"/>
                    <w:left w:val="single" w:color="000000" w:sz="8"/>
                    <w:bottom w:val="single" w:color="000000" w:sz="8"/>
                    <w:right w:val="single" w:color="000000" w:sz="8"/>
                  </w:tcBorders>
                  <w:tcMar>
                    <w:top w:type="dxa" w:w="80"/>
                    <w:left w:type="dxa" w:w="140"/>
                    <w:bottom w:type="dxa" w:w="80"/>
                    <w:right w:type="dxa" w:w="140"/>
                  </w:tcMar>
                </w:tcPr>
                <w:tbl>
                  <w:tblPr>
                    <w:tblW w:type="dxa" w:w="2050"/>
                    <w:tblBorders>
                      <w:top w:val="single" w:color="auto" w:sz="4"/>
                      <w:left w:val="single" w:color="auto" w:sz="4"/>
                      <w:bottom w:val="single" w:color="auto" w:sz="4"/>
                      <w:right w:val="single" w:color="auto" w:sz="4"/>
                      <w:insideH w:val="single" w:color="auto" w:sz="4"/>
                      <w:insideV w:val="single" w:color="auto" w:sz="4"/>
                    </w:tblBorders>
                  </w:tblPr>
                  <w:tblGrid>
                    <w:gridCol w:w="2050"/>
                    <w:gridCol w:w="200"/>
                  </w:tblGrid>
                  <w:tr>
                    <w:tc>
                      <w:tcPr>
                        <w:shd w:fill="2E75B6"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6453</w:t>
                        </w:r>
                      </w:p>
                    </w:tc>
                    <w:tc>
                      <w:p/>
                    </w:tc>
                  </w:tr>
                </w:tbl>
                <w:p/>
              </w:tc>
            </w:tr>
          </w:tbl>
          <w:p/>
        </w:tc>
      </w:tr>
    </w:tbl>
    <w:p>
      <w:pPr>
        <w:spacing w:after="160"/>
      </w:pPr>
    </w:p>
    <w:p>
      <w:pPr>
        <w:spacing w:after="160" w:line="360"/>
        <w:jc w:val="both"/>
      </w:pPr>
      <w:r>
        <w:rPr>
          <w:rFonts w:ascii="Times New Roman" w:cs="Times New Roman" w:eastAsia="Times New Roman" w:hAnsi="Times New Roman"/>
          <w:b w:val="false"/>
          <w:bCs w:val="false"/>
          <w:i w:val="false"/>
          <w:iCs w:val="false"/>
          <w:sz w:val="22"/>
          <w:szCs w:val="22"/>
        </w:rPr>
        <w:t xml:space="preserve">Ringkasan angka kunci per 29 Juni 2026: 558 pekerjaan, 466 kontrak senilai Rp 76,09 miliar, 6.453 foto dokumentasi, 29 pengawas aktif di 33 lokasi.</w:t>
      </w:r>
    </w:p>
    <w:p>
      <w:pPr>
        <w:pStyle w:val="bagian2"/>
        <w:spacing w:after="80" w:before="200"/>
      </w:pPr>
      <w:r>
        <w:rPr>
          <w:rFonts w:ascii="Times New Roman" w:cs="Times New Roman" w:eastAsia="Times New Roman" w:hAnsi="Times New Roman"/>
          <w:b/>
          <w:bCs/>
          <w:sz w:val="22"/>
          <w:szCs w:val="22"/>
        </w:rPr>
        <w:t xml:space="preserve">Permasalahan</w:t>
      </w:r>
    </w:p>
    <w:p>
      <w:pPr>
        <w:spacing w:after="160" w:line="360"/>
        <w:jc w:val="both"/>
      </w:pPr>
      <w:r>
        <w:rPr>
          <w:rFonts w:ascii="Times New Roman" w:cs="Times New Roman" w:eastAsia="Times New Roman" w:hAnsi="Times New Roman"/>
          <w:b w:val="false"/>
          <w:bCs w:val="false"/>
          <w:i w:val="false"/>
          <w:iCs w:val="false"/>
          <w:sz w:val="22"/>
          <w:szCs w:val="22"/>
        </w:rPr>
        <w:t xml:space="preserve">Permasalahan makro: Kabupaten Cianjur dengan 2.535.002 jiwa penduduk di 33 kecamatan dan 365 desa masih menghad</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gap</w:t>
      </w:r>
      <w:r>
        <w:rPr>
          <w:rFonts w:ascii="Times New Roman" w:cs="Times New Roman" w:eastAsia="Times New Roman" w:hAnsi="Times New Roman"/>
          <w:b w:val="false"/>
          <w:bCs w:val="false"/>
          <w:i w:val="false"/>
          <w:iCs w:val="false"/>
          <w:sz w:val="22"/>
          <w:szCs w:val="22"/>
        </w:rPr>
        <w:t xml:space="preserve"> besar akses air minum layak dan sanitasi. Per 29 Juni 2026, capaian Standar Pelayanan Minimum (SPM) air minum 13,25% (481.746 KK belum terlayani) dan sanitasi 1,90% (261 desa belum berinfrastruktur terpetakan).</w:t>
      </w:r>
    </w:p>
    <w:p>
      <w:pPr>
        <w:spacing w:after="160" w:line="360"/>
        <w:jc w:val="both"/>
      </w:pPr>
      <w:r>
        <w:rPr>
          <w:rFonts w:ascii="Times New Roman" w:cs="Times New Roman" w:eastAsia="Times New Roman" w:hAnsi="Times New Roman"/>
          <w:b w:val="false"/>
          <w:bCs w:val="false"/>
          <w:i w:val="false"/>
          <w:iCs w:val="false"/>
          <w:sz w:val="22"/>
          <w:szCs w:val="22"/>
        </w:rPr>
        <w:t xml:space="preserve">Permasalahan mikro: pemantauan progres fisik, keuangan, dan dokumentasi lapangan dilakukan manual melalui </w:t>
      </w:r>
      <w:r>
        <w:rPr>
          <w:rFonts w:ascii="Times New Roman" w:cs="Times New Roman" w:eastAsia="Times New Roman" w:hAnsi="Times New Roman"/>
          <w:b w:val="false"/>
          <w:bCs w:val="false"/>
          <w:i/>
          <w:iCs/>
          <w:sz w:val="22"/>
          <w:szCs w:val="22"/>
        </w:rPr>
        <w:t xml:space="preserve">Excel</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PDF</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WhatsApp</w:t>
      </w:r>
      <w:r>
        <w:rPr>
          <w:rFonts w:ascii="Times New Roman" w:cs="Times New Roman" w:eastAsia="Times New Roman" w:hAnsi="Times New Roman"/>
          <w:b w:val="false"/>
          <w:bCs w:val="false"/>
          <w:i w:val="false"/>
          <w:iCs w:val="false"/>
          <w:sz w:val="22"/>
          <w:szCs w:val="22"/>
        </w:rPr>
        <w:t xml:space="preserve">, dan berkas fisik tanpa jejak terpusat. Rek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tulasi capaian SPM lintas 365 desa memakan 5–10 hari kerja. Data historis sejak 2017 tersebar di berbagai format dan belum terharmonisasi.</w:t>
      </w:r>
    </w:p>
    <w:p>
      <w:pPr>
        <w:pStyle w:val="bagian2"/>
        <w:spacing w:after="80" w:before="200"/>
      </w:pPr>
      <w:r>
        <w:rPr>
          <w:rFonts w:ascii="Times New Roman" w:cs="Times New Roman" w:eastAsia="Times New Roman" w:hAnsi="Times New Roman"/>
          <w:b/>
          <w:bCs/>
          <w:sz w:val="22"/>
          <w:szCs w:val="22"/>
        </w:rPr>
        <w:t xml:space="preserve">Isu Strategis</w:t>
      </w:r>
    </w:p>
    <w:p>
      <w:pPr>
        <w:spacing w:after="160" w:line="360"/>
        <w:jc w:val="both"/>
      </w:pPr>
      <w:r>
        <w:rPr>
          <w:rFonts w:ascii="Times New Roman" w:cs="Times New Roman" w:eastAsia="Times New Roman" w:hAnsi="Times New Roman"/>
          <w:b w:val="false"/>
          <w:bCs w:val="false"/>
          <w:i w:val="false"/>
          <w:iCs w:val="false"/>
          <w:sz w:val="22"/>
          <w:szCs w:val="22"/>
        </w:rPr>
        <w:t xml:space="preserve">Arumanis mendukung SDGs 6 (air bersih dan sanitasi layak), Asta Cita terkait penurunan stunting, serta reformasi birokrasi melalui </w:t>
      </w:r>
      <w:r>
        <w:rPr>
          <w:rFonts w:ascii="Times New Roman" w:cs="Times New Roman" w:eastAsia="Times New Roman" w:hAnsi="Times New Roman"/>
          <w:b w:val="false"/>
          <w:bCs w:val="false"/>
          <w:i/>
          <w:iCs/>
          <w:sz w:val="22"/>
          <w:szCs w:val="22"/>
        </w:rPr>
        <w:t xml:space="preserve">digital</w:t>
      </w:r>
      <w:r>
        <w:rPr>
          <w:rFonts w:ascii="Times New Roman" w:cs="Times New Roman" w:eastAsia="Times New Roman" w:hAnsi="Times New Roman"/>
          <w:b w:val="false"/>
          <w:bCs w:val="false"/>
          <w:i w:val="false"/>
          <w:iCs w:val="false"/>
          <w:sz w:val="22"/>
          <w:szCs w:val="22"/>
        </w:rPr>
        <w:t xml:space="preserve">isasi SPBE. Di tingkat nasional, inovasi selaras RPJMN dan program PAMSIMAS. Di tingkat daerah, inovasi mendukung RPJMD 2025–2029, RI</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Kabupaten Cianjur, RAD PAMSIMAS, serta prioritas peningkatan cakupan layanan air minum dan sanitasi di 365 desa.</w:t>
      </w:r>
    </w:p>
    <w:p>
      <w:pPr>
        <w:pStyle w:val="bagian2"/>
        <w:spacing w:after="80" w:before="200"/>
      </w:pPr>
      <w:r>
        <w:rPr>
          <w:rFonts w:ascii="Times New Roman" w:cs="Times New Roman" w:eastAsia="Times New Roman" w:hAnsi="Times New Roman"/>
          <w:b/>
          <w:bCs/>
          <w:sz w:val="22"/>
          <w:szCs w:val="22"/>
        </w:rPr>
        <w:t xml:space="preserve">Metode Pembaharuan</w:t>
      </w:r>
    </w:p>
    <w:p>
      <w:pPr>
        <w:spacing w:after="160" w:line="360"/>
        <w:jc w:val="both"/>
      </w:pPr>
      <w:r>
        <w:rPr>
          <w:rFonts w:ascii="Times New Roman" w:cs="Times New Roman" w:eastAsia="Times New Roman" w:hAnsi="Times New Roman"/>
          <w:b w:val="false"/>
          <w:bCs w:val="false"/>
          <w:i w:val="false"/>
          <w:iCs w:val="false"/>
          <w:sz w:val="22"/>
          <w:szCs w:val="22"/>
        </w:rPr>
        <w:t xml:space="preserve">Metode pembaharuan inovasi dilakukan dengan membandingkan kondisi sebelum dan sesudah penerapan Arumanis. Kondisi sesudah inovasi mengacu pada data operasional Arumanis yang diperbarui secara berkala, dengan catatan bahwa proses sinkronisasi data historis sejak 2017 masih berlangsung sehingga capaian kuantitatif bersifat progresif.</w:t>
      </w:r>
    </w:p>
    <w:p>
      <w:pPr>
        <w:pStyle w:val="bagian3"/>
        <w:spacing w:after="60" w:before="160"/>
      </w:pPr>
      <w:r>
        <w:rPr>
          <w:rFonts w:ascii="Times New Roman" w:cs="Times New Roman" w:eastAsia="Times New Roman" w:hAnsi="Times New Roman"/>
          <w:b/>
          <w:bCs/>
          <w:sz w:val="22"/>
          <w:szCs w:val="22"/>
        </w:rPr>
        <w:t xml:space="preserve">Perbandingan Sebelum dan Sesudah</w:t>
      </w:r>
    </w:p>
    <w:p>
      <w:pPr>
        <w:spacing w:after="160" w:line="360"/>
        <w:ind w:left="360"/>
        <w:jc w:val="both"/>
      </w:pPr>
      <w:r>
        <w:rPr>
          <w:rFonts w:ascii="Times New Roman" w:cs="Times New Roman" w:eastAsia="Times New Roman" w:hAnsi="Times New Roman"/>
          <w:b w:val="false"/>
          <w:bCs w:val="false"/>
          <w:i w:val="false"/>
          <w:iCs w:val="false"/>
          <w:sz w:val="22"/>
          <w:szCs w:val="22"/>
        </w:rPr>
        <w:t xml:space="preserve">Integrasi data: sebelumnya 4–6 format terpisah (</w:t>
      </w:r>
      <w:r>
        <w:rPr>
          <w:rFonts w:ascii="Times New Roman" w:cs="Times New Roman" w:eastAsia="Times New Roman" w:hAnsi="Times New Roman"/>
          <w:b w:val="false"/>
          <w:bCs w:val="false"/>
          <w:i/>
          <w:iCs/>
          <w:sz w:val="22"/>
          <w:szCs w:val="22"/>
        </w:rPr>
        <w:t xml:space="preserve">Excel</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PDF</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WhatsApp</w:t>
      </w:r>
      <w:r>
        <w:rPr>
          <w:rFonts w:ascii="Times New Roman" w:cs="Times New Roman" w:eastAsia="Times New Roman" w:hAnsi="Times New Roman"/>
          <w:b w:val="false"/>
          <w:bCs w:val="false"/>
          <w:i w:val="false"/>
          <w:iCs w:val="false"/>
          <w:sz w:val="22"/>
          <w:szCs w:val="22"/>
        </w:rPr>
        <w:t xml:space="preserve">, berkas fisik); sesudahnya satu aplikasi Arumanis. Rek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tulasi capaian Standar Pelayanan Minimum (SPM) lintas 365 desa: dari 5–10 hari kerja menjadi kurang dari 1 hari.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ter</w:t>
      </w:r>
      <w:r>
        <w:rPr>
          <w:rFonts w:ascii="Times New Roman" w:cs="Times New Roman" w:eastAsia="Times New Roman" w:hAnsi="Times New Roman"/>
          <w:b w:val="false"/>
          <w:bCs w:val="false"/>
          <w:i/>
          <w:iCs/>
          <w:sz w:val="22"/>
          <w:szCs w:val="22"/>
        </w:rPr>
        <w:t xml:space="preserve">digital</w:t>
      </w:r>
      <w:r>
        <w:rPr>
          <w:rFonts w:ascii="Times New Roman" w:cs="Times New Roman" w:eastAsia="Times New Roman" w:hAnsi="Times New Roman"/>
          <w:b w:val="false"/>
          <w:bCs w:val="false"/>
          <w:i w:val="false"/>
          <w:iCs w:val="false"/>
          <w:sz w:val="22"/>
          <w:szCs w:val="22"/>
        </w:rPr>
        <w:t xml:space="preserve">isasi: 364 unit dengan 508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capaian multi-tahun.</w:t>
      </w:r>
    </w:p>
    <w:p>
      <w:pPr>
        <w:spacing w:after="160" w:line="360"/>
        <w:ind w:left="360"/>
        <w:jc w:val="both"/>
      </w:pPr>
      <w:r>
        <w:rPr>
          <w:rFonts w:ascii="Times New Roman" w:cs="Times New Roman" w:eastAsia="Times New Roman" w:hAnsi="Times New Roman"/>
          <w:b w:val="false"/>
          <w:bCs w:val="false"/>
          <w:i w:val="false"/>
          <w:iCs w:val="false"/>
          <w:sz w:val="22"/>
          <w:szCs w:val="22"/>
        </w:rPr>
        <w:t xml:space="preserve">Pemantauan proyek: sebelumnya tidak seragam per berkas; sesudahnya 558 paket pekerjaan terpantau. Interval laporan pengawas: dari 2–4 minggu menjadi mingguan melalui fitur pengawasan lapangan terpadu. Dokumentasi foto: dari tersebar di gawai pengawas menjadi 6.453 foto terarsip terpusat dengan lokasi lapangan.</w:t>
      </w:r>
    </w:p>
    <w:p>
      <w:pPr>
        <w:pStyle w:val="bagian3"/>
        <w:spacing w:after="60" w:before="160"/>
      </w:pPr>
      <w:r>
        <w:rPr>
          <w:rFonts w:ascii="Times New Roman" w:cs="Times New Roman" w:eastAsia="Times New Roman" w:hAnsi="Times New Roman"/>
          <w:b/>
          <w:bCs/>
          <w:sz w:val="22"/>
          <w:szCs w:val="22"/>
        </w:rPr>
        <w:t xml:space="preserve">Pemantauan Pekerjaan Konstruksi SPAM Perdesaan</w:t>
      </w:r>
    </w:p>
    <w:p>
      <w:pPr>
        <w:spacing w:after="160" w:line="360"/>
        <w:ind w:left="360"/>
        <w:jc w:val="both"/>
      </w:pPr>
      <w:r>
        <w:rPr>
          <w:rFonts w:ascii="Times New Roman" w:cs="Times New Roman" w:eastAsia="Times New Roman" w:hAnsi="Times New Roman"/>
          <w:b w:val="false"/>
          <w:bCs w:val="false"/>
          <w:i w:val="false"/>
          <w:iCs w:val="false"/>
          <w:sz w:val="22"/>
          <w:szCs w:val="22"/>
        </w:rPr>
        <w:t xml:space="preserve">Setelah inovasi, pekerjaan konstruksi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dipantau melalui pencatatan paket pekerjaan dan fitur pengawasan lapangan terpadu. Tercatat 558 pekerjaan dengan 466 kontrak, 6.453 dokumentasi foto terarsip, dan 29 pengawas aktif di 33 lokasi. Data 364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menjadi acuan pemantauan layanan pasca-konstruksi.</w:t>
      </w:r>
    </w:p>
    <w:p>
      <w:pPr>
        <w:pStyle w:val="bagian3"/>
        <w:spacing w:after="60" w:before="160"/>
      </w:pPr>
      <w:r>
        <w:rPr>
          <w:rFonts w:ascii="Times New Roman" w:cs="Times New Roman" w:eastAsia="Times New Roman" w:hAnsi="Times New Roman"/>
          <w:b/>
          <w:bCs/>
          <w:sz w:val="22"/>
          <w:szCs w:val="22"/>
        </w:rPr>
        <w:t xml:space="preserve">Pemantauan Pekerjaan Sanitasi dan Air Limbah</w:t>
      </w:r>
    </w:p>
    <w:p>
      <w:pPr>
        <w:spacing w:after="160" w:line="360"/>
        <w:ind w:left="360"/>
        <w:jc w:val="both"/>
      </w:pPr>
      <w:r>
        <w:rPr>
          <w:rFonts w:ascii="Times New Roman" w:cs="Times New Roman" w:eastAsia="Times New Roman" w:hAnsi="Times New Roman"/>
          <w:b w:val="false"/>
          <w:bCs w:val="false"/>
          <w:i w:val="false"/>
          <w:iCs w:val="false"/>
          <w:sz w:val="22"/>
          <w:szCs w:val="22"/>
        </w:rPr>
        <w:t xml:space="preserve">Setelah inovasi, 162 infrastruktur sanitasi terdata dengan 104 desa memiliki infrastruktur terpetakan. Capaian pemanfaat mencapai 9.645 KK dan 48.225 jiwa, dengan nilai investasi terkonsolidasi Rp 63,30 miliar. Peta capaian publik memungkinkan pemantauan visual per desa.</w:t>
      </w:r>
    </w:p>
    <w:p>
      <w:pPr>
        <w:pStyle w:val="bagian3"/>
        <w:spacing w:after="60" w:before="160"/>
      </w:pPr>
      <w:r>
        <w:rPr>
          <w:rFonts w:ascii="Times New Roman" w:cs="Times New Roman" w:eastAsia="Times New Roman" w:hAnsi="Times New Roman"/>
          <w:b/>
          <w:bCs/>
          <w:sz w:val="22"/>
          <w:szCs w:val="22"/>
        </w:rPr>
        <w:t xml:space="preserve">Penyajian Data Langsung</w:t>
      </w:r>
    </w:p>
    <w:p>
      <w:pPr>
        <w:spacing w:after="160" w:line="360"/>
        <w:ind w:left="360"/>
        <w:jc w:val="both"/>
      </w:pPr>
      <w:r>
        <w:rPr>
          <w:rFonts w:ascii="Times New Roman" w:cs="Times New Roman" w:eastAsia="Times New Roman" w:hAnsi="Times New Roman"/>
          <w:b w:val="false"/>
          <w:bCs w:val="false"/>
          <w:i w:val="false"/>
          <w:iCs w:val="false"/>
          <w:sz w:val="22"/>
          <w:szCs w:val="22"/>
        </w:rPr>
        <w:t xml:space="preserve">tampilan ringkasan data program menampilkan kegiatan, pekerjaan, kontrak, hasil fisik, pagu, distribusi sumber dana (DAK, APBD, DAU, PAD), dan tingkat kelengkapan data tanpa menunggu rek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tulasi manual. Laporan siap cetak dihasilkan dari data yang sama dengan laporan pengawasan lapangan.</w:t>
      </w:r>
    </w:p>
    <w:p>
      <w:pPr>
        <w:pStyle w:val="bagian3"/>
        <w:spacing w:after="60" w:before="160"/>
      </w:pPr>
      <w:r>
        <w:rPr>
          <w:rFonts w:ascii="Times New Roman" w:cs="Times New Roman" w:eastAsia="Times New Roman" w:hAnsi="Times New Roman"/>
          <w:b/>
          <w:bCs/>
          <w:sz w:val="22"/>
          <w:szCs w:val="22"/>
        </w:rPr>
        <w:t xml:space="preserve">Integrasi Sumber Data Sejak 2017</w:t>
      </w:r>
    </w:p>
    <w:p>
      <w:pPr>
        <w:spacing w:after="160" w:line="360"/>
        <w:ind w:left="360"/>
        <w:jc w:val="both"/>
      </w:pPr>
      <w:r>
        <w:rPr>
          <w:rFonts w:ascii="Times New Roman" w:cs="Times New Roman" w:eastAsia="Times New Roman" w:hAnsi="Times New Roman"/>
          <w:b w:val="false"/>
          <w:bCs w:val="false"/>
          <w:i w:val="false"/>
          <w:iCs w:val="false"/>
          <w:sz w:val="22"/>
          <w:szCs w:val="22"/>
        </w:rPr>
        <w:t xml:space="preserve">Data historis berasal dari arsip </w:t>
      </w:r>
      <w:r>
        <w:rPr>
          <w:rFonts w:ascii="Times New Roman" w:cs="Times New Roman" w:eastAsia="Times New Roman" w:hAnsi="Times New Roman"/>
          <w:b w:val="false"/>
          <w:bCs w:val="false"/>
          <w:i/>
          <w:iCs/>
          <w:sz w:val="22"/>
          <w:szCs w:val="22"/>
        </w:rPr>
        <w:t xml:space="preserve">Excel</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iCs/>
          <w:sz w:val="22"/>
          <w:szCs w:val="22"/>
        </w:rPr>
        <w:t xml:space="preserve">CSV</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input</w:t>
      </w:r>
      <w:r>
        <w:rPr>
          <w:rFonts w:ascii="Times New Roman" w:cs="Times New Roman" w:eastAsia="Times New Roman" w:hAnsi="Times New Roman"/>
          <w:b w:val="false"/>
          <w:bCs w:val="false"/>
          <w:i w:val="false"/>
          <w:iCs w:val="false"/>
          <w:sz w:val="22"/>
          <w:szCs w:val="22"/>
        </w:rPr>
        <w:t xml:space="preserve"> operator, capaian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dokumentasi pengawasan, dan kontrak pekerjaan. Hingga tanggal pengambilan data ini, 508 catatan capaian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dan data pekerjaan aktif telah terhimpun.</w:t>
      </w:r>
    </w:p>
    <w:p>
      <w:pPr>
        <w:pStyle w:val="bagian2"/>
        <w:spacing w:after="80" w:before="200"/>
      </w:pPr>
      <w:r>
        <w:rPr>
          <w:rFonts w:ascii="Times New Roman" w:cs="Times New Roman" w:eastAsia="Times New Roman" w:hAnsi="Times New Roman"/>
          <w:b/>
          <w:bCs/>
          <w:sz w:val="22"/>
          <w:szCs w:val="22"/>
        </w:rPr>
        <w:t xml:space="preserve">Studi Kasus</w:t>
      </w:r>
    </w:p>
    <w:p>
      <w:pPr>
        <w:spacing w:after="160" w:line="360"/>
        <w:jc w:val="both"/>
      </w:pPr>
      <w:r>
        <w:rPr>
          <w:rFonts w:ascii="Times New Roman" w:cs="Times New Roman" w:eastAsia="Times New Roman" w:hAnsi="Times New Roman"/>
          <w:b w:val="false"/>
          <w:bCs w:val="false"/>
          <w:i w:val="false"/>
          <w:iCs w:val="false"/>
          <w:sz w:val="22"/>
          <w:szCs w:val="22"/>
        </w:rPr>
        <w:t xml:space="preserve">Studi kasus berikut bersumber dari data operasional Arumanis terbaru (bukan ilustrasi). Dua paket dipilih sebagai contoh pemantauan konstruksi air minum dan sanitasi dengan dokumentasi lapangan terbanyak.</w:t>
      </w:r>
    </w:p>
    <w:p>
      <w:pPr>
        <w:pStyle w:val="bagian3"/>
        <w:spacing w:after="60" w:before="160"/>
      </w:pPr>
      <w:r>
        <w:rPr>
          <w:rFonts w:ascii="Times New Roman" w:cs="Times New Roman" w:eastAsia="Times New Roman" w:hAnsi="Times New Roman"/>
          <w:b/>
          <w:bCs/>
          <w:sz w:val="22"/>
          <w:szCs w:val="22"/>
        </w:rPr>
        <w:t xml:space="preserve">Kasus 1 — Pembangunan SPAM Jaringan Perpipaan</w:t>
      </w:r>
    </w:p>
    <w:p>
      <w:pPr>
        <w:spacing w:after="160" w:line="360"/>
        <w:ind w:left="360"/>
        <w:jc w:val="both"/>
      </w:pPr>
      <w:r>
        <w:rPr>
          <w:rFonts w:ascii="Times New Roman" w:cs="Times New Roman" w:eastAsia="Times New Roman" w:hAnsi="Times New Roman"/>
          <w:b w:val="false"/>
          <w:bCs w:val="false"/>
          <w:i w:val="false"/>
          <w:iCs w:val="false"/>
          <w:sz w:val="22"/>
          <w:szCs w:val="22"/>
        </w:rPr>
        <w:t xml:space="preserve">Paket #614: Desa Wargaasih Kec. Kadupandak, Desa Wargaasih, Kecamatan Kadupandak. Sub-kegiatan: Pembangunan Sistem Penyediaan Air Minum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Jaringan Perpipaan. Tahun anggaran 2026, sumber dana PAD, pagu Rp 300.000.000, kontrak Rp 298.000.000 (CV. CITARUM RAYA, SPK 602.4/SPK/PPK/DISPERKIM-AMS.037.146/2026).</w:t>
      </w:r>
    </w:p>
    <w:p>
      <w:pPr>
        <w:spacing w:after="160" w:line="360"/>
        <w:ind w:left="360"/>
        <w:jc w:val="both"/>
      </w:pPr>
      <w:r>
        <w:rPr>
          <w:rFonts w:ascii="Times New Roman" w:cs="Times New Roman" w:eastAsia="Times New Roman" w:hAnsi="Times New Roman"/>
          <w:b w:val="false"/>
          <w:bCs w:val="false"/>
          <w:i w:val="false"/>
          <w:iCs w:val="false"/>
          <w:sz w:val="22"/>
          <w:szCs w:val="22"/>
        </w:rPr>
        <w:t xml:space="preserve">Sebelum Arumanis: laporan progres dan foto kerja dikirim terpisah (</w:t>
      </w:r>
      <w:r>
        <w:rPr>
          <w:rFonts w:ascii="Times New Roman" w:cs="Times New Roman" w:eastAsia="Times New Roman" w:hAnsi="Times New Roman"/>
          <w:b w:val="false"/>
          <w:bCs w:val="false"/>
          <w:i/>
          <w:iCs/>
          <w:sz w:val="22"/>
          <w:szCs w:val="22"/>
        </w:rPr>
        <w:t xml:space="preserve">Excel</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iCs/>
          <w:sz w:val="22"/>
          <w:szCs w:val="22"/>
        </w:rPr>
        <w:t xml:space="preserve">WhatsApp</w:t>
      </w:r>
      <w:r>
        <w:rPr>
          <w:rFonts w:ascii="Times New Roman" w:cs="Times New Roman" w:eastAsia="Times New Roman" w:hAnsi="Times New Roman"/>
          <w:b w:val="false"/>
          <w:bCs w:val="false"/>
          <w:i w:val="false"/>
          <w:iCs w:val="false"/>
          <w:sz w:val="22"/>
          <w:szCs w:val="22"/>
        </w:rPr>
        <w:t xml:space="preserve">) tanpa arsip terpusat. Sesudah Arumanis: tercatat 38 foto dokumentasi terarsip, pengawas Konsultan Paket 1 melaporkan melalui fitur pengawasan lapangan terpadu. Operator dinas memantau paket ini di aplikasi Arumanis bersama 558 pekerjaan lainnya.</w:t>
      </w:r>
    </w:p>
    <w:p>
      <w:pPr>
        <w:pStyle w:val="bagian3"/>
        <w:spacing w:after="60" w:before="160"/>
      </w:pPr>
      <w:r>
        <w:rPr>
          <w:rFonts w:ascii="Times New Roman" w:cs="Times New Roman" w:eastAsia="Times New Roman" w:hAnsi="Times New Roman"/>
          <w:b/>
          <w:bCs/>
          <w:sz w:val="22"/>
          <w:szCs w:val="22"/>
        </w:rPr>
        <w:t xml:space="preserve">Kasus 2 — Pembangunan SPALD/Tangki Septik Perdesaan</w:t>
      </w:r>
    </w:p>
    <w:p>
      <w:pPr>
        <w:spacing w:after="160" w:line="360"/>
        <w:ind w:left="360"/>
        <w:jc w:val="both"/>
      </w:pPr>
      <w:r>
        <w:rPr>
          <w:rFonts w:ascii="Times New Roman" w:cs="Times New Roman" w:eastAsia="Times New Roman" w:hAnsi="Times New Roman"/>
          <w:b w:val="false"/>
          <w:bCs w:val="false"/>
          <w:i w:val="false"/>
          <w:iCs w:val="false"/>
          <w:sz w:val="22"/>
          <w:szCs w:val="22"/>
        </w:rPr>
        <w:t xml:space="preserve">Paket #392: Pembangunan Tangki Septik Skala Individual Perdesaan minimal 25 KK +Jamban - Desa Bojong Kecamatan Karangtengah. Lokasi Desa Bojong, Kecamatan Karangtengah. Tahun anggaran 2025, sumber dana DAK, pagu Rp 350.000.000, kontrak Rp 350.000.000 (TPS KSM BOJONG SAUYUNAN).</w:t>
      </w:r>
    </w:p>
    <w:p>
      <w:pPr>
        <w:spacing w:after="160" w:line="360"/>
        <w:ind w:left="360"/>
        <w:jc w:val="both"/>
      </w:pPr>
      <w:r>
        <w:rPr>
          <w:rFonts w:ascii="Times New Roman" w:cs="Times New Roman" w:eastAsia="Times New Roman" w:hAnsi="Times New Roman"/>
          <w:b w:val="false"/>
          <w:bCs w:val="false"/>
          <w:i w:val="false"/>
          <w:iCs w:val="false"/>
          <w:sz w:val="22"/>
          <w:szCs w:val="22"/>
        </w:rPr>
        <w:t xml:space="preserve">Sebelum Arumanis: dokumentasi ratusan titik pembangunan sulit dilacak per desa. Sesudah Arumanis: 400 foto dokumentasi terpetakan pada satu paket pekerjaan, 36 penerima manfaat tercatat, dan progres dapat ditelusuri per sub-kegiatan sanitasi—menunjukkan skala adopsi sistem untuk program berbasis masyarakat.</w:t>
      </w:r>
    </w:p>
    <w:p>
      <w:pPr>
        <w:pStyle w:val="bagian2"/>
        <w:spacing w:after="80" w:before="200"/>
      </w:pPr>
      <w:r>
        <w:rPr>
          <w:rFonts w:ascii="Times New Roman" w:cs="Times New Roman" w:eastAsia="Times New Roman" w:hAnsi="Times New Roman"/>
          <w:b/>
          <w:bCs/>
          <w:sz w:val="22"/>
          <w:szCs w:val="22"/>
        </w:rPr>
        <w:t xml:space="preserve">Keunggulan dan Kebaharuan</w:t>
      </w:r>
    </w:p>
    <w:p>
      <w:pPr>
        <w:spacing w:after="160" w:line="360"/>
        <w:jc w:val="both"/>
      </w:pPr>
      <w:r>
        <w:rPr>
          <w:rFonts w:ascii="Times New Roman" w:cs="Times New Roman" w:eastAsia="Times New Roman" w:hAnsi="Times New Roman"/>
          <w:b w:val="false"/>
          <w:bCs w:val="false"/>
          <w:i w:val="false"/>
          <w:iCs w:val="false"/>
          <w:sz w:val="22"/>
          <w:szCs w:val="22"/>
        </w:rPr>
        <w:t xml:space="preserve">Keunggulan utama Arumanis dibanding sistem sejenis terletak pada fokus pemantauan pekerjaan konstruksi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perdesaan dan sanitasi (khususnya air limbah) dalam satu aplikasi, bukan hanya pencatatan aset statis. Sistem konvensional kerap memisahkan data proyek, data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dan data sanitasi; Arumanis menghubungkan ketiganya.</w:t>
      </w:r>
    </w:p>
    <w:p>
      <w:pPr>
        <w:spacing w:after="160" w:line="360"/>
        <w:jc w:val="both"/>
      </w:pPr>
      <w:r>
        <w:rPr>
          <w:rFonts w:ascii="Times New Roman" w:cs="Times New Roman" w:eastAsia="Times New Roman" w:hAnsi="Times New Roman"/>
          <w:b w:val="false"/>
          <w:bCs w:val="false"/>
          <w:i w:val="false"/>
          <w:iCs w:val="false"/>
          <w:sz w:val="22"/>
          <w:szCs w:val="22"/>
        </w:rPr>
        <w:t xml:space="preserve">Kebaharuan meliputi penyajian capaian SPM terbuka per desa, penandaan tingkat kelengkapan data, keterkaitan data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nasional SIM</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(33 unit), dokumentasi foto berlokasi, hak akses berbeda per peran pengguna, serta penggabungan data historis multi-sumber sejak 2017.</w:t>
      </w:r>
    </w:p>
    <w:p>
      <w:pPr>
        <w:pStyle w:val="bagian2"/>
        <w:spacing w:after="80" w:before="200"/>
      </w:pPr>
      <w:r>
        <w:rPr>
          <w:rFonts w:ascii="Times New Roman" w:cs="Times New Roman" w:eastAsia="Times New Roman" w:hAnsi="Times New Roman"/>
          <w:b/>
          <w:bCs/>
          <w:sz w:val="22"/>
          <w:szCs w:val="22"/>
        </w:rPr>
        <w:t xml:space="preserve">Ketersediaan SDM Pengelola</w:t>
      </w:r>
    </w:p>
    <w:p>
      <w:pPr>
        <w:spacing w:after="160" w:line="360"/>
        <w:jc w:val="both"/>
      </w:pPr>
      <w:r>
        <w:rPr>
          <w:rFonts w:ascii="Times New Roman" w:cs="Times New Roman" w:eastAsia="Times New Roman" w:hAnsi="Times New Roman"/>
          <w:b w:val="false"/>
          <w:bCs w:val="false"/>
          <w:i w:val="false"/>
          <w:iCs w:val="false"/>
          <w:sz w:val="22"/>
          <w:szCs w:val="22"/>
        </w:rPr>
        <w:t xml:space="preserve">Penyelenggaraan melibatkan koordinator program, operator data, tim pengembang sistem, dan jaringan pengawas lapangan. Bukti adopsi per 29 Juni 2026: 29 pengawas aktif di 33 lokasi; 558 pekerjaan dan 6.453 dokumentasi foto menandakan sistem dipakai untuk </w:t>
      </w:r>
      <w:r>
        <w:rPr>
          <w:rFonts w:ascii="Times New Roman" w:cs="Times New Roman" w:eastAsia="Times New Roman" w:hAnsi="Times New Roman"/>
          <w:b w:val="false"/>
          <w:bCs w:val="false"/>
          <w:i/>
          <w:iCs/>
          <w:sz w:val="22"/>
          <w:szCs w:val="22"/>
        </w:rPr>
        <w:t xml:space="preserve">input</w:t>
      </w:r>
      <w:r>
        <w:rPr>
          <w:rFonts w:ascii="Times New Roman" w:cs="Times New Roman" w:eastAsia="Times New Roman" w:hAnsi="Times New Roman"/>
          <w:b w:val="false"/>
          <w:bCs w:val="false"/>
          <w:i w:val="false"/>
          <w:iCs w:val="false"/>
          <w:sz w:val="22"/>
          <w:szCs w:val="22"/>
        </w:rPr>
        <w:t xml:space="preserve"> lapangan.</w:t>
      </w:r>
    </w:p>
    <w:p>
      <w:pPr>
        <w:pStyle w:val="bagian2"/>
        <w:spacing w:after="80" w:before="200"/>
      </w:pPr>
      <w:r>
        <w:rPr>
          <w:rFonts w:ascii="Times New Roman" w:cs="Times New Roman" w:eastAsia="Times New Roman" w:hAnsi="Times New Roman"/>
          <w:b/>
          <w:bCs/>
          <w:sz w:val="22"/>
          <w:szCs w:val="22"/>
        </w:rPr>
        <w:t xml:space="preserve">Risiko dan Mitigasi</w:t>
      </w:r>
    </w:p>
    <w:p>
      <w:pPr>
        <w:spacing w:after="160" w:line="360"/>
        <w:jc w:val="both"/>
      </w:pPr>
      <w:r>
        <w:rPr>
          <w:rFonts w:ascii="Times New Roman" w:cs="Times New Roman" w:eastAsia="Times New Roman" w:hAnsi="Times New Roman"/>
          <w:b w:val="false"/>
          <w:bCs w:val="false"/>
          <w:i w:val="false"/>
          <w:iCs w:val="false"/>
          <w:sz w:val="22"/>
          <w:szCs w:val="22"/>
        </w:rPr>
        <w:t xml:space="preserve">Risiko sinkronisasi data: angka antar sumber belum sepenuhnya selaras—mitigasi pemeriksaan triwulanan, penandaan sumber, dan keterbukaan catatan data. Risiko kesalahan </w:t>
      </w:r>
      <w:r>
        <w:rPr>
          <w:rFonts w:ascii="Times New Roman" w:cs="Times New Roman" w:eastAsia="Times New Roman" w:hAnsi="Times New Roman"/>
          <w:b w:val="false"/>
          <w:bCs w:val="false"/>
          <w:i/>
          <w:iCs/>
          <w:sz w:val="22"/>
          <w:szCs w:val="22"/>
        </w:rPr>
        <w:t xml:space="preserve">input</w:t>
      </w:r>
      <w:r>
        <w:rPr>
          <w:rFonts w:ascii="Times New Roman" w:cs="Times New Roman" w:eastAsia="Times New Roman" w:hAnsi="Times New Roman"/>
          <w:b w:val="false"/>
          <w:bCs w:val="false"/>
          <w:i w:val="false"/>
          <w:iCs w:val="false"/>
          <w:sz w:val="22"/>
          <w:szCs w:val="22"/>
        </w:rPr>
        <w:t xml:space="preserve"> manual: mitigasi formulir terstandar, format impor berkas, dan jejak perubahan data. Risiko kurangnya kebiasaan pengawas: mitigasi alur laporan mingguan, pengingat otomatis, dan pantauan kelengkapan laporan.</w:t>
      </w:r>
    </w:p>
    <w:p>
      <w:pPr>
        <w:pStyle w:val="bagian2"/>
        <w:spacing w:after="80" w:before="200"/>
      </w:pPr>
      <w:r>
        <w:rPr>
          <w:rFonts w:ascii="Times New Roman" w:cs="Times New Roman" w:eastAsia="Times New Roman" w:hAnsi="Times New Roman"/>
          <w:b/>
          <w:bCs/>
          <w:sz w:val="22"/>
          <w:szCs w:val="22"/>
        </w:rPr>
        <w:t xml:space="preserve">Tahapan Inovasi</w:t>
      </w:r>
    </w:p>
    <w:p>
      <w:pPr>
        <w:spacing w:after="160" w:line="360"/>
        <w:jc w:val="both"/>
      </w:pPr>
      <w:r>
        <w:rPr>
          <w:rFonts w:ascii="Times New Roman" w:cs="Times New Roman" w:eastAsia="Times New Roman" w:hAnsi="Times New Roman"/>
          <w:b w:val="false"/>
          <w:bCs w:val="false"/>
          <w:i w:val="false"/>
          <w:iCs w:val="false"/>
          <w:sz w:val="22"/>
          <w:szCs w:val="22"/>
        </w:rPr>
        <w:t xml:space="preserve">(1) Operator/koordinator dinas membuka aplikasi Arumanis untuk mengelola kegiatan, kontrak, dan data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M/sanitasi. (2) Pengawas lapangan menggunakan akun yang sama untuk mengisi progres mingguan, mengunggah foto lokasi, dan laporan anggaran fisik. (3) Masyarakat membuka halaman peta capaian SPM per desa tanpa harus mendaftar. (4) Data langsung tersimpan dan tampilan ringkasan diperbarui untuk evaluasi program.</w:t>
      </w:r>
    </w:p>
    <w:p>
      <w:pPr>
        <w:pStyle w:val="bagian2"/>
        <w:spacing w:after="80" w:before="200"/>
      </w:pPr>
      <w:r>
        <w:rPr>
          <w:rFonts w:ascii="Times New Roman" w:cs="Times New Roman" w:eastAsia="Times New Roman" w:hAnsi="Times New Roman"/>
          <w:b/>
          <w:bCs/>
          <w:sz w:val="22"/>
          <w:szCs w:val="22"/>
        </w:rPr>
        <w:t xml:space="preserve">Tujuan dan Manfaat</w:t>
      </w:r>
    </w:p>
    <w:p>
      <w:pPr>
        <w:pStyle w:val="bagian3"/>
        <w:spacing w:after="60" w:before="160"/>
      </w:pPr>
      <w:r>
        <w:rPr>
          <w:rFonts w:ascii="Times New Roman" w:cs="Times New Roman" w:eastAsia="Times New Roman" w:hAnsi="Times New Roman"/>
          <w:b/>
          <w:bCs/>
          <w:sz w:val="22"/>
          <w:szCs w:val="22"/>
        </w:rPr>
        <w:t xml:space="preserve">Tujuan</w:t>
      </w:r>
    </w:p>
    <w:p>
      <w:pPr>
        <w:spacing w:after="160" w:line="360"/>
        <w:ind w:left="360"/>
        <w:jc w:val="both"/>
      </w:pPr>
      <w:r>
        <w:rPr>
          <w:rFonts w:ascii="Times New Roman" w:cs="Times New Roman" w:eastAsia="Times New Roman" w:hAnsi="Times New Roman"/>
          <w:b w:val="false"/>
          <w:bCs w:val="false"/>
          <w:i w:val="false"/>
          <w:iCs w:val="false"/>
          <w:sz w:val="22"/>
          <w:szCs w:val="22"/>
        </w:rPr>
        <w:t xml:space="preserve">Tujuan inovasi diarahkan pada terwujudnya pemantauan pekerjaan konstruksi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perdesaan dan sanitasi (khususnya air limbah) yang terukur, disertai kemampuan menyajikan data terkini. Target: (1) seluruh paket aktif terpantau (558 pekerjaan tercatat); (2) progres fisik minimal mingguan; (3) dokumentasi foto ≥90% paket aktif; (4) penyelarasan data historis 2017–sekarang selisih antarsumber di bawah 5%; (5) ringkasan capaian 365 desa diperbarui langsung; (6) publikasi capaian SPM dapat diakses masyarakat tanpa pendaftaran.</w:t>
      </w:r>
    </w:p>
    <w:p>
      <w:pPr>
        <w:pStyle w:val="bagian3"/>
        <w:spacing w:after="60" w:before="160"/>
      </w:pPr>
      <w:r>
        <w:rPr>
          <w:rFonts w:ascii="Times New Roman" w:cs="Times New Roman" w:eastAsia="Times New Roman" w:hAnsi="Times New Roman"/>
          <w:b/>
          <w:bCs/>
          <w:sz w:val="22"/>
          <w:szCs w:val="22"/>
        </w:rPr>
        <w:t xml:space="preserve">Manfaat</w:t>
      </w:r>
    </w:p>
    <w:p>
      <w:pPr>
        <w:spacing w:after="160" w:line="360"/>
        <w:ind w:left="360"/>
        <w:jc w:val="both"/>
      </w:pPr>
      <w:r>
        <w:rPr>
          <w:rFonts w:ascii="Times New Roman" w:cs="Times New Roman" w:eastAsia="Times New Roman" w:hAnsi="Times New Roman"/>
          <w:b w:val="false"/>
          <w:bCs w:val="false"/>
          <w:i w:val="false"/>
          <w:iCs w:val="false"/>
          <w:sz w:val="22"/>
          <w:szCs w:val="22"/>
        </w:rPr>
        <w:t xml:space="preserve">Bagi penyelenggara program: </w:t>
      </w:r>
      <w:r>
        <w:rPr>
          <w:rFonts w:ascii="Times New Roman" w:cs="Times New Roman" w:eastAsia="Times New Roman" w:hAnsi="Times New Roman"/>
          <w:b w:val="false"/>
          <w:bCs w:val="false"/>
          <w:i/>
          <w:iCs/>
          <w:sz w:val="22"/>
          <w:szCs w:val="22"/>
        </w:rPr>
        <w:t xml:space="preserve">deviasi</w:t>
      </w:r>
      <w:r>
        <w:rPr>
          <w:rFonts w:ascii="Times New Roman" w:cs="Times New Roman" w:eastAsia="Times New Roman" w:hAnsi="Times New Roman"/>
          <w:b w:val="false"/>
          <w:bCs w:val="false"/>
          <w:i w:val="false"/>
          <w:iCs w:val="false"/>
          <w:sz w:val="22"/>
          <w:szCs w:val="22"/>
        </w:rPr>
        <w:t xml:space="preserve"> fisik/keuangan teridentifikasi lebih awal; evaluasi Standar Pelayanan Minimum (SPM) air minum (13,25%) dan sanitasi (1,90%); anggaran terpetakan air minum Rp 91,47 miliar, sanitasi Rp 63,30 miliar, pekerjaan Rp 95,28 miliar (466 kontrak). Bagi pengawas: alur kerja terstruktur dalam satu aplikasi. Bagi masyarakat: capaian per desa dapat dicek kapan saja tanpa ke kantor dinas. Manfaat menjangkau 2.535.002 jiwa penduduk di 33 kecamatan.</w:t>
      </w:r>
    </w:p>
    <w:p>
      <w:pPr>
        <w:pStyle w:val="bagian1"/>
        <w:spacing w:after="120" w:before="240"/>
      </w:pPr>
      <w:r>
        <w:rPr>
          <w:rFonts w:ascii="Times New Roman" w:cs="Times New Roman" w:eastAsia="Times New Roman" w:hAnsi="Times New Roman"/>
          <w:b/>
          <w:bCs/>
          <w:sz w:val="24"/>
          <w:szCs w:val="24"/>
        </w:rPr>
        <w:t xml:space="preserve">BAGIAN III :  IMPLEMENTASI DAN KEBERLANJUTAN INOVASI</w:t>
      </w:r>
    </w:p>
    <w:p>
      <w:pPr>
        <w:pStyle w:val="bagian2"/>
        <w:spacing w:after="80" w:before="200"/>
      </w:pPr>
      <w:r>
        <w:rPr>
          <w:rFonts w:ascii="Times New Roman" w:cs="Times New Roman" w:eastAsia="Times New Roman" w:hAnsi="Times New Roman"/>
          <w:b/>
          <w:bCs/>
          <w:sz w:val="22"/>
          <w:szCs w:val="22"/>
        </w:rPr>
        <w:t xml:space="preserve">Sumber Daya Pendukung</w:t>
      </w:r>
    </w:p>
    <w:p>
      <w:pPr>
        <w:spacing w:after="160" w:line="360"/>
        <w:jc w:val="both"/>
      </w:pPr>
      <w:r>
        <w:rPr>
          <w:rFonts w:ascii="Times New Roman" w:cs="Times New Roman" w:eastAsia="Times New Roman" w:hAnsi="Times New Roman"/>
          <w:b w:val="false"/>
          <w:bCs w:val="false"/>
          <w:i w:val="false"/>
          <w:iCs w:val="false"/>
          <w:sz w:val="22"/>
          <w:szCs w:val="22"/>
        </w:rPr>
        <w:t xml:space="preserve">(1) Anggaran: air minum Rp 91,47 miliar, sanitasi Rp 63,30 miliar, pekerjaan konstruksi Rp 95,28 miliar (466 kontrak), pengawasan Rp 14,46 miliar. (2) SDM: 29 pengawas aktif, operator data, tim pengembang (5–7 personil inti), koordinator program, konsultan/TFL. (3) Sarana dan prasarana: infrastruktur server dan jaringan internet, komputer operator di kantor dinas, telepon genggam pengawas lapangan. (4) Teknologi: aplikasi berbasis web yang diakses melalui peramban, satu akun untuk dinas dan pengawas, basis data terintegrasi program air minum dan sanitasi. (5) Pelatihan dan sosialisasi berkala kepada operator, pengawas, dan pengelola desa. (6) Panduan penggunaan langkah demi langkah untuk setiap peran pengguna. (7) Kemudahan akses informasi: masyarakat dapat melihat capaian desa kapan saja tanpa datang ke kantor dinas.</w:t>
      </w:r>
    </w:p>
    <w:p>
      <w:pPr>
        <w:pStyle w:val="bagian2"/>
        <w:spacing w:after="80" w:before="200"/>
      </w:pPr>
      <w:r>
        <w:rPr>
          <w:rFonts w:ascii="Times New Roman" w:cs="Times New Roman" w:eastAsia="Times New Roman" w:hAnsi="Times New Roman"/>
          <w:b/>
          <w:bCs/>
          <w:sz w:val="22"/>
          <w:szCs w:val="22"/>
        </w:rPr>
        <w:t xml:space="preserve">Kemitraan dan Kolaborasi (Pentahelix)</w:t>
      </w:r>
    </w:p>
    <w:p>
      <w:pPr>
        <w:spacing w:after="160" w:line="360"/>
        <w:jc w:val="both"/>
      </w:pPr>
      <w:r>
        <w:rPr>
          <w:rFonts w:ascii="Times New Roman" w:cs="Times New Roman" w:eastAsia="Times New Roman" w:hAnsi="Times New Roman"/>
          <w:b w:val="false"/>
          <w:bCs w:val="false"/>
          <w:i w:val="false"/>
          <w:iCs w:val="false"/>
          <w:sz w:val="22"/>
          <w:szCs w:val="22"/>
        </w:rPr>
        <w:t xml:space="preserve">(1) Pemerintah: DPKP Kabupaten Cianjur sebagai mitra adopsi dan pengguna utama; pengawas lapangan (29 orang di 33 lokasi); operator data; kontraktor pelaksana 466 kontrak. (2) Masyarakat: inisiator inovasi (Ilham Taufiq), POKMAS pengelola 364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aparatur desa di 365 desa, pengguna peta capaian publik. (3) Akademisi: [NAMA PERGURUAN TINGGI]—validasi metode dan pendampingan dokumentasi inovasi [lengk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 MoU/LoI jika ada]. (4) Swasta: konsultan pengawas/TFL dan penyedia jasa pendukung aplikasi. (5) Media: [MEDIA LOKAL]—sosialisasi capaian program air minum perdesaan [lengk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 jika ada publikasi]. Mekanisme koordinasi: laporan mingguan pengawas melalui aplikasi, pemeriksaan operator, evaluasi bersama melalui tampilan ringkasan data.</w:t>
      </w:r>
    </w:p>
    <w:p>
      <w:pPr>
        <w:pStyle w:val="bagian2"/>
        <w:spacing w:after="80" w:before="200"/>
      </w:pPr>
      <w:r>
        <w:rPr>
          <w:rFonts w:ascii="Times New Roman" w:cs="Times New Roman" w:eastAsia="Times New Roman" w:hAnsi="Times New Roman"/>
          <w:b/>
          <w:bCs/>
          <w:sz w:val="22"/>
          <w:szCs w:val="22"/>
        </w:rPr>
        <w:t xml:space="preserve">Testimoni Pengguna</w:t>
      </w:r>
    </w:p>
    <w:p>
      <w:pPr>
        <w:spacing w:after="160" w:line="360"/>
        <w:jc w:val="both"/>
      </w:pPr>
      <w:r>
        <w:rPr>
          <w:rFonts w:ascii="Times New Roman" w:cs="Times New Roman" w:eastAsia="Times New Roman" w:hAnsi="Times New Roman"/>
          <w:b w:val="false"/>
          <w:bCs w:val="false"/>
          <w:i w:val="false"/>
          <w:iCs w:val="false"/>
          <w:sz w:val="22"/>
          <w:szCs w:val="22"/>
        </w:rPr>
        <w:t xml:space="preserve">Pengawas lapangan: “[KUTIPAN PENGAWAS—contoh: </w:t>
      </w:r>
      <w:r>
        <w:rPr>
          <w:rFonts w:ascii="Times New Roman" w:cs="Times New Roman" w:eastAsia="Times New Roman" w:hAnsi="Times New Roman"/>
          <w:b w:val="false"/>
          <w:bCs w:val="false"/>
          <w:i/>
          <w:iCs/>
          <w:sz w:val="22"/>
          <w:szCs w:val="22"/>
        </w:rPr>
        <w:t xml:space="preserve">input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progress</w:t>
      </w:r>
      <w:r>
        <w:rPr>
          <w:rFonts w:ascii="Times New Roman" w:cs="Times New Roman" w:eastAsia="Times New Roman" w:hAnsi="Times New Roman"/>
          <w:b w:val="false"/>
          <w:bCs w:val="false"/>
          <w:i w:val="false"/>
          <w:iCs w:val="false"/>
          <w:sz w:val="22"/>
          <w:szCs w:val="22"/>
        </w:rPr>
        <w:t xml:space="preserve"> dan foto dalam satu aplikasi mempercepat laporan mingguan dan mengurangi revisi berulang.]” — [NAMA PENGAWAS], Pengawas Lapangan, Lokasi [NAMA LOKASI].</w:t>
      </w:r>
    </w:p>
    <w:p>
      <w:pPr>
        <w:spacing w:after="160" w:line="360"/>
        <w:jc w:val="both"/>
      </w:pPr>
      <w:r>
        <w:rPr>
          <w:rFonts w:ascii="Times New Roman" w:cs="Times New Roman" w:eastAsia="Times New Roman" w:hAnsi="Times New Roman"/>
          <w:b w:val="false"/>
          <w:bCs w:val="false"/>
          <w:i w:val="false"/>
          <w:iCs w:val="false"/>
          <w:sz w:val="22"/>
          <w:szCs w:val="22"/>
        </w:rPr>
        <w:t xml:space="preserve">Pengelola desa/POKMAS: “[KUTIPAN POKMAS—contoh: data capaian desa kami kini dapat diakses masyarakat tanpa harus ke kantor dinas.]” — [NAMA], Ketua POKMAS Desa [NAMA DESA].</w:t>
      </w:r>
    </w:p>
    <w:p>
      <w:pPr>
        <w:pStyle w:val="bagian2"/>
        <w:spacing w:after="80" w:before="200"/>
      </w:pPr>
      <w:r>
        <w:rPr>
          <w:rFonts w:ascii="Times New Roman" w:cs="Times New Roman" w:eastAsia="Times New Roman" w:hAnsi="Times New Roman"/>
          <w:b/>
          <w:bCs/>
          <w:sz w:val="22"/>
          <w:szCs w:val="22"/>
        </w:rPr>
        <w:t xml:space="preserve">Rencana Keberlanjutan (Sustainability Plan)</w:t>
      </w:r>
    </w:p>
    <w:p>
      <w:pPr>
        <w:spacing w:after="160" w:line="360"/>
        <w:jc w:val="both"/>
      </w:pPr>
      <w:r>
        <w:rPr>
          <w:rFonts w:ascii="Times New Roman" w:cs="Times New Roman" w:eastAsia="Times New Roman" w:hAnsi="Times New Roman"/>
          <w:b w:val="false"/>
          <w:bCs w:val="false"/>
          <w:i w:val="false"/>
          <w:iCs w:val="false"/>
          <w:sz w:val="22"/>
          <w:szCs w:val="22"/>
        </w:rPr>
        <w:t xml:space="preserve">(1) Harmonisasi data historis 2017–2025 dari arsip eksternal. (2) Integrasi penuh pekerjaan konstruksi ke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dan infrastruktur sanitasi. (3) Perluasan SIM</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dari 33 unit. (4) Penguatan kapasitas SDM melalui pelatihan berkala. (5) Integrasi dengan perencanaan daerah (Renja/RKPD, RI</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RAD PAMSIMAS). (6) Penganggaran berkelanjutan melalui APBD program air minum dan sanitasi. Aplikasi sudah berjalan dan terbukti diadopsi 558 pekerjaan serta 6.453 dokumentasi foto.</w:t>
      </w:r>
    </w:p>
    <w:p>
      <w:pPr>
        <w:pStyle w:val="bagian2"/>
        <w:spacing w:after="80" w:before="200"/>
      </w:pPr>
      <w:r>
        <w:rPr>
          <w:rFonts w:ascii="Times New Roman" w:cs="Times New Roman" w:eastAsia="Times New Roman" w:hAnsi="Times New Roman"/>
          <w:b/>
          <w:bCs/>
          <w:sz w:val="22"/>
          <w:szCs w:val="22"/>
        </w:rPr>
        <w:t xml:space="preserve">Rencana Pengembangan 2026–2027</w:t>
      </w:r>
    </w:p>
    <w:p>
      <w:pPr>
        <w:spacing w:after="160" w:line="360"/>
        <w:jc w:val="both"/>
      </w:pPr>
      <w:r>
        <w:rPr>
          <w:rFonts w:ascii="Times New Roman" w:cs="Times New Roman" w:eastAsia="Times New Roman" w:hAnsi="Times New Roman"/>
          <w:b w:val="false"/>
          <w:bCs w:val="false"/>
          <w:i w:val="false"/>
          <w:iCs w:val="false"/>
          <w:sz w:val="22"/>
          <w:szCs w:val="22"/>
        </w:rPr>
        <w:t xml:space="preserve">(1) Menyelesaikan harmonisasi data historis 2017–2023 dari arsip eksternal. (2) Menautkan pekerjaan konstruksi ke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dan infrastruktur sanitasi secara menyeluruh. (3) Memperluas keterkaitan data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nasional dari 33 unit saat ini. (4) Meningkatkan kelengkapan foto berlokasi menuju target 90% paket aktif. (5) Memperkaya data capaian sanitasi di 261 desa yang belum berinfrastruktur terpetakan.</w:t>
      </w:r>
    </w:p>
    <w:p>
      <w:pPr>
        <w:pStyle w:val="bagian1"/>
        <w:spacing w:after="120" w:before="240"/>
      </w:pPr>
      <w:r>
        <w:rPr>
          <w:rFonts w:ascii="Times New Roman" w:cs="Times New Roman" w:eastAsia="Times New Roman" w:hAnsi="Times New Roman"/>
          <w:b/>
          <w:bCs/>
          <w:sz w:val="24"/>
          <w:szCs w:val="24"/>
        </w:rPr>
        <w:t xml:space="preserve">BAGIAN IV :  RENCANA KERJA DAN TARGET</w:t>
      </w:r>
    </w:p>
    <w:p>
      <w:pPr>
        <w:pStyle w:val="bagian2"/>
        <w:spacing w:after="80" w:before="200"/>
      </w:pPr>
      <w:r>
        <w:rPr>
          <w:rFonts w:ascii="Times New Roman" w:cs="Times New Roman" w:eastAsia="Times New Roman" w:hAnsi="Times New Roman"/>
          <w:b/>
          <w:bCs/>
          <w:sz w:val="22"/>
          <w:szCs w:val="22"/>
        </w:rPr>
        <w:t xml:space="preserve">Timeline Pelaksanaan</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80"/>
      </w:tblGrid>
      <w:tr>
        <w:tc>
          <w:tcPr>
            <w:tcW w:type="dxa" w:w="22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Tahapan</w:t>
            </w:r>
          </w:p>
        </w:tc>
        <w:tc>
          <w:tcPr>
            <w:tcW w:type="dxa" w:w="16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Durasi</w:t>
            </w:r>
          </w:p>
        </w:tc>
        <w:tc>
          <w:tcPr>
            <w:tcW w:type="dxa" w:w="22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Penanggung Jawab</w:t>
            </w:r>
          </w:p>
        </w:tc>
        <w:tc>
          <w:tcPr>
            <w:tcW w:type="dxa" w:w="338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iCs/>
                <w:sz w:val="20"/>
                <w:szCs w:val="20"/>
              </w:rPr>
              <w:t xml:space="preserve">Output</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Persiapan &amp; perancangan sistem</w:t>
            </w:r>
          </w:p>
        </w:tc>
        <w:tc>
          <w:tcPr>
            <w:tcW w:type="dxa" w:w="16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2023</w:t>
            </w:r>
          </w:p>
        </w:tc>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Tim pengembang Arumanis</w:t>
            </w:r>
          </w:p>
        </w:tc>
        <w:tc>
          <w:tcPr>
            <w:tcW w:type="dxa" w:w="33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Rancangan aplikasi, fitur inti, uji konsep awal</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Uji coba internal &amp; pilot lapangan</w:t>
            </w:r>
          </w:p>
        </w:tc>
        <w:tc>
          <w:tcPr>
            <w:tcW w:type="dxa" w:w="16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2024</w:t>
            </w:r>
          </w:p>
        </w:tc>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Tim pengembang + operator data</w:t>
            </w:r>
          </w:p>
        </w:tc>
        <w:tc>
          <w:tcPr>
            <w:tcW w:type="dxa" w:w="33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Uji coba fitur pengawasan lapangan, pengisian data awal</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Implementasi penuh produksi</w:t>
            </w:r>
          </w:p>
        </w:tc>
        <w:tc>
          <w:tcPr>
            <w:tcW w:type="dxa" w:w="16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2025 – sekarang</w:t>
            </w:r>
          </w:p>
        </w:tc>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DPKP + pengawas + operator</w:t>
            </w:r>
          </w:p>
        </w:tc>
        <w:tc>
          <w:tcPr>
            <w:tcW w:type="dxa" w:w="33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558 pekerjaan terpantau, 29 pengawas aktif</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Harmonisasi data historis</w:t>
            </w:r>
          </w:p>
        </w:tc>
        <w:tc>
          <w:tcPr>
            <w:tcW w:type="dxa" w:w="16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2017 – 2025</w:t>
            </w:r>
          </w:p>
        </w:tc>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Operator data + tim pendukung</w:t>
            </w:r>
          </w:p>
        </w:tc>
        <w:tc>
          <w:tcPr>
            <w:tcW w:type="dxa" w:w="33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508 catatan capaian </w:t>
            </w:r>
            <w:r>
              <w:rPr>
                <w:rFonts w:ascii="Times New Roman" w:cs="Times New Roman" w:eastAsia="Times New Roman" w:hAnsi="Times New Roman"/>
                <w:b w:val="false"/>
                <w:bCs w:val="false"/>
                <w:i/>
                <w:iCs/>
                <w:sz w:val="20"/>
                <w:szCs w:val="20"/>
              </w:rPr>
              <w:t xml:space="preserve">SPA</w:t>
            </w:r>
            <w:r>
              <w:rPr>
                <w:rFonts w:ascii="Times New Roman" w:cs="Times New Roman" w:eastAsia="Times New Roman" w:hAnsi="Times New Roman"/>
                <w:b w:val="false"/>
                <w:bCs w:val="false"/>
                <w:i w:val="false"/>
                <w:iCs w:val="false"/>
                <w:sz w:val="20"/>
                <w:szCs w:val="20"/>
              </w:rPr>
              <w:t xml:space="preserve">M terhimpun</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Pemantauan &amp; evaluasi berkelanjutan</w:t>
            </w:r>
          </w:p>
        </w:tc>
        <w:tc>
          <w:tcPr>
            <w:tcW w:type="dxa" w:w="16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Berkelanjutan</w:t>
            </w:r>
          </w:p>
        </w:tc>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Operator + koordinator program</w:t>
            </w:r>
          </w:p>
        </w:tc>
        <w:tc>
          <w:tcPr>
            <w:tcW w:type="dxa" w:w="33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Ringkasan data terkini, laporan SPM, informasi terbuka masyarakat</w:t>
            </w:r>
          </w:p>
        </w:tc>
      </w:tr>
    </w:tbl>
    <w:p>
      <w:pPr>
        <w:spacing w:after="160"/>
      </w:pPr>
    </w:p>
    <w:p>
      <w:pPr>
        <w:pStyle w:val="bagian2"/>
        <w:spacing w:after="80" w:before="200"/>
      </w:pPr>
      <w:r>
        <w:rPr>
          <w:rFonts w:ascii="Times New Roman" w:cs="Times New Roman" w:eastAsia="Times New Roman" w:hAnsi="Times New Roman"/>
          <w:b/>
          <w:bCs/>
          <w:sz w:val="22"/>
          <w:szCs w:val="22"/>
        </w:rPr>
        <w:t xml:space="preserve">Indikator Keberhasilan</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2180"/>
        <w:gridCol w:w="2000"/>
      </w:tblGrid>
      <w:tr>
        <w:tc>
          <w:tcPr>
            <w:tcW w:type="dxa" w:w="24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Indikator</w:t>
            </w:r>
          </w:p>
        </w:tc>
        <w:tc>
          <w:tcPr>
            <w:tcW w:type="dxa" w:w="14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Kondisi awal</w:t>
            </w:r>
          </w:p>
        </w:tc>
        <w:tc>
          <w:tcPr>
            <w:tcW w:type="dxa" w:w="14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Target</w:t>
            </w:r>
          </w:p>
        </w:tc>
        <w:tc>
          <w:tcPr>
            <w:tcW w:type="dxa" w:w="218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Sumber data</w:t>
            </w:r>
          </w:p>
        </w:tc>
        <w:tc>
          <w:tcPr>
            <w:tcW w:type="dxa" w:w="20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Frekuensi</w:t>
            </w:r>
          </w:p>
        </w:tc>
      </w:tr>
      <w:tr>
        <w:tc>
          <w:tcPr>
            <w:tcW w:type="dxa" w:w="2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Paket konstruksi </w:t>
            </w:r>
            <w:r>
              <w:rPr>
                <w:rFonts w:ascii="Times New Roman" w:cs="Times New Roman" w:eastAsia="Times New Roman" w:hAnsi="Times New Roman"/>
                <w:b w:val="false"/>
                <w:bCs w:val="false"/>
                <w:i/>
                <w:iCs/>
                <w:sz w:val="20"/>
                <w:szCs w:val="20"/>
              </w:rPr>
              <w:t xml:space="preserve">SPA</w:t>
            </w:r>
            <w:r>
              <w:rPr>
                <w:rFonts w:ascii="Times New Roman" w:cs="Times New Roman" w:eastAsia="Times New Roman" w:hAnsi="Times New Roman"/>
                <w:b w:val="false"/>
                <w:bCs w:val="false"/>
                <w:i w:val="false"/>
                <w:iCs w:val="false"/>
                <w:sz w:val="20"/>
                <w:szCs w:val="20"/>
              </w:rPr>
              <w:t xml:space="preserve">M/sanitasi terpantau</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0 (manual/terpisah)</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558 paket</w:t>
            </w:r>
          </w:p>
        </w:tc>
        <w:tc>
          <w:tcPr>
            <w:tcW w:type="dxa" w:w="21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Aplikasi Arumanis</w:t>
            </w:r>
          </w:p>
        </w:tc>
        <w:tc>
          <w:tcPr>
            <w:tcW w:type="dxa" w:w="20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Mingguan</w:t>
            </w:r>
          </w:p>
        </w:tc>
      </w:tr>
      <w:tr>
        <w:tc>
          <w:tcPr>
            <w:tcW w:type="dxa" w:w="2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iCs/>
                <w:sz w:val="20"/>
                <w:szCs w:val="20"/>
              </w:rPr>
              <w:t xml:space="preserve">Coverage</w:t>
            </w:r>
            <w:r>
              <w:rPr>
                <w:rFonts w:ascii="Times New Roman" w:cs="Times New Roman" w:eastAsia="Times New Roman" w:hAnsi="Times New Roman"/>
                <w:b w:val="false"/>
                <w:bCs w:val="false"/>
                <w:i w:val="false"/>
                <w:iCs w:val="false"/>
                <w:sz w:val="20"/>
                <w:szCs w:val="20"/>
              </w:rPr>
              <w:t xml:space="preserve"> Standar Pelayanan Minimum (SPM) air minum</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Rek</w:t>
            </w:r>
            <w:r>
              <w:rPr>
                <w:rFonts w:ascii="Times New Roman" w:cs="Times New Roman" w:eastAsia="Times New Roman" w:hAnsi="Times New Roman"/>
                <w:b w:val="false"/>
                <w:bCs w:val="false"/>
                <w:i/>
                <w:iCs/>
                <w:sz w:val="20"/>
                <w:szCs w:val="20"/>
              </w:rPr>
              <w:t xml:space="preserve">api</w:t>
            </w:r>
            <w:r>
              <w:rPr>
                <w:rFonts w:ascii="Times New Roman" w:cs="Times New Roman" w:eastAsia="Times New Roman" w:hAnsi="Times New Roman"/>
                <w:b w:val="false"/>
                <w:bCs w:val="false"/>
                <w:i w:val="false"/>
                <w:iCs w:val="false"/>
                <w:sz w:val="20"/>
                <w:szCs w:val="20"/>
              </w:rPr>
              <w:t xml:space="preserve">tulasi manual 5–10 hari</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13,25% (53.206 KK)</w:t>
            </w:r>
          </w:p>
        </w:tc>
        <w:tc>
          <w:tcPr>
            <w:tcW w:type="dxa" w:w="21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Data capaian </w:t>
            </w:r>
            <w:r>
              <w:rPr>
                <w:rFonts w:ascii="Times New Roman" w:cs="Times New Roman" w:eastAsia="Times New Roman" w:hAnsi="Times New Roman"/>
                <w:b w:val="false"/>
                <w:bCs w:val="false"/>
                <w:i/>
                <w:iCs/>
                <w:sz w:val="20"/>
                <w:szCs w:val="20"/>
              </w:rPr>
              <w:t xml:space="preserve">SPA</w:t>
            </w:r>
            <w:r>
              <w:rPr>
                <w:rFonts w:ascii="Times New Roman" w:cs="Times New Roman" w:eastAsia="Times New Roman" w:hAnsi="Times New Roman"/>
                <w:b w:val="false"/>
                <w:bCs w:val="false"/>
                <w:i w:val="false"/>
                <w:iCs w:val="false"/>
                <w:sz w:val="20"/>
                <w:szCs w:val="20"/>
              </w:rPr>
              <w:t xml:space="preserve">M</w:t>
            </w:r>
          </w:p>
        </w:tc>
        <w:tc>
          <w:tcPr>
            <w:tcW w:type="dxa" w:w="20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Bulanan</w:t>
            </w:r>
          </w:p>
        </w:tc>
      </w:tr>
      <w:tr>
        <w:tc>
          <w:tcPr>
            <w:tcW w:type="dxa" w:w="2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iCs/>
                <w:sz w:val="20"/>
                <w:szCs w:val="20"/>
              </w:rPr>
              <w:t xml:space="preserve">Coverage</w:t>
            </w:r>
            <w:r>
              <w:rPr>
                <w:rFonts w:ascii="Times New Roman" w:cs="Times New Roman" w:eastAsia="Times New Roman" w:hAnsi="Times New Roman"/>
                <w:b w:val="false"/>
                <w:bCs w:val="false"/>
                <w:i w:val="false"/>
                <w:iCs w:val="false"/>
                <w:sz w:val="20"/>
                <w:szCs w:val="20"/>
              </w:rPr>
              <w:t xml:space="preserve"> Standar Pelayanan Minimum (SPM) sanitasi</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Data tidak terintegrasi</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1,90% (9.645 KK)</w:t>
            </w:r>
          </w:p>
        </w:tc>
        <w:tc>
          <w:tcPr>
            <w:tcW w:type="dxa" w:w="21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Data sanitasi + peta publik</w:t>
            </w:r>
          </w:p>
        </w:tc>
        <w:tc>
          <w:tcPr>
            <w:tcW w:type="dxa" w:w="20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Bulanan</w:t>
            </w:r>
          </w:p>
        </w:tc>
      </w:tr>
      <w:tr>
        <w:tc>
          <w:tcPr>
            <w:tcW w:type="dxa" w:w="2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Dokumentasi foto progres ber-</w:t>
            </w:r>
            <w:r>
              <w:rPr>
                <w:rFonts w:ascii="Times New Roman" w:cs="Times New Roman" w:eastAsia="Times New Roman" w:hAnsi="Times New Roman"/>
                <w:b w:val="false"/>
                <w:bCs w:val="false"/>
                <w:i/>
                <w:iCs/>
                <w:sz w:val="20"/>
                <w:szCs w:val="20"/>
              </w:rPr>
              <w:t xml:space="preserve">GPS</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Foto tersebar di gawai pengawas</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≥90% paket aktif (kondisi awal 6.453 foto)</w:t>
            </w:r>
          </w:p>
        </w:tc>
        <w:tc>
          <w:tcPr>
            <w:tcW w:type="dxa" w:w="21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Fitur pengawasan lapangan</w:t>
            </w:r>
          </w:p>
        </w:tc>
        <w:tc>
          <w:tcPr>
            <w:tcW w:type="dxa" w:w="20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Mingguan</w:t>
            </w:r>
          </w:p>
        </w:tc>
      </w:tr>
      <w:tr>
        <w:tc>
          <w:tcPr>
            <w:tcW w:type="dxa" w:w="2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Interval laporan pengawas</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2–4 minggu (manual)</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Mingguan terstruktur</w:t>
            </w:r>
          </w:p>
        </w:tc>
        <w:tc>
          <w:tcPr>
            <w:tcW w:type="dxa" w:w="21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Fitur pengawasan + statistik kelengkapan</w:t>
            </w:r>
          </w:p>
        </w:tc>
        <w:tc>
          <w:tcPr>
            <w:tcW w:type="dxa" w:w="20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Mingguan</w:t>
            </w:r>
          </w:p>
        </w:tc>
      </w:tr>
      <w:tr>
        <w:tc>
          <w:tcPr>
            <w:tcW w:type="dxa" w:w="2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Akses publik capaian per desa</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Hanya jam kerja kantor</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365 desa via peta publik tanpa pendaftaran</w:t>
            </w:r>
          </w:p>
        </w:tc>
        <w:tc>
          <w:tcPr>
            <w:tcW w:type="dxa" w:w="21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Aplikasi Arumanis</w:t>
            </w:r>
          </w:p>
        </w:tc>
        <w:tc>
          <w:tcPr>
            <w:tcW w:type="dxa" w:w="20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Langsung (otomatis)</w:t>
            </w:r>
          </w:p>
        </w:tc>
      </w:tr>
    </w:tbl>
    <w:p>
      <w:pPr>
        <w:spacing w:after="200"/>
      </w:pPr>
    </w:p>
    <w:p>
      <w:pPr>
        <w:pStyle w:val="bagian1"/>
        <w:spacing w:after="120" w:before="240"/>
      </w:pPr>
      <w:r>
        <w:rPr>
          <w:rFonts w:ascii="Times New Roman" w:cs="Times New Roman" w:eastAsia="Times New Roman" w:hAnsi="Times New Roman"/>
          <w:b/>
          <w:bCs/>
          <w:sz w:val="24"/>
          <w:szCs w:val="24"/>
        </w:rPr>
        <w:t xml:space="preserve">BAGIAN V :  PENUTUP</w:t>
      </w:r>
    </w:p>
    <w:p>
      <w:pPr>
        <w:pStyle w:val="bagian2"/>
        <w:spacing w:after="80" w:before="200"/>
      </w:pPr>
      <w:r>
        <w:rPr>
          <w:rFonts w:ascii="Times New Roman" w:cs="Times New Roman" w:eastAsia="Times New Roman" w:hAnsi="Times New Roman"/>
          <w:b/>
          <w:bCs/>
          <w:sz w:val="22"/>
          <w:szCs w:val="22"/>
        </w:rPr>
        <w:t xml:space="preserve">Hasil Inovasi</w:t>
      </w:r>
    </w:p>
    <w:p>
      <w:pPr>
        <w:spacing w:after="160" w:line="360"/>
        <w:jc w:val="both"/>
      </w:pPr>
      <w:r>
        <w:rPr>
          <w:rFonts w:ascii="Times New Roman" w:cs="Times New Roman" w:eastAsia="Times New Roman" w:hAnsi="Times New Roman"/>
          <w:b w:val="false"/>
          <w:bCs w:val="false"/>
          <w:i w:val="false"/>
          <w:iCs w:val="false"/>
          <w:sz w:val="22"/>
          <w:szCs w:val="22"/>
        </w:rPr>
        <w:t xml:space="preserve">Hasil penyelenggaraan inovasi Arumanis per 29 Juni 2026 berupa aplikasi </w:t>
      </w:r>
      <w:r>
        <w:rPr>
          <w:rFonts w:ascii="Times New Roman" w:cs="Times New Roman" w:eastAsia="Times New Roman" w:hAnsi="Times New Roman"/>
          <w:b w:val="false"/>
          <w:bCs w:val="false"/>
          <w:i/>
          <w:iCs/>
          <w:sz w:val="22"/>
          <w:szCs w:val="22"/>
        </w:rPr>
        <w:t xml:space="preserve">digital</w:t>
      </w:r>
      <w:r>
        <w:rPr>
          <w:rFonts w:ascii="Times New Roman" w:cs="Times New Roman" w:eastAsia="Times New Roman" w:hAnsi="Times New Roman"/>
          <w:b w:val="false"/>
          <w:bCs w:val="false"/>
          <w:i w:val="false"/>
          <w:iCs w:val="false"/>
          <w:sz w:val="22"/>
          <w:szCs w:val="22"/>
        </w:rPr>
        <w:t xml:space="preserve"> yang mendukung pemantauan konstruksi dan penyajian data program secara langsung.</w:t>
      </w:r>
    </w:p>
    <w:p>
      <w:pPr>
        <w:spacing w:after="160" w:line="360"/>
        <w:jc w:val="both"/>
      </w:pPr>
      <w:r>
        <w:rPr>
          <w:rFonts w:ascii="Times New Roman" w:cs="Times New Roman" w:eastAsia="Times New Roman" w:hAnsi="Times New Roman"/>
          <w:b w:val="false"/>
          <w:bCs w:val="false"/>
          <w:i w:val="false"/>
          <w:iCs w:val="false"/>
          <w:sz w:val="22"/>
          <w:szCs w:val="22"/>
        </w:rPr>
        <w:t xml:space="preserve">Aplikasi Arumanis meliputi tampilan ringkasan pekerjaan, pencatatan kegiatan dan kontrak, data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penandaan kelengkapan data, pemberitahuan program, dan fitur pengawasan lapangan terpadu bagi pengawas untuk memantau progres konstruksi, mengunggah dokumentasi, serta menyusun laporan mingguan dengan satu akun yang sama.</w:t>
      </w:r>
    </w:p>
    <w:p>
      <w:pPr>
        <w:spacing w:after="160" w:line="360"/>
        <w:jc w:val="both"/>
      </w:pPr>
      <w:r>
        <w:rPr>
          <w:rFonts w:ascii="Times New Roman" w:cs="Times New Roman" w:eastAsia="Times New Roman" w:hAnsi="Times New Roman"/>
          <w:b w:val="false"/>
          <w:bCs w:val="false"/>
          <w:i w:val="false"/>
          <w:iCs w:val="false"/>
          <w:sz w:val="22"/>
          <w:szCs w:val="22"/>
        </w:rPr>
        <w:t xml:space="preserve">Halaman informasi terbuka menampilkan peta capaian SPM dan sanitasi per desa. Data terintegrasi memuat 558 pekerjaan, 364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162 infrastruktur sanitasi, 6.453 foto dokumentasi, dan 508 catatan capaian (2009–2026).</w:t>
      </w:r>
    </w:p>
    <w:p>
      <w:pPr>
        <w:spacing w:after="160" w:line="360"/>
        <w:jc w:val="both"/>
      </w:pPr>
      <w:r>
        <w:rPr>
          <w:rFonts w:ascii="Times New Roman" w:cs="Times New Roman" w:eastAsia="Times New Roman" w:hAnsi="Times New Roman"/>
          <w:b w:val="false"/>
          <w:bCs w:val="false"/>
          <w:i w:val="false"/>
          <w:iCs w:val="false"/>
          <w:sz w:val="22"/>
          <w:szCs w:val="22"/>
        </w:rPr>
        <w:t xml:space="preserve">Arumanis (Air Minum dan Sanitasi) adalah inovasi </w:t>
      </w:r>
      <w:r>
        <w:rPr>
          <w:rFonts w:ascii="Times New Roman" w:cs="Times New Roman" w:eastAsia="Times New Roman" w:hAnsi="Times New Roman"/>
          <w:b w:val="false"/>
          <w:bCs w:val="false"/>
          <w:i/>
          <w:iCs/>
          <w:sz w:val="22"/>
          <w:szCs w:val="22"/>
        </w:rPr>
        <w:t xml:space="preserve">digital</w:t>
      </w:r>
      <w:r>
        <w:rPr>
          <w:rFonts w:ascii="Times New Roman" w:cs="Times New Roman" w:eastAsia="Times New Roman" w:hAnsi="Times New Roman"/>
          <w:b w:val="false"/>
          <w:bCs w:val="false"/>
          <w:i w:val="false"/>
          <w:iCs w:val="false"/>
          <w:sz w:val="22"/>
          <w:szCs w:val="22"/>
        </w:rPr>
        <w:t xml:space="preserve"> untuk memantau konstruksi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perdesaan dan sanitasi—khususnya pengelolaan air limbah—serta menyajikan data program secara langsung di Kabupaten Cianjur. Per 29 Juni 2026, capaian Standar Pelayanan Minimum (SPM) air minum 13,25% (53.206 KK) dan sanitasi 1,90% (9.645 KK). Anggaran terpetakan: air minum Rp 91,47 miliar, sanitasi Rp 63,30 miliar, pekerjaan Rp 95,28 miliar, pengawasan Rp 14,46 miliar.</w:t>
      </w:r>
    </w:p>
    <w:p>
      <w:pPr>
        <w:spacing w:after="160" w:line="360"/>
        <w:jc w:val="both"/>
      </w:pPr>
      <w:r>
        <w:rPr>
          <w:rFonts w:ascii="Times New Roman" w:cs="Times New Roman" w:eastAsia="Times New Roman" w:hAnsi="Times New Roman"/>
          <w:b w:val="false"/>
          <w:bCs w:val="false"/>
          <w:i w:val="false"/>
          <w:iCs w:val="false"/>
          <w:sz w:val="22"/>
          <w:szCs w:val="22"/>
        </w:rPr>
        <w:t xml:space="preserve">Inovasi ini memberikan manfaat nyata bagi pemerintah daerah, pengawas lapangan, dan masyarakat melalui tran</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ransi data, percepatan rek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tulasi, serta pemantauan progres konstruksi yang terukur. Komitmen implementasi ditunjukkan oleh adopsi operasional 29 pengawas aktif, surat dukungan DPKP (lampiran), dan dokumentasi 6.453 foto progres. Arumanis layak untuk diterapkan secara berkelanjutan dan menjadi rujukan </w:t>
      </w:r>
      <w:r>
        <w:rPr>
          <w:rFonts w:ascii="Times New Roman" w:cs="Times New Roman" w:eastAsia="Times New Roman" w:hAnsi="Times New Roman"/>
          <w:b w:val="false"/>
          <w:bCs w:val="false"/>
          <w:i/>
          <w:iCs/>
          <w:sz w:val="22"/>
          <w:szCs w:val="22"/>
        </w:rPr>
        <w:t xml:space="preserve">monitoring</w:t>
      </w:r>
      <w:r>
        <w:rPr>
          <w:rFonts w:ascii="Times New Roman" w:cs="Times New Roman" w:eastAsia="Times New Roman" w:hAnsi="Times New Roman"/>
          <w:b w:val="false"/>
          <w:bCs w:val="false"/>
          <w:i w:val="false"/>
          <w:iCs w:val="false"/>
          <w:sz w:val="22"/>
          <w:szCs w:val="22"/>
        </w:rPr>
        <w:t xml:space="preserve"> program air minum serta sanitasi di Kabupaten Cianjur.</w:t>
      </w:r>
    </w:p>
    <w:p>
      <w:pPr>
        <w:pStyle w:val="bagian2"/>
        <w:spacing w:after="80" w:before="200"/>
      </w:pPr>
      <w:r>
        <w:rPr>
          <w:rFonts w:ascii="Times New Roman" w:cs="Times New Roman" w:eastAsia="Times New Roman" w:hAnsi="Times New Roman"/>
          <w:b/>
          <w:bCs/>
          <w:sz w:val="22"/>
          <w:szCs w:val="22"/>
        </w:rPr>
        <w:t xml:space="preserve">Lampiran Administratif</w:t>
      </w:r>
    </w:p>
    <w:p>
      <w:pPr>
        <w:spacing w:after="160" w:line="360"/>
        <w:jc w:val="both"/>
      </w:pPr>
      <w:r>
        <w:rPr>
          <w:rFonts w:ascii="Times New Roman" w:cs="Times New Roman" w:eastAsia="Times New Roman" w:hAnsi="Times New Roman"/>
          <w:b w:val="false"/>
          <w:bCs w:val="false"/>
          <w:i w:val="false"/>
          <w:iCs w:val="false"/>
          <w:sz w:val="22"/>
          <w:szCs w:val="22"/>
        </w:rPr>
        <w:t xml:space="preserve">Lampiran 1: Surat Pernyataan Dukungan Kepala Dinas Perumahan dan Kawasan Permukiman Kabupaten Cianjur atas inovasi Arumanis [lampirkan </w:t>
      </w:r>
      <w:r>
        <w:rPr>
          <w:rFonts w:ascii="Times New Roman" w:cs="Times New Roman" w:eastAsia="Times New Roman" w:hAnsi="Times New Roman"/>
          <w:b w:val="false"/>
          <w:bCs w:val="false"/>
          <w:i/>
          <w:iCs/>
          <w:sz w:val="22"/>
          <w:szCs w:val="22"/>
        </w:rPr>
        <w:t xml:space="preserve">PDF</w:t>
      </w:r>
      <w:r>
        <w:rPr>
          <w:rFonts w:ascii="Times New Roman" w:cs="Times New Roman" w:eastAsia="Times New Roman" w:hAnsi="Times New Roman"/>
          <w:b w:val="false"/>
          <w:bCs w:val="false"/>
          <w:i w:val="false"/>
          <w:iCs w:val="false"/>
          <w:sz w:val="22"/>
          <w:szCs w:val="22"/>
        </w:rPr>
        <w:t xml:space="preserve">/scan bermaterai].</w:t>
      </w:r>
    </w:p>
    <w:p>
      <w:pPr>
        <w:spacing w:after="160" w:line="360"/>
        <w:jc w:val="both"/>
      </w:pPr>
      <w:r>
        <w:rPr>
          <w:rFonts w:ascii="Times New Roman" w:cs="Times New Roman" w:eastAsia="Times New Roman" w:hAnsi="Times New Roman"/>
          <w:b w:val="false"/>
          <w:bCs w:val="false"/>
          <w:i w:val="false"/>
          <w:iCs w:val="false"/>
          <w:sz w:val="22"/>
          <w:szCs w:val="22"/>
        </w:rPr>
        <w:t xml:space="preserve">Lampiran 2: Daftar fitur utama aplikasi (ringkasan pekerjaan, data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pengawasan lapangan, peta capaian publik, penandaan kelengkapan data).</w:t>
      </w:r>
    </w:p>
    <w:p>
      <w:pPr>
        <w:spacing w:after="160" w:line="360"/>
        <w:jc w:val="both"/>
      </w:pPr>
      <w:r>
        <w:rPr>
          <w:rFonts w:ascii="Times New Roman" w:cs="Times New Roman" w:eastAsia="Times New Roman" w:hAnsi="Times New Roman"/>
          <w:b w:val="false"/>
          <w:bCs w:val="false"/>
          <w:i w:val="false"/>
          <w:iCs w:val="false"/>
          <w:sz w:val="22"/>
          <w:szCs w:val="22"/>
        </w:rPr>
        <w:t xml:space="preserve">Lampiran 3: Alamat aplikasi Arumanis (https://arumanis.cianjur.</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ce) beserta QR code demo—aktif per Juni 2026.</w:t>
      </w:r>
    </w:p>
    <w:p>
      <w:pPr>
        <w:spacing w:after="160" w:line="360"/>
        <w:jc w:val="both"/>
      </w:pPr>
      <w:r>
        <w:rPr>
          <w:rFonts w:ascii="Times New Roman" w:cs="Times New Roman" w:eastAsia="Times New Roman" w:hAnsi="Times New Roman"/>
          <w:b w:val="false"/>
          <w:bCs w:val="false"/>
          <w:i w:val="false"/>
          <w:iCs w:val="false"/>
          <w:sz w:val="22"/>
          <w:szCs w:val="22"/>
        </w:rPr>
        <w:t xml:space="preserve">Lampiran 4: Glosarium istilah teknis terpisah (docs/Glosarium_Arumanis_LIDA.docx)—berisi padanan istilah yang disederhanakan di proposal utama beserta penjelasan operasional.</w:t>
      </w:r>
    </w:p>
    <w:p>
      <w:pPr>
        <w:pStyle w:val="bagian2"/>
        <w:spacing w:after="80" w:before="200"/>
      </w:pPr>
      <w:r>
        <w:rPr>
          <w:rFonts w:ascii="Times New Roman" w:cs="Times New Roman" w:eastAsia="Times New Roman" w:hAnsi="Times New Roman"/>
          <w:b/>
          <w:bCs/>
          <w:sz w:val="22"/>
          <w:szCs w:val="22"/>
        </w:rPr>
        <w:t xml:space="preserve">Lampiran Bukti Visual</w:t>
      </w:r>
    </w:p>
    <w:p>
      <w:pPr>
        <w:spacing w:after="160" w:line="360"/>
        <w:jc w:val="both"/>
      </w:pPr>
      <w:r>
        <w:rPr>
          <w:rFonts w:ascii="Times New Roman" w:cs="Times New Roman" w:eastAsia="Times New Roman" w:hAnsi="Times New Roman"/>
          <w:b w:val="false"/>
          <w:bCs w:val="false"/>
          <w:i w:val="false"/>
          <w:iCs w:val="false"/>
          <w:sz w:val="22"/>
          <w:szCs w:val="22"/>
        </w:rPr>
        <w:t xml:space="preserve">Cuplikan layar aplikasi Arumanis per Juni 2026 sebagai bukti visual implementasi inovasi.</w:t>
      </w:r>
    </w:p>
    <w:p>
      <w:pPr>
        <w:spacing w:after="60" w:before="120"/>
        <w:jc w:val="center"/>
      </w:pPr>
      <w:r>
        <w:drawing>
          <wp:inline distT="0" distB="0" distL="0" distR="0">
            <wp:extent cx="4572000" cy="2562225"/>
            <wp:effectExtent t="0" r="0" b="0" l="0"/>
            <wp:docPr id="1" name="Gambar 1. Tampilan ringkasan pemantauan pekerjaan konstruksi air minum dan sanitasi." descr="Gambar 1. Tampilan ringkasan pemantauan pekerjaan konstruksi air minum dan sanitasi." title="Gambar 1. Tampilan ringkasan pemantauan pekerjaan konstruksi air minum dan sanit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62225"/>
                    </a:xfrm>
                    <a:prstGeom prst="rect">
                      <a:avLst/>
                    </a:prstGeom>
                  </pic:spPr>
                </pic:pic>
              </a:graphicData>
            </a:graphic>
          </wp:inline>
        </w:drawing>
      </w:r>
    </w:p>
    <w:p>
      <w:pPr>
        <w:spacing w:after="200"/>
        <w:jc w:val="center"/>
      </w:pPr>
      <w:r>
        <w:rPr>
          <w:i/>
          <w:iCs/>
          <w:sz w:val="20"/>
          <w:szCs w:val="20"/>
        </w:rPr>
        <w:t xml:space="preserve">Gambar 1. Tampilan ringkasan pemantauan pekerjaan konstruksi air minum dan sanitasi.</w:t>
      </w:r>
    </w:p>
    <w:p>
      <w:pPr>
        <w:spacing w:after="60" w:before="120"/>
        <w:jc w:val="center"/>
      </w:pPr>
      <w:r>
        <w:drawing>
          <wp:inline distT="0" distB="0" distL="0" distR="0">
            <wp:extent cx="4572000" cy="2562225"/>
            <wp:effectExtent t="0" r="0" b="0" l="0"/>
            <wp:docPr id="1" name="Gambar 2. Peta capaian SPM air minum per desa." descr="Gambar 2. Peta capaian SPM air minum per desa." title="Gambar 2. Peta capaian SPM air minum per d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62225"/>
                    </a:xfrm>
                    <a:prstGeom prst="rect">
                      <a:avLst/>
                    </a:prstGeom>
                  </pic:spPr>
                </pic:pic>
              </a:graphicData>
            </a:graphic>
          </wp:inline>
        </w:drawing>
      </w:r>
    </w:p>
    <w:p>
      <w:pPr>
        <w:spacing w:after="200"/>
        <w:jc w:val="center"/>
      </w:pPr>
      <w:r>
        <w:rPr>
          <w:i/>
          <w:iCs/>
          <w:sz w:val="20"/>
          <w:szCs w:val="20"/>
        </w:rPr>
        <w:t xml:space="preserve">Gambar 2. Peta capaian SPM air minum per desa.</w:t>
      </w:r>
    </w:p>
    <w:p>
      <w:pPr>
        <w:spacing w:after="60" w:before="120"/>
        <w:jc w:val="center"/>
      </w:pPr>
      <w:r>
        <w:drawing>
          <wp:inline distT="0" distB="0" distL="0" distR="0">
            <wp:extent cx="4572000" cy="2562225"/>
            <wp:effectExtent t="0" r="0" b="0" l="0"/>
            <wp:docPr id="1" name="Gambar 3. Peta capaian SPM sanitasi per desa." descr="Gambar 3. Peta capaian SPM sanitasi per desa." title="Gambar 3. Peta capaian SPM sanitasi per d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62225"/>
                    </a:xfrm>
                    <a:prstGeom prst="rect">
                      <a:avLst/>
                    </a:prstGeom>
                  </pic:spPr>
                </pic:pic>
              </a:graphicData>
            </a:graphic>
          </wp:inline>
        </w:drawing>
      </w:r>
    </w:p>
    <w:p>
      <w:pPr>
        <w:spacing w:after="200"/>
        <w:jc w:val="center"/>
      </w:pPr>
      <w:r>
        <w:rPr>
          <w:i/>
          <w:iCs/>
          <w:sz w:val="20"/>
          <w:szCs w:val="20"/>
        </w:rPr>
        <w:t xml:space="preserve">Gambar 3. Peta capaian SPM sanitasi per desa.</w:t>
      </w:r>
    </w:p>
    <w:p>
      <w:pPr>
        <w:spacing w:after="60" w:before="120"/>
        <w:jc w:val="center"/>
      </w:pPr>
      <w:r>
        <w:drawing>
          <wp:inline distT="0" distB="0" distL="0" distR="0">
            <wp:extent cx="4572000" cy="2562225"/>
            <wp:effectExtent t="0" r="0" b="0" l="0"/>
            <wp:docPr id="1" name="Gambar 4. Fitur pengawasan lapangan untuk input progres dan dokumentasi pekerjaan." descr="Gambar 4. Fitur pengawasan lapangan untuk input progres dan dokumentasi pekerjaan." title="Gambar 4. Fitur pengawasan lapangan untuk input progres dan dokumentasi pekerj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62225"/>
                    </a:xfrm>
                    <a:prstGeom prst="rect">
                      <a:avLst/>
                    </a:prstGeom>
                  </pic:spPr>
                </pic:pic>
              </a:graphicData>
            </a:graphic>
          </wp:inline>
        </w:drawing>
      </w:r>
    </w:p>
    <w:p>
      <w:pPr>
        <w:spacing w:after="200"/>
        <w:jc w:val="center"/>
      </w:pPr>
      <w:r>
        <w:rPr>
          <w:i/>
          <w:iCs/>
          <w:sz w:val="20"/>
          <w:szCs w:val="20"/>
        </w:rPr>
        <w:t xml:space="preserve">Gambar 4. Fitur pengawasan lapangan untuk input progres dan dokumentasi pekerjaan.</w:t>
      </w:r>
    </w:p>
    <w:p>
      <w:pPr>
        <w:spacing w:after="60" w:before="120"/>
        <w:jc w:val="center"/>
      </w:pPr>
      <w:r>
        <w:drawing>
          <wp:inline distT="0" distB="0" distL="0" distR="0">
            <wp:extent cx="4572000" cy="2562225"/>
            <wp:effectExtent t="0" r="0" b="0" l="0"/>
            <wp:docPr id="1" name="Gambar 5. Satu akun untuk akses dinas dan pengawasan lapangan." descr="Gambar 5. Satu akun untuk akses dinas dan pengawasan lapangan." title="Gambar 5. Satu akun untuk akses dinas dan pengawasan lapa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562225"/>
                    </a:xfrm>
                    <a:prstGeom prst="rect">
                      <a:avLst/>
                    </a:prstGeom>
                  </pic:spPr>
                </pic:pic>
              </a:graphicData>
            </a:graphic>
          </wp:inline>
        </w:drawing>
      </w:r>
    </w:p>
    <w:p>
      <w:pPr>
        <w:spacing w:after="200"/>
        <w:jc w:val="center"/>
      </w:pPr>
      <w:r>
        <w:rPr>
          <w:i/>
          <w:iCs/>
          <w:sz w:val="20"/>
          <w:szCs w:val="20"/>
        </w:rPr>
        <w:t xml:space="preserve">Gambar 5. Satu akun untuk akses dinas dan pengawasan lapangan.</w:t>
      </w:r>
    </w:p>
    <w:p>
      <w:pPr>
        <w:spacing w:before="480"/>
      </w:pPr>
    </w:p>
    <w:p>
      <w:pPr>
        <w:ind w:left="4820"/>
      </w:pPr>
      <w:r>
        <w:rPr>
          <w:sz w:val="22"/>
          <w:szCs w:val="22"/>
        </w:rPr>
        <w:t xml:space="preserve">Cianjur, 29 Juni 2026</w:t>
      </w:r>
    </w:p>
    <w:p>
      <w:pPr>
        <w:spacing w:after="480" w:before="80"/>
        <w:ind w:left="4820"/>
      </w:pPr>
      <w:r>
        <w:rPr>
          <w:sz w:val="22"/>
          <w:szCs w:val="22"/>
        </w:rPr>
        <w:t xml:space="preserve">Inisiator,</w:t>
      </w:r>
    </w:p>
    <w:p>
      <w:pPr>
        <w:ind w:left="4820"/>
      </w:pPr>
      <w:r>
        <w:rPr>
          <w:b/>
          <w:bCs/>
          <w:sz w:val="22"/>
          <w:szCs w:val="22"/>
        </w:rPr>
        <w:t xml:space="preserve">ILHAM TAUFIQ</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Proposal Lomba Inovasi Daerah — Arumanis — Hal.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agian1">
    <w:name w:val="bagian1"/>
    <w:basedOn w:val="Normal"/>
    <w:next w:val="Normal"/>
    <w:pPr>
      <w:spacing w:after="120" w:before="240"/>
    </w:pPr>
    <w:rPr>
      <w:rFonts w:ascii="Times New Roman" w:cs="Times New Roman" w:eastAsia="Times New Roman" w:hAnsi="Times New Roman"/>
      <w:b/>
      <w:bCs/>
      <w:sz w:val="24"/>
      <w:szCs w:val="24"/>
    </w:rPr>
  </w:style>
  <w:style w:type="paragraph" w:styleId="bagian2">
    <w:name w:val="bagian2"/>
    <w:basedOn w:val="Normal"/>
    <w:next w:val="Normal"/>
    <w:pPr>
      <w:spacing w:after="80" w:before="200"/>
    </w:pPr>
    <w:rPr>
      <w:rFonts w:ascii="Times New Roman" w:cs="Times New Roman" w:eastAsia="Times New Roman" w:hAnsi="Times New Roman"/>
      <w:b/>
      <w:bCs/>
      <w:sz w:val="22"/>
      <w:szCs w:val="22"/>
    </w:rPr>
  </w:style>
  <w:style w:type="paragraph" w:styleId="bagian3">
    <w:name w:val="bagian3"/>
    <w:basedOn w:val="bagian2"/>
    <w:next w:val="Normal"/>
    <w:pPr>
      <w:spacing w:after="60" w:before="160"/>
      <w:ind w:left="360"/>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766e5043a7814efa0bd1b2085454b8f9b99616c.png"/><Relationship Id="rId9" Type="http://schemas.openxmlformats.org/officeDocument/2006/relationships/image" Target="media/04edb10c5f29444586bc5c7c358ce083c421d7c1.png"/><Relationship Id="rId10" Type="http://schemas.openxmlformats.org/officeDocument/2006/relationships/image" Target="media/807c55af6c6bab938e795d4856fa01221ddf8b80.png"/><Relationship Id="rId11" Type="http://schemas.openxmlformats.org/officeDocument/2006/relationships/image" Target="media/c655e3f3c9869eb7c52ef58e8f9483c1b656d3c6.png"/><Relationship Id="rId12" Type="http://schemas.openxmlformats.org/officeDocument/2006/relationships/image" Target="media/517b6d544c367f1dc8ea3c7e0aa948eee7bfb44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2026-06-29T11:34:15.600Z</dcterms:created>
  <dcterms:modified xsi:type="dcterms:W3CDTF">2026-06-29T11:34:15.600Z</dcterms:modified>
</cp:coreProperties>
</file>

<file path=docProps/custom.xml><?xml version="1.0" encoding="utf-8"?>
<Properties xmlns="http://schemas.openxmlformats.org/officeDocument/2006/custom-properties" xmlns:vt="http://schemas.openxmlformats.org/officeDocument/2006/docPropsVTypes"/>
</file>