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GLOSARIUM ISTILAH</w:t>
      </w:r>
    </w:p>
    <w:p>
      <w:pPr>
        <w:spacing w:after="80"/>
        <w:jc w:val="center"/>
      </w:pPr>
      <w:r>
        <w:rPr>
          <w:rFonts w:ascii="Times New Roman" w:cs="Times New Roman" w:eastAsia="Times New Roman" w:hAnsi="Times New Roman"/>
          <w:b/>
          <w:bCs/>
          <w:sz w:val="32"/>
          <w:szCs w:val="32"/>
        </w:rPr>
        <w:t xml:space="preserve">PROPOSAL LOMBA INOVASI DAERAH</w:t>
      </w:r>
    </w:p>
    <w:p>
      <w:pPr>
        <w:spacing w:after="80"/>
        <w:jc w:val="center"/>
      </w:pPr>
      <w:r>
        <w:rPr>
          <w:rFonts w:ascii="Times New Roman" w:cs="Times New Roman" w:eastAsia="Times New Roman" w:hAnsi="Times New Roman"/>
          <w:b/>
          <w:bCs/>
          <w:sz w:val="28"/>
          <w:szCs w:val="28"/>
        </w:rPr>
        <w:t xml:space="preserve">ARUMANIS — KABUPATEN CIANJUR 2026</w:t>
      </w:r>
    </w:p>
    <w:p>
      <w:pPr>
        <w:spacing w:after="240"/>
      </w:pPr>
    </w:p>
    <w:p>
      <w:pPr>
        <w:spacing w:after="120" w:before="240"/>
      </w:pPr>
      <w:r>
        <w:rPr>
          <w:rFonts w:ascii="Times New Roman" w:cs="Times New Roman" w:eastAsia="Times New Roman" w:hAnsi="Times New Roman"/>
          <w:b/>
          <w:bCs/>
          <w:sz w:val="24"/>
          <w:szCs w:val="24"/>
        </w:rPr>
        <w:t xml:space="preserve">Tujuan dokumen</w:t>
      </w:r>
    </w:p>
    <w:p>
      <w:pPr>
        <w:spacing w:after="160" w:line="360"/>
        <w:jc w:val="both"/>
      </w:pPr>
      <w:r>
        <w:rPr>
          <w:rFonts w:ascii="Times New Roman" w:cs="Times New Roman" w:eastAsia="Times New Roman" w:hAnsi="Times New Roman"/>
          <w:b w:val="false"/>
          <w:bCs w:val="false"/>
          <w:sz w:val="22"/>
          <w:szCs w:val="22"/>
        </w:rPr>
        <w:t xml:space="preserve">Dokumen ini merupakan lampiran terpisah dari Proposal Lomba Inovasi Daerah (LIDA). Proposal utama disusun dengan bahasa yang mudah dipahami juri dan masyarakat umum. Glosarium ini menyediakan padanan istilah teknis yang sengaja disederhanakan di badan proposal, beserta penjelasan operasional bagi peninjau yang memerlukan rincian lebih dalam.</w:t>
      </w:r>
    </w:p>
    <w:p>
      <w:pPr>
        <w:spacing w:after="160" w:line="360"/>
        <w:jc w:val="both"/>
      </w:pPr>
      <w:r>
        <w:rPr>
          <w:rFonts w:ascii="Times New Roman" w:cs="Times New Roman" w:eastAsia="Times New Roman" w:hAnsi="Times New Roman"/>
          <w:b w:val="false"/>
          <w:bCs w:val="false"/>
          <w:sz w:val="22"/>
          <w:szCs w:val="22"/>
        </w:rPr>
        <w:t xml:space="preserve">Istilah asing atau bukan KBBI ditulis miring. Dokumen ini tidak mengganti proposal utama, melainkan melengk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sz w:val="22"/>
          <w:szCs w:val="22"/>
        </w:rPr>
        <w:t xml:space="preserve"> Lampiran Administratif.</w:t>
      </w:r>
    </w:p>
    <w:p>
      <w:pPr>
        <w:spacing w:after="120" w:before="240"/>
      </w:pPr>
      <w:r>
        <w:rPr>
          <w:rFonts w:ascii="Times New Roman" w:cs="Times New Roman" w:eastAsia="Times New Roman" w:hAnsi="Times New Roman"/>
          <w:b/>
          <w:bCs/>
          <w:sz w:val="24"/>
          <w:szCs w:val="24"/>
        </w:rPr>
        <w:t xml:space="preserve">Daftar istilah</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4000"/>
      </w:tblGrid>
      <w:tr>
        <w:tc>
          <w:tcPr>
            <w:tcW w:type="dxa" w:w="22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sz w:val="20"/>
                <w:szCs w:val="20"/>
              </w:rPr>
              <w:t xml:space="preserve">Istilah</w:t>
            </w:r>
          </w:p>
        </w:tc>
        <w:tc>
          <w:tcPr>
            <w:tcW w:type="dxa" w:w="31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sz w:val="20"/>
                <w:szCs w:val="20"/>
              </w:rPr>
              <w:t xml:space="preserve">Padanan di proposal utama</w:t>
            </w:r>
          </w:p>
        </w:tc>
        <w:tc>
          <w:tcPr>
            <w:tcW w:type="dxa" w:w="40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sz w:val="20"/>
                <w:szCs w:val="20"/>
              </w:rPr>
              <w:t xml:space="preserve">Penjelasan teknis / operasional</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Aplikasi Arumanis</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Nama inovasi yang dipakai di proposal utama</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Antarmuka utama di https://arumanis.cianjur.</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ce — ringkasan pekerjaan, data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M/sanitasi, peta capaian</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 amis</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Pusat penyimpanan dan pemeriksaan data program</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Layanan data di https://</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amis.cianjur.</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ce (</w:t>
            </w:r>
            <w:r>
              <w:rPr>
                <w:rFonts w:ascii="Times New Roman" w:cs="Times New Roman" w:eastAsia="Times New Roman" w:hAnsi="Times New Roman"/>
                <w:b w:val="false"/>
                <w:bCs w:val="false"/>
                <w:i/>
                <w:iCs/>
                <w:sz w:val="20"/>
                <w:szCs w:val="20"/>
              </w:rPr>
              <w:t xml:space="preserve">Laravel</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 yang menerima </w:t>
            </w:r>
            <w:r>
              <w:rPr>
                <w:rFonts w:ascii="Times New Roman" w:cs="Times New Roman" w:eastAsia="Times New Roman" w:hAnsi="Times New Roman"/>
                <w:b w:val="false"/>
                <w:bCs w:val="false"/>
                <w:i/>
                <w:iCs/>
                <w:sz w:val="20"/>
                <w:szCs w:val="20"/>
              </w:rPr>
              <w:t xml:space="preserve">input</w:t>
            </w:r>
            <w:r>
              <w:rPr>
                <w:rFonts w:ascii="Times New Roman" w:cs="Times New Roman" w:eastAsia="Times New Roman" w:hAnsi="Times New Roman"/>
                <w:b w:val="false"/>
                <w:bCs w:val="false"/>
                <w:sz w:val="20"/>
                <w:szCs w:val="20"/>
              </w:rPr>
              <w:t xml:space="preserve"> operator dan pengawas</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Panel Pengawasan</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Fitur pengawasan lapangan terpadu</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Sub-aplikasi terintegrasi (/pengawasan/) untuk laporan mingguan, foto lokasi, dan RAB fisik</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Dashboard</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Tampilan ringkasan data program</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Halaman utama yang menampilkan pekerjaan, kontrak, pagu, dan indikator kelengkapan data secara langsung</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SSO</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Single Sign-On</w:t>
            </w:r>
            <w:r>
              <w:rPr>
                <w:rFonts w:ascii="Times New Roman" w:cs="Times New Roman" w:eastAsia="Times New Roman" w:hAnsi="Times New Roman"/>
                <w:b w:val="false"/>
                <w:bCs w:val="false"/>
                <w:sz w:val="20"/>
                <w:szCs w:val="20"/>
              </w:rPr>
              <w:t xml:space="preserve">)</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Satu akun untuk dinas dan pengawas</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Pengawas dan operator memakai akun yang sama untuk Arumanis dan Panel Pengawasan tanpa </w:t>
            </w:r>
            <w:r>
              <w:rPr>
                <w:rFonts w:ascii="Times New Roman" w:cs="Times New Roman" w:eastAsia="Times New Roman" w:hAnsi="Times New Roman"/>
                <w:b w:val="false"/>
                <w:bCs w:val="false"/>
                <w:i/>
                <w:iCs/>
                <w:sz w:val="20"/>
                <w:szCs w:val="20"/>
              </w:rPr>
              <w:t xml:space="preserve">login</w:t>
            </w:r>
            <w:r>
              <w:rPr>
                <w:rFonts w:ascii="Times New Roman" w:cs="Times New Roman" w:eastAsia="Times New Roman" w:hAnsi="Times New Roman"/>
                <w:b w:val="false"/>
                <w:bCs w:val="false"/>
                <w:sz w:val="20"/>
                <w:szCs w:val="20"/>
              </w:rPr>
              <w:t xml:space="preserve"> ulang</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Real-time</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Pembaruan data langsung</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Perubahan </w:t>
            </w:r>
            <w:r>
              <w:rPr>
                <w:rFonts w:ascii="Times New Roman" w:cs="Times New Roman" w:eastAsia="Times New Roman" w:hAnsi="Times New Roman"/>
                <w:b w:val="false"/>
                <w:bCs w:val="false"/>
                <w:i/>
                <w:iCs/>
                <w:sz w:val="20"/>
                <w:szCs w:val="20"/>
              </w:rPr>
              <w:t xml:space="preserve">input</w:t>
            </w:r>
            <w:r>
              <w:rPr>
                <w:rFonts w:ascii="Times New Roman" w:cs="Times New Roman" w:eastAsia="Times New Roman" w:hAnsi="Times New Roman"/>
                <w:b w:val="false"/>
                <w:bCs w:val="false"/>
                <w:sz w:val="20"/>
                <w:szCs w:val="20"/>
              </w:rPr>
              <w:t xml:space="preserve"> lapangan langsung tercermin di ringkasan tanpa menunggu rek</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tulasi manual</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Monitoring</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Pemantauan</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Proses mengawasi progres fisik, keuangan, dan dokumentasi paket pekerjaan</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Platform</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Aplikasi / sistem terpadu</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Ekosistem Arumanis yang menghubungkan data proyek,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 dan sanitasi</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Backend</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Pusat data program</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L</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san server (</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 amis) yang menyimpan, memvalidasi, dan menyajikan data ke aplikasi</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Frontend</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Tampilan pengguna</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Antarmuka </w:t>
            </w:r>
            <w:r>
              <w:rPr>
                <w:rFonts w:ascii="Times New Roman" w:cs="Times New Roman" w:eastAsia="Times New Roman" w:hAnsi="Times New Roman"/>
                <w:b w:val="false"/>
                <w:bCs w:val="false"/>
                <w:i/>
                <w:iCs/>
                <w:sz w:val="20"/>
                <w:szCs w:val="20"/>
              </w:rPr>
              <w:t xml:space="preserve">web</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React</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 yang diakses melalui </w:t>
            </w:r>
            <w:r>
              <w:rPr>
                <w:rFonts w:ascii="Times New Roman" w:cs="Times New Roman" w:eastAsia="Times New Roman" w:hAnsi="Times New Roman"/>
                <w:b w:val="false"/>
                <w:bCs w:val="false"/>
                <w:i/>
                <w:iCs/>
                <w:sz w:val="20"/>
                <w:szCs w:val="20"/>
              </w:rPr>
              <w:t xml:space="preserve">browser</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React</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SPA</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Aplikasi </w:t>
            </w:r>
            <w:r>
              <w:rPr>
                <w:rFonts w:ascii="Times New Roman" w:cs="Times New Roman" w:eastAsia="Times New Roman" w:hAnsi="Times New Roman"/>
                <w:b w:val="false"/>
                <w:bCs w:val="false"/>
                <w:i/>
                <w:iCs/>
                <w:sz w:val="20"/>
                <w:szCs w:val="20"/>
              </w:rPr>
              <w:t xml:space="preserve">web</w:t>
            </w:r>
            <w:r>
              <w:rPr>
                <w:rFonts w:ascii="Times New Roman" w:cs="Times New Roman" w:eastAsia="Times New Roman" w:hAnsi="Times New Roman"/>
                <w:b w:val="false"/>
                <w:bCs w:val="false"/>
                <w:sz w:val="20"/>
                <w:szCs w:val="20"/>
              </w:rPr>
              <w:t xml:space="preserve"> interaktif</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Single Page Application — halaman tidak perlu dimuat ulang penuh saat berpindah menu</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Laravel</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API</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Pengelola data di server</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Kerangka kerja PHP untuk REST </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 validasi data, dan hak akses per peran</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PostgreSQL</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Basis data terintegrasi</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Sistem basis data relasional tempat disimpan pekerjaan,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 foto, dan capaian SPM</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API</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Saluran pertukaran data antar komponen sistem</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Application Programming Interface — kontrak data antara aplikasi dan server</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GPS</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Lokasi lapangan pada foto dokumentasi</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Global Positioning System — koordinat lokasi saat foto progres diunggah</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Baseline</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Kondisi awal sebelum inovasi</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Nilai pembanding pada indikator keberhasilan (mis. rek</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sz w:val="20"/>
                <w:szCs w:val="20"/>
              </w:rPr>
              <w:t xml:space="preserve">tulasi 5–10 hari)</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Snapshot</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Tanggal pengambilan data</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Cuplikan data operasional pada waktu tertentu (mis. 27 Juni 2026)</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Record</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Catatan / entri data</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Satu baris data tersimpan (mis. capaian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 per unit per tahun)</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Deviasi</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Penyimpangan rencana</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Selisih antara rencana dan realisasi progres fisik atau anggaran</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KPI</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Indikator kinerja utama</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Key Performance Indicator — ukuran keberhasilan program (kelengkapan laporan, foto, dll.)</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Coverage</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Cakupan layanan</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Persentase KK/jiwa terlayani terhadap target SPM</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SIM</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Data unit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 tingkat nasional</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Sistem Informasi Manajemen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M Kementerian PUPR — 33 unit Cianjur terkait</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Bimtek</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Pelatihan dan sosialisasi</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Bimbingan teknis kepada operator, pengawas, dan pengelola desa</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docs/user-guide</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Panduan penggunaan</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Dokumentasi langkah demi langkah per peran pengguna di repositori proyek</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Hosting</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Penyimpanan aplikasi di server</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Infrastruktur agar arumanis.cianjur.</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sz w:val="20"/>
                <w:szCs w:val="20"/>
              </w:rPr>
              <w:t xml:space="preserve">ce dapat diakses publik</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QR code</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Kode demo cepat</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Kode respon cepat pada versi cetak untuk membuka alamat aplikasi</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Server-side</w:t>
            </w:r>
            <w:r>
              <w:rPr>
                <w:rFonts w:ascii="Times New Roman" w:cs="Times New Roman" w:eastAsia="Times New Roman" w:hAnsi="Times New Roman"/>
                <w:b w:val="false"/>
                <w:bCs w:val="false"/>
                <w:sz w:val="20"/>
                <w:szCs w:val="20"/>
              </w:rPr>
              <w:t xml:space="preserve"> validation</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Pemeriksaan data di server</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Validasi </w:t>
            </w:r>
            <w:r>
              <w:rPr>
                <w:rFonts w:ascii="Times New Roman" w:cs="Times New Roman" w:eastAsia="Times New Roman" w:hAnsi="Times New Roman"/>
                <w:b w:val="false"/>
                <w:bCs w:val="false"/>
                <w:i/>
                <w:iCs/>
                <w:sz w:val="20"/>
                <w:szCs w:val="20"/>
              </w:rPr>
              <w:t xml:space="preserve">server-side</w:t>
            </w:r>
            <w:r>
              <w:rPr>
                <w:rFonts w:ascii="Times New Roman" w:cs="Times New Roman" w:eastAsia="Times New Roman" w:hAnsi="Times New Roman"/>
                <w:b w:val="false"/>
                <w:bCs w:val="false"/>
                <w:sz w:val="20"/>
                <w:szCs w:val="20"/>
              </w:rPr>
              <w:t xml:space="preserve"> — mencegah angka atau format salah masuk basis data</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Audit log</w:t>
            </w:r>
          </w:p>
        </w:tc>
        <w:tc>
          <w:tcPr>
            <w:tcW w:type="dxa" w:w="318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Jejak perubahan data</w:t>
            </w:r>
          </w:p>
        </w:tc>
        <w:tc>
          <w:tcPr>
            <w:tcW w:type="dxa" w:w="4000"/>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Catatan siapa mengubah data dan kapan, untuk akuntabilitas</w:t>
            </w:r>
          </w:p>
        </w:tc>
      </w:tr>
      <w:tr>
        <w:tc>
          <w:tcPr>
            <w:tcW w:type="dxa" w:w="22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i/>
                <w:iCs/>
                <w:sz w:val="20"/>
                <w:szCs w:val="20"/>
              </w:rPr>
              <w:t xml:space="preserve">Role-based access</w:t>
            </w:r>
          </w:p>
        </w:tc>
        <w:tc>
          <w:tcPr>
            <w:tcW w:type="dxa" w:w="318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Hak akses berbeda per peran</w:t>
            </w:r>
          </w:p>
        </w:tc>
        <w:tc>
          <w:tcPr>
            <w:tcW w:type="dxa" w:w="4000"/>
            <w:tcBorders>
              <w:top w:val="single" w:color="000000" w:sz="8"/>
              <w:left w:val="single" w:color="000000" w:sz="8"/>
              <w:bottom w:val="single" w:color="000000" w:sz="8"/>
              <w:right w:val="single" w:color="000000" w:sz="8"/>
            </w:tcBorders>
            <w:shd w:fill="F9F9F9" w:val="clear"/>
            <w:tcMar>
              <w:top w:type="dxa" w:w="80"/>
              <w:left w:type="dxa" w:w="140"/>
              <w:bottom w:type="dxa" w:w="80"/>
              <w:right w:type="dxa" w:w="140"/>
            </w:tcMar>
          </w:tcPr>
          <w:p>
            <w:pPr>
              <w:spacing w:after="40" w:before="40" w:line="320"/>
            </w:pPr>
            <w:r>
              <w:rPr>
                <w:rFonts w:ascii="Times New Roman" w:cs="Times New Roman" w:eastAsia="Times New Roman" w:hAnsi="Times New Roman"/>
                <w:b w:val="false"/>
                <w:bCs w:val="false"/>
                <w:sz w:val="20"/>
                <w:szCs w:val="20"/>
              </w:rPr>
              <w:t xml:space="preserve">Operator, pengawas, dan admin hanya melihat menu sesuai tugas dan wilayah</w:t>
            </w:r>
          </w:p>
        </w:tc>
      </w:tr>
    </w:tbl>
    <w:p>
      <w:pPr>
        <w:spacing w:before="360"/>
      </w:pPr>
    </w:p>
    <w:p>
      <w:pPr>
        <w:spacing w:after="160" w:line="360"/>
        <w:jc w:val="both"/>
      </w:pPr>
      <w:r>
        <w:rPr>
          <w:rFonts w:ascii="Times New Roman" w:cs="Times New Roman" w:eastAsia="Times New Roman" w:hAnsi="Times New Roman"/>
          <w:b w:val="false"/>
          <w:bCs w:val="false"/>
          <w:sz w:val="22"/>
          <w:szCs w:val="22"/>
        </w:rPr>
        <w:t xml:space="preserve">Cianjur, 29 Juni 2026</w:t>
      </w:r>
    </w:p>
    <w:p>
      <w:pPr>
        <w:spacing w:before="480"/>
        <w:ind w:left="4820"/>
      </w:pPr>
      <w:r>
        <w:rPr>
          <w:rFonts w:ascii="Times New Roman" w:cs="Times New Roman" w:eastAsia="Times New Roman" w:hAnsi="Times New Roman"/>
          <w:sz w:val="22"/>
          <w:szCs w:val="22"/>
        </w:rPr>
        <w:t xml:space="preserve">Inisiator,</w:t>
      </w:r>
    </w:p>
    <w:p>
      <w:pPr>
        <w:ind w:left="4820"/>
      </w:pPr>
      <w:r>
        <w:rPr>
          <w:rFonts w:ascii="Times New Roman" w:cs="Times New Roman" w:eastAsia="Times New Roman" w:hAnsi="Times New Roman"/>
          <w:b/>
          <w:bCs/>
          <w:sz w:val="22"/>
          <w:szCs w:val="22"/>
        </w:rPr>
        <w:t xml:space="preserve">ILHAM TAUFIQ</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Glosarium Arumanis — Lampiran LIDA — Hal.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2026-06-29T11:34:49.047Z</dcterms:created>
  <dcterms:modified xsi:type="dcterms:W3CDTF">2026-06-29T11:34:49.048Z</dcterms:modified>
</cp:coreProperties>
</file>

<file path=docProps/custom.xml><?xml version="1.0" encoding="utf-8"?>
<Properties xmlns="http://schemas.openxmlformats.org/officeDocument/2006/custom-properties" xmlns:vt="http://schemas.openxmlformats.org/officeDocument/2006/docPropsVTypes"/>
</file>