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Monetrix Техническое задание</w:t>
      </w:r>
    </w:p>
    <w:p>
      <w:pPr>
        <w:pStyle w:val="Subtitle"/>
      </w:pPr>
      <w:r>
        <w:rPr>
          <w:color w:val="000000"/>
        </w:rPr>
        <w:t>Разработка MVP для финансовых сценариев, обучения и мультибанкинга</w:t>
      </w:r>
    </w:p>
    <w:p>
      <w:pPr>
        <w:pStyle w:val="Subtitle"/>
      </w:pPr>
      <w:r>
        <w:rPr>
          <w:color w:val="000000"/>
        </w:rPr>
        <w:t>Версия 1.0 • 8 октября 2026 года</w:t>
      </w:r>
    </w:p>
    <w:p>
      <w:pPr>
        <w:pStyle w:val="Heading1"/>
      </w:pPr>
      <w:r>
        <w:rPr>
          <w:color w:val="000000"/>
        </w:rPr>
        <w:t>1 Назначение и границы</w:t>
      </w:r>
    </w:p>
    <w:p>
      <w:r>
        <w:t>Создать адаптивное веб-приложение, в котором пользователь собирает сведения о своих деньгах, проходит короткий учебный кейс, моделирует личную ситуацию и сохраняет план распределения средств. Первая демонстрация должна проходить без внешнего банка, LLM и ручной правки базы разработчиком.</w:t>
      </w:r>
    </w:p>
    <w:p>
      <w:r>
        <w:t>Это ТЗ задаёт новую версию Monetrix. Перед внедрением в существующий репозиторий нужно провести техническую инвентаризацию и сохранить работающие компоненты. Выбор ниже применяется к отсутствующим модулям; переписывать стабильные интеграции только ради смены стека не требуется.</w:t>
      </w:r>
    </w:p>
    <w:p>
      <w:pPr>
        <w:pStyle w:val="Heading2"/>
      </w:pPr>
      <w:r>
        <w:rPr>
          <w:color w:val="000000"/>
        </w:rPr>
        <w:t>Обязательный объём P0</w:t>
      </w:r>
    </w:p>
    <w:p>
      <w:pPr>
        <w:pStyle w:val="ListBullet"/>
      </w:pPr>
      <w:r>
        <w:t>Взрослый пользователь, язык интерфейса русский, расчётная валюта RUB.</w:t>
      </w:r>
    </w:p>
    <w:p>
      <w:pPr>
        <w:pStyle w:val="ListBullet"/>
      </w:pPr>
      <w:r>
        <w:t>Два режима: отдельный учебный профиль и личный профиль с авторизацией.</w:t>
      </w:r>
    </w:p>
    <w:p>
      <w:pPr>
        <w:pStyle w:val="ListBullet"/>
      </w:pPr>
      <w:r>
        <w:t>Ручные счета и CSV-импорт операций с предпросмотром; несколько источников в общем обзоре.</w:t>
      </w:r>
    </w:p>
    <w:p>
      <w:pPr>
        <w:pStyle w:val="ListBullet"/>
      </w:pPr>
      <w:r>
        <w:t>Цели и корзины, подтверждение исходного бюджета, версии сценариев.</w:t>
      </w:r>
    </w:p>
    <w:p>
      <w:pPr>
        <w:pStyle w:val="ListBullet"/>
      </w:pPr>
      <w:r>
        <w:t>Помесячный расчёт на 12 или 24 месяца: потеря или уменьшение дохода, изменение расходов, крупная трата.</w:t>
      </w:r>
    </w:p>
    <w:p>
      <w:pPr>
        <w:pStyle w:val="ListBullet"/>
      </w:pPr>
      <w:r>
        <w:t>Шесть карточек инструментов и шесть кейсов с заданиями, объяснениями и прогрессом.</w:t>
      </w:r>
    </w:p>
    <w:p>
      <w:pPr>
        <w:pStyle w:val="ListBullet"/>
      </w:pPr>
      <w:r>
        <w:t>Сравнение вкладов и накопительных счетов с понятными допущениями; в демо только вымышленные предложения.</w:t>
      </w:r>
    </w:p>
    <w:p>
      <w:pPr>
        <w:pStyle w:val="ListBullet"/>
      </w:pPr>
      <w:r>
        <w:t>Редактор контента и предложений, аудит публикации, базовая аналитика действий.</w:t>
      </w:r>
    </w:p>
    <w:p>
      <w:pPr>
        <w:pStyle w:val="ListBullet"/>
      </w:pPr>
      <w:r>
        <w:t>Запуск в локальном контуре, финансовые тесты, проверки прав доступа и сценарные браузерные тесты.</w:t>
      </w:r>
    </w:p>
    <w:p>
      <w:pPr>
        <w:pStyle w:val="Heading2"/>
      </w:pPr>
      <w:r>
        <w:rPr>
          <w:color w:val="000000"/>
        </w:rPr>
        <w:t>Следующий объём P1</w:t>
      </w:r>
    </w:p>
    <w:p>
      <w:r>
        <w:t>Один согласованный read-only-коннектор, дневной календарь платежей, расчёт кешбэка, досрочное погашение, дополнительные финансовые инструменты, помощь LLM, SSO и брендирование первого банка. Работа P1 начинается после прохождения P0-приёмки и согласования источника данных.</w:t>
      </w:r>
    </w:p>
    <w:p>
      <w:pPr>
        <w:pStyle w:val="Heading2"/>
      </w:pPr>
      <w:r>
        <w:rPr>
          <w:color w:val="000000"/>
        </w:rPr>
        <w:t>Вне первой версии</w:t>
      </w:r>
    </w:p>
    <w:p>
      <w:r>
        <w:t>Денежные переводы и торговые поручения; хранение паролей банков; универсальный доступ ко всем банкам; автоматическое распределение портфеля; прогноз биржевых цен; детские аккаунты; реальные совместные семейные счета; автоматизированные индивидуальные рекомендации по ценным бумагам; полноценный налоговый расчёт.</w:t>
      </w:r>
    </w:p>
    <w:p>
      <w:pPr>
        <w:pStyle w:val="Heading1"/>
      </w:pPr>
      <w:r>
        <w:rPr>
          <w:color w:val="000000"/>
        </w:rPr>
        <w:t>2 Основной сценарий приёмки</w:t>
      </w:r>
    </w:p>
    <w:p>
      <w:pPr>
        <w:pStyle w:val="ListNumber"/>
        <w:numPr>
          <w:numId w:val="10"/>
        </w:numPr>
      </w:pPr>
      <w:r>
        <w:t>Открыть приложение и выбрать «Попробовать на примере».</w:t>
      </w:r>
    </w:p>
    <w:p>
      <w:pPr>
        <w:pStyle w:val="ListNumber"/>
        <w:numPr>
          <w:numId w:val="10"/>
        </w:numPr>
      </w:pPr>
      <w:r>
        <w:t>Увидеть два денежных источника с общей доступной суммой 200 000 ₽, отдельно вклад 50 000 ₽, инвестиции 200 000 ₽ и долг 120 000 ₽.</w:t>
      </w:r>
    </w:p>
    <w:p>
      <w:pPr>
        <w:pStyle w:val="ListNumber"/>
        <w:numPr>
          <w:numId w:val="10"/>
        </w:numPr>
      </w:pPr>
      <w:r>
        <w:t>Открыть «Что если» и выбрать отсутствие зарплаты во втором–четвёртом месяцах.</w:t>
      </w:r>
    </w:p>
    <w:p>
      <w:pPr>
        <w:pStyle w:val="ListNumber"/>
        <w:numPr>
          <w:numId w:val="10"/>
        </w:numPr>
      </w:pPr>
      <w:r>
        <w:t>Получить график, таблицу, первый месяц дефицита и раскрываемый расчёт.</w:t>
      </w:r>
    </w:p>
    <w:p>
      <w:pPr>
        <w:pStyle w:val="ListNumber"/>
        <w:numPr>
          <w:numId w:val="10"/>
        </w:numPr>
      </w:pPr>
      <w:r>
        <w:t>Пройти кейс о доступности резерва, изменить необязательные расходы и сравнить результат.</w:t>
      </w:r>
    </w:p>
    <w:p>
      <w:pPr>
        <w:pStyle w:val="ListNumber"/>
        <w:numPr>
          <w:numId w:val="10"/>
        </w:numPr>
      </w:pPr>
      <w:r>
        <w:t>Создать корзины на сумму не выше доступных денег, сохранить версию плана.</w:t>
      </w:r>
    </w:p>
    <w:p>
      <w:pPr>
        <w:pStyle w:val="ListNumber"/>
        <w:numPr>
          <w:numId w:val="10"/>
        </w:numPr>
      </w:pPr>
      <w:r>
        <w:t>Открыть два условных предложения одного класса, проверить промопериод и доход за выбранный срок.</w:t>
      </w:r>
    </w:p>
    <w:p>
      <w:pPr>
        <w:pStyle w:val="ListNumber"/>
        <w:numPr>
          <w:numId w:val="10"/>
        </w:numPr>
      </w:pPr>
      <w:r>
        <w:t>Перезагрузить страницу: сохранённое состояние доступно в рамках учебной сессии. Сброс демо возвращает исходные данные.</w:t>
      </w:r>
    </w:p>
    <w:p>
      <w:r>
        <w:t>Ни один шаг не требует платежа, торгового ключа, подписки или внешнего AI. В личном режиме вместо учебного профиля используются введённые или импортированные данные после подтверждения.</w:t>
      </w:r>
    </w:p>
    <w:p>
      <w:pPr>
        <w:pStyle w:val="Heading1"/>
      </w:pPr>
      <w:r>
        <w:rPr>
          <w:color w:val="000000"/>
        </w:rPr>
        <w:t>3 Роли и права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Разрешено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Гость демо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Просмотр и изменение своей временной учебной сессии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реальных данных и общих для всех изменяемых счетов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Пользователь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Собственные счета, импорт, сценарии, корзины, прогресс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доступа по чужому user_id или tenant_id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Автор контента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Черновики инструментов, уроков и предложений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публикует свою версию единолично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Проверяющий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Проверка источников, формул и публикация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доступа к пользовательским счетам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Администратор контура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Пользователи, роли, настройки и служебный аудит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Финансовые данные не открываются автоматически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Сервис интеграции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Только согласованные методы чтения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торговых методов, самостоятельного расширения scope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В демо один человек может переключаться между редакторскими ролями для проверки интерфейса, но такие права существуют только в демонстрационном контуре. В пилоте публикацию и управление правами разделить. Доступ поддержки к финансовым данным — отдельное ограниченное разрешение с причиной, сроком и записью в аудите.</w:t>
      </w:r>
    </w:p>
    <w:p>
      <w:pPr>
        <w:pStyle w:val="Heading1"/>
      </w:pPr>
      <w:r>
        <w:rPr>
          <w:color w:val="000000"/>
        </w:rPr>
        <w:t>4 Экраны и поведение</w:t>
      </w:r>
    </w:p>
    <w:p>
      <w:pPr>
        <w:pStyle w:val="Heading2"/>
      </w:pPr>
      <w:r>
        <w:rPr>
          <w:color w:val="000000"/>
        </w:rPr>
        <w:t>Первый вход</w:t>
      </w:r>
    </w:p>
    <w:p>
      <w:r>
        <w:t>Три действия: «Попробовать на примере», «Добавить свои данные», «Разобраться в инструменте». После выбора личного режима — вход, подтверждение совершеннолетия, выбор задачи, минимальные сведения о регулярных доходах и расходах. До подключения источника показывать, какие данные будут получены и для чего.</w:t>
      </w:r>
    </w:p>
    <w:p>
      <w:r>
        <w:t>Пустое состояние: «Добавьте остаток хотя бы одного счёта или откройте пример». Не показывать нули так, будто приложение уже проверило финансовое положение. Отсутствующий расход хранится как неизвестный, пока человек не подтвердил 0 ₽.</w:t>
      </w:r>
    </w:p>
    <w:p>
      <w:pPr>
        <w:pStyle w:val="Heading2"/>
      </w:pPr>
      <w:r>
        <w:rPr>
          <w:color w:val="000000"/>
        </w:rPr>
        <w:t>Обзор</w:t>
      </w:r>
    </w:p>
    <w:p>
      <w:r>
        <w:t>Сверху — доступные деньги, отдельно средства с ограничениями и инвестиции. Ниже — обязательства, цели и последний сценарий. По нажатию на сумму открываются составляющие, даты и источники. Чистые активы показываются отдельно от бюджета; кредитный лимит не включается в доступные собственные деньги.</w:t>
      </w:r>
    </w:p>
    <w:p>
      <w:r>
        <w:t>Состояния: загрузка, нет данных, часть источников недоступна, данные устарели, расчёт неполный. Частичная ошибка одного коннектора не скрывает остальные счета. Агрегат подписан «По данным N из M источников», если полнота ограничена.</w:t>
      </w:r>
    </w:p>
    <w:p>
      <w:pPr>
        <w:pStyle w:val="Heading2"/>
      </w:pPr>
      <w:r>
        <w:rPr>
          <w:color w:val="000000"/>
        </w:rPr>
        <w:t>Источники и импорт</w:t>
      </w:r>
    </w:p>
    <w:p>
      <w:r>
        <w:t>Пользователь выбирает API, файл или ручной источник. Недоступная интеграция обозначена как недоступная и не имитирует успешное подключение. У каждого счёта есть способ получения, время снимка, валюта и ограничения доступности. Отключение прекращает синхронизацию; удаление данных — отдельное действие.</w:t>
      </w:r>
    </w:p>
    <w:p>
      <w:r>
        <w:t>Импорт: выбрать файл → сопоставить столбцы → увидеть 20 строк предпросмотра → устранить ошибки → проверить возможные дубли → подтвердить. Кнопка «Импортировать» показывает число новых, обновляемых и исключённых строк. Ошибка не оставляет половину операций в основном реестре.</w:t>
      </w:r>
    </w:p>
    <w:p>
      <w:pPr>
        <w:pStyle w:val="Heading2"/>
      </w:pPr>
      <w:r>
        <w:rPr>
          <w:color w:val="000000"/>
        </w:rPr>
        <w:t>Что если</w:t>
      </w:r>
    </w:p>
    <w:p>
      <w:r>
        <w:t>Слева или над графиком — параметры, справа или ниже — результаты. На телефоне параметры сворачиваются после расчёта, но остаются доступны. Базовый сценарий фиксируется; изменение создаёт альтернативу. Одновременно сравниваются до трёх вариантов.</w:t>
      </w:r>
    </w:p>
    <w:p>
      <w:r>
        <w:t>Обязательные элементы: горизонт; затронутый доход; месяц начала; длительность; расходы по двум группам; включённые счета; допущения; кнопка пересчёта; график и доступная табличная версия. При дефиците показывать «В месяце 4 не хватает 42 647,40 ₽», затем объяснять, какие поступления и платежи дали этот результат. Не продолжать график как исполненный после кассового разрыва.</w:t>
      </w:r>
    </w:p>
    <w:p>
      <w:pPr>
        <w:pStyle w:val="Heading2"/>
      </w:pPr>
      <w:r>
        <w:rPr>
          <w:color w:val="000000"/>
        </w:rPr>
        <w:t>Инструмент и практикум</w:t>
      </w:r>
    </w:p>
    <w:p>
      <w:r>
        <w:t>Поиск по названию и жизненному вопросу; фильтры по сроку, ликвидности и типу. Карточка содержит определение, механику дохода, ограничения, риск, пример, источник и дату. Кейс открывается без длинной лекции: условия → вопрос → выбранное действие → расчёт → объяснение → повторная попытка.</w:t>
      </w:r>
    </w:p>
    <w:p>
      <w:r>
        <w:t>Неверный ответ получает объяснение причины. После кейса пользователь может перенести выбранные параметры в сценарий; это требует подтверждения и не меняет личные данные автоматически. Результат урока сохраняет версию контента и число попыток.</w:t>
      </w:r>
    </w:p>
    <w:p>
      <w:pPr>
        <w:pStyle w:val="Heading2"/>
      </w:pPr>
      <w:r>
        <w:rPr>
          <w:color w:val="000000"/>
        </w:rPr>
        <w:t>Предложения и сравнение</w:t>
      </w:r>
    </w:p>
    <w:p>
      <w:r>
        <w:t>Форма содержит класс продукта, сумму, даты, необходимость снятия и пополнения. На экране до трёх предложений, сравниваемых на одинаковом горизонте. Видны доход до налога, известные обязательные расходы, остаток к концу срока и ограничения. Неизвестные налоги или комиссии не превращаются в ноль.</w:t>
      </w:r>
    </w:p>
    <w:p>
      <w:r>
        <w:t>При невозможности точного расчёта выводится «Недостаточно условий для сопоставимого расчёта» и список недостающих полей. Отдельный информационный просмотр допускается. Истёкшие предложения не участвуют в активном ранжировании. Открытие внешнего сайта не передаёт туда финансовый профиль.</w:t>
      </w:r>
    </w:p>
    <w:p>
      <w:pPr>
        <w:pStyle w:val="Heading2"/>
      </w:pPr>
      <w:r>
        <w:rPr>
          <w:color w:val="000000"/>
        </w:rPr>
        <w:t>Мой план</w:t>
      </w:r>
    </w:p>
    <w:p>
      <w:r>
        <w:t>Отображает корзины, цели, свободную нераспределённую сумму и сохранённые сценарии. Пользователь задаёт источник и назначение средств. Перераспределение валидируется на сервере в транзакции; при конкурирующих изменениях используется версия. После уменьшения остатка счёта приложение отмечает переизбыток распределения и предлагает пересмотреть план, не исправляя его молча.</w:t>
      </w:r>
    </w:p>
    <w:p>
      <w:pPr>
        <w:pStyle w:val="Heading2"/>
      </w:pPr>
      <w:r>
        <w:rPr>
          <w:color w:val="000000"/>
        </w:rPr>
        <w:t>Профиль и редактор</w:t>
      </w:r>
    </w:p>
    <w:p>
      <w:r>
        <w:t>Профиль: источники, согласия, экспорт, удаление, уведомления. Редактор: список материалов, статусы draft/review/published/archived, источники, контрольная дата, история версий. Проверяющий видит изменённые поля и эталонный результат вычислимого примера.</w:t>
      </w:r>
    </w:p>
    <w:p>
      <w:pPr>
        <w:pStyle w:val="Heading1"/>
      </w:pPr>
      <w:r>
        <w:rPr>
          <w:color w:val="000000"/>
        </w:rPr>
        <w:t>5 Интерфейс и доступность</w:t>
      </w:r>
    </w:p>
    <w:p>
      <w:r>
        <w:t>Проектировать для ширины 360, 768 и 1440 px. Основной шрифт 16 px, подписи не меньше 13 px; табличные суммы имеют единое выравнивание и формат. Все поля снабжены подписями, ошибки привязаны к полю. Поддерживаются клавиатура, видимый фокус и текстовое представление графиков. Цвет не единственный способ отличить сценарии.</w:t>
      </w:r>
    </w:p>
    <w:p>
      <w:r>
        <w:t>Визуальный стиль: светлый фон, тёмный текст, один основной цвет действия; предупреждения содержат причину и доступное действие. На главном экране не более одного главного CTA. Денежные суммы можно скрыть одной кнопкой. Анимации служат объяснению изменения и отключаются через prefers-reduced-motion.</w:t>
      </w:r>
    </w:p>
    <w:p>
      <w:r>
        <w:t>График показывает нулевую линию и размерность. Период после остановки сценария обозначается как нерассчитанный. Tooltip раскрывает поступления, расходы и платежи месяца; таблица показывает те же значения. Смена единиц отображения не меняет сохранённые числа.</w:t>
      </w:r>
    </w:p>
    <w:p>
      <w:r>
        <w:t>Тексты действий: «Проверить сценарий», «Сравнить условия», «Сохранить вариант», «Показать расчёт», «Данные не обновлялись 7 дней». Исключить формулировки «гарантированный заработок», «идеально подходит вам» и оценочные ярлыки пользователя. Уведомления отключаются по типам.</w:t>
      </w:r>
    </w:p>
    <w:p>
      <w:pPr>
        <w:pStyle w:val="Heading1"/>
      </w:pPr>
      <w:r>
        <w:rPr>
          <w:color w:val="000000"/>
        </w:rPr>
        <w:t>6 Архитектура</w:t>
      </w:r>
    </w:p>
    <w:p>
      <w:r>
        <w:t>Начать с модульного монолита. Веб-клиент обращается к API приложения; API управляет доступом, вызывает расчётное ядро и сохраняет результаты. Источники подключаются через адаптеры. Обучающий контент, предложения и финансовые данные имеют отдельные модели и права. LLM — отключаемая надстройка.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Выбор для нового кода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Веб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React, TypeScript, Vite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Адаптивный интерфейс и маршрутизация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Сервер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Python, FastAPI, Pydantic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Контракты, валидация, бизнес-операции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Расчёты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Чистый Python Decimal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Детерминированная логика без LLM и сети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База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PostgreSQL, миграции Alembic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Точные числа, версии, транзакции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Доступ к данным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SQLAlchemy либо уже принятый ORM проекта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Одна согласованная схема моделей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Фоновые задачи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Worker из той же кодовой базы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Импорт и разрешённая синхронизация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Контент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Собственный небольшой редактор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Версии, проверка и публикация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Проверка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pytest, браузерные тесты Playwright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Формулы, права, импорт, пользовательские пути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Развёртывание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Контейнеры, локальные конфиги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 и последующий банковский контур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Версии зависимостей выбирать на старте по совместимости и фиксировать lock-файлами; не использовать плавающий latest. FastAPI предоставляет OpenAPI/JSON Schema [S6]. PostgreSQL numeric подходит для точных числовых величин [S7]. Эти свойства облегчают контракты, но сами по себе не подтверждают безопасность приложения.</w:t>
      </w:r>
    </w:p>
    <w:p>
      <w:r>
        <w:t>Структура репозитория: apps/web; services/api; services/worker; packages/finance_engine; content; fixtures; tests; docs; infra. Зависимость от конкретного поставщика AI находится за интерфейсом AiProvider. Адаптер источника реализует capabilities, authorize, revoke, fetch_accounts, fetch_balances и fetch_transactions; методы отсутствующих возможностей не имитируются.</w:t>
      </w:r>
    </w:p>
    <w:p>
      <w:r>
        <w:t>На P0 достаточно одного API-процесса, одного worker и базы. Очередь отдельным сервисом добавляется при необходимости, а не заранее. Полнотекстовый поиск по проверенному каталогу достаточен; векторная база для шести уроков не требуется.</w:t>
      </w:r>
    </w:p>
    <w:p>
      <w:pPr>
        <w:pStyle w:val="Heading1"/>
      </w:pPr>
      <w:r>
        <w:rPr>
          <w:color w:val="000000"/>
        </w:rPr>
        <w:t>7 Данные и связи</w:t>
      </w:r>
    </w:p>
    <w:p>
      <w:r>
        <w:t>У всех пользовательских сущностей есть id, tenant_id, owner_user_id, created_at, updated_at и version. UUID формируется сервером; принадлежность берётся из проверенной сессии. Пользователь не может назначить себе tenant_id из тела запроса.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Сущность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Ключевые поля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Tenant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name, theme, enabled_modules, deployment_mode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Пользовательские данные изолированы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auth_subject, tenant_id, role, locale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Роль не меняется клиентом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Connection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provider, status, scopes, secret_ref, consent_id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Секрет хранится отдельно от обычной записи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Consent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purpose, scopes, granted_at, expires_at, revoked_at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Отзыв блокирует новые получения данных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Account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provider_account_id, type, currency, liquidity_type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Счёт принадлежит одному владельцу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BalanceSnapshot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amount, available, blocked, as_of, source_kind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История не прибавляется повторно к снимку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Transaction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external_id, amount, direction, status, occurred_at, transfer_group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pending и posted не суммируются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AssetPosition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instrument_id, quantity, price, price_as_of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Денежный остаток брокера не дублируется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Liability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principal, rate, schedule_ref, payment_rule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Остаток долга отделён от денежного платежа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BudgetStream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type, amount, frequency, required, confirmed_at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Неизвестное значение не равно нулю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Goal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target_amount, due_month, priority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Плановый результат не считается активом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BucketAllocation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account_id, bucket_id, amount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Сумма назначений не выше доступной суммы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ScenarioVersion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snapshot_ids, events, assumptions, engine_version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После расчёта вход неизменяем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SimulationRun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input_hash, result, warnings, status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Повторный вход воспроизводим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Instrument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kind, educational_text, risks, source_ids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Принцип инструмента отдельно от тарифа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OfferVersion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provider, terms, source_url, checked_at, expires_at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Расчёт связан с версией условий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LessonVersion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steps, questions, explanation, sources, status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Прогресс привязан к версии урока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Progress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lesson_version_id, attempts, answers, completed_at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Просмотр не равен освоению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AuditEvent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actor, action, entity_id, timestamp, request_id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Без секретов и полных выписок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Дополнительно: ImportJob, ImportRow, ImportMatch; ContentReview; NotificationPreference; ScenarioShare позднее. Публичных ссылок на финансовые сценарии в P0 нет. Экспорт доступен только владельцу.</w:t>
      </w:r>
    </w:p>
    <w:p>
      <w:r>
        <w:t>Деньги в API — десятичные строки в RUB, в базе NUMERIC(20,2); ставки NUMERIC(18,10), количество и цена активов — отдельные точные поля с обоснованным масштабом. Внутренние расчёты Decimal с precision 28. Запретить NaN и Infinity. Дата операции хранится с часовым поясом; месяц сценария — YYYY-MM. На UI формат ru-RU и явная валюта.</w:t>
      </w:r>
    </w:p>
    <w:p>
      <w:pPr>
        <w:pStyle w:val="Heading1"/>
      </w:pPr>
      <w:r>
        <w:rPr>
          <w:color w:val="000000"/>
        </w:rPr>
        <w:t>8 Мультибанкинг и импорт</w:t>
      </w:r>
    </w:p>
    <w:p>
      <w:r>
        <w:t>Open API не означает свободный доступ к любому счёту: ЦБ описывает обмен по согласию клиента и критерии участников [S1]. Реестр интеграций хранит доступные данные, допустимую авторизацию, лимиты, владельца договора и дату проверки. Каждая capability проверяется перед включением на UI.</w:t>
      </w:r>
    </w:p>
    <w:p>
      <w:r>
        <w:t>T‑Invest API поддерживает read-only-доступ к брокерским данным [S2]. Это не подтверждает чтение операций по обычным банковским картам. Для Finam официальная схема использует secret и JWT; документация предписывает не передавать secret третьим лицам [S3]. Поэтому форму массового сбора торговых ключей не включать. Возврат к существующему коннектору возможен после проверки разрешённой схемы и прав.</w:t>
      </w:r>
    </w:p>
    <w:p>
      <w:r>
        <w:t>P0 использует ручные счета и один универсальный CSV-шаблон. Поля: account_key, transaction_id, booked_at, amount, currency, direction, kind, status, description, transfer_group. Остатки импортируются отдельно либо подтверждаются пользователем; вычислять текущий остаток только по неполной выписке нельзя.</w:t>
      </w:r>
    </w:p>
    <w:p>
      <w:r>
        <w:t>Лимит P0: CSV до 5 МБ и 10 000 строк, UTF-8; обязательный предпросмотр. Даты и десятичный разделитель задаются при сопоставлении. HTML и формулы не исполняются. При экспорте текстовые ячейки, начинающиеся с =, +, - или @, экранируются против CSV formula injection; числовые поля сериализуются по типу.</w:t>
      </w:r>
    </w:p>
    <w:p>
      <w:r>
        <w:t>Сначала файл попадает в staging. Полностью валидный batch коммитится в транзакции после подтверждения. Ошибочные строки имеют номер и причину; пользователь может исключить их отдельным подтверждением. Повтор идентичного файла распознаётся по хешу. При наличии transaction_id уникальность определяется источником, счётом и внешним ID.</w:t>
      </w:r>
    </w:p>
    <w:p>
      <w:r>
        <w:t>Для разных файлов без стабильных ID используется поиск кандидатов по дате, сумме, валюте и описанию. Две одинаковые покупки не удаляются автоматически. Подозреваемые переводы между своими счетами требуют подтверждения или надёжного provider-id. Возвраты учитываются как отдельные связанные операции, а не удаление покупки из истории.</w:t>
      </w:r>
    </w:p>
    <w:p>
      <w:r>
        <w:t>Снимок баланса имеет as_of; операции до этой даты не увеличивают его повторно. Снимки разных дат не называются текущими одновременно. Порог актуальности для пилота настраивается; P0 предлагает 24 часа как продуктовую настройку, а не банковский норматив. Старые данные можно использовать в явно подтверждённом сценарном снимке.</w:t>
      </w:r>
    </w:p>
    <w:p>
      <w:pPr>
        <w:pStyle w:val="Heading1"/>
      </w:pPr>
      <w:r>
        <w:rPr>
          <w:color w:val="000000"/>
        </w:rPr>
        <w:t>9 Расчётное ядро</w:t>
      </w:r>
    </w:p>
    <w:p>
      <w:r>
        <w:t>Единица времени — месяц. Горизонт — 12 или 24 месяца. Начальные остатки относятся к началу первого месяца. При работе с текущим неполным месяцем пользователь задаёт оставшиеся поступления и расходы; нельзя считать уже прошедшую зарплату повторно. В демо startMonth = 2026-11, стресс приходится на декабрь–февраль.</w:t>
      </w:r>
    </w:p>
    <w:p>
      <w:r>
        <w:t>Код ядра не обращается к базе, сети и LLM. На вход получает валидированный снимок, потоки, события и версии правил. На выход отдаёт помесячные строки, показатели, предупреждения и цепочку расчётов. Один вход и версия дают одинаковые числовые результаты.</w:t>
      </w:r>
    </w:p>
    <w:p>
      <w:pPr>
        <w:pStyle w:val="Heading2"/>
      </w:pPr>
      <w:r>
        <w:rPr>
          <w:color w:val="000000"/>
        </w:rPr>
        <w:t>Учёт денег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Изменение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Доступные деньги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Чистые активы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Зарплата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Растут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Растут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Бытовая покупка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Уменьшаются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Уменьшаются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Перевод между своими доступными счетами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Общая сумма неизменна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меняются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Перевод во вклад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Доступная часть уменьшается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меняются до процентов и расходов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Погашение тела долга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Уменьшаются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меняются от этой операции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Проценты по долгу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Уменьшаются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Уменьшаются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Получение кредита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Растут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меняются, растёт долг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Переоценка инвестиций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меняются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Меняются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Назначение корзины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меняются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меняются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Кредитный лимит не равен активу. Рыночная стоимость портфеля не становится доступным остатком. Купоны, проценты и дивиденды учитываются денежным доходом только в период выплаты; их нельзя одновременно прибавлять к цене позиции и счёту без соответствующего движения.</w:t>
      </w:r>
    </w:p>
    <w:p>
      <w:pPr>
        <w:pStyle w:val="Heading2"/>
      </w:pPr>
      <w:r>
        <w:rPr>
          <w:color w:val="000000"/>
        </w:rPr>
        <w:t>Порядок месяца</w:t>
      </w:r>
    </w:p>
    <w:p>
      <w:r>
        <w:t>Применить события к потокам → начислить разрешённые поступления и погашения → учесть обязательные расходы → платёж по кредиту → выбранные необязательные расходы → подтверждённые добровольные размещения. Это порядок агрегированного планирования, а не фактический платёжный календарь.</w:t>
      </w:r>
    </w:p>
    <w:p>
      <w:r>
        <w:t>В коде используются переменные cash_start, inflows, cash_outflows, planned_cash_end и funding_gap. planned_cash_end рассчитывается как начальный доступный остаток плюс поступления минус денежные оттоки; funding_gap равен модулю отрицательного результата либо нулю. Переводы внутри доступных счетов в агрегатный доход не входят.</w:t>
      </w:r>
    </w:p>
    <w:p>
      <w:r>
        <w:t>При отрицательном planned_cash_end действует stop_on_gap: месяц помечается requires_decision, фактические cash_end и debt_end не формируются, дальнейшие месяцы остаются uncomputed. Автоматический кредит, продажа актива, досрочное закрытие вклада без отдельного подтверждения и сокращение обязательных платежей запрещены. Приложение показывает плановую нехватку и предлагает изменить предположения.</w:t>
      </w:r>
    </w:p>
    <w:p>
      <w:r>
        <w:t>Нулевой остаток означает, что месяц обеспечен, если все выбранные платежи исполнены в модели. При достаточности средств до конца горизонта выводить «не менее 12 месяцев». Точный день нехватки в помесячном P0 не рассчитывается.</w:t>
      </w:r>
    </w:p>
    <w:p>
      <w:pPr>
        <w:pStyle w:val="Heading2"/>
      </w:pPr>
      <w:r>
        <w:rPr>
          <w:color w:val="000000"/>
        </w:rPr>
        <w:t>События</w:t>
      </w:r>
    </w:p>
    <w:p>
      <w:r>
        <w:t>P0 поддерживает три пользовательских события: income_override, expense_override, one_off_expense. Override имеет stream_id, start_month_index, end_month_index с включёнными границами и новую месячную сумму. Разовая трата имеет event_id, один month_index и amount; ссылка на существующий поток не обязательна. Договорные начисления, смена промоставки по опубликованным условиям и погашение вклада в срок формируются из условий инструмента и не относятся к пользовательским событиям. Перекрывающиеся overrides для одного потока запрещены с ошибкой EVENTS_CONFLICT. Потеря зарплаты меняет только выбранный поток, а не все поступления.</w:t>
      </w:r>
    </w:p>
    <w:p>
      <w:r>
        <w:t>P1: deposit_rate_change, asset_price_shock, explicit_sale, early_repayment. Неподдерживаемый тип возвращает UNSUPPORTED_EVENT, не пропускается. Для шока цены процентная переоценка меняет стоимость актива, не доступный cash. Продажа требует отдельного события, цены, комиссии и периода доступности выручки.</w:t>
      </w:r>
    </w:p>
    <w:p>
      <w:pPr>
        <w:pStyle w:val="Heading2"/>
      </w:pPr>
      <w:r>
        <w:rPr>
          <w:color w:val="000000"/>
        </w:rPr>
        <w:t>Округление и долговой график</w:t>
      </w:r>
    </w:p>
    <w:p>
      <w:r>
        <w:t>Все суммы и ставки конструировать Decimal из строк. ROUND_HALF_UP до копеек применяется к начисленным процентам и платежам, а не ко всем промежуточным коэффициентам. Последний платёж корректируется до оставшегося тела плюс процент. В P0 простой учебный аннуитет; при наличии графика банка использовать его как отдельный источник.</w:t>
      </w:r>
    </w:p>
    <w:p>
      <w:r>
        <w:t>Реализационный псевдокод аннуитета:</w:t>
      </w:r>
    </w:p>
    <w:p>
      <w:pPr>
        <w:spacing w:after="0" w:line="247" w:lineRule="auto"/>
      </w:pPr>
      <w:r>
        <w:rPr>
          <w:rFonts w:ascii="DejaVu Sans Mono" w:hAnsi="DejaVu Sans Mono"/>
          <w:sz w:val="17"/>
        </w:rPr>
        <w:t>r = annual_nominal_rate / Decimal(12)</w:t>
      </w:r>
    </w:p>
    <w:p>
      <w:pPr>
        <w:spacing w:after="0" w:line="247" w:lineRule="auto"/>
      </w:pPr>
      <w:r>
        <w:rPr>
          <w:rFonts w:ascii="DejaVu Sans Mono" w:hAnsi="DejaVu Sans Mono"/>
          <w:sz w:val="17"/>
        </w:rPr>
        <w:t>payment = P / n if r == 0 else P * r / (1 - (1 + r) ** (-n))</w:t>
      </w:r>
    </w:p>
    <w:p>
      <w:pPr>
        <w:spacing w:after="0" w:line="247" w:lineRule="auto"/>
      </w:pPr>
      <w:r>
        <w:rPr>
          <w:rFonts w:ascii="DejaVu Sans Mono" w:hAnsi="DejaVu Sans Mono"/>
          <w:sz w:val="17"/>
        </w:rPr>
        <w:t>payment = money(payment)</w:t>
      </w:r>
    </w:p>
    <w:p>
      <w:pPr>
        <w:spacing w:after="0" w:line="247" w:lineRule="auto"/>
      </w:pPr>
      <w:r>
        <w:rPr>
          <w:rFonts w:ascii="DejaVu Sans Mono" w:hAnsi="DejaVu Sans Mono"/>
          <w:sz w:val="17"/>
        </w:rPr>
        <w:t>interest = money(balance * r)</w:t>
      </w:r>
    </w:p>
    <w:p>
      <w:pPr>
        <w:spacing w:after="0" w:line="247" w:lineRule="auto"/>
      </w:pPr>
      <w:r>
        <w:rPr>
          <w:rFonts w:ascii="DejaVu Sans Mono" w:hAnsi="DejaVu Sans Mono"/>
          <w:sz w:val="17"/>
        </w:rPr>
        <w:t>actual_payment = balance + interest if is_last else payment</w:t>
      </w:r>
    </w:p>
    <w:p>
      <w:pPr>
        <w:spacing w:after="0" w:line="247" w:lineRule="auto"/>
      </w:pPr>
      <w:r>
        <w:rPr>
          <w:rFonts w:ascii="DejaVu Sans Mono" w:hAnsi="DejaVu Sans Mono"/>
          <w:sz w:val="17"/>
        </w:rPr>
        <w:t>principal_paid = actual_payment - interest</w:t>
      </w:r>
    </w:p>
    <w:p>
      <w:pPr>
        <w:spacing w:after="0" w:line="247" w:lineRule="auto"/>
      </w:pPr>
      <w:r>
        <w:rPr>
          <w:rFonts w:ascii="DejaVu Sans Mono" w:hAnsi="DejaVu Sans Mono"/>
          <w:sz w:val="17"/>
        </w:rPr>
        <w:t>balance_next = balance - principal_paid</w:t>
      </w:r>
    </w:p>
    <w:p>
      <w:r>
        <w:t>P, r, n и money предварительно валидированы; money округляет по указанному правилу. n — положительное число платежей. ПСК не подставляется вместо договорной ставки. Комиссии и страховки — отдельные денежные потоки.</w:t>
      </w:r>
    </w:p>
    <w:p>
      <w:r>
        <w:t>Учебный вклад monthly_teaching использует номинальную годовую ставку, делённую на 12, и округляет каждое месячное начисление. Для реальных предложений действует отдельный daily_contract-калькулятор по календарю и условиям банка. Их результаты не смешиваются в одной выдаче без маркировки.</w:t>
      </w:r>
    </w:p>
    <w:p>
      <w:pPr>
        <w:pStyle w:val="Heading2"/>
      </w:pPr>
      <w:r>
        <w:rPr>
          <w:color w:val="000000"/>
        </w:rPr>
        <w:t>Корзины</w:t>
      </w:r>
    </w:p>
    <w:p>
      <w:r>
        <w:t>BucketAllocation ссылается на денежный счёт; сумма назначений по счёту не выше available. Сценарные корзины и фактические назначения хранятся отдельно. При попытке распределить 110 000 ₽ из 100 000 ₽ API возвращает ALLOCATION_EXCEEDS_AVAILABLE и величину превышения. Цель 500 000 ₽ может существовать при нулевых накоплениях; это не ошибка и не новый актив.</w:t>
      </w:r>
    </w:p>
    <w:p>
      <w:pPr>
        <w:pStyle w:val="Heading1"/>
      </w:pPr>
      <w:r>
        <w:rPr>
          <w:color w:val="000000"/>
        </w:rPr>
        <w:t>10 Эталонный расчёт</w:t>
      </w:r>
    </w:p>
    <w:p>
      <w:r>
        <w:t>Учебные данные: два доступных счёта 150 000 ₽ и 50 000 ₽; вклад 50 000 ₽ под условные 12% с месячной капитализацией и сроком шесть месяцев; портфель 200 000 ₽; кредит 120 000 ₽ под условные 12% на 12 месяцев. Зарплата — 120 000 ₽; обязательные расходы — 60 000 ₽; необязательные — 20 000 ₽. Налоги и комиссии в этом примере не моделируются. Стоимость портфеля фиксирована; досрочное изъятие вклада, просрочка, штрафы и внутримесячный кассовый разрыв исключены. Вклад становится доступным по договорному сроку.</w:t>
      </w:r>
    </w:p>
    <w:p>
      <w:r>
        <w:t>Доступно в начале 200 000 ₽; чистые активы 330 000 ₽. Аннуитетный платёж 10 661,85 ₽, первый процент 1 200 ₽, остаток долга после первого платежа 110 538,15 ₽. Последний платёж 10 661,91 ₽, всего процентов 7 942,26 ₽. Вклад через шесть начислений — 53 076,01 ₽.</w:t>
      </w:r>
    </w:p>
    <w:p>
      <w:r>
        <w:t>Зарплаты нет в месяцах 2–4. В альтернативе со второго месяца отключены необязательные расходы.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584"/>
        <w:gridCol w:w="1584"/>
        <w:gridCol w:w="2851"/>
        <w:gridCol w:w="2952"/>
      </w:tblGrid>
      <w:tr>
        <w:trPr>
          <w:cantSplit/>
          <w:tblHeader/>
        </w:trPr>
        <w:tc>
          <w:tcPr>
            <w:tcW w:type="dxa" w:w="103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Месяц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/>
                <w:color w:val="FFFFFF"/>
                <w:sz w:val="19"/>
              </w:rPr>
              <w:t>Доход ₽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/>
                <w:color w:val="FFFFFF"/>
                <w:sz w:val="19"/>
              </w:rPr>
              <w:t>Платёж ₽</w:t>
            </w:r>
          </w:p>
        </w:tc>
        <w:tc>
          <w:tcPr>
            <w:tcW w:type="dxa" w:w="28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/>
                <w:color w:val="FFFFFF"/>
                <w:sz w:val="19"/>
              </w:rPr>
              <w:t>Остаток при расходах 80 тыс ₽</w:t>
            </w:r>
          </w:p>
        </w:tc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/>
                <w:color w:val="FFFFFF"/>
                <w:sz w:val="19"/>
              </w:rPr>
              <w:t>Остаток при сокращении расходов ₽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120 000,00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10 661,85</w:t>
            </w:r>
          </w:p>
        </w:tc>
        <w:tc>
          <w:tcPr>
            <w:tcW w:type="dxa" w:w="28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229 338,15</w:t>
            </w:r>
          </w:p>
        </w:tc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229 338,15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10 661,85</w:t>
            </w:r>
          </w:p>
        </w:tc>
        <w:tc>
          <w:tcPr>
            <w:tcW w:type="dxa" w:w="28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138 676,30</w:t>
            </w:r>
          </w:p>
        </w:tc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158 676,30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10 661,85</w:t>
            </w:r>
          </w:p>
        </w:tc>
        <w:tc>
          <w:tcPr>
            <w:tcW w:type="dxa" w:w="28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48 014,45</w:t>
            </w:r>
          </w:p>
        </w:tc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88 014,45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10 661,85</w:t>
            </w:r>
          </w:p>
        </w:tc>
        <w:tc>
          <w:tcPr>
            <w:tcW w:type="dxa" w:w="28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Дефицит 42 647,40</w:t>
            </w:r>
          </w:p>
        </w:tc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17 352,60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120 000,00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10 661,85</w:t>
            </w:r>
          </w:p>
        </w:tc>
        <w:tc>
          <w:tcPr>
            <w:tcW w:type="dxa" w:w="28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Расчёт остановлен</w:t>
            </w:r>
          </w:p>
        </w:tc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66 690,75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120 000,00</w:t>
            </w:r>
          </w:p>
        </w:tc>
        <w:tc>
          <w:tcPr>
            <w:tcW w:type="dxa" w:w="15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10 661,85</w:t>
            </w:r>
          </w:p>
        </w:tc>
        <w:tc>
          <w:tcPr>
            <w:tcW w:type="dxa" w:w="28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Расчёт остановлен</w:t>
            </w:r>
          </w:p>
        </w:tc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  <w:jc w:val="right"/>
            </w:pPr>
            <w:r>
              <w:rPr>
                <w:b w:val="0"/>
                <w:color w:val="000000"/>
                <w:sz w:val="19"/>
              </w:rPr>
              <w:t>169 104,91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drawing>
          <wp:inline xmlns:a="http://schemas.openxmlformats.org/drawingml/2006/main" xmlns:pic="http://schemas.openxmlformats.org/drawingml/2006/picture">
            <wp:extent cx="6309360" cy="3158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scen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шестом месяце альтернативы погашается вклад с процентами 53 076,01 ₽; его отдельный остаток обнуляется. Портфель не продаётся. Без погашения вклада остаток был бы 116 028,90 ₽. В базовом стрессе после четвёртого месяца не рассчитываются воображаемые исполненные платежи.</w:t>
      </w:r>
    </w:p>
    <w:p>
      <w:r>
        <w:t>JSON запроса, ответа, альтернативы и контрольные значения включены в пакет fixtures. Они служат эталоном для реализации, а не подтверждением наличия готового движка.</w:t>
      </w:r>
    </w:p>
    <w:p>
      <w:pPr>
        <w:pStyle w:val="Heading1"/>
      </w:pPr>
      <w:r>
        <w:rPr>
          <w:color w:val="000000"/>
        </w:rPr>
        <w:t>11 Сравнение предложений</w:t>
      </w:r>
    </w:p>
    <w:p>
      <w:r>
        <w:t>Instrument описывает класс, OfferVersion — конкретные условия. Минимальная схема предложения: product_type, legal_bank_id, name, currency, min_amount, max_amount, term_rule, rate_tiers, interest_base, day_count_basis, payout_rule, capitalization, topup_rule, withdrawal_rule, early_exit_rule, mandatory_fees, eligibility, source_url, checked_at, valid_until, review_status, is_sponsored.</w:t>
      </w:r>
    </w:p>
    <w:p>
      <w:r>
        <w:t>Ставка задаётся графиком, а не одним максимальным числом. Для накопительного счёта отдельно задаются ежедневный или минимальный остаток, пороги, условия трат и промопериод. Unknown хранится как null и влияет на calculateability.</w:t>
      </w:r>
    </w:p>
    <w:p>
      <w:r>
        <w:t>Алгоритм: проверить актуальность → проверить валюту, сумму, срок и ограничения → классифицировать eligible/ineligible/unknown → рассчитать сопоставимый результат → отсортировать по явно выбранному критерию. Для unknown показать причину; не включать его в объективный топ дохода. Не сравнивать депозит и фонд только по одному проценту.</w:t>
      </w:r>
    </w:p>
    <w:p>
      <w:r>
        <w:t>daily_contract начисляет процент по дням и заданному в условиях знаменателю 365/366 либо иной явно описанной базе. Начальный и конечный день включаются согласно правилу продукта. Период смены ставки разбивается. Момент округления и капитализации задаётся rule_version; отсутствие этих условий допускает только приблизительный учебный расчёт.</w:t>
      </w:r>
    </w:p>
    <w:p>
      <w:r>
        <w:t>Налоги в P0 не оцениваются персонально: основной денежный результат подписан «до налога», известные обязательные комиссии учтены. Поля налогового правила оставляются версионируемыми. Нельзя объявлять чистую доходность после налога без всех необходимых данных о пользователе и других доходах.</w:t>
      </w:r>
    </w:p>
    <w:p>
      <w:r>
        <w:t>В публичном демо поля provider/name содержат «Учебный банк А» и подобные названия. Реальные предложения публикуются проверяющим со ссылкой на официальный тариф. Период проверки по умолчанию 24 часа для активной витрины задаётся продуктовой политикой; при истечении предложение снимается с ранжирования. Партнёрские места отделены, их вознаграждение не участвует в формуле органической сортировки.</w:t>
      </w:r>
    </w:p>
    <w:p>
      <w:pPr>
        <w:pStyle w:val="Heading1"/>
      </w:pPr>
      <w:r>
        <w:rPr>
          <w:color w:val="000000"/>
        </w:rPr>
        <w:t>12 Учебный контент и помощник</w:t>
      </w:r>
    </w:p>
    <w:p>
      <w:r>
        <w:t>Кейс состоит из context, inputs, decision, calculation_ref, question, answer_rule, explanation, takeaways, next_action и sources. Все вычисления используют общий пакет finance_engine: simulate_cashflow для бюджета и compare_deposit_offers для вкладов и накопительных счетов. calculation_ref задаёт семейство калькулятора, версию и правила округления. Контрольный ответ не хранится отдельной несогласованной формулой. Для концептуального вопроса допускается версионируемый ключ с обоснованием.</w:t>
      </w:r>
    </w:p>
    <w:p>
      <w:r>
        <w:t>P0 публикует шесть тем: отсутствие зарплаты; доступность резерва; промоставка; переводы между своими счетами; покупка или накопление; различие цены инвестиции и доступных денег. В P1 добавляются лестница вкладов, кешбэк, досрочное погашение и флоатеры. Контент доступен без AI.</w:t>
      </w:r>
    </w:p>
    <w:p>
      <w:r>
        <w:t>Автор создаёт draft, проверяющий смотрит источники и расчёт, затем публикует неизменяемую версию. Изменение создаёт новую версию; старые прохождения сохраняются. Существенное изменение ключевого правила помечает прошлый материал как требующий повторного просмотра, но не удаляет прогресс.</w:t>
      </w:r>
    </w:p>
    <w:p>
      <w:r>
        <w:t>Помощник P1 отвечает по опубликованному контенту и результатам расчёта. Он получает минимальный набор полей, ссылки на строки результата и разрешённые действия. Не получает банковские секреты, полную выписку, ФИО и идентификаторы контрагентов. При запросе «Посчитай» сначала предлагает параметры, пользователь их подтверждает, после чего сервер вызывает расчёт.</w:t>
      </w:r>
    </w:p>
    <w:p>
      <w:r>
        <w:t>Формат ответа: explanation, evidence_refs, calculation_run_id, suggested_action, missing_fields. Числа UI берёт из calculation_run_id, а не из текста модели. Если источника нет, помощник сообщает, каких данных не хватает. Утверждения о действующих тарифах без опубликованной OfferVersion блокируются.</w:t>
      </w:r>
    </w:p>
    <w:p>
      <w:r>
        <w:t>ИИ не публикует контент, не меняет бюджет, не покупает активы и не отправляет данные партнёру. Полученный текст, импортированный документ и веб-страница считаются недоверенными данными: инструкции из них не расширяют права инструментов. Доступны только перечисленные read-only-функции; внешние URL через помощника не открываются произвольно.</w:t>
      </w:r>
    </w:p>
    <w:p>
      <w:r>
        <w:t>Граница персональных инвестиционных рекомендаций требует отдельной оценки; дисклеймер не заменяет её [S4]. Поэтому P0/P1 объясняют инструменты и выбранные пользователем сценарии, не формируют персональное «купите эти бумаги в таких долях». Для будущего режима с лицензированным партнёром создаётся отдельное ТЗ.</w:t>
      </w:r>
    </w:p>
    <w:p>
      <w:pPr>
        <w:pStyle w:val="Heading1"/>
      </w:pPr>
      <w:r>
        <w:rPr>
          <w:color w:val="000000"/>
        </w:rPr>
        <w:t>13 API контракты</w:t>
      </w:r>
    </w:p>
    <w:p>
      <w:r>
        <w:t>Префикс /api/v1. Для личного режима все endpoints требуют проверенной сессии. Пагинация cursor/limit; limit ограничен сервером. Ошибки содержат code, message, field_errors и request_id, без stack trace и секретов. Денежные значения — строки. Доступ к объекту проверяется при каждом запросе, включая экспорт и вложенные сущности.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168"/>
        <w:gridCol w:w="3168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Метод и маршрут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Существенное условие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GET /me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Профиль и разрешения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Возвращает только свою сессию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/demo-sessions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Изолированный учебный профиль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копирует реальные данные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GET POST /accounts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Список и ручной счёт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Владелец из сессии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/accounts/{id}/snapshots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Подтверждённый остаток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as_of и source_kind обязательны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/imports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Загрузка в staging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Idempotency-Key и размер файла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GET /imports/{id}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Предпросмотр, ошибки и кандидаты дублей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Только владелец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/imports/{id}/commit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Атомарное подтверждение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Текущая версия staging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GET /overview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Сводка по источникам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as_of, completeness и warnings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/scenario-versions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Неизменяемый вход модели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Проверка snapshot_ids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/simulations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Расчёт версии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Idempotency-Key, версия движка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GET /simulations/{id}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Результат и строки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Чужой ID не открывает данные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GET POST /buckets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Корзины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Корзина не создаёт счёт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PUT /buckets/{id}/allocations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Распределение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If-Match и транзакционная проверка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GET /instruments /lessons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Опубликованный контент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Контур и версия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/lessons/{id}/attempts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Ответ и прогресс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Сервер проверяет ключ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/offer-comparisons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Сравнение по параметрам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Версии условий и допущения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/assistant/explanations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Объяснение результата P1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Только разрешённый run_id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/connections/{id}/revoke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Прекращение синхронизации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Аудит и очистка секретов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POST /data-exports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Экспорт владельца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Ограниченный срок скачивания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DELETE /me/data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Удаление по принятой политике</w:t>
            </w:r>
          </w:p>
        </w:tc>
        <w:tc>
          <w:tcPr>
            <w:tcW w:type="dxa" w:w="31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Повторное подтверждение личности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В таблице GET POST означает два отдельных маршрута одного ресурса. Для редактора отдельный namespace /editor с собственными правами и endpoint публикации; публичный пользователь его не вызывает.</w:t>
      </w:r>
    </w:p>
    <w:p>
      <w:r>
        <w:t>HTTP 401 — нет сессии; 403 — нет разрешения; 404 — объект недоступен; 409 — конфликт версии или ключа; 422 — некорректный вход; 429 — лимит; 503 — временная недоступность. Доменные коды: STALE_INPUT, INCOMPLETE_PROFILE, EVENTS_CONFLICT, ALLOCATION_EXCEEDS_AVAILABLE, OFFER_EXPIRED, TERMS_INCOMPLETE, UNSUPPORTED_EVENT.</w:t>
      </w:r>
    </w:p>
    <w:p>
      <w:r>
        <w:t>Одинаковый Idempotency-Key в пределах пользователя и операции с тем же хешем тела возвращает тот же результат. Иное тело под тем же ключом — 409. Повторный запрос не создаёт второй импорт. Срок хранения ключей P0 — 24 часа; повтор файла позже дополнительно распознаётся постоянным хешем импорта.</w:t>
      </w:r>
    </w:p>
    <w:p>
      <w:r>
        <w:t>Полный пример /simulations находится в fixtures/simulation_request.json. Ответ включает status, month rows, firstFundingGapMonth, fundingGap, uncomputedMonthIndexes, warnings, engineVersion. Кэш ключуется входным хешем, контуром, owner_user_id либо demo_session_id и версией ядра; общих пользовательских кэшей без изоляции нет.</w:t>
      </w:r>
    </w:p>
    <w:p>
      <w:pPr>
        <w:pStyle w:val="Heading1"/>
      </w:pPr>
      <w:r>
        <w:rPr>
          <w:color w:val="000000"/>
        </w:rPr>
        <w:t>14 Защита данных и банковский контур</w:t>
      </w:r>
    </w:p>
    <w:p>
      <w:r>
        <w:t>Для демо использовать только синтетические данные. Личный режим пилота включать после проверки хранения, доступа, согласий и схемы размещения с владельцем контура. Требования 152-ФЗ, 115-ФЗ и ИБ учитываются применительно к фактическим функциям; наличие чек-листа не означает полного соответствия.</w:t>
      </w:r>
    </w:p>
    <w:p>
      <w:r>
        <w:t>Авторизация самостоятельного прототипа — проверенная библиотека с серверными сессиями и secure/HttpOnly/SameSite cookie; защита от CSRF, лимиты попыток, MFA для редакторов и администраторов. В банковском пилоте предпочтителен согласованный SSO. Нельзя доверять user_id, tenant_id или роли из браузера.</w:t>
      </w:r>
    </w:p>
    <w:p>
      <w:r>
        <w:t>P0 — один tenant на установку. Поле tenant_id и проверки сохраняются для подготовки B2B; это не заявление о готовой общей SaaS-платформе нескольких банков. Для нескольких tenants обязательны тесты изоляции и выбранный механизм разделения на уровне базы. На пилоте разумно выделять отдельную базу и ключи заказчику.</w:t>
      </w:r>
    </w:p>
    <w:p>
      <w:r>
        <w:t>Секреты хранятся в согласованном менеджере или защищённом окружении серверной части; в базе только secret_ref. Шифрование при передаче и хранении настраивается инфраструктурой, ключи и резервные копии изолируются. Логи не содержат токенов, полных номеров счетов, CSV и запросов с персональной информацией.</w:t>
      </w:r>
    </w:p>
    <w:p>
      <w:r>
        <w:t>On-prem-профиль работает при закрытом исходящем доступе: локальные статика, база, расчёты, поиск и шаблонные объяснения. Внешние шрифты, CDN, аналитические пиксели и облачная авторизация не должны быть обязательными. Для LLM возможен локальный провайдер; при его отсутствии доступны шаблонные объяснения. Обновления контента и образов поступают контролируемым способом.</w:t>
      </w:r>
    </w:p>
    <w:p>
      <w:r>
        <w:t>Внешний адаптер вызывается только через разрешённый интеграционный шлюз; закрытый on-prem-контур не обещает прямой доступ в интернет. Защита от SSRF: allowlist назначения, запрет внутренних адресов в пользовательских URL, ограничение редиректов. Источники контента добавляет редактор, сервер проверяет адреса.</w:t>
      </w:r>
    </w:p>
    <w:p>
      <w:r>
        <w:t>Предлагаемая политика пилота: исходный CSV удалить через 24 часа после подтверждения импорта; демонстрационную сессию — через 24 часа бездействия; прикладные данные — по запросу удаления и согласованному сроку; резервные копии — ограниченный цикл до 30 дней, если это утверждено владельцем. Это проектные настройки, которые согласуются до обработки реальных данных.</w:t>
      </w:r>
    </w:p>
    <w:p>
      <w:r>
        <w:t>Отзыв согласия останавливает новые получения и отключает секрет. Пользователь отдельно выбирает удалить уже сохранённые сведения; интерфейс объясняет применённую политику. Аудит хранится с минимальным содержимым по утверждённому сроку. Экспорт и восстановление из резервной копии входят в проверку пилота.</w:t>
      </w:r>
    </w:p>
    <w:p>
      <w:pPr>
        <w:pStyle w:val="Heading1"/>
      </w:pPr>
      <w:r>
        <w:rPr>
          <w:color w:val="000000"/>
        </w:rPr>
        <w:t>15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Цель P0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Как проверяем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Финансовый расчёт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p95 до 500 мс для 24 месяцев и 50 счетов без сети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Замер на 2 vCPU и 4 ГБ RAM, 100 последовательных запусков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API чтения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p95 до 1 секунды на демонстрационной нагрузке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20 одновременных сессий, исключить внешний провайдер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Основной экран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Полезное содержимое до 3 секунд в тестовой сети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Зафиксированный браузер и профиль сети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Импорт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10 000 строк обрабатываются до 60 секунд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Фикстура, прогресс и возможность повторить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Устойчивость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Сбой AI не блокирует P0-сценарий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Отключение провайдера и e2e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Доступность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Все основные действия с клавиатуры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Ручной проход и автоматические проверки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Воспроизводимость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Один вход и версия дают те же числа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Golden tests и сравнение JSON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Резервное копирование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Подтверждённое восстановление пилотной базы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Восстановить копию в отдельный тестовый контур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Это целевые показатели для приёмки прототипа, не обещание промышленного SLA. Результаты измерений сохраняются с характеристиками среды. Лимиты внешних API и время синхронизации показываются отдельно.</w:t>
      </w:r>
    </w:p>
    <w:p>
      <w:pPr>
        <w:pStyle w:val="Heading1"/>
      </w:pPr>
      <w:r>
        <w:rPr>
          <w:color w:val="000000"/>
        </w:rPr>
        <w:t>16 Аналитика и эксперимент</w:t>
      </w:r>
    </w:p>
    <w:p>
      <w:r>
        <w:t>События: onboarding_started, profile_confirmed, import_committed, scenario_started, simulation_completed, calculation_explanation_opened, lesson_started, lesson_answered, plan_saved, offer_compared, provider_opened, source_revoked. Параметры: контур, обезличенный user_key, версия сценария/контента, время, success/error_code, группа эксперимента. Суммы, описания платежей и секреты в event payload не входят.</w:t>
      </w:r>
    </w:p>
    <w:p>
      <w:r>
        <w:t>Воронка: начало задачи → подтверждение данных → успешный расчёт → проверка понимания → сохранение плана. Ошибка данных учитывается отдельно от отказа пользователя. Доля завершения имеет явно заданный знаменатель: уникальные пользователи, начавшие соответствующий сценарий в период.</w:t>
      </w:r>
    </w:p>
    <w:p>
      <w:r>
        <w:t>В банковском пилоте заранее выбрать один основной показатель: например, доля клиентов, вернувшихся к полезному действию в течение 30 дней. Рандомизация на уровне пользователя; неизменяемая принадлежность к группе. Размер выборки рассчитывается после получения базового уровня и минимального эффекта. Малую UX-выборку не выдавать за статистически значимый рост лояльности.</w:t>
      </w:r>
    </w:p>
    <w:p>
      <w:r>
        <w:t>Контрольные показатели: ошибки расчёта, жалобы на непонятные условия, неверное восприятие гарантии, отказы от согласия, отписки от уведомлений. Финансовый эффект считается только по подтверждённым и атрибутируемым действиям; просмотры и переходы сами по себе не выручка.</w:t>
      </w:r>
    </w:p>
    <w:p>
      <w:pPr>
        <w:pStyle w:val="Heading1"/>
      </w:pPr>
      <w:r>
        <w:rPr>
          <w:color w:val="000000"/>
        </w:rPr>
        <w:t>17 Критерии приёмки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Учебный аннуитет 120 тыс, 12%, 12 месяцев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10 661,85 ₽, последний 10 661,91 ₽, долг 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Кредит 120 тыс под 0% на 12 месяцев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Платёж 10 000 ₽ без NaN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03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Вклад 50 тыс, 12%, шесть месячных начислений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53 076,01 ₽, проценты не дублируются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04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120 тыс денег, доход 0, расходы 30 тыс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Четыре месяца обеспечены, нехватка в пятом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05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Полный стресс-кейс раздела 10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42 647,40 ₽ нехватки в месяце 4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06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Сокращение расходов в том же кейсе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17 352,60 ₽ в месяце 4; 169 104,91 ₽ в шестом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07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Перевод 10 тыс между своими счетами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Итог денег и доходы не растут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08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Назначение корзины выше остатка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Ошибка без частичной записи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09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Неподдерживаемая валюта или NaN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422 с точным полем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FIN 10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Перекрытие событий одного дохода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EVENTS_CONFLICT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DATA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Один CSV загружен дважды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удвоения операций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DATA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Две одинаковые реальные покупки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удаляются без подтверждения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DATA 03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pending сменился posted с тем же ID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Одна итоговая операция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DATA 04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Старый снимок и подтверждение его использования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STALE_INPUT либо явно маркированный старый сценарий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API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Повтор ключа с другим телом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409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API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Изменение корзины со старой версией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409 без потери чужой правки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SEC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Подстановка чужого ID счёта или сценария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Данные не возвращаются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SEC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Пользователь вызывает publish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Отказ в доступе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SEC 03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Отозван доступ к источнику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Новая синхронизация не выполняется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SEC 04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Логи, export, CSV и LLM payload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секретов и лишних личных данных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AI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Провайдер отключён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Основной сценарий проходит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AI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Материал содержит команду раскрыть секрет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 исполняется и не меняет доступ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OFFER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Срок проверки предложения истёк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в активном ранжировании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OFFER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Неизвестны обязательные условия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TERMS_INCOMPLETE, нет выдуманного результата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OFFER 03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Партнёрская комиссия изменена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Органическая сортировка прежняя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UX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Телефон 360 px и клавиатура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Основные действия доступны без потери данных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UX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Сброс учебной сессии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Личные данные не затронуты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OPS 01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Запуск с закрытым внешним интернетом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P0 работает с локальным контентом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OPS 02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Восстановление резервной копии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Проверенные записи и связи сохранены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Сдача не допускается при расхождении эталонных денежных расчётов, доступе к чужим объектам или потере данных импорта. Разработчик прикладывает протокол выполненных тестов; сам список проверок не считается их прохождением.</w:t>
      </w:r>
    </w:p>
    <w:p>
      <w:pPr>
        <w:pStyle w:val="Heading1"/>
      </w:pPr>
      <w:r>
        <w:rPr>
          <w:color w:val="000000"/>
        </w:rPr>
        <w:t>18 План разработки и трудозатраты</w:t>
      </w:r>
    </w:p>
    <w:p>
      <w:r>
        <w:t>Оценка предполагает двух разработчиков по 20–25 часов в неделю и отдельную работу product/аналитика. Это план, который уточняется после первого технического аудита. Разработка в одиночку с меньшей занятостью требует переноса сроков или сокращения функционала.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Задание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Критерий завершения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8–11 октября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Аудит кода, P0, схема данных и фикстуры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Локальный запуск и утверждённые контракты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12–18 октября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Обзор, ручные счета, расчётное ядро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Стресс-кейс проходит тесты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19–25 октября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Сценарии, корзины, кейсы и базовый каталог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Полный учебный путь работает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26 октября – 1 ноября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UX-проверки, исправления, первая подача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Демо, исходники и выводы исследования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2–15 ноября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CSV, права, редактор, сравнение условий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Устойчивый P0 без внешней AI-зависимости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16–29 ноября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Финмодель, локальный контур, тесты безопасности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Пакет второго спринта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30 ноября – 8 декабря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Сценарий банковского пилота, стабилизация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Воспроизводимое демо и финальная подача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9–11 декабря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Репетиция и резерв на сбои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Короткий питч и резервное видео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Работа между официальными спринтами — внутренний график команды, не дополнительный этап конкурса. Интеграция с банком зависит от согласований и не обещается к финалу, если доступы не выданы.</w:t>
      </w:r>
    </w:p>
    <w:p>
      <w:r>
        <w:t>Оценка разработки P0: 280–400 часов, включая интерфейс, сервер, расчёты, импорт и тестирование. Product и исследование — 50–80 часов; контент и финансовая проверка — 40–60 часов; дизайн и UX — 25–40 часов; техническая проверка ИБ — 16–24 часа. Роли могут совмещаться, но часы не исчезают. Конкурсный состав — до пяти человек согласно присланным условиям.</w:t>
      </w:r>
    </w:p>
    <w:p>
      <w:r>
        <w:t>Пример денежной оценки, не коммерческая котировка: 340 ч разработки × 1 200 ₽ + 70 ч product × 1 000 ₽ + 50 ч контента × 1 000 ₽ + 30 ч UX × 1 200 ₽ + 20 ч проверки ИБ × 1 500 ₽ = 594 000 ₽. Резерв 20% — 118 800 ₽. Условный бюджет инфраструктуры и AI-инструментов на два месяца 30 000 ₽. Итого сценарий 742 800 ₽. В 30 000 ₽ уже входят хостинг и инструменты на два месяца; описание ниже раскрывает лимит и не прибавляет его повторно. Банковская интеграция в эту сумму не включена. Вклад основателей можно не выплачивать деньгами, но учитывать как стоимость времени.</w:t>
      </w:r>
    </w:p>
    <w:p>
      <w:r>
        <w:t>Подписки редактора кода и LLM вынести в отдельный лимит; ориентир команды 50–100 долларов в месяц допустим как внутренняя плановая рамка, не как проверенная цена сервиса. Внутри лимита выделить хостинг и инструменты; редактуру тарифов учитывать в контентных часах, банковскую интеграцию оценивать отдельно. В начале пилота лимиты и фактические цены пересчитываются. Процент от партнёрских продаж не включать в выручку до договора.</w:t>
      </w:r>
    </w:p>
    <w:p>
      <w:r>
        <w:t>Окупаемость для Monetrix: разовые затраты на адаптацию минус доход пилота, затем покрытие остатка ежемесячной маржой лицензии после поддержки и инфраструктуры. Для банка отдельная модель: затраты внедрения и лицензии против измеренного прироста маржи либо экономии. Если эффект не измерен, показать сценарии и точку безубыточности, не заявлять срок окупаемости как факт.</w:t>
      </w:r>
    </w:p>
    <w:p>
      <w:pPr>
        <w:pStyle w:val="Heading1"/>
      </w:pPr>
      <w:r>
        <w:rPr>
          <w:color w:val="000000"/>
        </w:rPr>
        <w:t>19 Порядок работы с AI разработчиком</w:t>
      </w:r>
    </w:p>
    <w:p>
      <w:r>
        <w:t>Не отдавать весь продукт одним запросом. Первый запрос задаёт контекст, P0 и запреты; далее разработчик получает по одному проверяемому этапу. После этапа фиксируются изменённые файлы, команды запуска, результат проверки и оставшиеся ограничения.</w:t>
      </w:r>
    </w:p>
    <w:p>
      <w:pPr>
        <w:pStyle w:val="ListNumber"/>
        <w:numPr>
          <w:numId w:val="11"/>
        </w:numPr>
      </w:pPr>
      <w:r>
        <w:t>Инвентаризация: изучить репозиторий, зависимости и инструкции; предложить повторное использование. Не удалять рабочие интеграции.</w:t>
      </w:r>
    </w:p>
    <w:p>
      <w:pPr>
        <w:pStyle w:val="ListNumber"/>
        <w:numPr>
          <w:numId w:val="11"/>
        </w:numPr>
      </w:pPr>
      <w:r>
        <w:t>Контракт и фикстуры: описать модели, API, роли и исходные данные. Добиться единого трактования available и чистых активов.</w:t>
      </w:r>
    </w:p>
    <w:p>
      <w:pPr>
        <w:pStyle w:val="ListNumber"/>
        <w:numPr>
          <w:numId w:val="11"/>
        </w:numPr>
      </w:pPr>
      <w:r>
        <w:t>Чистое расчётное ядро: реализовать эталонные сценарии и граничные случаи. UI не нужен для проверки чисел.</w:t>
      </w:r>
    </w:p>
    <w:p>
      <w:pPr>
        <w:pStyle w:val="ListNumber"/>
        <w:numPr>
          <w:numId w:val="11"/>
        </w:numPr>
      </w:pPr>
      <w:r>
        <w:t>Обзор и ручной ввод: вывести реальное состояние API, пустые и ошибочные состояния; не подменять их постоянными моками.</w:t>
      </w:r>
    </w:p>
    <w:p>
      <w:pPr>
        <w:pStyle w:val="ListNumber"/>
        <w:numPr>
          <w:numId w:val="11"/>
        </w:numPr>
      </w:pPr>
      <w:r>
        <w:t>Сценарии и корзины: подключить расчёт, версии, валидацию и сохранение.</w:t>
      </w:r>
    </w:p>
    <w:p>
      <w:pPr>
        <w:pStyle w:val="ListNumber"/>
        <w:numPr>
          <w:numId w:val="11"/>
        </w:numPr>
      </w:pPr>
      <w:r>
        <w:t>Учебные кейсы: контентный контракт, проверка ответов, прогресс и связь со сценарием.</w:t>
      </w:r>
    </w:p>
    <w:p>
      <w:pPr>
        <w:pStyle w:val="ListNumber"/>
        <w:numPr>
          <w:numId w:val="11"/>
        </w:numPr>
      </w:pPr>
      <w:r>
        <w:t>Сравнение и редактор: версии условий, вычислимость, подтверждение и срок проверки.</w:t>
      </w:r>
    </w:p>
    <w:p>
      <w:pPr>
        <w:pStyle w:val="ListNumber"/>
        <w:numPr>
          <w:numId w:val="11"/>
        </w:numPr>
      </w:pPr>
      <w:r>
        <w:t>CSV и доступ: staging, дубли, права, экспорт и удаление.</w:t>
      </w:r>
    </w:p>
    <w:p>
      <w:pPr>
        <w:pStyle w:val="ListNumber"/>
        <w:numPr>
          <w:numId w:val="11"/>
        </w:numPr>
      </w:pPr>
      <w:r>
        <w:t>Приёмка и развёртывание: e2e, финансовые тесты, секреты, offline-профиль, README и видео сценария.</w:t>
      </w:r>
    </w:p>
    <w:p>
      <w:r>
        <w:t>После каждого этапа отдельный commit с рабочим состоянием. Формулы и права доступа ревьюит человек. AI не получает реальные клиентские выписки или токены в чат; для разработки применяются синтетические фикстуры. Покупка сервисов, публикация и отправка данных не входят в задание автоматически.</w:t>
      </w:r>
    </w:p>
    <w:p>
      <w:r>
        <w:t>Требуемые файлы сдачи: README с командами; env.example без секретов; lock-файлы; миграции; OpenAPI; фикстуры; тесты; описание формул; журнал продуктовых решений; схема размещения; перечень внешних зависимостей; инструкции резервного копирования. В README отдельно указать, какие коннекторы реальны, а какие работают на учебных данных.</w:t>
      </w:r>
    </w:p>
    <w:p>
      <w:pPr>
        <w:pStyle w:val="Heading1"/>
        <w:pageBreakBefore/>
      </w:pPr>
      <w:r>
        <w:rPr>
          <w:color w:val="000000"/>
        </w:rPr>
        <w:t>20 Источники</w:t>
      </w:r>
    </w:p>
    <w:p>
      <w:r>
        <w:t>Дата проверки источников — 8 октября 2026 года. Приведённые материалы служат основанием для проектных ограничений; это не заключение о соответствии конкретного внедрения всем нормам.</w:t>
      </w:r>
    </w:p>
    <w:p>
      <w:r>
        <w:t xml:space="preserve">[S1] Банк России. Открытые API. Обмен по согласию и условия участия. </w:t>
      </w:r>
      <w:hyperlink r:id="rId11">
        <w:r>
          <w:rPr>
            <w:color w:val="28587A"/>
            <w:sz w:val="19"/>
          </w:rPr>
          <w:t>https://cbr.ru/fintech/api/</w:t>
        </w:r>
      </w:hyperlink>
    </w:p>
    <w:p>
      <w:r>
        <w:t xml:space="preserve">[S2] T‑Bank Dev Portal. Токен T‑Invest API. Типы прав, read-only и отзыв. </w:t>
      </w:r>
      <w:hyperlink r:id="rId12">
        <w:r>
          <w:rPr>
            <w:color w:val="28587A"/>
            <w:sz w:val="19"/>
          </w:rPr>
          <w:t>https://developer.tbank.ru/invest/intro/intro/token</w:t>
        </w:r>
      </w:hyperlink>
    </w:p>
    <w:p>
      <w:r>
        <w:t xml:space="preserve">[S3] ФИНАМ. Начало работы с Finam Trade API. Secret, JWT и обращение с ключом. </w:t>
      </w:r>
      <w:hyperlink r:id="rId13">
        <w:r>
          <w:rPr>
            <w:color w:val="28587A"/>
            <w:sz w:val="19"/>
          </w:rPr>
          <w:t>https://api.finam.ru/blog/start-tradeapi/</w:t>
        </w:r>
      </w:hyperlink>
    </w:p>
    <w:p>
      <w:r>
        <w:t xml:space="preserve">[S4] Банк России. Поправки в базовый стандарт для инвестиционных советников, 17 ноября 2023 года. </w:t>
      </w:r>
      <w:hyperlink r:id="rId14">
        <w:r>
          <w:rPr>
            <w:color w:val="28587A"/>
            <w:sz w:val="19"/>
          </w:rPr>
          <w:t>https://www.cbr.ru/press/event/?id=17210</w:t>
        </w:r>
      </w:hyperlink>
    </w:p>
    <w:p>
      <w:r>
        <w:t xml:space="preserve">[S5] Банк России. Правила продаж инвестиционных продуктов через банки, 22 апреля 2022 года. Различие инвестиций и страхуемых вкладов. </w:t>
      </w:r>
      <w:hyperlink r:id="rId15">
        <w:r>
          <w:rPr>
            <w:color w:val="28587A"/>
            <w:sz w:val="19"/>
          </w:rPr>
          <w:t>https://www.cbr.ru/press/event/?id=12839</w:t>
        </w:r>
      </w:hyperlink>
    </w:p>
    <w:p>
      <w:r>
        <w:t xml:space="preserve">[S6] FastAPI. Features. Контракты OpenAPI и JSON Schema. </w:t>
      </w:r>
      <w:hyperlink r:id="rId16">
        <w:r>
          <w:rPr>
            <w:color w:val="28587A"/>
            <w:sz w:val="19"/>
          </w:rPr>
          <w:t>https://fastapi.tiangolo.com/features/</w:t>
        </w:r>
      </w:hyperlink>
    </w:p>
    <w:p>
      <w:r>
        <w:t xml:space="preserve">[S7] PostgreSQL. Numeric Types. Точные денежные вычисления и ограничения типов. </w:t>
      </w:r>
      <w:hyperlink r:id="rId17">
        <w:r>
          <w:rPr>
            <w:color w:val="28587A"/>
            <w:sz w:val="19"/>
          </w:rPr>
          <w:t>https://www.postgresql.org/docs/current/datatype-numeric.html</w:t>
        </w:r>
      </w:hyperlink>
    </w:p>
    <w:p>
      <w:r>
        <w:t xml:space="preserve">[S8] Playwright. Best Practices. Проверка поведения, видимого пользователю. </w:t>
      </w:r>
      <w:hyperlink r:id="rId18">
        <w:r>
          <w:rPr>
            <w:color w:val="28587A"/>
            <w:sz w:val="19"/>
          </w:rPr>
          <w:t>https://playwright.dev/docs/best-practices</w:t>
        </w:r>
      </w:hyperlink>
    </w:p>
    <w:p>
      <w:r>
        <w:t>Условия финтех-трека ВТБ, сроки и требование on-prem взяты из текста, предоставленного пользователем. Требования к лицензиям ПО, размещению, согласиям и применимым нормам проверяются с заказчиком перед реальным пилотом. Инвестиционные активы не имеют той же защиты, что банковские вклады [S5]; интерфейс и учебные кейсы должны сохранять это различие.</w:t>
      </w:r>
    </w:p>
    <w:sectPr w:rsidR="00FC693F" w:rsidRPr="0006063C" w:rsidSect="00034616">
      <w:footerReference w:type="default" r:id="rId9"/>
      <w:pgSz w:w="12240" w:h="15840"/>
      <w:pgMar w:top="965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Monetrix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DejaVu Sans" w:hAnsi="DejaVu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DejaVu Sans" w:hAnsi="DejaVu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cbr.ru/fintech/api/" TargetMode="External"/><Relationship Id="rId12" Type="http://schemas.openxmlformats.org/officeDocument/2006/relationships/hyperlink" Target="https://developer.tbank.ru/invest/intro/intro/token" TargetMode="External"/><Relationship Id="rId13" Type="http://schemas.openxmlformats.org/officeDocument/2006/relationships/hyperlink" Target="https://api.finam.ru/blog/start-tradeapi/" TargetMode="External"/><Relationship Id="rId14" Type="http://schemas.openxmlformats.org/officeDocument/2006/relationships/hyperlink" Target="https://www.cbr.ru/press/event/?id=17210" TargetMode="External"/><Relationship Id="rId15" Type="http://schemas.openxmlformats.org/officeDocument/2006/relationships/hyperlink" Target="https://www.cbr.ru/press/event/?id=12839" TargetMode="External"/><Relationship Id="rId16" Type="http://schemas.openxmlformats.org/officeDocument/2006/relationships/hyperlink" Target="https://fastapi.tiangolo.com/features/" TargetMode="External"/><Relationship Id="rId17" Type="http://schemas.openxmlformats.org/officeDocument/2006/relationships/hyperlink" Target="https://www.postgresql.org/docs/current/datatype-numeric.html" TargetMode="External"/><Relationship Id="rId18" Type="http://schemas.openxmlformats.org/officeDocument/2006/relationships/hyperlink" Target="https://playwright.dev/docs/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Monetrix Техническое задание</dc:title>
  <dc:subject>Концепция и требования к разработке</dc:subject>
  <dc:creator>Monetrix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