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ТЕХНИЧЕСКОЕ ЗАДАНИЕ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 прокладку и монтаж трубопроводов ХВС, ГВС, отопления/охлаждения и тёплого пола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Объект: коттедж, г. Душанбе</w:t>
      </w:r>
    </w:p>
    <w:p>
      <w:pPr>
        <w:pBdr>
          <w:bottom w:val="single" w:color="1F4E5F" w:sz="12" w:space="4"/>
        </w:pBdr>
        <w:spacing w:after="200"/>
      </w:pPr>
      <w:r>
        <w:t xml:space="preserve"/>
      </w:r>
    </w:p>
    <w:p>
      <w:pPr>
        <w:shd w:fill="FFF3CD" w:val="clear"/>
        <w:spacing w:after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ОБЪЁМ РАБОТ ПО НАСТОЯЩЕМУ ЗАДАНИЮ: только прокладка и монтаж труб (разводка, стояки, гильзы, опрессовка). НЕ включено: установка сантехприборов и смесителей, плиточные/отделочные работы, монтаж теплового насоса и буферных ёмкостей, электромонтаж/автоматика.</w:t>
      </w:r>
    </w:p>
    <w:p>
      <w:pPr>
        <w:pStyle w:val="Heading1"/>
        <w:spacing w:after="150" w:before="300"/>
      </w:pPr>
      <w:r>
        <w:t xml:space="preserve">1. Общие требования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Материал труб: Rehau Rautitan — PE-Xa (ХВС/ГВС), Stabil с кислородным барьером (отопление/охлаждение).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Схема разводки: лучевая (home-run) от коллектора; на длинных ветках — общий ствол с местными тройниками у приборов, без этажных коллекторных шкафов.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Все переходы труб через плиты перекрытия и стены — через гильзы (сталь/ПВХ), зазор гильза-труба 20-40 мм, заделка минватой/герметиком, противопожарная манжета на межэтажных переходах.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Контур охлаждения (подача к фанкойлам) — пароизоляционная изоляция (Armaflex AC/K-Flex AC или аналог), не обычная теплоизоляция.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Линия конденсата фанкойлов — уклон в сторону канализации (К1), подключение к ближайшему стояку.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Опрессовка всех контуров ХВС/ГВС/отопления — до и во время закрытия штроб/заливки стяжки; давление и результат фиксировать актом.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Радиаторный контур в комнатах с фанкойлом — раздельные трубы (не общий ствол с фанкойлом), клапан радиатора — с сезонной блокировкой на период охлаждения.</w:t>
      </w:r>
    </w:p>
    <w:p>
      <w:pPr>
        <w:pStyle w:val="Heading1"/>
        <w:spacing w:after="150" w:before="300"/>
      </w:pPr>
      <w:r>
        <w:t xml:space="preserve">2. ХВС / ГВС — разводка от коллектора в подвале</w:t>
      </w:r>
    </w:p>
    <w:tbl>
      <w:tblPr>
        <w:tblW w:type="dxa" w:w="13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200"/>
        <w:gridCol w:w="1400"/>
        <w:gridCol w:w="1200"/>
        <w:gridCol w:w="1400"/>
        <w:gridCol w:w="190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Точка / ветка</w:t>
            </w:r>
          </w:p>
        </w:tc>
        <w:tc>
          <w:tcPr>
            <w:tcW w:type="dxa" w:w="32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Приборы</w:t>
            </w:r>
          </w:p>
        </w:tc>
        <w:tc>
          <w:tcPr>
            <w:tcW w:type="dxa" w:w="12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ХВС</w:t>
            </w:r>
          </w:p>
        </w:tc>
        <w:tc>
          <w:tcPr>
            <w:tcW w:type="dxa" w:w="14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ГВС подача</w:t>
            </w:r>
          </w:p>
        </w:tc>
        <w:tc>
          <w:tcPr>
            <w:tcW w:type="dxa" w:w="12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Обратка</w:t>
            </w:r>
          </w:p>
        </w:tc>
        <w:tc>
          <w:tcPr>
            <w:tcW w:type="dxa" w:w="14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Длина трассы</w:t>
            </w:r>
          </w:p>
        </w:tc>
        <w:tc>
          <w:tcPr>
            <w:tcW w:type="dxa" w:w="19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Рециркуляция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Кухня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Мойка + ПММ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Dn16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Dn16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Dn16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Да (постоянная)</w:t>
            </w:r>
          </w:p>
        </w:tc>
      </w:tr>
      <w:tr>
        <w:tc>
          <w:tcPr>
            <w:tcW w:type="dxa" w:w="32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Санузел 1 (над кухней, 2 эт.)</w:t>
            </w:r>
          </w:p>
        </w:tc>
        <w:tc>
          <w:tcPr>
            <w:tcW w:type="dxa" w:w="32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Умывальник, душ, унитаз, биде</w:t>
            </w:r>
          </w:p>
        </w:tc>
        <w:tc>
          <w:tcPr>
            <w:tcW w:type="dxa" w:w="12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Dn20</w:t>
            </w:r>
          </w:p>
        </w:tc>
        <w:tc>
          <w:tcPr>
            <w:tcW w:type="dxa" w:w="14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Dn20</w:t>
            </w:r>
          </w:p>
        </w:tc>
        <w:tc>
          <w:tcPr>
            <w:tcW w:type="dxa" w:w="12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Dn16</w:t>
            </w:r>
          </w:p>
        </w:tc>
        <w:tc>
          <w:tcPr>
            <w:tcW w:type="dxa" w:w="14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 м</w:t>
            </w:r>
          </w:p>
        </w:tc>
        <w:tc>
          <w:tcPr>
            <w:tcW w:type="dxa" w:w="19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Да (постоянная)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Санузел 2 (2 эт., над подвалом)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Умывальник, душ, унитаз, биде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Dn20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Dn16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≈4 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32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Санузел Национальной комнаты (1 эт., гостевой)</w:t>
            </w:r>
          </w:p>
        </w:tc>
        <w:tc>
          <w:tcPr>
            <w:tcW w:type="dxa" w:w="32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Унитаз, гиг. душ, умывальник, душевая стойка</w:t>
            </w:r>
          </w:p>
        </w:tc>
        <w:tc>
          <w:tcPr>
            <w:tcW w:type="dxa" w:w="12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Dn20</w:t>
            </w:r>
          </w:p>
        </w:tc>
        <w:tc>
          <w:tcPr>
            <w:tcW w:type="dxa" w:w="14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Dn20</w:t>
            </w:r>
          </w:p>
        </w:tc>
        <w:tc>
          <w:tcPr>
            <w:tcW w:type="dxa" w:w="12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Dn16</w:t>
            </w:r>
          </w:p>
        </w:tc>
        <w:tc>
          <w:tcPr>
            <w:tcW w:type="dxa" w:w="14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≈3 м</w:t>
            </w:r>
          </w:p>
        </w:tc>
        <w:tc>
          <w:tcPr>
            <w:tcW w:type="dxa" w:w="19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Ствол каждой ветки заходит в помещение единым пучком (3 трубы), далее — местные тройники к приборам внутри санузла/кухни. Все линии ГВС — с постоянной рециркуляцией.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Санузлы 2 этажа (СП.род ×2 и др.) — состав приборов и трассы уточняются отдельно, в данное ТЗ пока не входят.</w:t>
      </w:r>
    </w:p>
    <w:p>
      <w:pPr>
        <w:pStyle w:val="Heading1"/>
        <w:spacing w:after="150" w:before="300"/>
      </w:pPr>
      <w:r>
        <w:t xml:space="preserve">3. Отопление и охлаждение — фанкойлы и радиаторы</w:t>
      </w:r>
    </w:p>
    <w:p>
      <w:pPr>
        <w:pStyle w:val="Heading2"/>
        <w:spacing w:after="120" w:before="240"/>
      </w:pPr>
      <w:r>
        <w:t xml:space="preserve">3.1 Фанкойлы (2 трубы на каждый: подача + обратка, Dn20, + линия конденсата)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800"/>
        <w:gridCol w:w="2600"/>
        <w:gridCol w:w="1500"/>
      </w:tblGrid>
      <w:tr>
        <w:trPr>
          <w:tblHeader/>
        </w:trPr>
        <w:tc>
          <w:tcPr>
            <w:tcW w:type="dxa" w:w="46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Помещение</w:t>
            </w:r>
          </w:p>
        </w:tc>
        <w:tc>
          <w:tcPr>
            <w:tcW w:type="dxa" w:w="18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Кол-во фанкойлов</w:t>
            </w:r>
          </w:p>
        </w:tc>
        <w:tc>
          <w:tcPr>
            <w:tcW w:type="dxa" w:w="26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Мощность (1 шт.)</w:t>
            </w:r>
          </w:p>
        </w:tc>
        <w:tc>
          <w:tcPr>
            <w:tcW w:type="dxa" w:w="15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Труба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Кухня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12000 BTU (≈3,52 кВт)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Dn20</w:t>
            </w:r>
          </w:p>
        </w:tc>
      </w:tr>
      <w:tr>
        <w:tc>
          <w:tcPr>
            <w:tcW w:type="dxa" w:w="46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Столовая</w:t>
            </w:r>
          </w:p>
        </w:tc>
        <w:tc>
          <w:tcPr>
            <w:tcW w:type="dxa" w:w="18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12000 BTU (≈3,52 кВт)</w:t>
            </w:r>
          </w:p>
        </w:tc>
        <w:tc>
          <w:tcPr>
            <w:tcW w:type="dxa" w:w="15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Dn20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Мягкая зона (гостиная)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12000 BTU каждый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Dn20 (каждый)</w:t>
            </w:r>
          </w:p>
        </w:tc>
      </w:tr>
      <w:tr>
        <w:tc>
          <w:tcPr>
            <w:tcW w:type="dxa" w:w="46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Комната 2 эт. (у Ст.4, рядом со Столовой/Прихожей)</w:t>
            </w:r>
          </w:p>
        </w:tc>
        <w:tc>
          <w:tcPr>
            <w:tcW w:type="dxa" w:w="18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12000 BTU (≈3,52 кВт)</w:t>
            </w:r>
          </w:p>
        </w:tc>
        <w:tc>
          <w:tcPr>
            <w:tcW w:type="dxa" w:w="15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Dn20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3.2 Радиаторы (2 трубы на каждый, отдельно от фанкойла)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 этаж, типовые комнаты (до ~25 м², одна наружная стена): биметаллический радиатор 10-12 секций, труба Dn16. Работает как дополнительный комфорт совместно с фанкойлом в той же комнате.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Радиаторный контур — отдельный смесительный узел, ориентир по температуре подачи 55/50°C.</w:t>
      </w:r>
    </w:p>
    <w:p>
      <w:pPr>
        <w:pStyle w:val="Heading1"/>
        <w:spacing w:after="150" w:before="300"/>
      </w:pPr>
      <w:r>
        <w:t xml:space="preserve">4. Тёплый пол (1 этаж)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Помещения: Кухня (27,63 м²), Столовая (29,12 м²), Мягкая зона (51,59 м²).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Труба: Rautherm S (или аналог), шаг укладки 15 см.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Длина контура: 80 м на контур (≈12 м² покрытия на контур).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Отступ от стен: 20 см без трубы по периметру.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800"/>
        <w:gridCol w:w="2600"/>
      </w:tblGrid>
      <w:tr>
        <w:trPr>
          <w:tblHeader/>
        </w:trPr>
        <w:tc>
          <w:tcPr>
            <w:tcW w:type="dxa" w:w="34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Помещение</w:t>
            </w:r>
          </w:p>
        </w:tc>
        <w:tc>
          <w:tcPr>
            <w:tcW w:type="dxa" w:w="24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Площадь (гросс)</w:t>
            </w:r>
          </w:p>
        </w:tc>
        <w:tc>
          <w:tcPr>
            <w:tcW w:type="dxa" w:w="18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Контуров</w:t>
            </w:r>
          </w:p>
        </w:tc>
        <w:tc>
          <w:tcPr>
            <w:tcW w:type="dxa" w:w="26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Метраж трубы (≈)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Кухня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27,63 м²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160 м</w:t>
            </w:r>
          </w:p>
        </w:tc>
      </w:tr>
      <w:tr>
        <w:tc>
          <w:tcPr>
            <w:tcW w:type="dxa" w:w="34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Столовая</w:t>
            </w:r>
          </w:p>
        </w:tc>
        <w:tc>
          <w:tcPr>
            <w:tcW w:type="dxa" w:w="24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29,12 м²</w:t>
            </w:r>
          </w:p>
        </w:tc>
        <w:tc>
          <w:tcPr>
            <w:tcW w:type="dxa" w:w="18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240 м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Мягкая зона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51,59 м²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320 м</w:t>
            </w:r>
          </w:p>
        </w:tc>
      </w:tr>
      <w:tr>
        <w:tc>
          <w:tcPr>
            <w:tcW w:type="dxa" w:w="34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Итого</w:t>
            </w:r>
          </w:p>
        </w:tc>
        <w:tc>
          <w:tcPr>
            <w:tcW w:type="dxa" w:w="24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108,34 м²</w:t>
            </w:r>
          </w:p>
        </w:tc>
        <w:tc>
          <w:tcPr>
            <w:tcW w:type="dxa" w:w="18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shd w:fill="EAF1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720 м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Фиксация трубы: маты XPS с формованными пазами (без армирующей сетки).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Фиброармирование стяжки обязательно (полипропиленовая фибра, ≈900-1200 г/м³) — сетки нет, фибра основной способ контроля трещин.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Опрессовка контуров (4-6 бар) до и во время заливки стяжки.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Слой стяжки над трубой — не менее 30-45 мм.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Демпферная лента по периметру, деформационные швы на заливках ~40 м² и на стыках помещений.</w:t>
      </w:r>
    </w:p>
    <w:p>
      <w:pPr>
        <w:pStyle w:val="Heading1"/>
        <w:spacing w:after="150" w:before="300"/>
      </w:pPr>
      <w:r>
        <w:t xml:space="preserve">5. Канализация (К1) — узел прохода через стену подвала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Точка: стена Кухня/Столовая → поворот → подвал.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Труба Ø110 мм — через гильзу Ø160 мм (зазор ≈25 мм на сторону).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Длина гильзы = толщина стены + 1-2 см выступа с каждой стороны.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Зазор — минвата/герметик; шов снаружи (со стороны грунта) — гидроизоляционная мастика.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Уклон трубы Ø110 — норматив 2 см/м (минимально допустимо 1,2 см/м).</w:t>
      </w:r>
    </w:p>
    <w:p>
      <w:pPr>
        <w:spacing w:after="300"/>
      </w:pPr>
    </w:p>
    <w:p>
      <w:pPr>
        <w:pBdr>
          <w:top w:val="single" w:color="999999" w:sz="6" w:space="4"/>
        </w:pBdr>
        <w:spacing w:before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Документ подготовлен на основе рабочих расчётов проекта. Данные по остальным санузлам 2 этажа, полному расчёту теплопотерь и модели теплового насоса — уточняются отдельно.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2026-08-30T11:54:17.048Z</dcterms:created>
  <dcterms:modified xsi:type="dcterms:W3CDTF">2026-08-30T11:54:17.048Z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