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 w:line="276" w:lineRule="auto"/>
        <w:jc w:val="center"/>
      </w:pPr>
      <w:r>
        <w:rPr>
          <w:rFonts w:ascii="Malgun Gothic" w:hAnsi="Malgun Gothic" w:eastAsia="Malgun Gothic"/>
          <w:b/>
          <w:color w:val="1F4E79"/>
          <w:sz w:val="38"/>
        </w:rPr>
        <w:t>ILHOS_Project_DLab</w:t>
      </w:r>
    </w:p>
    <w:p>
      <w:pPr>
        <w:spacing w:before="0" w:after="240" w:line="276" w:lineRule="auto"/>
        <w:jc w:val="center"/>
      </w:pPr>
      <w:r>
        <w:rPr>
          <w:rFonts w:ascii="Malgun Gothic" w:hAnsi="Malgun Gothic" w:eastAsia="Malgun Gothic"/>
          <w:b/>
          <w:color w:val="333333"/>
          <w:sz w:val="28"/>
        </w:rPr>
        <w:t>오늘 작업 이슈 및 처리 사항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4C6E7"/>
          <w:left w:val="single" w:sz="8" w:space="0" w:color="B4C6E7"/>
          <w:bottom w:val="single" w:sz="8" w:space="0" w:color="B4C6E7"/>
          <w:right w:val="single" w:sz="8" w:space="0" w:color="B4C6E7"/>
          <w:insideH w:val="single" w:sz="8" w:space="0" w:color="B4C6E7"/>
          <w:insideV w:val="single" w:sz="8" w:space="0" w:color="B4C6E7"/>
        </w:tblBorders>
      </w:tblPr>
      <w:tblGrid>
        <w:gridCol w:w="5156"/>
        <w:gridCol w:w="5156"/>
      </w:tblGrid>
      <w:tr>
        <w:tc>
          <w:tcPr>
            <w:tcW w:type="dxa" w:w="170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작성일</w:t>
            </w:r>
          </w:p>
        </w:tc>
        <w:tc>
          <w:tcPr>
            <w:tcW w:type="dxa" w:w="68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2026-03-23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대상 화면</w:t>
            </w:r>
          </w:p>
        </w:tc>
        <w:tc>
          <w:tcPr>
            <w:tcW w:type="dxa" w:w="68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투자관리 / 거래처관리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fill="DCE6F1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주요 범위</w:t>
            </w:r>
          </w:p>
        </w:tc>
        <w:tc>
          <w:tcPr>
            <w:tcW w:type="dxa" w:w="68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숫자형 입력 포맷, Export(Excel/PDF) 공통화, 화면 최종본 정리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10312"/>
      </w:tblGrid>
      <w:tr>
        <w:tc>
          <w:tcPr>
            <w:tcW w:type="dxa" w:w="10312"/>
            <w:shd w:fill="F3F7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sz w:val="20"/>
              </w:rPr>
              <w:t>요약: 투자관리 화면의 금액 입력 UX를 개선하고, 엑셀/PDF 다운로드 기능을 구현한 뒤 이를 공통 유틸로 분리했다. 이어서 거래처관리 화면에도 동일한 공통 Export 방식을 적용할 수 있도록 전체 소스를 정리했다.</w:t>
            </w:r>
          </w:p>
        </w:tc>
      </w:tr>
    </w:tbl>
    <w:p>
      <w:pPr>
        <w:spacing w:before="160" w:after="40" w:line="276" w:lineRule="auto"/>
      </w:pPr>
      <w:r>
        <w:rPr>
          <w:rFonts w:ascii="Malgun Gothic" w:hAnsi="Malgun Gothic" w:eastAsia="Malgun Gothic"/>
          <w:b/>
          <w:color w:val="1F4E79"/>
          <w:sz w:val="25"/>
        </w:rPr>
        <w:t>1. 오늘 주요 이슈</w:t>
      </w:r>
    </w:p>
    <w:p>
      <w:pPr>
        <w:pStyle w:val="ListBullet"/>
        <w:spacing w:before="0" w:after="0" w:line="259" w:lineRule="auto"/>
      </w:pPr>
      <w:r>
        <w:rPr>
          <w:rFonts w:ascii="Malgun Gothic" w:hAnsi="Malgun Gothic" w:eastAsia="Malgun Gothic"/>
          <w:b w:val="0"/>
          <w:sz w:val="20"/>
        </w:rPr>
        <w:t>투자관리 화면에서 Investment Amount 입력 후 포커스를 벗어나면 숫자형(천단위 콤마)으로 다시 표시되도록 개선 필요</w:t>
      </w:r>
    </w:p>
    <w:p>
      <w:pPr>
        <w:pStyle w:val="ListBullet"/>
        <w:spacing w:before="0" w:after="0" w:line="259" w:lineRule="auto"/>
      </w:pPr>
      <w:r>
        <w:rPr>
          <w:rFonts w:ascii="Malgun Gothic" w:hAnsi="Malgun Gothic" w:eastAsia="Malgun Gothic"/>
          <w:b w:val="0"/>
          <w:sz w:val="20"/>
        </w:rPr>
        <w:t>invest_management.py에서 서비스 import 경로 오류가 발생하여 실제 프로젝트 폴더 구조 기준으로 경로 재정리 필요</w:t>
      </w:r>
    </w:p>
    <w:p>
      <w:pPr>
        <w:pStyle w:val="ListBullet"/>
        <w:spacing w:before="0" w:after="0" w:line="259" w:lineRule="auto"/>
      </w:pPr>
      <w:r>
        <w:rPr>
          <w:rFonts w:ascii="Malgun Gothic" w:hAnsi="Malgun Gothic" w:eastAsia="Malgun Gothic"/>
          <w:b w:val="0"/>
          <w:sz w:val="20"/>
        </w:rPr>
        <w:t>그리드 데이터를 사용자 친화적으로 엑셀 다운로드 및 PDF 다운로드할 수 있는 기능 필요</w:t>
      </w:r>
    </w:p>
    <w:p>
      <w:pPr>
        <w:pStyle w:val="ListBullet"/>
        <w:spacing w:before="0" w:after="0" w:line="259" w:lineRule="auto"/>
      </w:pPr>
      <w:r>
        <w:rPr>
          <w:rFonts w:ascii="Malgun Gothic" w:hAnsi="Malgun Gothic" w:eastAsia="Malgun Gothic"/>
          <w:b w:val="0"/>
          <w:sz w:val="20"/>
        </w:rPr>
        <w:t>다운로드 로직을 화면별로 중복 작성하지 않고 공통 유틸로 분리할 필요</w:t>
      </w:r>
    </w:p>
    <w:p>
      <w:pPr>
        <w:pStyle w:val="ListBullet"/>
        <w:spacing w:before="0" w:after="0" w:line="259" w:lineRule="auto"/>
      </w:pPr>
      <w:r>
        <w:rPr>
          <w:rFonts w:ascii="Malgun Gothic" w:hAnsi="Malgun Gothic" w:eastAsia="Malgun Gothic"/>
          <w:b w:val="0"/>
          <w:sz w:val="20"/>
        </w:rPr>
        <w:t>company_management.py에도 동일한 공통 Export 구조를 적용할 수 있도록 전체 소스 재정리 필요</w:t>
      </w:r>
    </w:p>
    <w:p>
      <w:pPr>
        <w:spacing w:before="160" w:after="40" w:line="276" w:lineRule="auto"/>
      </w:pPr>
      <w:r>
        <w:rPr>
          <w:rFonts w:ascii="Malgun Gothic" w:hAnsi="Malgun Gothic" w:eastAsia="Malgun Gothic"/>
          <w:b/>
          <w:color w:val="1F4E79"/>
          <w:sz w:val="25"/>
        </w:rPr>
        <w:t>2. 처리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  <w:insideH w:val="single" w:sz="6" w:space="0" w:color="C9D3E6"/>
          <w:insideV w:val="single" w:sz="6" w:space="0" w:color="C9D3E6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5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No</w:t>
            </w:r>
          </w:p>
        </w:tc>
        <w:tc>
          <w:tcPr>
            <w:tcW w:type="dxa" w:w="23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이슈</w:t>
            </w:r>
          </w:p>
        </w:tc>
        <w:tc>
          <w:tcPr>
            <w:tcW w:type="dxa" w:w="408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처리 내용</w:t>
            </w:r>
          </w:p>
        </w:tc>
        <w:tc>
          <w:tcPr>
            <w:tcW w:type="dxa" w:w="15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DCE6F1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결과</w:t>
            </w:r>
          </w:p>
        </w:tc>
      </w:tr>
      <w:tr>
        <w:tc>
          <w:tcPr>
            <w:tcW w:type="dxa" w:w="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  <w:t>금액 입력 포맷</w:t>
            </w:r>
          </w:p>
        </w:tc>
        <w:tc>
          <w:tcPr>
            <w:tcW w:type="dxa" w:w="40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  <w:t>INVEST_AMOUNT_INPUT 상태값을 별도로 두고, on_change 처리로 포커스 아웃 시 format_number / to_float 기준으로 재포맷되도록 반영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입력 후 50,000 형식 표시</w:t>
            </w:r>
          </w:p>
        </w:tc>
      </w:tr>
      <w:tr>
        <w:tc>
          <w:tcPr>
            <w:tcW w:type="dxa" w:w="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  <w:t>서비스 import 오류</w:t>
            </w:r>
          </w:p>
        </w:tc>
        <w:tc>
          <w:tcPr>
            <w:tcW w:type="dxa" w:w="40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  <w:t>services.invest.investment_service 경로 오류를 확인하고, 실제 구조에 맞는 invest_service 기준으로 정리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모듈 인식 문제 해소 방향 정리</w:t>
            </w:r>
          </w:p>
        </w:tc>
      </w:tr>
      <w:tr>
        <w:tc>
          <w:tcPr>
            <w:tcW w:type="dxa" w:w="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  <w:t>엑셀 다운로드</w:t>
            </w:r>
          </w:p>
        </w:tc>
        <w:tc>
          <w:tcPr>
            <w:tcW w:type="dxa" w:w="40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  <w:t>조회 결과 DataFrame을 ExcelWriter(xlsxwriter)로 변환하여 download_button과 연계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엑셀 저장 가능</w:t>
            </w:r>
          </w:p>
        </w:tc>
      </w:tr>
      <w:tr>
        <w:tc>
          <w:tcPr>
            <w:tcW w:type="dxa" w:w="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  <w:t>PDF 다운로드</w:t>
            </w:r>
          </w:p>
        </w:tc>
        <w:tc>
          <w:tcPr>
            <w:tcW w:type="dxa" w:w="40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  <w:t>reportlab 기반 PDF 변환 함수를 추가하여 목록형 리포트 다운로드 구현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PDF 저장 가능</w:t>
            </w:r>
          </w:p>
        </w:tc>
      </w:tr>
      <w:tr>
        <w:tc>
          <w:tcPr>
            <w:tcW w:type="dxa" w:w="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  <w:t>공통화</w:t>
            </w:r>
          </w:p>
        </w:tc>
        <w:tc>
          <w:tcPr>
            <w:tcW w:type="dxa" w:w="40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  <w:t>export_utils.py에 prepare_export_dataframe / get_excel_download_data / get_pdf_download_data를 분리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다른 화면 재사용 가능</w:t>
            </w:r>
          </w:p>
        </w:tc>
      </w:tr>
      <w:tr>
        <w:tc>
          <w:tcPr>
            <w:tcW w:type="dxa" w:w="5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238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  <w:t>거래처관리 반영</w:t>
            </w:r>
          </w:p>
        </w:tc>
        <w:tc>
          <w:tcPr>
            <w:tcW w:type="dxa" w:w="408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  <w:t>company_management.py의 render_grid_area를 공통 Export 기준으로 변경하고 전체 최종본 재정리</w:t>
            </w:r>
          </w:p>
        </w:tc>
        <w:tc>
          <w:tcPr>
            <w:tcW w:type="dxa" w:w="15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54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거래처관리도 공통 다운로드 가능</w:t>
            </w:r>
          </w:p>
        </w:tc>
      </w:tr>
    </w:tbl>
    <w:p>
      <w:pPr>
        <w:spacing w:before="160" w:after="40" w:line="276" w:lineRule="auto"/>
      </w:pPr>
      <w:r>
        <w:rPr>
          <w:rFonts w:ascii="Malgun Gothic" w:hAnsi="Malgun Gothic" w:eastAsia="Malgun Gothic"/>
          <w:b/>
          <w:color w:val="1F4E79"/>
          <w:sz w:val="25"/>
        </w:rPr>
        <w:t>3. 최종 산출물</w:t>
      </w:r>
    </w:p>
    <w:p>
      <w:pPr>
        <w:pStyle w:val="ListBullet"/>
        <w:spacing w:before="0" w:after="0" w:line="259" w:lineRule="auto"/>
      </w:pPr>
      <w:r>
        <w:rPr>
          <w:rFonts w:ascii="Malgun Gothic" w:hAnsi="Malgun Gothic" w:eastAsia="Malgun Gothic"/>
          <w:b w:val="0"/>
          <w:sz w:val="20"/>
        </w:rPr>
        <w:t>invest_management.py 최종본: 금액 입력 포맷 + Excel/PDF 다운로드 기능 반영</w:t>
      </w:r>
    </w:p>
    <w:p>
      <w:pPr>
        <w:pStyle w:val="ListBullet"/>
        <w:spacing w:before="0" w:after="0" w:line="259" w:lineRule="auto"/>
      </w:pPr>
      <w:r>
        <w:rPr>
          <w:rFonts w:ascii="Malgun Gothic" w:hAnsi="Malgun Gothic" w:eastAsia="Malgun Gothic"/>
          <w:b w:val="0"/>
          <w:sz w:val="20"/>
        </w:rPr>
        <w:t>common/export_utils.py: Excel/PDF 변환 공통 유틸 분리</w:t>
      </w:r>
    </w:p>
    <w:p>
      <w:pPr>
        <w:pStyle w:val="ListBullet"/>
        <w:spacing w:before="0" w:after="0" w:line="259" w:lineRule="auto"/>
      </w:pPr>
      <w:r>
        <w:rPr>
          <w:rFonts w:ascii="Malgun Gothic" w:hAnsi="Malgun Gothic" w:eastAsia="Malgun Gothic"/>
          <w:b w:val="0"/>
          <w:sz w:val="20"/>
        </w:rPr>
        <w:t>company_management.py 최종본: 공통 Export 유틸 적용 버전으로 재정리</w:t>
      </w:r>
    </w:p>
    <w:p>
      <w:pPr>
        <w:pStyle w:val="ListBullet"/>
        <w:spacing w:before="0" w:after="0" w:line="259" w:lineRule="auto"/>
      </w:pPr>
      <w:r>
        <w:rPr>
          <w:rFonts w:ascii="Malgun Gothic" w:hAnsi="Malgun Gothic" w:eastAsia="Malgun Gothic"/>
          <w:b w:val="0"/>
          <w:sz w:val="20"/>
        </w:rPr>
        <w:t>설치 필요 라이브러리 안내: reportlab, XlsxWriter</w:t>
      </w:r>
    </w:p>
    <w:p>
      <w:pPr>
        <w:spacing w:before="160" w:after="40" w:line="276" w:lineRule="auto"/>
      </w:pPr>
      <w:r>
        <w:rPr>
          <w:rFonts w:ascii="Malgun Gothic" w:hAnsi="Malgun Gothic" w:eastAsia="Malgun Gothic"/>
          <w:b/>
          <w:color w:val="1F4E79"/>
          <w:sz w:val="25"/>
        </w:rPr>
        <w:t>4. 다음 작업 시 이어서 보면 좋은 항목</w:t>
      </w:r>
    </w:p>
    <w:p>
      <w:pPr>
        <w:pStyle w:val="ListBullet"/>
        <w:spacing w:before="0" w:after="0" w:line="259" w:lineRule="auto"/>
      </w:pPr>
      <w:r>
        <w:rPr>
          <w:rFonts w:ascii="Malgun Gothic" w:hAnsi="Malgun Gothic" w:eastAsia="Malgun Gothic"/>
          <w:b w:val="0"/>
          <w:sz w:val="20"/>
        </w:rPr>
        <w:t>invest_management.py도 company_management.py와 동일한 공통 Export 기준으로 최종 통합 점검</w:t>
      </w:r>
    </w:p>
    <w:p>
      <w:pPr>
        <w:pStyle w:val="ListBullet"/>
        <w:spacing w:before="0" w:after="0" w:line="259" w:lineRule="auto"/>
      </w:pPr>
      <w:r>
        <w:rPr>
          <w:rFonts w:ascii="Malgun Gothic" w:hAnsi="Malgun Gothic" w:eastAsia="Malgun Gothic"/>
          <w:b w:val="0"/>
          <w:sz w:val="20"/>
        </w:rPr>
        <w:t>PDF 한글 폰트 적용 여부 검토(한글 제목/컬럼명 사용 시 필요)</w:t>
      </w:r>
    </w:p>
    <w:p>
      <w:pPr>
        <w:pStyle w:val="ListBullet"/>
        <w:spacing w:before="0" w:after="0" w:line="259" w:lineRule="auto"/>
      </w:pPr>
      <w:r>
        <w:rPr>
          <w:rFonts w:ascii="Malgun Gothic" w:hAnsi="Malgun Gothic" w:eastAsia="Malgun Gothic"/>
          <w:b w:val="0"/>
          <w:sz w:val="20"/>
        </w:rPr>
        <w:t>조회 결과 합계, 수익률 등 추가 계산 컬럼 도입 검토</w:t>
      </w:r>
    </w:p>
    <w:p>
      <w:pPr>
        <w:pStyle w:val="ListBullet"/>
        <w:spacing w:before="0" w:after="0" w:line="259" w:lineRule="auto"/>
      </w:pPr>
      <w:r>
        <w:rPr>
          <w:rFonts w:ascii="Malgun Gothic" w:hAnsi="Malgun Gothic" w:eastAsia="Malgun Gothic"/>
          <w:b w:val="0"/>
          <w:sz w:val="20"/>
        </w:rPr>
        <w:t>공통 버튼/팝업/그리드 템플릿화로 ERP 화면 생산성 향상</w:t>
      </w:r>
    </w:p>
    <w:p>
      <w:pPr>
        <w:spacing w:before="160" w:after="40" w:line="276" w:lineRule="auto"/>
      </w:pPr>
      <w:r>
        <w:rPr>
          <w:rFonts w:ascii="Malgun Gothic" w:hAnsi="Malgun Gothic" w:eastAsia="Malgun Gothic"/>
          <w:b/>
          <w:color w:val="1F4E79"/>
          <w:sz w:val="25"/>
        </w:rPr>
        <w:t>5. 메모</w:t>
      </w:r>
    </w:p>
    <w:p>
      <w:pPr>
        <w:spacing w:before="0" w:after="0" w:line="269" w:lineRule="auto"/>
      </w:pPr>
      <w:r>
        <w:rPr>
          <w:rFonts w:ascii="Malgun Gothic" w:hAnsi="Malgun Gothic" w:eastAsia="Malgun Gothic"/>
          <w:b w:val="0"/>
          <w:sz w:val="20"/>
        </w:rPr>
        <w:t>오늘 작업은 기능 구현뿐 아니라, 화면별로 흩어질 수 있는 변환 로직을 공통화했다는 점에서 의미가 크다. 이후 새로운 관리 화면을 추가할 때 동일한 방식으로 export 기능을 빠르게 재사용할 수 있는 기반이 마련되었다.</w:t>
      </w:r>
    </w:p>
    <w:sectPr w:rsidR="00FC693F" w:rsidRPr="0006063C" w:rsidSect="00034616">
      <w:pgSz w:w="12240" w:h="15840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