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Understanding Florida’s Affidavit of Nonpayment Mechanism</w:t>
      </w:r>
    </w:p>
    <w:p>
      <w:pPr>
        <w:pStyle w:val="BodyText"/>
        <w:bidi w:val="0"/>
        <w:jc w:val="start"/>
        <w:rPr/>
      </w:pPr>
      <w:r>
        <w:rPr>
          <w:rStyle w:val="Strong"/>
        </w:rPr>
        <w:t>What is an “Affidavit of Nonpayment”?</w:t>
      </w:r>
      <w:r>
        <w:rPr/>
        <w:t xml:space="preserve"> In Florida’s construction lien context, this term refers to a sworn statement a lienor can record to </w:t>
      </w:r>
      <w:r>
        <w:rPr>
          <w:rStyle w:val="Emphasis"/>
        </w:rPr>
        <w:t>nullify a previously delivered conditional lien waiver</w:t>
      </w:r>
      <w:r>
        <w:rPr/>
        <w:t xml:space="preserve"> when the promised payment was never actually received. By filing such an affidavit and giving notice to interested parties, an unpaid contractor or supplier aims to </w:t>
      </w:r>
      <w:r>
        <w:rPr>
          <w:rStyle w:val="Emphasis"/>
        </w:rPr>
        <w:t>reinstill</w:t>
      </w:r>
      <w:r>
        <w:rPr/>
        <w:t xml:space="preserve"> its lien rights despite having issued a lien release conditioned on payment. Florida’s lien statute does not explicitly label this document an “affidavit of nonpayment,” but the concept is recognized in practice through case law and contract conditions</w:t>
      </w:r>
      <w:hyperlink r:id="rId2" w:anchor=":~:text=prohibited,of%20its%20lien%20rights%20if" w:tgtFrame="_blank">
        <w:r>
          <w:rPr>
            <w:rStyle w:val="Hyperlink"/>
          </w:rPr>
          <w:t>cobbgonzalez.com</w:t>
        </w:r>
      </w:hyperlink>
      <w:hyperlink r:id="rId3" w:anchor=":~:text=The%20undersigned%20lienor%2C%20in%20consideration,Biscayne%20Boulevard%2C%20Miami%2C%20Florida" w:tgtFrame="_blank">
        <w:r>
          <w:rPr>
            <w:rStyle w:val="Hyperlink"/>
          </w:rPr>
          <w:t>caselaw.findlaw.com</w:t>
        </w:r>
      </w:hyperlink>
      <w:r>
        <w:rPr/>
        <w:t>. Essentially, if a lienor conditionally waived its lien in exchange for a check or promised payment, and that payment fails, the lienor may “undo” the waiver by timely recording an affidavit attesting nonpayment – thereby reviving the lien.</w:t>
      </w:r>
    </w:p>
    <w:p>
      <w:pPr>
        <w:pStyle w:val="BodyText"/>
        <w:bidi w:val="0"/>
        <w:jc w:val="start"/>
        <w:rPr/>
      </w:pPr>
      <w:r>
        <w:rPr>
          <w:rStyle w:val="Strong"/>
        </w:rPr>
        <w:t>Statutory Basis and Timing:</w:t>
      </w:r>
      <w:r>
        <w:rPr/>
        <w:t xml:space="preserve"> Florida law </w:t>
      </w:r>
      <w:r>
        <w:rPr>
          <w:rStyle w:val="Emphasis"/>
        </w:rPr>
        <w:t>permits</w:t>
      </w:r>
      <w:r>
        <w:rPr/>
        <w:t xml:space="preserve"> conditional lien waivers and releases. Section 713.20(7), Florida Statutes, expressly authorizes a lienor who takes a check as payment to </w:t>
      </w:r>
      <w:r>
        <w:rPr>
          <w:rStyle w:val="Strong"/>
        </w:rPr>
        <w:t>condition</w:t>
      </w:r>
      <w:r>
        <w:rPr/>
        <w:t xml:space="preserve"> the waiver on the check clearing</w:t>
      </w:r>
      <w:hyperlink r:id="rId4" w:anchor=":~:text=prohibited,of%20its%20lien%20rights%20if" w:tgtFrame="_blank">
        <w:r>
          <w:rPr>
            <w:rStyle w:val="Hyperlink"/>
          </w:rPr>
          <w:t>cobbgonzalez.com</w:t>
        </w:r>
      </w:hyperlink>
      <w:r>
        <w:rPr/>
        <w:t>. Furthermore, §713.20(8) provides that any waiver not in the exact statutory form “is enforceable in accordance with its terms,” meaning parties can agree to custom conditional language</w:t>
      </w:r>
      <w:hyperlink r:id="rId5" w:anchor=":~:text=%C2%A7%20713,20%288" w:tgtFrame="_blank">
        <w:r>
          <w:rPr>
            <w:rStyle w:val="Hyperlink"/>
          </w:rPr>
          <w:t>cobbgonzalez.com</w:t>
        </w:r>
      </w:hyperlink>
      <w:r>
        <w:rPr/>
        <w:t xml:space="preserve">. Unlike states such as Georgia (which require filing an affidavit of nonpayment within 60–90 days of the waiver), Florida’s statute does </w:t>
      </w:r>
      <w:r>
        <w:rPr>
          <w:rStyle w:val="Strong"/>
        </w:rPr>
        <w:t>not</w:t>
      </w:r>
      <w:r>
        <w:rPr/>
        <w:t xml:space="preserve"> impose a specific deadline by which such an affidavit must be recorded</w:t>
      </w:r>
      <w:hyperlink r:id="rId6" w:anchor=":~:text=State,the%20waiver%20from%20becoming" w:tgtFrame="_blank">
        <w:r>
          <w:rPr>
            <w:rStyle w:val="Hyperlink"/>
          </w:rPr>
          <w:t>ww3.gcpay.com</w:t>
        </w:r>
      </w:hyperlink>
      <w:r>
        <w:rPr/>
        <w:t xml:space="preserve">. </w:t>
      </w:r>
      <w:r>
        <w:rPr>
          <w:rStyle w:val="Strong"/>
        </w:rPr>
        <w:t xml:space="preserve">However, Florida courts have emphasized that lienors must act within the overall lien deadlines and </w:t>
      </w:r>
      <w:r>
        <w:rPr>
          <w:rStyle w:val="Emphasis"/>
        </w:rPr>
        <w:t>without undue delay</w:t>
      </w:r>
      <w:r>
        <w:rPr/>
        <w:t xml:space="preserve">. In practice, this means the affidavit of nonpayment (or equivalent notice) should be recorded </w:t>
      </w:r>
      <w:r>
        <w:rPr>
          <w:rStyle w:val="Emphasis"/>
        </w:rPr>
        <w:t>promptly</w:t>
      </w:r>
      <w:r>
        <w:rPr/>
        <w:t xml:space="preserve"> after the payment default and, in any event, before the 90-day window to record a Claim of Lien expires</w:t>
      </w:r>
      <w:hyperlink r:id="rId7" w:anchor=":~:text=Is%20that%20it%3F%20No%2C%20Affidavit,furnishing%20if%20still%20not%20paid" w:tgtFrame="_blank">
        <w:r>
          <w:rPr>
            <w:rStyle w:val="Hyperlink"/>
          </w:rPr>
          <w:t>gray-robinson.com</w:t>
        </w:r>
      </w:hyperlink>
      <w:r>
        <w:rPr/>
        <w:t>. If the lienor misses the 90-day post-final-work deadline to record its lien (see §713.08), no affidavit can save those lien rights.</w:t>
      </w:r>
    </w:p>
    <w:p>
      <w:pPr>
        <w:pStyle w:val="BodyText"/>
        <w:bidi w:val="0"/>
        <w:jc w:val="start"/>
        <w:rPr/>
      </w:pPr>
      <w:r>
        <w:rPr/>
        <w:t xml:space="preserve">Florida decisions underscore the importance of timing. In </w:t>
      </w:r>
      <w:r>
        <w:rPr>
          <w:rStyle w:val="Strong"/>
        </w:rPr>
        <w:t>Lehman v. Snyder</w:t>
      </w:r>
      <w:r>
        <w:rPr/>
        <w:t xml:space="preserve">, a material supplier gave the owner a lien waiver marked “paid” in exchange for the contractor’s check – which later bounced. The supplier did not promptly notify the owner of the nonpayment and instead waited until filing a lien claim months later. The Florida Supreme Court held the lien was </w:t>
      </w:r>
      <w:r>
        <w:rPr>
          <w:rStyle w:val="Emphasis"/>
        </w:rPr>
        <w:t>extinguished</w:t>
      </w:r>
      <w:r>
        <w:rPr/>
        <w:t xml:space="preserve"> by the waiver: the owner had </w:t>
      </w:r>
      <w:r>
        <w:rPr>
          <w:rStyle w:val="Emphasis"/>
        </w:rPr>
        <w:t>no knowledge</w:t>
      </w:r>
      <w:r>
        <w:rPr/>
        <w:t xml:space="preserve"> of the bad check when settling with the contractor, and the “failure of the materialman to receive payment…resulted from his own doings”</w:t>
      </w:r>
      <w:hyperlink r:id="rId8" w:anchor=":~:text=Lehman,were%20those%20listed%20in%20the" w:tgtFrame="_blank">
        <w:r>
          <w:rPr>
            <w:rStyle w:val="Hyperlink"/>
          </w:rPr>
          <w:t>case-law.vlex.com</w:t>
        </w:r>
      </w:hyperlink>
      <w:hyperlink r:id="rId9" w:anchor=":~:text=When%20the%20building%20was%20completed,bill%20and%20the%20release%20of" w:tgtFrame="_blank">
        <w:r>
          <w:rPr>
            <w:rStyle w:val="Hyperlink"/>
          </w:rPr>
          <w:t>case-law.vlex.com</w:t>
        </w:r>
      </w:hyperlink>
      <w:r>
        <w:rPr/>
        <w:t xml:space="preserve">. Similarly, in </w:t>
      </w:r>
      <w:r>
        <w:rPr>
          <w:rStyle w:val="Strong"/>
        </w:rPr>
        <w:t>Gulf Stream Lumber Co. v. Lathrop</w:t>
      </w:r>
      <w:r>
        <w:rPr/>
        <w:t xml:space="preserve">, a supplier’s receipt/release was delivered for a check that was returned NSF; the supplier failed to alert the owners until long after they paid the contractor. The Second DCA ruled the supplier’s lien was barred by </w:t>
      </w:r>
      <w:r>
        <w:rPr>
          <w:rStyle w:val="Strong"/>
        </w:rPr>
        <w:t>equitable estoppel</w:t>
      </w:r>
      <w:r>
        <w:rPr/>
        <w:t xml:space="preserve"> – the owners relied on the release and had no notice of nonpayment until they were served with the lien notice months later</w:t>
      </w:r>
      <w:hyperlink r:id="rId10" w:anchor=":~:text=A%20short%20time%20after%20giving,Plaintiff%20replied" w:tgtFrame="_blank">
        <w:r>
          <w:rPr>
            <w:rStyle w:val="Hyperlink"/>
          </w:rPr>
          <w:t>case-law.vlex.com</w:t>
        </w:r>
      </w:hyperlink>
      <w:hyperlink r:id="rId11" w:anchor=":~:text=financial%20trouble%2C%20so%20they%20demanded,3%2C%201956%2C%20apparently%20making%20their" w:tgtFrame="_blank">
        <w:r>
          <w:rPr>
            <w:rStyle w:val="Hyperlink"/>
          </w:rPr>
          <w:t>case-law.vlex.com</w:t>
        </w:r>
      </w:hyperlink>
      <w:r>
        <w:rPr/>
        <w:t xml:space="preserve">. These cases illustrate that a lienor </w:t>
      </w:r>
      <w:r>
        <w:rPr>
          <w:rStyle w:val="Emphasis"/>
        </w:rPr>
        <w:t>cannot sit on its rights</w:t>
      </w:r>
      <w:r>
        <w:rPr/>
        <w:t xml:space="preserve">: to rescind a conditional waiver, the lienor must record and </w:t>
      </w:r>
      <w:r>
        <w:rPr>
          <w:rStyle w:val="Strong"/>
        </w:rPr>
        <w:t>serve</w:t>
      </w:r>
      <w:r>
        <w:rPr/>
        <w:t xml:space="preserve"> an affidavit of nonpayment (or otherwise inform the owner) </w:t>
      </w:r>
      <w:r>
        <w:rPr>
          <w:rStyle w:val="Emphasis"/>
        </w:rPr>
        <w:t>quickly</w:t>
      </w:r>
      <w:r>
        <w:rPr/>
        <w:t>, ideally as soon as the payment default occurs. Waiting too long or past the project’s completion can forfeit the lien.</w:t>
      </w:r>
    </w:p>
    <w:p>
      <w:pPr>
        <w:pStyle w:val="BodyText"/>
        <w:bidi w:val="0"/>
        <w:jc w:val="start"/>
        <w:rPr/>
      </w:pPr>
      <w:r>
        <w:rPr>
          <w:rStyle w:val="Strong"/>
        </w:rPr>
        <w:t>Form and Content Requirements:</w:t>
      </w:r>
      <w:r>
        <w:rPr/>
        <w:t xml:space="preserve"> Florida has </w:t>
      </w:r>
      <w:r>
        <w:rPr>
          <w:rStyle w:val="Strong"/>
        </w:rPr>
        <w:t>no mandatory statutory form</w:t>
      </w:r>
      <w:r>
        <w:rPr/>
        <w:t xml:space="preserve"> for an affidavit of nonpayment, but certain best practices emerge from case law. The affidavit should recite the lienor’s identity, the property and project, reference the prior conditional waiver (by date and amount), and </w:t>
      </w:r>
      <w:r>
        <w:rPr>
          <w:rStyle w:val="Strong"/>
        </w:rPr>
        <w:t>swear that the specified payment was never received</w:t>
      </w:r>
      <w:r>
        <w:rPr/>
        <w:t xml:space="preserve">. It must be signed and notarized to be a true “affidavit.” It is prudent (though not explicitly required by statute) to serve a copy on the owner and any interested parties (contractor, lender) to provide actual notice of the nullification. In </w:t>
      </w:r>
      <w:r>
        <w:rPr>
          <w:rStyle w:val="Strong"/>
        </w:rPr>
        <w:t>Georgia</w:t>
      </w:r>
      <w:r>
        <w:rPr/>
        <w:t xml:space="preserve"> (for comparison), the law requires serving the owner within 7 days of filing such an affidavit; while Florida’s statute is silent on service, Florida owners frequently insist contractually that they be notified of any affidavit of nonpayment within a short window. Failing to promptly </w:t>
      </w:r>
      <w:r>
        <w:rPr>
          <w:rStyle w:val="Emphasis"/>
        </w:rPr>
        <w:t>serve the owner</w:t>
      </w:r>
      <w:r>
        <w:rPr/>
        <w:t xml:space="preserve"> can be fatal: the older </w:t>
      </w:r>
      <w:r>
        <w:rPr>
          <w:rStyle w:val="Emphasis"/>
        </w:rPr>
        <w:t>Gulf Stream</w:t>
      </w:r>
      <w:r>
        <w:rPr/>
        <w:t xml:space="preserve"> case shows the owner’s first notice of the issue came by mail after the lien was filed, too late for the owner to withhold funds</w:t>
      </w:r>
      <w:hyperlink r:id="rId12" w:anchor=":~:text=A%20short%20time%20after%20giving,Plaintiff%20replied" w:tgtFrame="_blank">
        <w:r>
          <w:rPr>
            <w:rStyle w:val="Hyperlink"/>
          </w:rPr>
          <w:t>case-law.vlex.com</w:t>
        </w:r>
      </w:hyperlink>
      <w:r>
        <w:rPr/>
        <w:t xml:space="preserve">. Today, a diligent lienor will not only record the affidavit in the county records, but also send it (with a copy of the prior waiver) to the owner by certified mail </w:t>
      </w:r>
      <w:r>
        <w:rPr>
          <w:rStyle w:val="Emphasis"/>
        </w:rPr>
        <w:t>within a few days</w:t>
      </w:r>
      <w:r>
        <w:rPr/>
        <w:t>. This guards against the argument that the owner paid out further money in good faith reliance on the waiver.</w:t>
      </w:r>
    </w:p>
    <w:p>
      <w:pPr>
        <w:pStyle w:val="BodyText"/>
        <w:bidi w:val="0"/>
        <w:jc w:val="start"/>
        <w:rPr/>
      </w:pPr>
      <w:r>
        <w:rPr>
          <w:rStyle w:val="Strong"/>
        </w:rPr>
        <w:t>Courts’ Interpretation of Affidavit Effect:</w:t>
      </w:r>
      <w:r>
        <w:rPr/>
        <w:t xml:space="preserve"> When properly executed and timely, an affidavit of nonpayment </w:t>
      </w:r>
      <w:r>
        <w:rPr>
          <w:rStyle w:val="Strong"/>
        </w:rPr>
        <w:t>suspends or nullifies the conditional waiver, reinstating the lienor’s rights</w:t>
      </w:r>
      <w:r>
        <w:rPr/>
        <w:t xml:space="preserve"> to the same extent as if the waiver had never been given. Florida courts have acknowledged this effect – often through their treatment of conditional waiver language. For example, in </w:t>
      </w:r>
      <w:r>
        <w:rPr>
          <w:rStyle w:val="Strong"/>
        </w:rPr>
        <w:t>Klein Development v. Ellis K. Phelps &amp; Co.</w:t>
      </w:r>
      <w:r>
        <w:rPr/>
        <w:t xml:space="preserve">, a subcontractor faxed an executed lien release to the contractor in exchange for a payment check. The check was never honored, and the subcontractor then recorded its Claim of Lien. The owner raised the release as a defense, but the Second DCA found </w:t>
      </w:r>
      <w:r>
        <w:rPr>
          <w:rStyle w:val="Emphasis"/>
        </w:rPr>
        <w:t>the subcontractor never intended the faxed release to be binding without payment</w:t>
      </w:r>
      <w:r>
        <w:rPr/>
        <w:t>. It upheld summary judgment for the lienor, effectively treating the release as void due to nonpayment</w:t>
      </w:r>
      <w:hyperlink r:id="rId13" w:anchor=":~:text=request,claim%2C%20Phelps%20sued%20Klein%20for" w:tgtFrame="_blank">
        <w:r>
          <w:rPr>
            <w:rStyle w:val="Hyperlink"/>
          </w:rPr>
          <w:t>case-law.vlex.com</w:t>
        </w:r>
      </w:hyperlink>
      <w:r>
        <w:rPr/>
        <w:t xml:space="preserve">. Although the court didn’t use the phrase “affidavit of nonpayment,” the subcontractor’s actions (withholding the original waiver and later swearing in court that payment was not received) served the same purpose – the lien was </w:t>
      </w:r>
      <w:r>
        <w:rPr>
          <w:rStyle w:val="Strong"/>
        </w:rPr>
        <w:t>enforced</w:t>
      </w:r>
      <w:r>
        <w:rPr/>
        <w:t xml:space="preserve"> because the condition for waiver failed</w:t>
      </w:r>
      <w:hyperlink r:id="rId14" w:anchor=":~:text=transmission%20in%20exchange%20for%20Cadenhead%27s,for%20foreclosure%20of%20the%20lien" w:tgtFrame="_blank">
        <w:r>
          <w:rPr>
            <w:rStyle w:val="Hyperlink"/>
          </w:rPr>
          <w:t>case-law.vlex.com</w:t>
        </w:r>
      </w:hyperlink>
      <w:r>
        <w:rPr/>
        <w:t xml:space="preserve">. By contrast, if a lienor signs an </w:t>
      </w:r>
      <w:r>
        <w:rPr>
          <w:rStyle w:val="Emphasis"/>
        </w:rPr>
        <w:t>unconditional</w:t>
      </w:r>
      <w:r>
        <w:rPr/>
        <w:t xml:space="preserve"> release (one </w:t>
      </w:r>
      <w:r>
        <w:rPr>
          <w:rStyle w:val="Emphasis"/>
        </w:rPr>
        <w:t>not</w:t>
      </w:r>
      <w:r>
        <w:rPr/>
        <w:t xml:space="preserve"> expressly conditioned on actual payment) and hands it over, Florida courts will generally deem it immediately binding – </w:t>
      </w:r>
      <w:r>
        <w:rPr>
          <w:rStyle w:val="Emphasis"/>
        </w:rPr>
        <w:t>even if the check bounces</w:t>
      </w:r>
      <w:r>
        <w:rPr/>
        <w:t xml:space="preserve">. The harsh rule, established in cases like </w:t>
      </w:r>
      <w:r>
        <w:rPr>
          <w:rStyle w:val="Strong"/>
        </w:rPr>
        <w:t>Lehman</w:t>
      </w:r>
      <w:r>
        <w:rPr/>
        <w:t xml:space="preserve"> and its progeny, is that a </w:t>
      </w:r>
      <w:r>
        <w:rPr>
          <w:rStyle w:val="Strong"/>
        </w:rPr>
        <w:t>returned check still counts as consideration to support a release</w:t>
      </w:r>
      <w:r>
        <w:rPr/>
        <w:t xml:space="preserve"> absent a protective clause</w:t>
      </w:r>
      <w:hyperlink r:id="rId15" w:anchor=":~:text=Q%3A%20What%20can%20I%20do,return%20for%20a%20worthless%20check" w:tgtFrame="_blank">
        <w:r>
          <w:rPr>
            <w:rStyle w:val="Hyperlink"/>
          </w:rPr>
          <w:t>jimersonfirm.com</w:t>
        </w:r>
      </w:hyperlink>
      <w:hyperlink r:id="rId16" w:anchor=":~:text=returned%20check%20for%20insufficient%20funds,or%20words%20of%20similar%20effect" w:tgtFrame="_blank">
        <w:r>
          <w:rPr>
            <w:rStyle w:val="Hyperlink"/>
          </w:rPr>
          <w:t>jimersonfirm.com</w:t>
        </w:r>
      </w:hyperlink>
      <w:r>
        <w:rPr/>
        <w:t xml:space="preserve">. In other words, a waiver stating “$X received” will be enforced on its face; the lienor’s remedy is to sue for breach of contract or under the worthless check statute, but </w:t>
      </w:r>
      <w:r>
        <w:rPr>
          <w:rStyle w:val="Emphasis"/>
        </w:rPr>
        <w:t>not</w:t>
      </w:r>
      <w:r>
        <w:rPr/>
        <w:t xml:space="preserve"> to file a lien</w:t>
      </w:r>
      <w:hyperlink r:id="rId17" w:anchor=":~:text=of%20the%20check,tool%20%E2%80%93%20the%20construction%20lien" w:tgtFrame="_blank">
        <w:r>
          <w:rPr>
            <w:rStyle w:val="Hyperlink"/>
          </w:rPr>
          <w:t>cobbgonzalez.com</w:t>
        </w:r>
      </w:hyperlink>
      <w:r>
        <w:rPr/>
        <w:t>. Thus, the affidavit of nonpayment (or a conditional waiver clause) is crucial to avoid this outcome.</w:t>
      </w:r>
    </w:p>
    <w:p>
      <w:pPr>
        <w:pStyle w:val="BodyText"/>
        <w:bidi w:val="0"/>
        <w:jc w:val="start"/>
        <w:rPr/>
      </w:pPr>
      <w:r>
        <w:rPr/>
        <w:t xml:space="preserve">Florida courts strictly construe lien waivers according to their plain language. Any </w:t>
      </w:r>
      <w:r>
        <w:rPr>
          <w:rStyle w:val="Strong"/>
        </w:rPr>
        <w:t>errors in drafting</w:t>
      </w:r>
      <w:r>
        <w:rPr/>
        <w:t xml:space="preserve"> the waiver or affidavit can be consequential. A common mistake is failing to include clear conditional language. For instance, simply writing “upon receipt of payment” may be too vague; best practice is to state the specific check or transaction and that the release is “</w:t>
      </w:r>
      <w:r>
        <w:rPr>
          <w:rStyle w:val="Strong"/>
        </w:rPr>
        <w:t>void if payment is not received within ___ days.</w:t>
      </w:r>
      <w:r>
        <w:rPr/>
        <w:t xml:space="preserve">” In one instructive federal case applying Florida law, </w:t>
      </w:r>
      <w:r>
        <w:rPr>
          <w:rStyle w:val="Emphasis"/>
        </w:rPr>
        <w:t>Beck-Ford Constr., LLC v. TCA Global Credit</w:t>
      </w:r>
      <w:r>
        <w:rPr/>
        <w:t xml:space="preserve">, the court noted that execution of a </w:t>
      </w:r>
      <w:r>
        <w:rPr>
          <w:rStyle w:val="Emphasis"/>
        </w:rPr>
        <w:t>“valid release”</w:t>
      </w:r>
      <w:r>
        <w:rPr/>
        <w:t xml:space="preserve"> extinguishes all rights covered by it</w:t>
      </w:r>
      <w:hyperlink r:id="rId18" w:anchor=":~:text=%E2%80%9CIn%20Florida%2C%20it%20is%20well,regarding%20construction%20releases%20in%20Florida" w:tgtFrame="_blank">
        <w:r>
          <w:rPr>
            <w:rStyle w:val="Hyperlink"/>
          </w:rPr>
          <w:t>cobbgonzalez.com</w:t>
        </w:r>
      </w:hyperlink>
      <w:r>
        <w:rPr/>
        <w:t xml:space="preserve">. Florida’s state courts likewise hold that an unambiguous release </w:t>
      </w:r>
      <w:r>
        <w:rPr>
          <w:rStyle w:val="Strong"/>
        </w:rPr>
        <w:t>cannot be contradicted by parol evidence of conditional intent</w:t>
      </w:r>
      <w:hyperlink r:id="rId19" w:anchor=":~:text=unambiguous%20terms%20of%20a%20release,is%20clear%20on%20its%20face" w:tgtFrame="_blank">
        <w:r>
          <w:rPr>
            <w:rStyle w:val="Hyperlink"/>
          </w:rPr>
          <w:t>cobbgonzalez.com</w:t>
        </w:r>
      </w:hyperlink>
      <w:r>
        <w:rPr/>
        <w:t xml:space="preserve">. Thus, the onus is on the lienor to </w:t>
      </w:r>
      <w:r>
        <w:rPr>
          <w:rStyle w:val="Emphasis"/>
        </w:rPr>
        <w:t>write</w:t>
      </w:r>
      <w:r>
        <w:rPr/>
        <w:t xml:space="preserve"> the condition into the document or accompany the waiver with a sworn statement of nonpayment. When that is done properly, courts honor the parties’ intent. For example, in </w:t>
      </w:r>
      <w:r>
        <w:rPr>
          <w:rStyle w:val="Strong"/>
        </w:rPr>
        <w:t>Klein v. Phelps</w:t>
      </w:r>
      <w:r>
        <w:rPr/>
        <w:t>, the evidence of the conditional nature of the faxed release led the court to conclude Phelps “never released its lien rights” in the first place</w:t>
      </w:r>
      <w:hyperlink r:id="rId20" w:anchor=":~:text=Klein%20Development%20,its%20lien%20rights%2C%20we%20affirm" w:tgtFrame="_blank">
        <w:r>
          <w:rPr>
            <w:rStyle w:val="Hyperlink"/>
          </w:rPr>
          <w:t>case-law.vlex.com</w:t>
        </w:r>
      </w:hyperlink>
      <w:hyperlink r:id="rId21" w:anchor=":~:text=request,claim%2C%20Phelps%20sued%20Klein%20for" w:tgtFrame="_blank">
        <w:r>
          <w:rPr>
            <w:rStyle w:val="Hyperlink"/>
          </w:rPr>
          <w:t>case-law.vlex.com</w:t>
        </w:r>
      </w:hyperlink>
      <w:r>
        <w:rPr/>
        <w:t xml:space="preserve">. Similarly, the Second DCA in </w:t>
      </w:r>
      <w:r>
        <w:rPr>
          <w:rStyle w:val="Emphasis"/>
        </w:rPr>
        <w:t>Klein</w:t>
      </w:r>
      <w:r>
        <w:rPr/>
        <w:t xml:space="preserve"> approvingly cited §713.20(7)–(8) allowing modified forms, reinforcing that </w:t>
      </w:r>
      <w:r>
        <w:rPr>
          <w:rStyle w:val="Strong"/>
        </w:rPr>
        <w:t>conditional waivers are permissible and effective</w:t>
      </w:r>
      <w:hyperlink r:id="rId22" w:anchor=":~:text=prohibited,of%20its%20lien%20rights%20if" w:tgtFrame="_blank">
        <w:r>
          <w:rPr>
            <w:rStyle w:val="Hyperlink"/>
          </w:rPr>
          <w:t>cobbgonzalez.com</w:t>
        </w:r>
      </w:hyperlink>
      <w:hyperlink r:id="rId23" w:anchor=":~:text=%C2%A7%20713,20%288" w:tgtFrame="_blank">
        <w:r>
          <w:rPr>
            <w:rStyle w:val="Hyperlink"/>
          </w:rPr>
          <w:t>cobbgonzalez.com</w:t>
        </w:r>
      </w:hyperlink>
      <w:r>
        <w:rPr/>
        <w:t>.</w:t>
      </w:r>
    </w:p>
    <w:p>
      <w:pPr>
        <w:pStyle w:val="BodyText"/>
        <w:bidi w:val="0"/>
        <w:jc w:val="start"/>
        <w:rPr/>
      </w:pPr>
      <w:r>
        <w:rPr>
          <w:rStyle w:val="Strong"/>
        </w:rPr>
        <w:t>Recurring Mistakes and Consequences:</w:t>
      </w:r>
    </w:p>
    <w:p>
      <w:pPr>
        <w:pStyle w:val="BodyText"/>
        <w:numPr>
          <w:ilvl w:val="0"/>
          <w:numId w:val="1"/>
        </w:numPr>
        <w:tabs>
          <w:tab w:val="clear" w:pos="709"/>
          <w:tab w:val="left" w:pos="709" w:leader="none"/>
        </w:tabs>
        <w:bidi w:val="0"/>
        <w:ind w:hanging="283" w:start="709"/>
        <w:jc w:val="start"/>
        <w:rPr/>
      </w:pPr>
      <w:r>
        <w:rPr>
          <w:rStyle w:val="Strong"/>
        </w:rPr>
        <w:t>Providing an Unconditional Waiver Without Actual Payment:</w:t>
      </w:r>
      <w:r>
        <w:rPr/>
        <w:t xml:space="preserve"> By far the most frequent pitfall for subcontractors and suppliers is signing a broad, unconditional lien release </w:t>
      </w:r>
      <w:r>
        <w:rPr>
          <w:rStyle w:val="Emphasis"/>
        </w:rPr>
        <w:t>before</w:t>
      </w:r>
      <w:r>
        <w:rPr/>
        <w:t xml:space="preserve"> the funds have actually cleared. Florida law does not require lien waivers to be notarized or in statutory form, so owners and contractors sometimes present very expansive release forms</w:t>
      </w:r>
      <w:hyperlink r:id="rId24" w:anchor=":~:text=It%20is%20important%20to%20first,1996" w:tgtFrame="_blank">
        <w:r>
          <w:rPr>
            <w:rStyle w:val="Hyperlink"/>
          </w:rPr>
          <w:t>cobbgonzalez.com</w:t>
        </w:r>
      </w:hyperlink>
      <w:hyperlink r:id="rId25" w:anchor=":~:text=Section%20713,20%288" w:tgtFrame="_blank">
        <w:r>
          <w:rPr>
            <w:rStyle w:val="Hyperlink"/>
          </w:rPr>
          <w:t>cobbgonzalez.com</w:t>
        </w:r>
      </w:hyperlink>
      <w:r>
        <w:rPr/>
        <w:t xml:space="preserve">. If a lienor signs such a release and doesn’t get paid, their lien is extinguished </w:t>
      </w:r>
      <w:r>
        <w:rPr>
          <w:rStyle w:val="Emphasis"/>
        </w:rPr>
        <w:t>on the spot</w:t>
      </w:r>
      <w:r>
        <w:rPr/>
        <w:t>. As the Fourth District warned, “the unambiguous terms of a release may not be avoided on the basis of unilateral mistake” or nonpayment</w:t>
      </w:r>
      <w:hyperlink r:id="rId26" w:anchor=":~:text=unambiguous%20terms%20of%20a%20release,is%20clear%20on%20its%20face" w:tgtFrame="_blank">
        <w:r>
          <w:rPr>
            <w:rStyle w:val="Hyperlink"/>
          </w:rPr>
          <w:t>cobbgonzalez.com</w:t>
        </w:r>
      </w:hyperlink>
      <w:r>
        <w:rPr/>
        <w:t xml:space="preserve">. The </w:t>
      </w:r>
      <w:r>
        <w:rPr>
          <w:rStyle w:val="Strong"/>
        </w:rPr>
        <w:t>Consolidated Electric Supply v. Frank Maio</w:t>
      </w:r>
      <w:r>
        <w:rPr/>
        <w:t xml:space="preserve"> case exemplifies this: a material supplier signed a release through a certain date, later realizing it waived more than intended, but the court enforced it strictly</w:t>
      </w:r>
      <w:hyperlink r:id="rId27" w:anchor=":~:text=Consol,the%20Court%20reasoned%20that%20the" w:tgtFrame="_blank">
        <w:r>
          <w:rPr>
            <w:rStyle w:val="Hyperlink"/>
          </w:rPr>
          <w:t>cobbgonzalez.com</w:t>
        </w:r>
      </w:hyperlink>
      <w:r>
        <w:rPr/>
        <w:t xml:space="preserve">. The lienor’s only recourse was a breach of contract claim, since the lien had been waived. In short, </w:t>
      </w:r>
      <w:r>
        <w:rPr>
          <w:rStyle w:val="Strong"/>
        </w:rPr>
        <w:t>signing an unconditional final release too early is a fatal error</w:t>
      </w:r>
      <w:r>
        <w:rPr/>
        <w:t xml:space="preserve"> – it cannot be retracted absent fraud or mutual mistake. The Florida Bar has noted that even a $0 “final” waiver can bar any further lien, so lienors must </w:t>
      </w:r>
      <w:r>
        <w:rPr>
          <w:rStyle w:val="Emphasis"/>
        </w:rPr>
        <w:t>only waive to the extent paid</w:t>
      </w:r>
      <w:hyperlink r:id="rId28" w:anchor=":~:text=Are%20Zero%20Dollar%20Lien%20Waivers,0%2C%20as%20it%20waives" w:tgtFrame="_blank">
        <w:r>
          <w:rPr>
            <w:rStyle w:val="Hyperlink"/>
          </w:rPr>
          <w:t>justanswer.com</w:t>
        </w:r>
      </w:hyperlink>
      <w:r>
        <w:rPr/>
        <w:t>.</w:t>
      </w:r>
    </w:p>
    <w:p>
      <w:pPr>
        <w:pStyle w:val="BodyText"/>
        <w:numPr>
          <w:ilvl w:val="0"/>
          <w:numId w:val="1"/>
        </w:numPr>
        <w:tabs>
          <w:tab w:val="clear" w:pos="709"/>
          <w:tab w:val="left" w:pos="709" w:leader="none"/>
        </w:tabs>
        <w:bidi w:val="0"/>
        <w:ind w:hanging="283" w:start="709"/>
        <w:jc w:val="start"/>
        <w:rPr/>
      </w:pPr>
      <w:r>
        <w:rPr>
          <w:rStyle w:val="Strong"/>
        </w:rPr>
        <w:t>Failing to Include/Invoke the Conditional Payment Clause:</w:t>
      </w:r>
      <w:r>
        <w:rPr/>
        <w:t xml:space="preserve"> Florida’s statutory forms themselves </w:t>
      </w:r>
      <w:r>
        <w:rPr>
          <w:rStyle w:val="Emphasis"/>
        </w:rPr>
        <w:t>do not</w:t>
      </w:r>
      <w:r>
        <w:rPr/>
        <w:t xml:space="preserve"> contain language voiding the release if a check bounces</w:t>
      </w:r>
      <w:hyperlink r:id="rId29" w:anchor=":~:text=A%20lienor%20is%20only%20required,%E2%80%9D" w:tgtFrame="_blank">
        <w:r>
          <w:rPr>
            <w:rStyle w:val="Hyperlink"/>
          </w:rPr>
          <w:t>cobbgonzalez.com</w:t>
        </w:r>
      </w:hyperlink>
      <w:hyperlink r:id="rId30" w:anchor=":~:text=prohibited,of%20its%20lien%20rights%20if" w:tgtFrame="_blank">
        <w:r>
          <w:rPr>
            <w:rStyle w:val="Hyperlink"/>
          </w:rPr>
          <w:t>cobbgonzalez.com</w:t>
        </w:r>
      </w:hyperlink>
      <w:r>
        <w:rPr/>
        <w:t xml:space="preserve">. The statute lets the lienor </w:t>
      </w:r>
      <w:r>
        <w:rPr>
          <w:rStyle w:val="Emphasis"/>
        </w:rPr>
        <w:t>add</w:t>
      </w:r>
      <w:r>
        <w:rPr/>
        <w:t xml:space="preserve"> such language, but if you neglect to do so, the courts will treat the waiver as </w:t>
      </w:r>
      <w:r>
        <w:rPr>
          <w:rStyle w:val="Strong"/>
        </w:rPr>
        <w:t>absolute</w:t>
      </w:r>
      <w:r>
        <w:rPr/>
        <w:t xml:space="preserve">. For example, in </w:t>
      </w:r>
      <w:r>
        <w:rPr>
          <w:rStyle w:val="Strong"/>
        </w:rPr>
        <w:t>Lehman v. Snyder</w:t>
      </w:r>
      <w:r>
        <w:rPr/>
        <w:t>, because the supplier’s lien release contained no reservation, the Supreme Court held the owner was entitled to rely on it despite the contractor’s NSF check</w:t>
      </w:r>
      <w:hyperlink r:id="rId31" w:anchor=":~:text=Lehman,were%20those%20listed%20in%20the" w:tgtFrame="_blank">
        <w:r>
          <w:rPr>
            <w:rStyle w:val="Hyperlink"/>
          </w:rPr>
          <w:t>case-law.vlex.com</w:t>
        </w:r>
      </w:hyperlink>
      <w:hyperlink r:id="rId32" w:anchor=":~:text=lien%20by%20delivering%20the%20Lehman,the%20%27bad%20check%27%20before%20making" w:tgtFrame="_blank">
        <w:r>
          <w:rPr>
            <w:rStyle w:val="Hyperlink"/>
          </w:rPr>
          <w:t>case-law.vlex.com</w:t>
        </w:r>
      </w:hyperlink>
      <w:r>
        <w:rPr/>
        <w:t xml:space="preserve">. To avoid this, the lienor should either (a) hand over only a </w:t>
      </w:r>
      <w:r>
        <w:rPr>
          <w:rStyle w:val="Emphasis"/>
        </w:rPr>
        <w:t>conditional</w:t>
      </w:r>
      <w:r>
        <w:rPr/>
        <w:t xml:space="preserve"> release (e.g. “effective </w:t>
      </w:r>
      <w:r>
        <w:rPr>
          <w:rStyle w:val="Emphasis"/>
        </w:rPr>
        <w:t>only upon</w:t>
      </w:r>
      <w:r>
        <w:rPr/>
        <w:t xml:space="preserve"> actual receipt of $</w:t>
      </w:r>
      <w:r>
        <w:rPr>
          <w:rStyle w:val="Strong"/>
        </w:rPr>
        <w:t>”) or (b) hold the release in escrow until paid. Many Florida construction attorneys recommend writing on the face of the waiver: *“This release is conditioned upon clearance of Check No.</w:t>
      </w:r>
      <w:r>
        <w:rPr>
          <w:rStyle w:val="Emphasis"/>
        </w:rPr>
        <w:t xml:space="preserve"> in the amount $</w:t>
      </w:r>
      <w:r>
        <w:rPr/>
        <w:t>__; if said payment is not received, this release is null and void”*</w:t>
      </w:r>
      <w:hyperlink r:id="rId33" w:anchor=":~:text=Q%3A%20What%20can%20I%20do,return%20for%20a%20worthless%20check" w:tgtFrame="_blank">
        <w:r>
          <w:rPr>
            <w:rStyle w:val="Hyperlink"/>
          </w:rPr>
          <w:t>jimersonfirm.com</w:t>
        </w:r>
      </w:hyperlink>
      <w:hyperlink r:id="rId34" w:anchor=":~:text=returned%20check%20for%20insufficient%20funds,or%20words%20of%20similar%20effect" w:tgtFrame="_blank">
        <w:r>
          <w:rPr>
            <w:rStyle w:val="Hyperlink"/>
          </w:rPr>
          <w:t>jimersonfirm.com</w:t>
        </w:r>
      </w:hyperlink>
      <w:r>
        <w:rPr/>
        <w:t>. Failing to use such conditional wording is a common drafting mistake that can cost a lienor its rights.</w:t>
      </w:r>
    </w:p>
    <w:p>
      <w:pPr>
        <w:pStyle w:val="BodyText"/>
        <w:numPr>
          <w:ilvl w:val="0"/>
          <w:numId w:val="1"/>
        </w:numPr>
        <w:tabs>
          <w:tab w:val="clear" w:pos="709"/>
          <w:tab w:val="left" w:pos="709" w:leader="none"/>
        </w:tabs>
        <w:bidi w:val="0"/>
        <w:ind w:hanging="283" w:start="709"/>
        <w:jc w:val="start"/>
        <w:rPr/>
      </w:pPr>
      <w:r>
        <w:rPr>
          <w:rStyle w:val="Strong"/>
        </w:rPr>
        <w:t>Not Recording or Serving the Affidavit in Time:</w:t>
      </w:r>
      <w:r>
        <w:rPr/>
        <w:t xml:space="preserve"> As discussed, speed is critical. If a lienor waits beyond 60 days or more to record an affidavit of nonpayment, the owner or lender may have changed position (paid out retainage, etc.) on the assumption the lien was waived. At that point, courts may refuse to revive the lien on equitable grounds. In </w:t>
      </w:r>
      <w:r>
        <w:rPr>
          <w:rStyle w:val="Emphasis"/>
        </w:rPr>
        <w:t>Gulf Stream Lumber</w:t>
      </w:r>
      <w:r>
        <w:rPr/>
        <w:t>, the supplier’s lien was filed ~4 months after the false “paid” receipt was given, and the court barred the lien, noting the owner had “subsequently paid all outstanding bills” and the supplier’s delay misled them</w:t>
      </w:r>
      <w:hyperlink r:id="rId35" w:anchor=":~:text=presented,the%20last%20week%20in%20March" w:tgtFrame="_blank">
        <w:r>
          <w:rPr>
            <w:rStyle w:val="Hyperlink"/>
          </w:rPr>
          <w:t>case-law.vlex.com</w:t>
        </w:r>
      </w:hyperlink>
      <w:hyperlink r:id="rId36" w:anchor=":~:text=A%20short%20time%20after%20giving,Under" w:tgtFrame="_blank">
        <w:r>
          <w:rPr>
            <w:rStyle w:val="Hyperlink"/>
          </w:rPr>
          <w:t>case-law.vlex.com</w:t>
        </w:r>
      </w:hyperlink>
      <w:r>
        <w:rPr/>
        <w:t xml:space="preserve">. The clear lesson: </w:t>
      </w:r>
      <w:r>
        <w:rPr>
          <w:rStyle w:val="Strong"/>
        </w:rPr>
        <w:t>serve notice of nonpayment before the owner makes final payment.</w:t>
      </w:r>
      <w:r>
        <w:rPr/>
        <w:t xml:space="preserve"> An affidavit recorded </w:t>
      </w:r>
      <w:r>
        <w:rPr>
          <w:rStyle w:val="Emphasis"/>
        </w:rPr>
        <w:t>after</w:t>
      </w:r>
      <w:r>
        <w:rPr/>
        <w:t xml:space="preserve"> the owner has disbursed final funds or issued a lender’s title clearance will likely be ineffectual. Also, the affidavit itself does not create a lien – the lienor must still record a </w:t>
      </w:r>
      <w:r>
        <w:rPr>
          <w:rStyle w:val="Strong"/>
        </w:rPr>
        <w:t>Claim of Lien</w:t>
      </w:r>
      <w:r>
        <w:rPr/>
        <w:t xml:space="preserve"> within 90 days of last work to enforce the lien (the affidavit simply preserves the right to do so)</w:t>
      </w:r>
      <w:hyperlink r:id="rId37" w:anchor=":~:text=Is%20that%20it%3F%20No%2C%20Affidavit,furnishing%20if%20still%20not%20paid" w:tgtFrame="_blank">
        <w:r>
          <w:rPr>
            <w:rStyle w:val="Hyperlink"/>
          </w:rPr>
          <w:t>gray-robinson.com</w:t>
        </w:r>
      </w:hyperlink>
      <w:r>
        <w:rPr/>
        <w:t>. A GrayRobinson construction law update bluntly noted: an affidavit of nonpayment “is not a lien; [you] still must file a Claim of Lien within 90 days of final furnishing if still not paid”</w:t>
      </w:r>
      <w:hyperlink r:id="rId38" w:anchor=":~:text=%5BPPT%5D%20Slide%201%20,furnishing%20if%20still%20not%20paid" w:tgtFrame="_blank">
        <w:r>
          <w:rPr>
            <w:rStyle w:val="Hyperlink"/>
          </w:rPr>
          <w:t>gray-robinson.com</w:t>
        </w:r>
      </w:hyperlink>
      <w:r>
        <w:rPr/>
        <w:t>. Forgetting to timely record the lien (perhaps because one assumes the affidavit alone suffices) is a fatal procedural mistake.</w:t>
      </w:r>
    </w:p>
    <w:p>
      <w:pPr>
        <w:pStyle w:val="BodyText"/>
        <w:numPr>
          <w:ilvl w:val="0"/>
          <w:numId w:val="1"/>
        </w:numPr>
        <w:tabs>
          <w:tab w:val="clear" w:pos="709"/>
          <w:tab w:val="left" w:pos="709" w:leader="none"/>
        </w:tabs>
        <w:bidi w:val="0"/>
        <w:ind w:hanging="283" w:start="709"/>
        <w:jc w:val="start"/>
        <w:rPr/>
      </w:pPr>
      <w:r>
        <w:rPr>
          <w:rStyle w:val="Strong"/>
        </w:rPr>
        <w:t>Recording in the Wrong County or with Defective Details:</w:t>
      </w:r>
      <w:r>
        <w:rPr/>
        <w:t xml:space="preserve"> While no published Florida case specifically recounts this, a practical error is mis-recording the affidavit (e.g. in the wrong county’s records or with an incorrect legal description of the property). Such missteps would undermine the affidavit’s effect because third parties (or the owner’s title search) may never discover it. The affidavit should be recorded in the </w:t>
      </w:r>
      <w:r>
        <w:rPr>
          <w:rStyle w:val="Emphasis"/>
        </w:rPr>
        <w:t>same county</w:t>
      </w:r>
      <w:r>
        <w:rPr/>
        <w:t xml:space="preserve"> as the project’s Notice of Commencement and should reference the property identically to the lien waiver and NOC. Florida’s general rule of strict construction of lien documents means any material error in the affidavit’s property description or identity of the contracting parties could render it insufficient to revive the lien. No case was found where this mistake decided the outcome, likely because prudent lienors ensure accuracy, but it remains a point of caution.</w:t>
      </w:r>
    </w:p>
    <w:p>
      <w:pPr>
        <w:pStyle w:val="BodyText"/>
        <w:numPr>
          <w:ilvl w:val="0"/>
          <w:numId w:val="1"/>
        </w:numPr>
        <w:tabs>
          <w:tab w:val="clear" w:pos="709"/>
          <w:tab w:val="left" w:pos="709" w:leader="none"/>
        </w:tabs>
        <w:bidi w:val="0"/>
        <w:ind w:hanging="283" w:start="709"/>
        <w:jc w:val="start"/>
        <w:rPr/>
      </w:pPr>
      <w:r>
        <w:rPr>
          <w:rStyle w:val="Strong"/>
        </w:rPr>
        <w:t>Failure to Verify the Affidavit:</w:t>
      </w:r>
      <w:r>
        <w:rPr/>
        <w:t xml:space="preserve"> An “affidavit” by definition must be sworn. A minor but important detail is to sign before a notary and include a jurat. An unverified statement might not meet the statutory predicate (for example, Florida requires a Claim of Lien to be a sworn statement (§713.08); similarly a nonpayment affidavit should be sworn to lend it credibility). Always double-check that the document is properly notarized before recording. Again, while no case explicitly turned on this, a savvy opposing counsel could attack an unsworn notice of nonpayment as a nullity.</w:t>
      </w:r>
    </w:p>
    <w:p>
      <w:pPr>
        <w:pStyle w:val="BodyText"/>
        <w:bidi w:val="0"/>
        <w:jc w:val="start"/>
        <w:rPr/>
      </w:pPr>
      <w:r>
        <w:rPr>
          <w:rStyle w:val="Strong"/>
        </w:rPr>
        <w:t>Impacts on Lien and Bond Rights:</w:t>
      </w:r>
      <w:r>
        <w:rPr/>
        <w:t xml:space="preserve"> When done right, filing an affidavit of nonpayment </w:t>
      </w:r>
      <w:r>
        <w:rPr>
          <w:rStyle w:val="Strong"/>
        </w:rPr>
        <w:t>allows the lienor to enforce its lien or bond claim as if the waiver had never been given</w:t>
      </w:r>
      <w:r>
        <w:rPr/>
        <w:t xml:space="preserve">. The conditional waiver is essentially suspended until actual payment is received. In </w:t>
      </w:r>
      <w:r>
        <w:rPr>
          <w:rStyle w:val="Emphasis"/>
        </w:rPr>
        <w:t>Georgia</w:t>
      </w:r>
      <w:r>
        <w:rPr/>
        <w:t xml:space="preserve"> (whose statute is more explicit on this point), the filing of an affidavit of nonpayment </w:t>
      </w:r>
      <w:r>
        <w:rPr>
          <w:rStyle w:val="Emphasis"/>
        </w:rPr>
        <w:t>within the statutory period</w:t>
      </w:r>
      <w:r>
        <w:rPr/>
        <w:t xml:space="preserve"> renders the prior waiver “void”</w:t>
      </w:r>
      <w:hyperlink r:id="rId39" w:anchor=":~:text=any%20longer%2C%20and%20only%20the,filed%20suit" w:tgtFrame="_blank">
        <w:r>
          <w:rPr>
            <w:rStyle w:val="Hyperlink"/>
          </w:rPr>
          <w:t>dri.org</w:t>
        </w:r>
      </w:hyperlink>
      <w:r>
        <w:rPr/>
        <w:t>. Florida courts have reached analogous results through contract interpretation: a conditional release means “lien rights cannot be waived prior to receipt of payment for the amount waived,” so if payment never comes, the waiver never takes effect</w:t>
      </w:r>
      <w:hyperlink r:id="rId40" w:anchor=":~:text=Owner%20and%20Prime%20Contractor%20demands,forms%20and%20provides%20conditional%20and" w:tgtFrame="_blank">
        <w:r>
          <w:rPr>
            <w:rStyle w:val="Hyperlink"/>
          </w:rPr>
          <w:t>troutman.com</w:t>
        </w:r>
      </w:hyperlink>
      <w:r>
        <w:rPr/>
        <w:t xml:space="preserve">. In </w:t>
      </w:r>
      <w:r>
        <w:rPr>
          <w:rStyle w:val="Strong"/>
        </w:rPr>
        <w:t>Klein v. Phelps</w:t>
      </w:r>
      <w:r>
        <w:rPr/>
        <w:t xml:space="preserve">, the outcome was that Phelps’s previously delivered release </w:t>
      </w:r>
      <w:r>
        <w:rPr>
          <w:rStyle w:val="Emphasis"/>
        </w:rPr>
        <w:t>did not bar</w:t>
      </w:r>
      <w:r>
        <w:rPr/>
        <w:t xml:space="preserve"> its foreclosure suit – the affidavit (and other evidence of nonpayment) “successfully reinstated” Phelps’s lien rights, and Phelps ultimately won the lien foreclosure judgment</w:t>
      </w:r>
      <w:hyperlink r:id="rId41" w:anchor=":~:text=Klein%20Development%20,its%20lien%20rights%2C%20we%20affirm" w:tgtFrame="_blank">
        <w:r>
          <w:rPr>
            <w:rStyle w:val="Hyperlink"/>
          </w:rPr>
          <w:t>case-law.vlex.com</w:t>
        </w:r>
      </w:hyperlink>
      <w:hyperlink r:id="rId42" w:anchor=":~:text=request,claim%2C%20Phelps%20sued%20Klein%20for" w:tgtFrame="_blank">
        <w:r>
          <w:rPr>
            <w:rStyle w:val="Hyperlink"/>
          </w:rPr>
          <w:t>case-law.vlex.com</w:t>
        </w:r>
      </w:hyperlink>
      <w:r>
        <w:rPr/>
        <w:t xml:space="preserve">. By contrast, if the affidavit of nonpayment is </w:t>
      </w:r>
      <w:r>
        <w:rPr>
          <w:rStyle w:val="Emphasis"/>
        </w:rPr>
        <w:t>invalid or late</w:t>
      </w:r>
      <w:r>
        <w:rPr/>
        <w:t xml:space="preserve">, the conditional waiver becomes final and </w:t>
      </w:r>
      <w:r>
        <w:rPr>
          <w:rStyle w:val="Emphasis"/>
        </w:rPr>
        <w:t>irrevocable</w:t>
      </w:r>
      <w:r>
        <w:rPr/>
        <w:t xml:space="preserve">, and the lienor is left without lien or bond security. In </w:t>
      </w:r>
      <w:r>
        <w:rPr>
          <w:rStyle w:val="Strong"/>
        </w:rPr>
        <w:t>Spectrum Interiors, Inc. v. Exterior Walls, Inc.</w:t>
      </w:r>
      <w:r>
        <w:rPr/>
        <w:t>, a subcontractor’s unconditional final release was enforced to bar its remaining contract claims – the Fifth DCA held that when a release unambiguously covers all work through a date, the court “may not indulge in construction of a release that is clear on its face”</w:t>
      </w:r>
      <w:hyperlink r:id="rId43" w:anchor=":~:text=unambiguous%20terms%20of%20a%20release,is%20clear%20on%20its%20face" w:tgtFrame="_blank">
        <w:r>
          <w:rPr>
            <w:rStyle w:val="Hyperlink"/>
          </w:rPr>
          <w:t>cobbgonzalez.com</w:t>
        </w:r>
      </w:hyperlink>
      <w:r>
        <w:rPr/>
        <w:t xml:space="preserve">. The subcontractor who failed to except certain pending change orders lost not only lien rights but even the right to sue for that work. This highlights that a mistaken release can wipe out </w:t>
      </w:r>
      <w:r>
        <w:rPr>
          <w:rStyle w:val="Emphasis"/>
        </w:rPr>
        <w:t>all</w:t>
      </w:r>
      <w:r>
        <w:rPr/>
        <w:t xml:space="preserve"> remedies (in Georgia, courts have similarly held that not filing the affidavit of nonpayment in time can waive </w:t>
      </w:r>
      <w:r>
        <w:rPr>
          <w:rStyle w:val="Emphasis"/>
        </w:rPr>
        <w:t>both</w:t>
      </w:r>
      <w:r>
        <w:rPr/>
        <w:t xml:space="preserve"> lien and breach of contract claims – a cautionary tale for Florida practitioners).</w:t>
      </w:r>
    </w:p>
    <w:p>
      <w:pPr>
        <w:pStyle w:val="BodyText"/>
        <w:bidi w:val="0"/>
        <w:jc w:val="start"/>
        <w:rPr/>
      </w:pPr>
      <w:r>
        <w:rPr/>
        <w:t xml:space="preserve">On </w:t>
      </w:r>
      <w:r>
        <w:rPr>
          <w:rStyle w:val="Strong"/>
        </w:rPr>
        <w:t>bonded projects</w:t>
      </w:r>
      <w:r>
        <w:rPr/>
        <w:t>, Florida’s Mechanics’ Lien Law has parallel provisions. A lien waiver can also waive claims against a payment bond (see §713.23 and §713.235). Section 713.23(5) (formerly §713.235(5)) essentially mirrors §713.20(8): a bond claim waiver not in statutory form is enforceable as per its terms</w:t>
      </w:r>
      <w:hyperlink r:id="rId44" w:anchor=":~:text=,this%20section%20is%20enforceable" w:tgtFrame="_blank">
        <w:r>
          <w:rPr>
            <w:rStyle w:val="Hyperlink"/>
          </w:rPr>
          <w:t>flsenate.gov</w:t>
        </w:r>
      </w:hyperlink>
      <w:r>
        <w:rPr/>
        <w:t xml:space="preserve">. Courts apply the same logic: a conditional waiver of bond rights can be nullified by an affidavit of nonpayment if payment fails. However, lienors on bonded jobs must also comply with </w:t>
      </w:r>
      <w:r>
        <w:rPr>
          <w:rStyle w:val="Emphasis"/>
        </w:rPr>
        <w:t>notice of nonpayment</w:t>
      </w:r>
      <w:r>
        <w:rPr/>
        <w:t xml:space="preserve"> requirements (a different “nonpayment” notice – statutorily required to perfect a bond claim). In </w:t>
      </w:r>
      <w:r>
        <w:rPr>
          <w:rStyle w:val="Strong"/>
        </w:rPr>
        <w:t>Stock Building Supply of Fla., Inc. v. Soares Da Costa Constr. Servs., LLC</w:t>
      </w:r>
      <w:r>
        <w:rPr/>
        <w:t xml:space="preserve">, the Third DCA noted that after a project restarted under a payment bond, the supplier </w:t>
      </w:r>
      <w:r>
        <w:rPr>
          <w:rStyle w:val="Emphasis"/>
        </w:rPr>
        <w:t>did</w:t>
      </w:r>
      <w:r>
        <w:rPr/>
        <w:t xml:space="preserve"> send the surety a formal Notice of Nonpayment when it wasn’t paid for new deliveries</w:t>
      </w:r>
      <w:hyperlink r:id="rId45" w:anchor=":~:text=On%20August%2022%2C%202005%2C%20K,under%20Soares%20Da%20Costa%27s%20order" w:tgtFrame="_blank">
        <w:r>
          <w:rPr>
            <w:rStyle w:val="Hyperlink"/>
          </w:rPr>
          <w:t>caselaw.findlaw.com</w:t>
        </w:r>
      </w:hyperlink>
      <w:hyperlink r:id="rId46" w:anchor=":~:text=Project%20under%20the%20order%20of,23%281%29%28d%29%2C%20Florida%20Statutes%20%282005" w:tgtFrame="_blank">
        <w:r>
          <w:rPr>
            <w:rStyle w:val="Hyperlink"/>
          </w:rPr>
          <w:t>caselaw.findlaw.com</w:t>
        </w:r>
      </w:hyperlink>
      <w:r>
        <w:rPr/>
        <w:t>. Unfortunately, the supplier had failed to serve a new Notice to Contractor for those items, so its bond claim was denied on other grounds</w:t>
      </w:r>
      <w:hyperlink r:id="rId47" w:anchor=":~:text=Costa,previously%2C%20in%20the%20First%20Notice" w:tgtFrame="_blank">
        <w:r>
          <w:rPr>
            <w:rStyle w:val="Hyperlink"/>
          </w:rPr>
          <w:t>caselaw.findlaw.com</w:t>
        </w:r>
      </w:hyperlink>
      <w:hyperlink r:id="rId48" w:anchor=":~:text=subcontractor%20who%20remains%20unpaid,Law%27s%20notice%20requirements%20as%20follows" w:tgtFrame="_blank">
        <w:r>
          <w:rPr>
            <w:rStyle w:val="Hyperlink"/>
          </w:rPr>
          <w:t>caselaw.findlaw.com</w:t>
        </w:r>
      </w:hyperlink>
      <w:r>
        <w:rPr/>
        <w:t xml:space="preserve">. The key takeaway is that on bonded jobs, a lienor must preserve </w:t>
      </w:r>
      <w:r>
        <w:rPr>
          <w:rStyle w:val="Emphasis"/>
        </w:rPr>
        <w:t>both</w:t>
      </w:r>
      <w:r>
        <w:rPr/>
        <w:t xml:space="preserve"> its bond notice rights and use conditional waivers or affidavits to avoid an unintended bond claim waiver. If a lien waiver form explicitly waives “lien and bond rights,” an affidavit of nonpayment would need to address both (and practically, the lienor should promptly send the statutory Notice of Nonpayment to the surety within 90 days of each unpaid delivery, per §713.23(1)(d)). Failing that, the bond claim will be lost just as a lien would be.</w:t>
      </w:r>
    </w:p>
    <w:p>
      <w:pPr>
        <w:pStyle w:val="BodyText"/>
        <w:bidi w:val="0"/>
        <w:jc w:val="start"/>
        <w:rPr/>
      </w:pPr>
      <w:r>
        <w:rPr>
          <w:rStyle w:val="Strong"/>
        </w:rPr>
        <w:t>Judicial Trends and Practice Pointers:</w:t>
      </w:r>
      <w:r>
        <w:rPr/>
        <w:t xml:space="preserve"> Modern Florida courts continue to uphold conditional waivers and emphasize strict compliance with procedural requirements. A 2011 Florida Bar Journal article observed that a statutory “Final Release” upon final payment does </w:t>
      </w:r>
      <w:r>
        <w:rPr>
          <w:rStyle w:val="Strong"/>
        </w:rPr>
        <w:t>not</w:t>
      </w:r>
      <w:r>
        <w:rPr/>
        <w:t xml:space="preserve"> waive lien rights for labor performed afterward – reinforcing that lien rights cannot be waived in advance of the work</w:t>
      </w:r>
      <w:hyperlink r:id="rId49" w:anchor=":~:text=inability%20to%20waive%20lien%20rights,is%20not%20a%20safe%20harbor" w:tgtFrame="_blank">
        <w:r>
          <w:rPr>
            <w:rStyle w:val="Hyperlink"/>
          </w:rPr>
          <w:t>floridabar.org</w:t>
        </w:r>
      </w:hyperlink>
      <w:r>
        <w:rPr/>
        <w:t xml:space="preserve">. Thus, if additional work is done, a prior “final” release isn’t actually final for that subsequent work. The lesson for owners is to obtain a new release covering any extra work or change orders. For lienors, this means </w:t>
      </w:r>
      <w:r>
        <w:rPr>
          <w:rStyle w:val="Emphasis"/>
        </w:rPr>
        <w:t>do not sign a final release until truly finished and paid</w:t>
      </w:r>
      <w:r>
        <w:rPr/>
        <w:t xml:space="preserve">. The courts have also approved creative solutions like combining a final release with an </w:t>
      </w:r>
      <w:r>
        <w:rPr>
          <w:rStyle w:val="Strong"/>
        </w:rPr>
        <w:t>assignment-back and indemnification</w:t>
      </w:r>
      <w:r>
        <w:rPr/>
        <w:t xml:space="preserve"> (to cover post-release work)</w:t>
      </w:r>
      <w:hyperlink r:id="rId50" w:anchor=":~:text=Given%20this%20conundrum%2C%20this%20author,final%20payment%20is%20truly%20final" w:tgtFrame="_blank">
        <w:r>
          <w:rPr>
            <w:rStyle w:val="Hyperlink"/>
          </w:rPr>
          <w:t>floridabar.org</w:t>
        </w:r>
      </w:hyperlink>
      <w:hyperlink r:id="rId51" w:anchor=":~:text=The%20undersigned%20hereby%20assigns%20its,at%20subject%20project%20to" w:tgtFrame="_blank">
        <w:r>
          <w:rPr>
            <w:rStyle w:val="Hyperlink"/>
          </w:rPr>
          <w:t>floridabar.org</w:t>
        </w:r>
      </w:hyperlink>
      <w:r>
        <w:rPr/>
        <w:t>, showing the lengths practitioners go to balance the anti-advance-waiver rule with owners’ need for finality.</w:t>
      </w:r>
    </w:p>
    <w:p>
      <w:pPr>
        <w:pStyle w:val="BodyText"/>
        <w:bidi w:val="0"/>
        <w:jc w:val="start"/>
        <w:rPr/>
      </w:pPr>
      <w:r>
        <w:rPr/>
        <w:t xml:space="preserve">After Florida’s </w:t>
      </w:r>
      <w:r>
        <w:rPr>
          <w:rStyle w:val="Strong"/>
        </w:rPr>
        <w:t>2013 lien law amendments (HB 331)</w:t>
      </w:r>
      <w:r>
        <w:rPr/>
        <w:t xml:space="preserve">, which tweaked some notice procedures (though leaving §713.20(8) intact), practitioners feared confusion about non-statutory waiver forms. Some proposed deleting §713.20(8) to </w:t>
      </w:r>
      <w:r>
        <w:rPr>
          <w:rStyle w:val="Emphasis"/>
        </w:rPr>
        <w:t>mandate</w:t>
      </w:r>
      <w:r>
        <w:rPr/>
        <w:t xml:space="preserve"> use of statutory forms</w:t>
      </w:r>
      <w:hyperlink r:id="rId52" w:anchor=":~:text=Proposed%20Statute%20Would%20Make%20Use,lien%20waiver%20or%20lien%20release" w:tgtFrame="_blank">
        <w:r>
          <w:rPr>
            <w:rStyle w:val="Hyperlink"/>
          </w:rPr>
          <w:t>hammerngavel.com</w:t>
        </w:r>
      </w:hyperlink>
      <w:r>
        <w:rPr/>
        <w:t xml:space="preserve">, but that did not occur. Post-HB 331, no major case has undermined the effectiveness of affidavits of nonpayment – in fact, courts construing §713.20(8)-(9) continue to hold that a lien waiver </w:t>
      </w:r>
      <w:r>
        <w:rPr>
          <w:rStyle w:val="Strong"/>
        </w:rPr>
        <w:t>“is enforceable in accordance with its terms”</w:t>
      </w:r>
      <w:r>
        <w:rPr/>
        <w:t>, meaning a waiver stating it is conditional will be enforced as conditional</w:t>
      </w:r>
      <w:hyperlink r:id="rId53" w:anchor=":~:text=%C2%A7%20713,20%288" w:tgtFrame="_blank">
        <w:r>
          <w:rPr>
            <w:rStyle w:val="Hyperlink"/>
          </w:rPr>
          <w:t>cobbgonzalez.com</w:t>
        </w:r>
      </w:hyperlink>
      <w:r>
        <w:rPr/>
        <w:t xml:space="preserve">. The upshot: Florida courts give effect to </w:t>
      </w:r>
      <w:r>
        <w:rPr>
          <w:rStyle w:val="Emphasis"/>
        </w:rPr>
        <w:t>what the document says</w:t>
      </w:r>
      <w:r>
        <w:rPr/>
        <w:t xml:space="preserve">. If you want the ability to nullify a waiver, it must </w:t>
      </w:r>
      <w:r>
        <w:rPr>
          <w:rStyle w:val="Emphasis"/>
        </w:rPr>
        <w:t>say so clearly</w:t>
      </w:r>
      <w:r>
        <w:rPr/>
        <w:t>.</w:t>
      </w:r>
    </w:p>
    <w:p>
      <w:pPr>
        <w:pStyle w:val="BodyText"/>
        <w:bidi w:val="0"/>
        <w:jc w:val="start"/>
        <w:rPr/>
      </w:pPr>
      <w:r>
        <w:rPr>
          <w:rStyle w:val="Strong"/>
        </w:rPr>
        <w:t>Practical Guidance for Construction Practitioners:</w:t>
      </w:r>
    </w:p>
    <w:p>
      <w:pPr>
        <w:pStyle w:val="BodyText"/>
        <w:numPr>
          <w:ilvl w:val="0"/>
          <w:numId w:val="2"/>
        </w:numPr>
        <w:tabs>
          <w:tab w:val="clear" w:pos="709"/>
          <w:tab w:val="left" w:pos="709" w:leader="none"/>
        </w:tabs>
        <w:bidi w:val="0"/>
        <w:ind w:hanging="283" w:start="709"/>
        <w:jc w:val="start"/>
        <w:rPr/>
      </w:pPr>
      <w:r>
        <w:rPr>
          <w:rStyle w:val="Emphasis"/>
        </w:rPr>
        <w:t>For Lienors (Contractors, Subs, Suppliers):</w:t>
      </w:r>
      <w:r>
        <w:rPr/>
        <w:t xml:space="preserve"> </w:t>
      </w:r>
      <w:r>
        <w:rPr>
          <w:rStyle w:val="Strong"/>
        </w:rPr>
        <w:t>Never sign an unconditional release if you haven’t been paid</w:t>
      </w:r>
      <w:r>
        <w:rPr/>
        <w:t xml:space="preserve">. Insist on using the statutory forms </w:t>
      </w:r>
      <w:r>
        <w:rPr>
          <w:rStyle w:val="Emphasis"/>
        </w:rPr>
        <w:t>or adding a conditional payment clause</w:t>
      </w:r>
      <w:r>
        <w:rPr/>
        <w:t xml:space="preserve">. Florida law protects you here: §713.20(6) prohibits anyone from </w:t>
      </w:r>
      <w:r>
        <w:rPr>
          <w:rStyle w:val="Emphasis"/>
        </w:rPr>
        <w:t>requiring</w:t>
      </w:r>
      <w:r>
        <w:rPr/>
        <w:t xml:space="preserve"> a different (non-statutory) form as a condition of payment</w:t>
      </w:r>
      <w:hyperlink r:id="rId54" w:anchor=":~:text=modified%20to%20best%20protect%20the,4%29%20and" w:tgtFrame="_blank">
        <w:r>
          <w:rPr>
            <w:rStyle w:val="Hyperlink"/>
          </w:rPr>
          <w:t>cobbgonzalez.com</w:t>
        </w:r>
      </w:hyperlink>
      <w:r>
        <w:rPr/>
        <w:t xml:space="preserve">. If an upstream party presents an onerous waiver, you can object – but do so </w:t>
      </w:r>
      <w:r>
        <w:rPr>
          <w:rStyle w:val="Emphasis"/>
        </w:rPr>
        <w:t>before</w:t>
      </w:r>
      <w:r>
        <w:rPr/>
        <w:t xml:space="preserve"> signing. As one court noted, signing signifies consent to its terms</w:t>
      </w:r>
      <w:hyperlink r:id="rId55" w:anchor=":~:text=The%20statute%20basically%20allows%20parties,terms%20contained%20in%20the%20release" w:tgtFrame="_blank">
        <w:r>
          <w:rPr>
            <w:rStyle w:val="Hyperlink"/>
          </w:rPr>
          <w:t>cobbgonzalez.com</w:t>
        </w:r>
      </w:hyperlink>
      <w:r>
        <w:rPr/>
        <w:t xml:space="preserve">. So negotiate to include conditional language (e.g. “through date X, </w:t>
      </w:r>
      <w:r>
        <w:rPr>
          <w:rStyle w:val="Emphasis"/>
        </w:rPr>
        <w:t>provided payment is received</w:t>
      </w:r>
      <w:r>
        <w:rPr/>
        <w:t xml:space="preserve">”). If you unfortunately gave an unconditional waiver and payment is not received on time, act </w:t>
      </w:r>
      <w:r>
        <w:rPr>
          <w:rStyle w:val="Strong"/>
        </w:rPr>
        <w:t>immediately</w:t>
      </w:r>
      <w:r>
        <w:rPr/>
        <w:t xml:space="preserve">: prepare an affidavit of nonpayment and record it in the county records, and </w:t>
      </w:r>
      <w:r>
        <w:rPr>
          <w:rStyle w:val="Strong"/>
        </w:rPr>
        <w:t>serve it on the owner (and contractor and surety, if applicable)</w:t>
      </w:r>
      <w:r>
        <w:rPr/>
        <w:t xml:space="preserve"> within days. Promptly follow up by recording your Claim of Lien within the 90-day period</w:t>
      </w:r>
      <w:hyperlink r:id="rId56" w:anchor=":~:text=Is%20that%20it%3F%20No%2C%20Affidavit,furnishing%20if%20still%20not%20paid" w:tgtFrame="_blank">
        <w:r>
          <w:rPr>
            <w:rStyle w:val="Hyperlink"/>
          </w:rPr>
          <w:t>gray-robinson.com</w:t>
        </w:r>
      </w:hyperlink>
      <w:r>
        <w:rPr/>
        <w:t xml:space="preserve">. By giving the owner early notice, you preserve the owner’s ability to withhold funds from the party who failed to pay you. This cuts off any “prejudice” argument and strengthens your case that the waiver should be deemed void for nonpayment. In court, be prepared to show that your waiver was expressly conditional or that the other side clearly understood payment was a condition (affidavits, emails, etc., as in </w:t>
      </w:r>
      <w:r>
        <w:rPr>
          <w:rStyle w:val="Emphasis"/>
        </w:rPr>
        <w:t>Klein v. Phelps</w:t>
      </w:r>
      <w:r>
        <w:rPr/>
        <w:t xml:space="preserve">). Also remember: a conditional lien waiver does </w:t>
      </w:r>
      <w:r>
        <w:rPr>
          <w:rStyle w:val="Strong"/>
        </w:rPr>
        <w:t>not</w:t>
      </w:r>
      <w:r>
        <w:rPr/>
        <w:t xml:space="preserve"> eliminate the need to send a Notice to Owner or record a lien – those must still be done on time if payment isn’t forthcoming.</w:t>
      </w:r>
    </w:p>
    <w:p>
      <w:pPr>
        <w:pStyle w:val="BodyText"/>
        <w:numPr>
          <w:ilvl w:val="0"/>
          <w:numId w:val="2"/>
        </w:numPr>
        <w:tabs>
          <w:tab w:val="clear" w:pos="709"/>
          <w:tab w:val="left" w:pos="709" w:leader="none"/>
        </w:tabs>
        <w:bidi w:val="0"/>
        <w:ind w:hanging="283" w:start="709"/>
        <w:jc w:val="start"/>
        <w:rPr/>
      </w:pPr>
      <w:r>
        <w:rPr>
          <w:rStyle w:val="Emphasis"/>
        </w:rPr>
        <w:t>For Owners and Lenders:</w:t>
      </w:r>
      <w:r>
        <w:rPr/>
        <w:t xml:space="preserve"> </w:t>
      </w:r>
      <w:r>
        <w:rPr>
          <w:rStyle w:val="Strong"/>
        </w:rPr>
        <w:t>Implement protocols to track conditional waivers and any ensuing affidavits of nonpayment.</w:t>
      </w:r>
      <w:r>
        <w:rPr/>
        <w:t xml:space="preserve"> When you receive a progress or final release that is conditional (or obviously given in exchange for a not-yet-cleared form of payment), do not assume the matter is closed until the payment clears the bank. It is wise to wait the stated period (e.g. “within 30 days of this waiver”) before disbursing further funds. Owners should </w:t>
      </w:r>
      <w:r>
        <w:rPr>
          <w:rStyle w:val="Emphasis"/>
        </w:rPr>
        <w:t>promptly notify the contractor</w:t>
      </w:r>
      <w:r>
        <w:rPr/>
        <w:t xml:space="preserve"> if an affidavit of nonpayment comes in from a sub, and consider </w:t>
      </w:r>
      <w:r>
        <w:rPr>
          <w:rStyle w:val="Strong"/>
        </w:rPr>
        <w:t>withholding an equivalent amount</w:t>
      </w:r>
      <w:r>
        <w:rPr/>
        <w:t xml:space="preserve"> from the next payment to the contractor, as permitted by §713.20(7)</w:t>
      </w:r>
      <w:hyperlink r:id="rId57" w:anchor=":~:text=,any%20such%20condition%20is%20satisfied" w:tgtFrame="_blank">
        <w:r>
          <w:rPr>
            <w:rStyle w:val="Hyperlink"/>
          </w:rPr>
          <w:t>law.justia.com</w:t>
        </w:r>
      </w:hyperlink>
      <w:hyperlink r:id="rId58" w:anchor=":~:text=condition%20the%20waiver%20and%20release,any%20such%20condition%20is%20satisfied" w:tgtFrame="_blank">
        <w:r>
          <w:rPr>
            <w:rStyle w:val="Hyperlink"/>
          </w:rPr>
          <w:t>law.justia.com</w:t>
        </w:r>
      </w:hyperlink>
      <w:r>
        <w:rPr/>
        <w:t>. Florida law actually allows an owner, in the absence of a payment bond, to retain from the prime contract any amount equal to a lienor’s unpaid check until it’s satisfied</w:t>
      </w:r>
      <w:hyperlink r:id="rId59" w:anchor=":~:text=,any%20such%20condition%20is%20satisfied" w:tgtFrame="_blank">
        <w:r>
          <w:rPr>
            <w:rStyle w:val="Hyperlink"/>
          </w:rPr>
          <w:t>law.justia.com</w:t>
        </w:r>
      </w:hyperlink>
      <w:r>
        <w:rPr/>
        <w:t xml:space="preserve">. This protects owners from double payment. If a lienor records an affidavit of nonpayment against your project, you should treat it as a red flag: it means a conditional release is being rescinded. Immediately </w:t>
      </w:r>
      <w:r>
        <w:rPr>
          <w:rStyle w:val="Strong"/>
        </w:rPr>
        <w:t>verify the facts</w:t>
      </w:r>
      <w:r>
        <w:rPr/>
        <w:t xml:space="preserve"> – was the lienor truly not paid? – and then handle it like a potential lien: you may secure a lien release bond or joint check the lienor, etc., to avoid cloud on title.</w:t>
      </w:r>
    </w:p>
    <w:p>
      <w:pPr>
        <w:pStyle w:val="BodyText"/>
        <w:numPr>
          <w:ilvl w:val="0"/>
          <w:numId w:val="2"/>
        </w:numPr>
        <w:tabs>
          <w:tab w:val="clear" w:pos="709"/>
          <w:tab w:val="left" w:pos="709" w:leader="none"/>
        </w:tabs>
        <w:bidi w:val="0"/>
        <w:ind w:hanging="283" w:start="709"/>
        <w:jc w:val="start"/>
        <w:rPr/>
      </w:pPr>
      <w:r>
        <w:rPr>
          <w:rStyle w:val="Emphasis"/>
        </w:rPr>
        <w:t>Avoiding Common Errors:</w:t>
      </w:r>
      <w:r>
        <w:rPr/>
        <w:t xml:space="preserve"> </w:t>
      </w:r>
      <w:r>
        <w:rPr>
          <w:rStyle w:val="Strong"/>
        </w:rPr>
        <w:t>Accuracy and consistency</w:t>
      </w:r>
      <w:r>
        <w:rPr/>
        <w:t xml:space="preserve"> are key. Ensure the project name, property description, and parties’ names in any affidavit of nonpayment match those in the lien waiver and Notice of Commencement. Any deviation can create arguments for the other side. Likewise, use a notary and keep copies of everything (you may need to exhibit the conditional waiver and affidavit together to prove the lien’s validity). Another tip: when possible, </w:t>
      </w:r>
      <w:r>
        <w:rPr>
          <w:rStyle w:val="Strong"/>
        </w:rPr>
        <w:t>deliver releases only in exchange for actual payment</w:t>
      </w:r>
      <w:r>
        <w:rPr/>
        <w:t xml:space="preserve"> – e.g., hand the release </w:t>
      </w:r>
      <w:r>
        <w:rPr>
          <w:rStyle w:val="Emphasis"/>
        </w:rPr>
        <w:t>simultaneously</w:t>
      </w:r>
      <w:r>
        <w:rPr/>
        <w:t xml:space="preserve"> upon receipt of a wire transfer or cashier’s check. Many contractors use escrow arrangements: the signed release is held until the bank confirms payment, then released to the payor. This eliminates the need for an affidavit of nonpayment altogether.</w:t>
      </w:r>
    </w:p>
    <w:p>
      <w:pPr>
        <w:pStyle w:val="BodyText"/>
        <w:bidi w:val="0"/>
        <w:jc w:val="start"/>
        <w:rPr/>
      </w:pPr>
      <w:r>
        <w:rPr/>
        <w:t xml:space="preserve">In summary, Florida courts will </w:t>
      </w:r>
      <w:r>
        <w:rPr>
          <w:rStyle w:val="Emphasis"/>
        </w:rPr>
        <w:t>enforce lien waivers as written</w:t>
      </w:r>
      <w:r>
        <w:rPr/>
        <w:t>. They have upheld the effectiveness of an affidavit of nonpayment when it is the agreed-upon method to nullify a conditional waiver for nonpayment</w:t>
      </w:r>
      <w:hyperlink r:id="rId60" w:anchor=":~:text=request,claim%2C%20Phelps%20sued%20Klein%20for" w:tgtFrame="_blank">
        <w:r>
          <w:rPr>
            <w:rStyle w:val="Hyperlink"/>
          </w:rPr>
          <w:t>case-law.vlex.com</w:t>
        </w:r>
      </w:hyperlink>
      <w:r>
        <w:rPr/>
        <w:t>. But they have also refused to rescue lienors from the consequences of a poorly drafted or unconditional release where no timely affidavit was filed</w:t>
      </w:r>
      <w:hyperlink r:id="rId61" w:anchor=":~:text=returned%20check%20for%20insufficient%20funds,or%20words%20of%20similar%20effect" w:tgtFrame="_blank">
        <w:r>
          <w:rPr>
            <w:rStyle w:val="Hyperlink"/>
          </w:rPr>
          <w:t>jimersonfirm.com</w:t>
        </w:r>
      </w:hyperlink>
      <w:hyperlink r:id="rId62" w:anchor=":~:text=A%20short%20time%20after%20giving,Plaintiff%20replied" w:tgtFrame="_blank">
        <w:r>
          <w:rPr>
            <w:rStyle w:val="Hyperlink"/>
          </w:rPr>
          <w:t>case-law.vlex.com</w:t>
        </w:r>
      </w:hyperlink>
      <w:r>
        <w:rPr/>
        <w:t xml:space="preserve">. The recurring theme in the case law is </w:t>
      </w:r>
      <w:r>
        <w:rPr>
          <w:rStyle w:val="Strong"/>
        </w:rPr>
        <w:t>strict compliance</w:t>
      </w:r>
      <w:r>
        <w:rPr/>
        <w:t xml:space="preserve"> – both with the contract language and the timing rules of the lien law. As one court quipped, the lien law “presumes a fiction” that subcontractors get paid when releases are exchanged</w:t>
      </w:r>
      <w:hyperlink r:id="rId63" w:anchor=":~:text=A%3A%20The%20timing%20of%20releases,the%20nonpayment%20to%20the%20subcontractors" w:tgtFrame="_blank">
        <w:r>
          <w:rPr>
            <w:rStyle w:val="Hyperlink"/>
          </w:rPr>
          <w:t>jimersonfirm.com</w:t>
        </w:r>
      </w:hyperlink>
      <w:r>
        <w:rPr/>
        <w:t xml:space="preserve">; if you sign the release, the law assumes you </w:t>
      </w:r>
      <w:r>
        <w:rPr>
          <w:rStyle w:val="Emphasis"/>
        </w:rPr>
        <w:t>were paid</w:t>
      </w:r>
      <w:r>
        <w:rPr/>
        <w:t xml:space="preserve">. It’s up to the lienor to rebut that fiction by swiftly recording an affidavit of nonpayment or otherwise preserving its rights. By understanding these nuances and planning ahead, practitioners can avoid the common missteps (like unwittingly waiving lien/bond rights) and ensure that </w:t>
      </w:r>
      <w:r>
        <w:rPr>
          <w:rStyle w:val="Strong"/>
        </w:rPr>
        <w:t>conditional waivers truly remain conditional</w:t>
      </w:r>
      <w:r>
        <w:rPr/>
        <w:t xml:space="preserve"> – with the affidavit of nonpayment as the safety valve if the payment never comes.</w:t>
      </w:r>
    </w:p>
    <w:p>
      <w:pPr>
        <w:pStyle w:val="BodyText"/>
        <w:bidi w:val="0"/>
        <w:jc w:val="start"/>
        <w:rPr/>
      </w:pPr>
      <w:r>
        <w:rPr>
          <w:rStyle w:val="Strong"/>
        </w:rPr>
        <w:t>Sources:</w:t>
      </w:r>
    </w:p>
    <w:p>
      <w:pPr>
        <w:pStyle w:val="BodyText"/>
        <w:numPr>
          <w:ilvl w:val="0"/>
          <w:numId w:val="3"/>
        </w:numPr>
        <w:tabs>
          <w:tab w:val="clear" w:pos="709"/>
          <w:tab w:val="left" w:pos="709" w:leader="none"/>
        </w:tabs>
        <w:bidi w:val="0"/>
        <w:ind w:hanging="283" w:start="709"/>
        <w:jc w:val="start"/>
        <w:rPr/>
      </w:pPr>
      <w:r>
        <w:rPr/>
        <w:t>Fla. Stat. §713.20(7)–(8) (permitting conditional waivers and enforcing non-statutory forms per their terms)</w:t>
      </w:r>
      <w:hyperlink r:id="rId64" w:anchor=":~:text=prohibited,of%20its%20lien%20rights%20if" w:tgtFrame="_blank">
        <w:r>
          <w:rPr>
            <w:rStyle w:val="Hyperlink"/>
          </w:rPr>
          <w:t>cobbgonzalez.com</w:t>
        </w:r>
      </w:hyperlink>
      <w:hyperlink r:id="rId65" w:anchor=":~:text=%C2%A7%20713,20%288" w:tgtFrame="_blank">
        <w:r>
          <w:rPr>
            <w:rStyle w:val="Hyperlink"/>
          </w:rPr>
          <w:t>cobbgonzalez.com</w:t>
        </w:r>
      </w:hyperlink>
    </w:p>
    <w:p>
      <w:pPr>
        <w:pStyle w:val="BodyText"/>
        <w:numPr>
          <w:ilvl w:val="0"/>
          <w:numId w:val="3"/>
        </w:numPr>
        <w:tabs>
          <w:tab w:val="clear" w:pos="709"/>
          <w:tab w:val="left" w:pos="709" w:leader="none"/>
        </w:tabs>
        <w:bidi w:val="0"/>
        <w:ind w:hanging="283" w:start="709"/>
        <w:jc w:val="start"/>
        <w:rPr/>
      </w:pPr>
      <w:r>
        <w:rPr>
          <w:rStyle w:val="Emphasis"/>
        </w:rPr>
        <w:t>Lehman v. Snyder</w:t>
      </w:r>
      <w:r>
        <w:rPr/>
        <w:t>, 84 So. 2d 312, 313-14 (Fla. 1955) (lienor’s release and “paid” receipt barred its lien even though contractor’s check bounced, since owners had no knowledge of nonpayment)</w:t>
      </w:r>
      <w:hyperlink r:id="rId66" w:anchor=":~:text=Lehman,were%20those%20listed%20in%20the" w:tgtFrame="_blank">
        <w:r>
          <w:rPr>
            <w:rStyle w:val="Hyperlink"/>
          </w:rPr>
          <w:t>case-law.vlex.com</w:t>
        </w:r>
      </w:hyperlink>
      <w:hyperlink r:id="rId67" w:anchor=":~:text=When%20the%20building%20was%20completed,bill%20and%20the%20release%20of" w:tgtFrame="_blank">
        <w:r>
          <w:rPr>
            <w:rStyle w:val="Hyperlink"/>
          </w:rPr>
          <w:t>case-law.vlex.com</w:t>
        </w:r>
      </w:hyperlink>
    </w:p>
    <w:p>
      <w:pPr>
        <w:pStyle w:val="BodyText"/>
        <w:numPr>
          <w:ilvl w:val="0"/>
          <w:numId w:val="3"/>
        </w:numPr>
        <w:tabs>
          <w:tab w:val="clear" w:pos="709"/>
          <w:tab w:val="left" w:pos="709" w:leader="none"/>
        </w:tabs>
        <w:bidi w:val="0"/>
        <w:ind w:hanging="283" w:start="709"/>
        <w:jc w:val="start"/>
        <w:rPr/>
      </w:pPr>
      <w:r>
        <w:rPr>
          <w:rStyle w:val="Emphasis"/>
        </w:rPr>
        <w:t>Gulf Stream Lumber Co. v. Lathrop</w:t>
      </w:r>
      <w:r>
        <w:rPr/>
        <w:t>, 108 So. 2d 55, 57-59 (Fla. 2d DCA 1959) (owner entitled to rely on paid receipt; lien estopped where lienor gave notice of nonpayment only after owner disbursed final draws)</w:t>
      </w:r>
      <w:hyperlink r:id="rId68" w:anchor=":~:text=A%20short%20time%20after%20giving,Plaintiff%20replied" w:tgtFrame="_blank">
        <w:r>
          <w:rPr>
            <w:rStyle w:val="Hyperlink"/>
          </w:rPr>
          <w:t>case-law.vlex.com</w:t>
        </w:r>
      </w:hyperlink>
      <w:hyperlink r:id="rId69" w:anchor=":~:text=financial%20trouble%2C%20so%20they%20demanded,3%2C%201956%2C%20apparently%20making%20their" w:tgtFrame="_blank">
        <w:r>
          <w:rPr>
            <w:rStyle w:val="Hyperlink"/>
          </w:rPr>
          <w:t>case-law.vlex.com</w:t>
        </w:r>
      </w:hyperlink>
    </w:p>
    <w:p>
      <w:pPr>
        <w:pStyle w:val="BodyText"/>
        <w:numPr>
          <w:ilvl w:val="0"/>
          <w:numId w:val="3"/>
        </w:numPr>
        <w:tabs>
          <w:tab w:val="clear" w:pos="709"/>
          <w:tab w:val="left" w:pos="709" w:leader="none"/>
        </w:tabs>
        <w:bidi w:val="0"/>
        <w:ind w:hanging="283" w:start="709"/>
        <w:jc w:val="start"/>
        <w:rPr/>
      </w:pPr>
      <w:r>
        <w:rPr>
          <w:rStyle w:val="Emphasis"/>
        </w:rPr>
        <w:t>Klein Development, Inc. v. Ellis K. Phelps &amp; Co.</w:t>
      </w:r>
      <w:r>
        <w:rPr/>
        <w:t>, 761 So. 2d 441, 442-44 (Fla. 2d DCA 2000) (faxed lien release was not binding because payment condition failed; lienor “never released its lien rights” and could foreclose lien)</w:t>
      </w:r>
      <w:hyperlink r:id="rId70" w:anchor=":~:text=request,claim%2C%20Phelps%20sued%20Klein%20for" w:tgtFrame="_blank">
        <w:r>
          <w:rPr>
            <w:rStyle w:val="Hyperlink"/>
          </w:rPr>
          <w:t>case-law.vlex.com</w:t>
        </w:r>
      </w:hyperlink>
      <w:hyperlink r:id="rId71" w:anchor=":~:text=Klein%20Development%20,its%20lien%20rights%2C%20we%20affirm" w:tgtFrame="_blank">
        <w:r>
          <w:rPr>
            <w:rStyle w:val="Hyperlink"/>
          </w:rPr>
          <w:t>case-law.vlex.com</w:t>
        </w:r>
      </w:hyperlink>
    </w:p>
    <w:p>
      <w:pPr>
        <w:pStyle w:val="BodyText"/>
        <w:numPr>
          <w:ilvl w:val="0"/>
          <w:numId w:val="3"/>
        </w:numPr>
        <w:tabs>
          <w:tab w:val="clear" w:pos="709"/>
          <w:tab w:val="left" w:pos="709" w:leader="none"/>
        </w:tabs>
        <w:bidi w:val="0"/>
        <w:ind w:hanging="283" w:start="709"/>
        <w:jc w:val="start"/>
        <w:rPr/>
      </w:pPr>
      <w:r>
        <w:rPr>
          <w:rStyle w:val="Emphasis"/>
        </w:rPr>
        <w:t>Frank Maio Gen. Contractor, Inc. v. Consolidated Elec. Supply, Inc.</w:t>
      </w:r>
      <w:r>
        <w:rPr/>
        <w:t>, 452 So. 2d 1092, 1093 (Fla. 4th DCA 1984) (unambiguous release through a date barred the subcontractor’s claim; a unilateral mistake or unexpected nonpayment did not undo the waiver)</w:t>
      </w:r>
      <w:hyperlink r:id="rId72" w:anchor=":~:text=unambiguous%20terms%20of%20a%20release,is%20clear%20on%20its%20face" w:tgtFrame="_blank">
        <w:r>
          <w:rPr>
            <w:rStyle w:val="Hyperlink"/>
          </w:rPr>
          <w:t>cobbgonzalez.com</w:t>
        </w:r>
      </w:hyperlink>
    </w:p>
    <w:p>
      <w:pPr>
        <w:pStyle w:val="BodyText"/>
        <w:numPr>
          <w:ilvl w:val="0"/>
          <w:numId w:val="3"/>
        </w:numPr>
        <w:tabs>
          <w:tab w:val="clear" w:pos="709"/>
          <w:tab w:val="left" w:pos="709" w:leader="none"/>
        </w:tabs>
        <w:bidi w:val="0"/>
        <w:ind w:hanging="283" w:start="709"/>
        <w:jc w:val="start"/>
        <w:rPr/>
      </w:pPr>
      <w:r>
        <w:rPr>
          <w:rStyle w:val="Emphasis"/>
        </w:rPr>
        <w:t>Spectrum Interiors, Inc. v. Exterior Walls, Inc.</w:t>
      </w:r>
      <w:r>
        <w:rPr/>
        <w:t>, 2 So. 3d 1093, 1095 (Fla. 5th DCA 2009) (reiterating that clear release language is conclusive; courts will not look to intent if the release is explicit)</w:t>
      </w:r>
      <w:hyperlink r:id="rId73" w:anchor=":~:text=unambiguous%20terms%20of%20a%20release,is%20clear%20on%20its%20face" w:tgtFrame="_blank">
        <w:r>
          <w:rPr>
            <w:rStyle w:val="Hyperlink"/>
          </w:rPr>
          <w:t>cobbgonzalez.com</w:t>
        </w:r>
      </w:hyperlink>
    </w:p>
    <w:p>
      <w:pPr>
        <w:pStyle w:val="BodyText"/>
        <w:numPr>
          <w:ilvl w:val="0"/>
          <w:numId w:val="3"/>
        </w:numPr>
        <w:tabs>
          <w:tab w:val="clear" w:pos="709"/>
          <w:tab w:val="left" w:pos="709" w:leader="none"/>
        </w:tabs>
        <w:bidi w:val="0"/>
        <w:ind w:hanging="283" w:start="709"/>
        <w:jc w:val="start"/>
        <w:rPr/>
      </w:pPr>
      <w:r>
        <w:rPr>
          <w:rStyle w:val="Emphasis"/>
        </w:rPr>
        <w:t>Stock Building Supply of Fla., Inc. v. Soares Da Costa Constr. Servs., LLC</w:t>
      </w:r>
      <w:r>
        <w:rPr/>
        <w:t>, 76 So. 3d 313, 317-18 (Fla. 3d DCA 2011) (after owner paid off liens and lienor executed a statutory final release, the lienor’s “existing lien rights” were extinguished; new work required new notices despite the earlier conditional payment issues)</w:t>
      </w:r>
      <w:hyperlink r:id="rId74" w:anchor=":~:text=The%20undersigned%20lienor%2C%20in%20consideration,Biscayne%20Boulevard%2C%20Miami%2C%20Florida" w:tgtFrame="_blank">
        <w:r>
          <w:rPr>
            <w:rStyle w:val="Hyperlink"/>
          </w:rPr>
          <w:t>caselaw.findlaw.com</w:t>
        </w:r>
      </w:hyperlink>
      <w:hyperlink r:id="rId75" w:anchor=":~:text=All%20other%20existing%20liens%20on,recorded%20a%20new%20Notice%20of" w:tgtFrame="_blank">
        <w:r>
          <w:rPr>
            <w:rStyle w:val="Hyperlink"/>
          </w:rPr>
          <w:t>caselaw.findlaw.com</w:t>
        </w:r>
      </w:hyperlink>
    </w:p>
    <w:p>
      <w:pPr>
        <w:pStyle w:val="BodyText"/>
        <w:numPr>
          <w:ilvl w:val="0"/>
          <w:numId w:val="3"/>
        </w:numPr>
        <w:tabs>
          <w:tab w:val="clear" w:pos="709"/>
          <w:tab w:val="left" w:pos="709" w:leader="none"/>
        </w:tabs>
        <w:bidi w:val="0"/>
        <w:ind w:hanging="283" w:start="709"/>
        <w:jc w:val="start"/>
        <w:rPr/>
      </w:pPr>
      <w:r>
        <w:rPr/>
        <w:t xml:space="preserve">Larry R. Leiby, </w:t>
      </w:r>
      <w:r>
        <w:rPr>
          <w:rStyle w:val="Emphasis"/>
        </w:rPr>
        <w:t>When is a “Final Construction Lien Release” Really Final?</w:t>
      </w:r>
      <w:r>
        <w:rPr/>
        <w:t>, 86 Fla. B.J. 18, 20-22 (Jan. 2012) (discussing conditional releases, the prohibition on advance lien waivers, and suggesting contract clauses to reconcile final payment releases with lingering work)</w:t>
      </w:r>
      <w:hyperlink r:id="rId76" w:anchor=":~:text=inability%20to%20waive%20lien%20rights,is%20not%20a%20safe%20harbor" w:tgtFrame="_blank">
        <w:r>
          <w:rPr>
            <w:rStyle w:val="Hyperlink"/>
          </w:rPr>
          <w:t>floridabar.org</w:t>
        </w:r>
      </w:hyperlink>
      <w:hyperlink r:id="rId77" w:anchor=":~:text=Given%20this%20conundrum%2C%20this%20author,final%20payment%20is%20truly%20final" w:tgtFrame="_blank">
        <w:r>
          <w:rPr>
            <w:rStyle w:val="Hyperlink"/>
          </w:rPr>
          <w:t>floridabar.org</w:t>
        </w:r>
      </w:hyperlink>
    </w:p>
    <w:p>
      <w:pPr>
        <w:pStyle w:val="BodyText"/>
        <w:numPr>
          <w:ilvl w:val="0"/>
          <w:numId w:val="3"/>
        </w:numPr>
        <w:tabs>
          <w:tab w:val="clear" w:pos="709"/>
          <w:tab w:val="left" w:pos="709" w:leader="none"/>
        </w:tabs>
        <w:bidi w:val="0"/>
        <w:ind w:hanging="283" w:start="709"/>
        <w:jc w:val="start"/>
        <w:rPr/>
      </w:pPr>
      <w:r>
        <w:rPr/>
        <w:t xml:space="preserve">Cobb &amp; Gonzalez, </w:t>
      </w:r>
      <w:r>
        <w:rPr>
          <w:rStyle w:val="Emphasis"/>
        </w:rPr>
        <w:t>Construction Lien Releases in Florida</w:t>
      </w:r>
      <w:r>
        <w:rPr/>
        <w:t xml:space="preserve"> (2020) (advising that </w:t>
      </w:r>
      <w:r>
        <w:rPr>
          <w:rStyle w:val="Strong"/>
        </w:rPr>
        <w:t>conditional</w:t>
      </w:r>
      <w:r>
        <w:rPr/>
        <w:t xml:space="preserve"> releases should be used when payment is by check and that Florida law </w:t>
      </w:r>
      <w:r>
        <w:rPr>
          <w:rStyle w:val="Strong"/>
        </w:rPr>
        <w:t>allows</w:t>
      </w:r>
      <w:r>
        <w:rPr/>
        <w:t xml:space="preserve"> adding language voiding the release if the check fails)</w:t>
      </w:r>
      <w:hyperlink r:id="rId78" w:anchor=":~:text=prohibited,of%20its%20lien%20rights%20if" w:tgtFrame="_blank">
        <w:r>
          <w:rPr>
            <w:rStyle w:val="Hyperlink"/>
          </w:rPr>
          <w:t>cobbgonzalez.com</w:t>
        </w:r>
      </w:hyperlink>
      <w:hyperlink r:id="rId79" w:anchor=":~:text=of%20the%20check,tool%20%E2%80%93%20the%20construction%20lien" w:tgtFrame="_blank">
        <w:r>
          <w:rPr>
            <w:rStyle w:val="Hyperlink"/>
          </w:rPr>
          <w:t>cobbgonzalez.com</w:t>
        </w:r>
      </w:hyperlink>
    </w:p>
    <w:p>
      <w:pPr>
        <w:pStyle w:val="BodyText"/>
        <w:numPr>
          <w:ilvl w:val="0"/>
          <w:numId w:val="3"/>
        </w:numPr>
        <w:tabs>
          <w:tab w:val="clear" w:pos="709"/>
          <w:tab w:val="left" w:pos="709" w:leader="none"/>
        </w:tabs>
        <w:bidi w:val="0"/>
        <w:ind w:hanging="283" w:start="709"/>
        <w:jc w:val="start"/>
        <w:rPr/>
      </w:pPr>
      <w:r>
        <w:rPr/>
        <w:t xml:space="preserve">Jimerson Birr, </w:t>
      </w:r>
      <w:r>
        <w:rPr>
          <w:rStyle w:val="Emphasis"/>
        </w:rPr>
        <w:t>Construction Law FAQs</w:t>
      </w:r>
      <w:r>
        <w:rPr/>
        <w:t xml:space="preserve"> (2021) (noting Florida courts consider a </w:t>
      </w:r>
      <w:r>
        <w:rPr>
          <w:rStyle w:val="Strong"/>
        </w:rPr>
        <w:t>returned check as valid consideration</w:t>
      </w:r>
      <w:r>
        <w:rPr/>
        <w:t xml:space="preserve"> for a lien release absent a condition, and recommending explicit conditional wording to protect lienors)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Unicode M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Unicode MS"/>
      <w:b/>
      <w:bCs/>
      <w:sz w:val="36"/>
      <w:szCs w:val="36"/>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obbgonzalez.com/construction-lien-releases-in-florida/" TargetMode="External"/><Relationship Id="rId3" Type="http://schemas.openxmlformats.org/officeDocument/2006/relationships/hyperlink" Target="https://caselaw.findlaw.com/court/fl-district-court-of-appeal/1581927.html" TargetMode="External"/><Relationship Id="rId4" Type="http://schemas.openxmlformats.org/officeDocument/2006/relationships/hyperlink" Target="https://www.cobbgonzalez.com/construction-lien-releases-in-florida/" TargetMode="External"/><Relationship Id="rId5" Type="http://schemas.openxmlformats.org/officeDocument/2006/relationships/hyperlink" Target="https://www.cobbgonzalez.com/construction-lien-releases-in-florida/" TargetMode="External"/><Relationship Id="rId6" Type="http://schemas.openxmlformats.org/officeDocument/2006/relationships/hyperlink" Target="https://ww3.gcpay.com/blog/lien-waiver-requirements-by-state/" TargetMode="External"/><Relationship Id="rId7" Type="http://schemas.openxmlformats.org/officeDocument/2006/relationships/hyperlink" Target="https://www.gray-robinson.com/docs/Georgia%20Lien%20Law%20-%202015.PPTX" TargetMode="External"/><Relationship Id="rId8" Type="http://schemas.openxmlformats.org/officeDocument/2006/relationships/hyperlink" Target="https://case-law.vlex.com/vid/lehman-v-snyder-894143381" TargetMode="External"/><Relationship Id="rId9" Type="http://schemas.openxmlformats.org/officeDocument/2006/relationships/hyperlink" Target="https://case-law.vlex.com/vid/lehman-v-snyder-894143381" TargetMode="External"/><Relationship Id="rId10" Type="http://schemas.openxmlformats.org/officeDocument/2006/relationships/hyperlink" Target="https://case-law.vlex.com/vid/gulf-stream-lumber-co-885439995" TargetMode="External"/><Relationship Id="rId11" Type="http://schemas.openxmlformats.org/officeDocument/2006/relationships/hyperlink" Target="https://case-law.vlex.com/vid/gulf-stream-lumber-co-885439995" TargetMode="External"/><Relationship Id="rId12" Type="http://schemas.openxmlformats.org/officeDocument/2006/relationships/hyperlink" Target="https://case-law.vlex.com/vid/gulf-stream-lumber-co-885439995" TargetMode="External"/><Relationship Id="rId13" Type="http://schemas.openxmlformats.org/officeDocument/2006/relationships/hyperlink" Target="https://case-law.vlex.com/vid/klein-development-v-ellis-891044842" TargetMode="External"/><Relationship Id="rId14" Type="http://schemas.openxmlformats.org/officeDocument/2006/relationships/hyperlink" Target="https://case-law.vlex.com/vid/klein-development-v-ellis-891044842" TargetMode="External"/><Relationship Id="rId15" Type="http://schemas.openxmlformats.org/officeDocument/2006/relationships/hyperlink" Target="https://www.jimersonfirm.com/blog/resources/faqs/construction-law/" TargetMode="External"/><Relationship Id="rId16" Type="http://schemas.openxmlformats.org/officeDocument/2006/relationships/hyperlink" Target="https://www.jimersonfirm.com/blog/resources/faqs/construction-law/" TargetMode="External"/><Relationship Id="rId17" Type="http://schemas.openxmlformats.org/officeDocument/2006/relationships/hyperlink" Target="https://www.cobbgonzalez.com/construction-lien-releases-in-florida/" TargetMode="External"/><Relationship Id="rId18" Type="http://schemas.openxmlformats.org/officeDocument/2006/relationships/hyperlink" Target="https://www.cobbgonzalez.com/construction-lien-releases-in-florida/" TargetMode="External"/><Relationship Id="rId19" Type="http://schemas.openxmlformats.org/officeDocument/2006/relationships/hyperlink" Target="https://www.cobbgonzalez.com/construction-lien-releases-in-florida/" TargetMode="External"/><Relationship Id="rId20" Type="http://schemas.openxmlformats.org/officeDocument/2006/relationships/hyperlink" Target="https://case-law.vlex.com/vid/klein-development-v-ellis-891044842" TargetMode="External"/><Relationship Id="rId21" Type="http://schemas.openxmlformats.org/officeDocument/2006/relationships/hyperlink" Target="https://case-law.vlex.com/vid/klein-development-v-ellis-891044842" TargetMode="External"/><Relationship Id="rId22" Type="http://schemas.openxmlformats.org/officeDocument/2006/relationships/hyperlink" Target="https://www.cobbgonzalez.com/construction-lien-releases-in-florida/" TargetMode="External"/><Relationship Id="rId23" Type="http://schemas.openxmlformats.org/officeDocument/2006/relationships/hyperlink" Target="https://www.cobbgonzalez.com/construction-lien-releases-in-florida/" TargetMode="External"/><Relationship Id="rId24" Type="http://schemas.openxmlformats.org/officeDocument/2006/relationships/hyperlink" Target="https://www.cobbgonzalez.com/construction-lien-releases-in-florida/" TargetMode="External"/><Relationship Id="rId25" Type="http://schemas.openxmlformats.org/officeDocument/2006/relationships/hyperlink" Target="https://www.cobbgonzalez.com/construction-lien-releases-in-florida/" TargetMode="External"/><Relationship Id="rId26" Type="http://schemas.openxmlformats.org/officeDocument/2006/relationships/hyperlink" Target="https://www.cobbgonzalez.com/construction-lien-releases-in-florida/" TargetMode="External"/><Relationship Id="rId27" Type="http://schemas.openxmlformats.org/officeDocument/2006/relationships/hyperlink" Target="https://www.cobbgonzalez.com/construction-lien-releases-in-florida/" TargetMode="External"/><Relationship Id="rId28" Type="http://schemas.openxmlformats.org/officeDocument/2006/relationships/hyperlink" Target="https://www.justanswer.com/law/s5bcf-received-final-payment-affidavit-gc-quit.html" TargetMode="External"/><Relationship Id="rId29" Type="http://schemas.openxmlformats.org/officeDocument/2006/relationships/hyperlink" Target="https://www.cobbgonzalez.com/construction-lien-releases-in-florida/" TargetMode="External"/><Relationship Id="rId30" Type="http://schemas.openxmlformats.org/officeDocument/2006/relationships/hyperlink" Target="https://www.cobbgonzalez.com/construction-lien-releases-in-florida/" TargetMode="External"/><Relationship Id="rId31" Type="http://schemas.openxmlformats.org/officeDocument/2006/relationships/hyperlink" Target="https://case-law.vlex.com/vid/lehman-v-snyder-894143381" TargetMode="External"/><Relationship Id="rId32" Type="http://schemas.openxmlformats.org/officeDocument/2006/relationships/hyperlink" Target="https://case-law.vlex.com/vid/lehman-v-snyder-894143381" TargetMode="External"/><Relationship Id="rId33" Type="http://schemas.openxmlformats.org/officeDocument/2006/relationships/hyperlink" Target="https://www.jimersonfirm.com/blog/resources/faqs/construction-law/" TargetMode="External"/><Relationship Id="rId34" Type="http://schemas.openxmlformats.org/officeDocument/2006/relationships/hyperlink" Target="https://www.jimersonfirm.com/blog/resources/faqs/construction-law/" TargetMode="External"/><Relationship Id="rId35" Type="http://schemas.openxmlformats.org/officeDocument/2006/relationships/hyperlink" Target="https://case-law.vlex.com/vid/gulf-stream-lumber-co-885439995" TargetMode="External"/><Relationship Id="rId36" Type="http://schemas.openxmlformats.org/officeDocument/2006/relationships/hyperlink" Target="https://case-law.vlex.com/vid/gulf-stream-lumber-co-885439995" TargetMode="External"/><Relationship Id="rId37" Type="http://schemas.openxmlformats.org/officeDocument/2006/relationships/hyperlink" Target="https://www.gray-robinson.com/docs/Georgia%20Lien%20Law%20-%202015.PPTX" TargetMode="External"/><Relationship Id="rId38" Type="http://schemas.openxmlformats.org/officeDocument/2006/relationships/hyperlink" Target="https://www.gray-robinson.com/docs/Georgia%20Lien%20Law%20-%202015.PPTX" TargetMode="External"/><Relationship Id="rId39" Type="http://schemas.openxmlformats.org/officeDocument/2006/relationships/hyperlink" Target="https://www.dri.org/docs/default-source/webdocs/other/2021/april/construction-law-case-update.pdf?sfvrsn=2" TargetMode="External"/><Relationship Id="rId40" Type="http://schemas.openxmlformats.org/officeDocument/2006/relationships/hyperlink" Target="https://www.troutman.com/insights/revisiting-lien-waivers-you-may-be-releasing-more-than-you-bargained-for.html" TargetMode="External"/><Relationship Id="rId41" Type="http://schemas.openxmlformats.org/officeDocument/2006/relationships/hyperlink" Target="https://case-law.vlex.com/vid/klein-development-v-ellis-891044842" TargetMode="External"/><Relationship Id="rId42" Type="http://schemas.openxmlformats.org/officeDocument/2006/relationships/hyperlink" Target="https://case-law.vlex.com/vid/klein-development-v-ellis-891044842" TargetMode="External"/><Relationship Id="rId43" Type="http://schemas.openxmlformats.org/officeDocument/2006/relationships/hyperlink" Target="https://www.cobbgonzalez.com/construction-lien-releases-in-florida/" TargetMode="External"/><Relationship Id="rId44" Type="http://schemas.openxmlformats.org/officeDocument/2006/relationships/hyperlink" Target="https://www.flsenate.gov/Session/Bill/2020/868/Analyses/2020s00868.pre.ju.PDF" TargetMode="External"/><Relationship Id="rId45" Type="http://schemas.openxmlformats.org/officeDocument/2006/relationships/hyperlink" Target="https://caselaw.findlaw.com/court/fl-district-court-of-appeal/1581927.html" TargetMode="External"/><Relationship Id="rId46" Type="http://schemas.openxmlformats.org/officeDocument/2006/relationships/hyperlink" Target="https://caselaw.findlaw.com/court/fl-district-court-of-appeal/1581927.html" TargetMode="External"/><Relationship Id="rId47" Type="http://schemas.openxmlformats.org/officeDocument/2006/relationships/hyperlink" Target="https://caselaw.findlaw.com/court/fl-district-court-of-appeal/1581927.html" TargetMode="External"/><Relationship Id="rId48" Type="http://schemas.openxmlformats.org/officeDocument/2006/relationships/hyperlink" Target="https://caselaw.findlaw.com/court/fl-district-court-of-appeal/1581927.html" TargetMode="External"/><Relationship Id="rId49" Type="http://schemas.openxmlformats.org/officeDocument/2006/relationships/hyperlink" Target="https://www.floridabar.org/the-florida-bar-journal/when-is-a-final-construction-lien-release-really-final/" TargetMode="External"/><Relationship Id="rId50" Type="http://schemas.openxmlformats.org/officeDocument/2006/relationships/hyperlink" Target="https://www.floridabar.org/the-florida-bar-journal/when-is-a-final-construction-lien-release-really-final/" TargetMode="External"/><Relationship Id="rId51" Type="http://schemas.openxmlformats.org/officeDocument/2006/relationships/hyperlink" Target="https://www.floridabar.org/the-florida-bar-journal/when-is-a-final-construction-lien-release-really-final/" TargetMode="External"/><Relationship Id="rId52" Type="http://schemas.openxmlformats.org/officeDocument/2006/relationships/hyperlink" Target="https://hammerngavel.com/blog/proposed-statute-would-make-use-of-statutory-construction-lien-release-forms-mandatory" TargetMode="External"/><Relationship Id="rId53" Type="http://schemas.openxmlformats.org/officeDocument/2006/relationships/hyperlink" Target="https://www.cobbgonzalez.com/construction-lien-releases-in-florida/" TargetMode="External"/><Relationship Id="rId54" Type="http://schemas.openxmlformats.org/officeDocument/2006/relationships/hyperlink" Target="https://www.cobbgonzalez.com/construction-lien-releases-in-florida/" TargetMode="External"/><Relationship Id="rId55" Type="http://schemas.openxmlformats.org/officeDocument/2006/relationships/hyperlink" Target="https://www.cobbgonzalez.com/construction-lien-releases-in-florida/" TargetMode="External"/><Relationship Id="rId56" Type="http://schemas.openxmlformats.org/officeDocument/2006/relationships/hyperlink" Target="https://www.gray-robinson.com/docs/Georgia%20Lien%20Law%20-%202015.PPTX" TargetMode="External"/><Relationship Id="rId57" Type="http://schemas.openxmlformats.org/officeDocument/2006/relationships/hyperlink" Target="https://law.justia.com/codes/florida/title-xl/chapter-713/part-i/section-713-20/" TargetMode="External"/><Relationship Id="rId58" Type="http://schemas.openxmlformats.org/officeDocument/2006/relationships/hyperlink" Target="https://law.justia.com/codes/florida/title-xl/chapter-713/part-i/section-713-20/" TargetMode="External"/><Relationship Id="rId59" Type="http://schemas.openxmlformats.org/officeDocument/2006/relationships/hyperlink" Target="https://law.justia.com/codes/florida/title-xl/chapter-713/part-i/section-713-20/" TargetMode="External"/><Relationship Id="rId60" Type="http://schemas.openxmlformats.org/officeDocument/2006/relationships/hyperlink" Target="https://case-law.vlex.com/vid/klein-development-v-ellis-891044842" TargetMode="External"/><Relationship Id="rId61" Type="http://schemas.openxmlformats.org/officeDocument/2006/relationships/hyperlink" Target="https://www.jimersonfirm.com/blog/resources/faqs/construction-law/" TargetMode="External"/><Relationship Id="rId62" Type="http://schemas.openxmlformats.org/officeDocument/2006/relationships/hyperlink" Target="https://case-law.vlex.com/vid/gulf-stream-lumber-co-885439995" TargetMode="External"/><Relationship Id="rId63" Type="http://schemas.openxmlformats.org/officeDocument/2006/relationships/hyperlink" Target="https://www.jimersonfirm.com/blog/resources/faqs/construction-law/" TargetMode="External"/><Relationship Id="rId64" Type="http://schemas.openxmlformats.org/officeDocument/2006/relationships/hyperlink" Target="https://www.cobbgonzalez.com/construction-lien-releases-in-florida/" TargetMode="External"/><Relationship Id="rId65" Type="http://schemas.openxmlformats.org/officeDocument/2006/relationships/hyperlink" Target="https://www.cobbgonzalez.com/construction-lien-releases-in-florida/" TargetMode="External"/><Relationship Id="rId66" Type="http://schemas.openxmlformats.org/officeDocument/2006/relationships/hyperlink" Target="https://case-law.vlex.com/vid/lehman-v-snyder-894143381" TargetMode="External"/><Relationship Id="rId67" Type="http://schemas.openxmlformats.org/officeDocument/2006/relationships/hyperlink" Target="https://case-law.vlex.com/vid/lehman-v-snyder-894143381" TargetMode="External"/><Relationship Id="rId68" Type="http://schemas.openxmlformats.org/officeDocument/2006/relationships/hyperlink" Target="https://case-law.vlex.com/vid/gulf-stream-lumber-co-885439995" TargetMode="External"/><Relationship Id="rId69" Type="http://schemas.openxmlformats.org/officeDocument/2006/relationships/hyperlink" Target="https://case-law.vlex.com/vid/gulf-stream-lumber-co-885439995" TargetMode="External"/><Relationship Id="rId70" Type="http://schemas.openxmlformats.org/officeDocument/2006/relationships/hyperlink" Target="https://case-law.vlex.com/vid/klein-development-v-ellis-891044842" TargetMode="External"/><Relationship Id="rId71" Type="http://schemas.openxmlformats.org/officeDocument/2006/relationships/hyperlink" Target="https://case-law.vlex.com/vid/klein-development-v-ellis-891044842" TargetMode="External"/><Relationship Id="rId72" Type="http://schemas.openxmlformats.org/officeDocument/2006/relationships/hyperlink" Target="https://www.cobbgonzalez.com/construction-lien-releases-in-florida/" TargetMode="External"/><Relationship Id="rId73" Type="http://schemas.openxmlformats.org/officeDocument/2006/relationships/hyperlink" Target="https://www.cobbgonzalez.com/construction-lien-releases-in-florida/" TargetMode="External"/><Relationship Id="rId74" Type="http://schemas.openxmlformats.org/officeDocument/2006/relationships/hyperlink" Target="https://caselaw.findlaw.com/court/fl-district-court-of-appeal/1581927.html" TargetMode="External"/><Relationship Id="rId75" Type="http://schemas.openxmlformats.org/officeDocument/2006/relationships/hyperlink" Target="https://caselaw.findlaw.com/court/fl-district-court-of-appeal/1581927.html" TargetMode="External"/><Relationship Id="rId76" Type="http://schemas.openxmlformats.org/officeDocument/2006/relationships/hyperlink" Target="https://www.floridabar.org/the-florida-bar-journal/when-is-a-final-construction-lien-release-really-final/" TargetMode="External"/><Relationship Id="rId77" Type="http://schemas.openxmlformats.org/officeDocument/2006/relationships/hyperlink" Target="https://www.floridabar.org/the-florida-bar-journal/when-is-a-final-construction-lien-release-really-final/" TargetMode="External"/><Relationship Id="rId78" Type="http://schemas.openxmlformats.org/officeDocument/2006/relationships/hyperlink" Target="https://www.cobbgonzalez.com/construction-lien-releases-in-florida/" TargetMode="External"/><Relationship Id="rId79" Type="http://schemas.openxmlformats.org/officeDocument/2006/relationships/hyperlink" Target="https://www.cobbgonzalez.com/construction-lien-releases-in-florida/" TargetMode="External"/><Relationship Id="rId80" Type="http://schemas.openxmlformats.org/officeDocument/2006/relationships/numbering" Target="numbering.xml"/><Relationship Id="rId81" Type="http://schemas.openxmlformats.org/officeDocument/2006/relationships/fontTable" Target="fontTable.xml"/><Relationship Id="rId82" Type="http://schemas.openxmlformats.org/officeDocument/2006/relationships/settings" Target="settings.xml"/><Relationship Id="rId8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LibreOffice/25.2.6.2$Windows_X86_64 LibreOffice_project/729c5bfe710f5eb71ed3bbde9e06a6065e9c6c5d</Application>
  <AppVersion>15.0000</AppVersion>
  <Pages>7</Pages>
  <Words>3943</Words>
  <Characters>21909</Characters>
  <CharactersWithSpaces>25819</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2025-11-30T21:54:12Z</dcterms:created>
  <dc:creator/>
  <dc:description/>
  <dc:language>en-US</dc:language>
  <cp:lastModifiedBy/>
  <dcterms:modified xsi:type="dcterms:W3CDTF">2025-11-30T21:54:49Z</dcterms:modified>
  <cp:revision>1</cp:revision>
  <dc:subject/>
  <dc:title/>
</cp:coreProperties>
</file>