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4.jpeg" ContentType="image/jpe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Florida’s Statutory Lien Waiver Forms in Court Decisions</w:t>
      </w:r>
    </w:p>
    <w:p>
      <w:pPr>
        <w:pStyle w:val="Heading2"/>
        <w:bidi w:val="0"/>
        <w:jc w:val="start"/>
        <w:rPr/>
      </w:pPr>
      <w:r>
        <w:rPr/>
        <w:t>Timeliness &amp; Conditional-Payment Language</w:t>
      </w:r>
    </w:p>
    <w:p>
      <w:pPr>
        <w:pStyle w:val="BodyText"/>
        <w:bidi w:val="0"/>
        <w:jc w:val="start"/>
        <w:rPr/>
      </w:pPr>
      <w:r>
        <w:rPr/>
        <w:t xml:space="preserve">Florida law prohibits waiving lien rights </w:t>
      </w:r>
      <w:r>
        <w:rPr>
          <w:rStyle w:val="Strong"/>
        </w:rPr>
        <w:t>in advance</w:t>
      </w:r>
      <w:r>
        <w:rPr/>
        <w:t xml:space="preserve"> of work being performed (no pre-work waivers). A lienor can waive rights only for labor or materials </w:t>
      </w:r>
      <w:r>
        <w:rPr>
          <w:rStyle w:val="Strong"/>
        </w:rPr>
        <w:t>already furnished</w:t>
      </w:r>
      <w:r>
        <w:rPr/>
        <w:t>, not for future work</w:t>
      </w:r>
      <w:hyperlink r:id="rId2" w:anchor=":~:text=,made%20in%20advance%20is%20unenforceable" w:tgtFrame="_blank">
        <w:r>
          <w:rPr>
            <w:rStyle w:val="Hyperlink"/>
          </w:rPr>
          <w:t>codes.findlaw.com</w:t>
        </w:r>
      </w:hyperlink>
      <w:r>
        <w:rPr/>
        <w:t xml:space="preserve">. In practice, this means each waiver should cover only the period of work actually paid for. Courts emphasize that a partial (progress) release should waive lien claims </w:t>
      </w:r>
      <w:r>
        <w:rPr>
          <w:rStyle w:val="Strong"/>
        </w:rPr>
        <w:t>only to the extent of payment received</w:t>
      </w:r>
      <w:r>
        <w:rPr/>
        <w:t>. A common error is signing a waiver through the current date even though payment covers only earlier work – effectively giving up lien rights for unpaid work performed after the billing cutoff. Unless the lienor can prove mutual mistake or misconduct by the payor to reform the document, such overbroad waivers are enforced as written.</w:t>
      </w:r>
    </w:p>
    <w:p>
      <w:pPr>
        <w:pStyle w:val="BodyText"/>
        <w:bidi w:val="0"/>
        <w:jc w:val="start"/>
        <w:rPr/>
      </w:pPr>
      <w:r>
        <w:rPr/>
        <w:t xml:space="preserve">Florida’s statutory forms do </w:t>
      </w:r>
      <w:r>
        <w:rPr>
          <w:rStyle w:val="Strong"/>
        </w:rPr>
        <w:t>not</w:t>
      </w:r>
      <w:r>
        <w:rPr/>
        <w:t xml:space="preserve"> themselves state any condition on payment, so a signed form is, by default, an </w:t>
      </w:r>
      <w:r>
        <w:rPr>
          <w:rStyle w:val="Strong"/>
        </w:rPr>
        <w:t>unconditional</w:t>
      </w:r>
      <w:r>
        <w:rPr/>
        <w:t xml:space="preserve"> waiver of lien rights for the specified period or final payment</w:t>
      </w:r>
      <w:hyperlink r:id="rId3" w:anchor=":~:text=WAIVER%20AND%20RELEASE%20OF%20LIEN,UPON%20PROGRESS%20PAYMENT" w:tgtFrame="_blank">
        <w:r>
          <w:rPr>
            <w:rStyle w:val="Hyperlink"/>
          </w:rPr>
          <w:t>codes.findlaw.com</w:t>
        </w:r>
      </w:hyperlink>
      <w:hyperlink r:id="rId4" w:anchor=":~:text=WAIVER%20AND%20RELEASE%20OF%20LIEN,UPON%20FINAL%20PAYMENT" w:tgtFrame="_blank">
        <w:r>
          <w:rPr>
            <w:rStyle w:val="Hyperlink"/>
          </w:rPr>
          <w:t>codes.findlaw.com</w:t>
        </w:r>
      </w:hyperlink>
      <w:r>
        <w:rPr/>
        <w:t xml:space="preserve">. To protect themselves when payment is not yet assured (e.g. if paid by check), lienors should add </w:t>
      </w:r>
      <w:r>
        <w:rPr>
          <w:rStyle w:val="Strong"/>
        </w:rPr>
        <w:t>conditional language</w:t>
      </w:r>
      <w:r>
        <w:rPr/>
        <w:t xml:space="preserve">. The statute expressly allows a lienor who executes a waiver “in exchange for a check” to </w:t>
      </w:r>
      <w:r>
        <w:rPr>
          <w:rStyle w:val="Strong"/>
        </w:rPr>
        <w:t>condition the waiver on the check clearing</w:t>
      </w:r>
      <w:hyperlink r:id="rId5" w:anchor=":~:text=,5" w:tgtFrame="_blank">
        <w:r>
          <w:rPr>
            <w:rStyle w:val="Hyperlink"/>
          </w:rPr>
          <w:t>codes.findlaw.com</w:t>
        </w:r>
      </w:hyperlink>
      <w:r>
        <w:rPr/>
        <w:t xml:space="preserve">. Courts have approved adding such conditions. For example, in </w:t>
      </w:r>
      <w:r>
        <w:rPr>
          <w:rStyle w:val="Emphasis"/>
        </w:rPr>
        <w:t>Klein Development v. Ellis K. Phelps &amp; Co.</w:t>
      </w:r>
      <w:r>
        <w:rPr/>
        <w:t xml:space="preserve"> a subcontractor faxed a signed lien release in exchange for a check that later bounced; the subcontractor never delivered the original release and testified it intended the faxed copy to be conditional until actual payment</w:t>
      </w:r>
      <w:hyperlink r:id="rId6" w:anchor=":~:text=In%20addition%20to%20Morin%27s%20affidavit%2C,waiting%20for%20Cadenhead%27s%20check%20to" w:tgtFrame="_blank">
        <w:r>
          <w:rPr>
            <w:rStyle w:val="Hyperlink"/>
          </w:rPr>
          <w:t>caselaw.findlaw.com</w:t>
        </w:r>
      </w:hyperlink>
      <w:hyperlink r:id="rId7" w:anchor=":~:text=clear,Phelps%27%20intent%20was%20not%20contradicted" w:tgtFrame="_blank">
        <w:r>
          <w:rPr>
            <w:rStyle w:val="Hyperlink"/>
          </w:rPr>
          <w:t>caselaw.findlaw.com</w:t>
        </w:r>
      </w:hyperlink>
      <w:r>
        <w:rPr/>
        <w:t xml:space="preserve">. The court held the lien was not waived – noting the owner had </w:t>
      </w:r>
      <w:r>
        <w:rPr>
          <w:rStyle w:val="Strong"/>
        </w:rPr>
        <w:t>not relied</w:t>
      </w:r>
      <w:r>
        <w:rPr/>
        <w:t xml:space="preserve"> by paying out any funds – and accepted that the release was not intended to be binding until payment</w:t>
      </w:r>
      <w:hyperlink r:id="rId8" w:anchor=":~:text=Klein%27s%20actions%20also%20show%20that,the%20letter%2C%20Klein%20was%20conducting" w:tgtFrame="_blank">
        <w:r>
          <w:rPr>
            <w:rStyle w:val="Hyperlink"/>
          </w:rPr>
          <w:t>caselaw.findlaw.com</w:t>
        </w:r>
      </w:hyperlink>
      <w:hyperlink r:id="rId9" w:anchor=":~:text=Klein%20argues%20on%20appeal%20that,reliance%20on%20the%20release%20of" w:tgtFrame="_blank">
        <w:r>
          <w:rPr>
            <w:rStyle w:val="Hyperlink"/>
          </w:rPr>
          <w:t>caselaw.findlaw.com</w:t>
        </w:r>
      </w:hyperlink>
      <w:r>
        <w:rPr/>
        <w:t xml:space="preserve">. This outcome illustrates that a waiver given </w:t>
      </w:r>
      <w:r>
        <w:rPr>
          <w:rStyle w:val="Strong"/>
        </w:rPr>
        <w:t>before</w:t>
      </w:r>
      <w:r>
        <w:rPr/>
        <w:t xml:space="preserve"> payment can be deemed ineffective if the parties understood it to be conditional and the owner did not act in reliance. However, this is the exception rather than the rule. Generally, to avoid litigation over intent, lienors should </w:t>
      </w:r>
      <w:r>
        <w:rPr>
          <w:rStyle w:val="Strong"/>
        </w:rPr>
        <w:t>explicitly write</w:t>
      </w:r>
      <w:r>
        <w:rPr/>
        <w:t xml:space="preserve"> any conditions (e.g. “This release is conditioned upon actual receipt of payment”) into the waiver document. Such conditional modifications are permitted by Florida law and do not violate the “substantially similar” form requirement.</w:t>
      </w:r>
    </w:p>
    <w:p>
      <w:pPr>
        <w:pStyle w:val="BodyText"/>
        <w:bidi w:val="0"/>
        <w:jc w:val="start"/>
        <w:rPr/>
      </w:pPr>
      <w:r>
        <w:rPr/>
        <w:t xml:space="preserve">It’s important to note that a lienor’s contract with a contractor can affect this dynamic. If the subcontract explicitly </w:t>
      </w:r>
      <w:r>
        <w:rPr>
          <w:rStyle w:val="Strong"/>
        </w:rPr>
        <w:t>requires unconditional releases</w:t>
      </w:r>
      <w:r>
        <w:rPr/>
        <w:t xml:space="preserve"> in exchange for progress payments, the lienor may be contractually bound to furnish an unconditional waiver before getting paid. In </w:t>
      </w:r>
      <w:r>
        <w:rPr>
          <w:rStyle w:val="Emphasis"/>
        </w:rPr>
        <w:t>Team Land Development, Inc. v. Anzac Contractors, Inc.</w:t>
      </w:r>
      <w:r>
        <w:rPr/>
        <w:t>, a subcontractor’s right to payment was conditioned on providing an unconditional final lien release (the statutory final form)</w:t>
      </w:r>
      <w:hyperlink r:id="rId10" w:anchor=":~:text=FLETCHER%2C%20J,2" w:tgtFrame="_blank">
        <w:r>
          <w:rPr>
            <w:rStyle w:val="Hyperlink"/>
          </w:rPr>
          <w:t>law.justia.com</w:t>
        </w:r>
      </w:hyperlink>
      <w:r>
        <w:rPr/>
        <w:t xml:space="preserve">. The court enforced that requirement, treating the delivery of a proper final waiver as a </w:t>
      </w:r>
      <w:r>
        <w:rPr>
          <w:rStyle w:val="Strong"/>
        </w:rPr>
        <w:t>condition precedent</w:t>
      </w:r>
      <w:r>
        <w:rPr/>
        <w:t xml:space="preserve"> to payment</w:t>
      </w:r>
      <w:hyperlink r:id="rId11" w:anchor=":~:text=FLETCHER%2C%20J,2" w:tgtFrame="_blank">
        <w:r>
          <w:rPr>
            <w:rStyle w:val="Hyperlink"/>
          </w:rPr>
          <w:t>law.justia.com</w:t>
        </w:r>
      </w:hyperlink>
      <w:r>
        <w:rPr/>
        <w:t>. In practice, then, lienors should negotiate or be aware of such clauses: while the statute allows conditional waivers, agreeing by contract to give up that protection means the lienor must comply or risk nonpayment. The key is timing and clarity – a lien waiver should only be executed for the period that has been paid, and if payment is not secure, it should be made conditional to preserve rights.</w:t>
      </w:r>
    </w:p>
    <w:p>
      <w:pPr>
        <w:pStyle w:val="Heading2"/>
        <w:bidi w:val="0"/>
        <w:jc w:val="start"/>
        <w:rPr/>
      </w:pPr>
      <w:r>
        <w:rPr/>
        <w:t>Statutory-Form Deviations and Overbroad Waivers</w:t>
      </w:r>
    </w:p>
    <w:p>
      <w:pPr>
        <w:pStyle w:val="BodyText"/>
        <w:bidi w:val="0"/>
        <w:jc w:val="start"/>
        <w:rPr/>
      </w:pPr>
      <w:r>
        <w:rPr/>
        <w:t xml:space="preserve">Florida’s lien waiver forms are set forth in Fla. Stat. §713.20(4) (progress payment) and §713.20(5) (final payment), and </w:t>
      </w:r>
      <w:r>
        <w:rPr>
          <w:rStyle w:val="Strong"/>
        </w:rPr>
        <w:t>must be “substantially” in those forms</w:t>
      </w:r>
      <w:r>
        <w:rPr/>
        <w:t xml:space="preserve"> when a waiver is required as a condition of payment</w:t>
      </w:r>
      <w:hyperlink r:id="rId12" w:anchor=":~:text=,in%20substantially%20the%20following%20form" w:tgtFrame="_blank">
        <w:r>
          <w:rPr>
            <w:rStyle w:val="Hyperlink"/>
          </w:rPr>
          <w:t>codes.findlaw.com</w:t>
        </w:r>
      </w:hyperlink>
      <w:hyperlink r:id="rId13" w:anchor=":~:text=,in%20substantially%20the%20following%20form" w:tgtFrame="_blank">
        <w:r>
          <w:rPr>
            <w:rStyle w:val="Hyperlink"/>
          </w:rPr>
          <w:t>codes.findlaw.com</w:t>
        </w:r>
      </w:hyperlink>
      <w:r>
        <w:rPr/>
        <w:t xml:space="preserve">. The legislative intent behind the 1996 adoption of mandatory forms was to curb the practice of some owners and contractors demanding waivers that included </w:t>
      </w:r>
      <w:r>
        <w:rPr>
          <w:rStyle w:val="Strong"/>
        </w:rPr>
        <w:t>extra obligations or waivers beyond lien rights</w:t>
      </w:r>
      <w:hyperlink r:id="rId14" w:anchor=":~:text=The%20apparent%20intent%20of%20the,warranties%2C%20indemnification%2C%20and%20other%20issues" w:tgtFrame="_blank">
        <w:r>
          <w:rPr>
            <w:rStyle w:val="Hyperlink"/>
          </w:rPr>
          <w:t>floridabar.org</w:t>
        </w:r>
      </w:hyperlink>
      <w:r>
        <w:rPr/>
        <w:t>. Before then, owners often insisted on “lien waivers” that also released other claims (contract rights, warranties, indemnities, etc.) as a condition of payment</w:t>
      </w:r>
      <w:hyperlink r:id="rId15" w:anchor=":~:text=The%20apparent%20intent%20of%20the,warranties%2C%20indemnification%2C%20and%20other%20issues" w:tgtFrame="_blank">
        <w:r>
          <w:rPr>
            <w:rStyle w:val="Hyperlink"/>
          </w:rPr>
          <w:t>floridabar.org</w:t>
        </w:r>
      </w:hyperlink>
      <w:r>
        <w:rPr/>
        <w:t xml:space="preserve">. Now, under §713.20(6), a lienor cannot be </w:t>
      </w:r>
      <w:r>
        <w:rPr>
          <w:rStyle w:val="Emphasis"/>
        </w:rPr>
        <w:t>forced</w:t>
      </w:r>
      <w:r>
        <w:rPr/>
        <w:t xml:space="preserve"> to sign a waiver form that diverges from the statutory text</w:t>
      </w:r>
      <w:hyperlink r:id="rId16" w:anchor=":~:text=,5" w:tgtFrame="_blank">
        <w:r>
          <w:rPr>
            <w:rStyle w:val="Hyperlink"/>
          </w:rPr>
          <w:t>codes.findlaw.com</w:t>
        </w:r>
      </w:hyperlink>
      <w:r>
        <w:rPr/>
        <w:t>. In other words, an owner or contractor may request only the statutory “Waiver and Release of Lien Upon Progress Payment” or “...Final Payment” language (or a form substantially similar). If they demand a broader or different form, they violate the statute.</w:t>
      </w:r>
    </w:p>
    <w:p>
      <w:pPr>
        <w:pStyle w:val="BodyText"/>
        <w:bidi w:val="0"/>
        <w:jc w:val="start"/>
        <w:rPr/>
      </w:pPr>
      <w:r>
        <w:rPr/>
        <w:t xml:space="preserve">Importantly, however, if a lienor </w:t>
      </w:r>
      <w:r>
        <w:rPr>
          <w:rStyle w:val="Strong"/>
        </w:rPr>
        <w:t>voluntarily signs a nonconforming form</w:t>
      </w:r>
      <w:r>
        <w:rPr/>
        <w:t>, it is enforceable according to its terms</w:t>
      </w:r>
      <w:hyperlink r:id="rId17" w:anchor=":~:text=,lien%20waiver%20or%20lien%20release" w:tgtFrame="_blank">
        <w:r>
          <w:rPr>
            <w:rStyle w:val="Hyperlink"/>
          </w:rPr>
          <w:t>codes.findlaw.com</w:t>
        </w:r>
      </w:hyperlink>
      <w:r>
        <w:rPr/>
        <w:t xml:space="preserve">. Section 713.20(8) provides that even a waiver not substantially similar to the statutory forms will be given effect as a contract. Thus, Florida courts treat a signed lien waiver like any other contract: the parties are free to agree to modifications, and once signed, the waiver will generally be enforced strictly. The downside for lienors is that overbroad language or deviations often operate against the lienor’s interests. For example, waiver forms that inadvertently waive lien rights for “all work through the date of this release” can </w:t>
      </w:r>
      <w:r>
        <w:rPr>
          <w:rStyle w:val="Strong"/>
        </w:rPr>
        <w:t>extinguish rights for unpaid work</w:t>
      </w:r>
      <w:r>
        <w:rPr/>
        <w:t xml:space="preserve"> unless exceptions are carved out. The Florida courts have consistently held that an unambiguous release </w:t>
      </w:r>
      <w:r>
        <w:rPr>
          <w:rStyle w:val="Strong"/>
        </w:rPr>
        <w:t>means what it says</w:t>
      </w:r>
      <w:r>
        <w:rPr/>
        <w:t xml:space="preserve"> – courts will not rewrite a clear release to save a lienor who mistakenly gave up more rights than intended. In </w:t>
      </w:r>
      <w:r>
        <w:rPr>
          <w:rStyle w:val="Emphasis"/>
        </w:rPr>
        <w:t>Frank Maio General Contractor, Inc. v. Consolidated Electric Supply, Inc.</w:t>
      </w:r>
      <w:r>
        <w:rPr/>
        <w:t xml:space="preserve"> a supplier’s release was so broad that it barred the supplier’s claim, even though the supplier argued it only meant to release some invoices. The Fourth DCA flatly rejected any attempt to avoid the </w:t>
      </w:r>
      <w:r>
        <w:rPr>
          <w:rStyle w:val="Strong"/>
        </w:rPr>
        <w:t>unambiguous terms of the release</w:t>
      </w:r>
      <w:r>
        <w:rPr/>
        <w:t xml:space="preserve">, noting a unilateral mistake by the lienor is not grounds to undo the release. Likewise, in </w:t>
      </w:r>
      <w:r>
        <w:rPr>
          <w:rStyle w:val="Emphasis"/>
        </w:rPr>
        <w:t>Spectrum Interiors, Inc. v. Exterior Walls, Inc.</w:t>
      </w:r>
      <w:r>
        <w:rPr/>
        <w:t xml:space="preserve">, a subcontractor’s execution of </w:t>
      </w:r>
      <w:r>
        <w:rPr>
          <w:rStyle w:val="Strong"/>
        </w:rPr>
        <w:t>partial lien waivers up to certain dates</w:t>
      </w:r>
      <w:r>
        <w:rPr/>
        <w:t xml:space="preserve"> was held to assign its claims to the extent of those dates, stripping the sub of standing to recover for work performed before those dates. The waiver forms in </w:t>
      </w:r>
      <w:r>
        <w:rPr>
          <w:rStyle w:val="Emphasis"/>
        </w:rPr>
        <w:t>Spectrum Interiors</w:t>
      </w:r>
      <w:r>
        <w:rPr/>
        <w:t xml:space="preserve"> were signed under oath stating the sub had been paid in full through a date – the court enforced them and reversed a judgment for the sub, since any damages prior to the cutoff were waived. These cases underscore that </w:t>
      </w:r>
      <w:r>
        <w:rPr>
          <w:rStyle w:val="Strong"/>
        </w:rPr>
        <w:t>courts do not inquire into intent</w:t>
      </w:r>
      <w:r>
        <w:rPr/>
        <w:t xml:space="preserve"> when a release’s language is clear. Any </w:t>
      </w:r>
      <w:r>
        <w:rPr>
          <w:rStyle w:val="Strong"/>
        </w:rPr>
        <w:t>ambiguity</w:t>
      </w:r>
      <w:r>
        <w:rPr/>
        <w:t xml:space="preserve"> in a waiver is construed </w:t>
      </w:r>
      <w:r>
        <w:rPr>
          <w:rStyle w:val="Emphasis"/>
        </w:rPr>
        <w:t>against</w:t>
      </w:r>
      <w:r>
        <w:rPr/>
        <w:t xml:space="preserve"> the lienor as the drafting party, further emphasizing the need for precise language (citing </w:t>
      </w:r>
      <w:r>
        <w:rPr>
          <w:rStyle w:val="Emphasis"/>
        </w:rPr>
        <w:t>First Atlantic Bldg. Corp. v. Neubauer Constr. Co.</w:t>
      </w:r>
      <w:r>
        <w:rPr/>
        <w:t>, a release dispute where ambiguity was resolved against the subcontractor).</w:t>
      </w:r>
    </w:p>
    <w:p>
      <w:pPr>
        <w:pStyle w:val="BodyText"/>
        <w:bidi w:val="0"/>
        <w:jc w:val="start"/>
        <w:rPr/>
      </w:pPr>
      <w:r>
        <w:rPr/>
        <w:t>Because of §713.20(2)’s ban on advance waivers, any attempt to waive lien rights for future work is invalid by law</w:t>
      </w:r>
      <w:hyperlink r:id="rId18" w:anchor=":~:text=,made%20in%20advance%20is%20unenforceable" w:tgtFrame="_blank">
        <w:r>
          <w:rPr>
            <w:rStyle w:val="Hyperlink"/>
          </w:rPr>
          <w:t>codes.findlaw.com</w:t>
        </w:r>
      </w:hyperlink>
      <w:r>
        <w:rPr/>
        <w:t xml:space="preserve">. But overly broad </w:t>
      </w:r>
      <w:r>
        <w:rPr>
          <w:rStyle w:val="Strong"/>
        </w:rPr>
        <w:t>“through-date” clauses</w:t>
      </w:r>
      <w:r>
        <w:rPr/>
        <w:t xml:space="preserve"> can come close to waiving future work if misused. For example, if payment is intended to cover work through July 31, the waiver should list that date – not the later date of signature – and should </w:t>
      </w:r>
      <w:r>
        <w:rPr>
          <w:rStyle w:val="Strong"/>
        </w:rPr>
        <w:t>exclude any work not paid</w:t>
      </w:r>
      <w:r>
        <w:rPr/>
        <w:t xml:space="preserve"> (common exclusions are retainage, pending change orders, or specifically described claims). The statutory </w:t>
      </w:r>
      <w:r>
        <w:rPr>
          <w:rStyle w:val="Strong"/>
        </w:rPr>
        <w:t>progress payment form</w:t>
      </w:r>
      <w:r>
        <w:rPr/>
        <w:t xml:space="preserve"> fortunately includes a line: “This waiver and release does not cover any retention or labor, services, or materials furnished after the date specified”</w:t>
      </w:r>
      <w:hyperlink r:id="rId19" w:anchor=":~:text=The%20undersigned%20lienor%2C%20in%20consideration,to%20the%20following%20property" w:tgtFrame="_blank">
        <w:r>
          <w:rPr>
            <w:rStyle w:val="Hyperlink"/>
          </w:rPr>
          <w:t>codes.findlaw.com</w:t>
        </w:r>
      </w:hyperlink>
      <w:r>
        <w:rPr/>
        <w:t xml:space="preserve">. That automatically protects retainage and future work </w:t>
      </w:r>
      <w:r>
        <w:rPr>
          <w:rStyle w:val="Emphasis"/>
        </w:rPr>
        <w:t>if the form is properly filled out with a cutoff date</w:t>
      </w:r>
      <w:r>
        <w:rPr/>
        <w:t xml:space="preserve">. A drafting error would be to alter or omit that sentence; a lienor who signs a custom form </w:t>
      </w:r>
      <w:r>
        <w:rPr>
          <w:rStyle w:val="Emphasis"/>
        </w:rPr>
        <w:t>without</w:t>
      </w:r>
      <w:r>
        <w:rPr/>
        <w:t xml:space="preserve"> that retention savings clause or with an inappropriate date might inadvertently waive retainage. In sum, Florida decisions teach that lienors must be meticulous: use the statutory forms or </w:t>
      </w:r>
      <w:r>
        <w:rPr>
          <w:rStyle w:val="Emphasis"/>
        </w:rPr>
        <w:t>truly</w:t>
      </w:r>
      <w:r>
        <w:rPr/>
        <w:t xml:space="preserve"> similar language, and if using a different form, </w:t>
      </w:r>
      <w:r>
        <w:rPr>
          <w:rStyle w:val="Strong"/>
        </w:rPr>
        <w:t>preserve your rights in writing</w:t>
      </w:r>
      <w:r>
        <w:rPr/>
        <w:t xml:space="preserve"> at the time of signing (by limiting the scope to the payment received, and explicitly excepting any unpaid items). Owners and contractors, on the other hand, have an interest in broad waivers – but they cannot </w:t>
      </w:r>
      <w:r>
        <w:rPr>
          <w:rStyle w:val="Emphasis"/>
        </w:rPr>
        <w:t>compel</w:t>
      </w:r>
      <w:r>
        <w:rPr/>
        <w:t xml:space="preserve"> a broadened form by statute</w:t>
      </w:r>
      <w:hyperlink r:id="rId20" w:anchor=":~:text=,5" w:tgtFrame="_blank">
        <w:r>
          <w:rPr>
            <w:rStyle w:val="Hyperlink"/>
          </w:rPr>
          <w:t>codes.findlaw.com</w:t>
        </w:r>
      </w:hyperlink>
      <w:r>
        <w:rPr/>
        <w:t>. Their best protection is to stick to the statutory text (which is balanced to protect both sides) or obtain separate documents for any additional warranties or indemnities outside the lien law context.</w:t>
      </w:r>
    </w:p>
    <w:p>
      <w:pPr>
        <w:pStyle w:val="Heading2"/>
        <w:bidi w:val="0"/>
        <w:jc w:val="start"/>
        <w:rPr/>
      </w:pPr>
      <w:r>
        <w:rPr/>
        <w:t>Owner/Lender Reliance &amp; the “Proper-Payment” Defense</w:t>
      </w:r>
    </w:p>
    <w:p>
      <w:pPr>
        <w:pStyle w:val="BodyText"/>
        <w:bidi w:val="0"/>
        <w:jc w:val="start"/>
        <w:rPr/>
      </w:pPr>
      <w:r>
        <w:rPr/>
        <w:t xml:space="preserve">Florida’s Construction Lien Law is designed so that an owner who </w:t>
      </w:r>
      <w:r>
        <w:rPr>
          <w:rStyle w:val="Strong"/>
        </w:rPr>
        <w:t>properly pays</w:t>
      </w:r>
      <w:r>
        <w:rPr/>
        <w:t xml:space="preserve"> for a project will not have to pay for the same work twice</w:t>
      </w:r>
      <w:hyperlink r:id="rId21" w:anchor=":~:text=contract%20price,21" w:tgtFrame="_blank">
        <w:r>
          <w:rPr>
            <w:rStyle w:val="Hyperlink"/>
          </w:rPr>
          <w:t>floridabar.org</w:t>
        </w:r>
      </w:hyperlink>
      <w:hyperlink r:id="rId22" w:anchor=":~:text=%C2%A7713,22" w:tgtFrame="_blank">
        <w:r>
          <w:rPr>
            <w:rStyle w:val="Hyperlink"/>
          </w:rPr>
          <w:t>floridabar.org</w:t>
        </w:r>
      </w:hyperlink>
      <w:r>
        <w:rPr/>
        <w:t>. The “proper payment” defense essentially means that if the owner pays the general contractor and obtains lien waivers/releases from all lienors who have served a Notice to Owner (or who are listed in the contractor’s final affidavit) for the work covered, the owner’s property is protected from those lienors’ claims</w:t>
      </w:r>
      <w:hyperlink r:id="rId23" w:anchor=":~:text=contract%20price,21" w:tgtFrame="_blank">
        <w:r>
          <w:rPr>
            <w:rStyle w:val="Hyperlink"/>
          </w:rPr>
          <w:t>floridabar.org</w:t>
        </w:r>
      </w:hyperlink>
      <w:hyperlink r:id="rId24" w:anchor=":~:text=Thus%2C%20in%20order%20to%20avoid,waivers%20or%20releases%20will%20be" w:tgtFrame="_blank">
        <w:r>
          <w:rPr>
            <w:rStyle w:val="Hyperlink"/>
          </w:rPr>
          <w:t>floridabar.org</w:t>
        </w:r>
      </w:hyperlink>
      <w:r>
        <w:rPr/>
        <w:t xml:space="preserve">. In practice, owners and construction lenders </w:t>
      </w:r>
      <w:r>
        <w:rPr>
          <w:rStyle w:val="Strong"/>
        </w:rPr>
        <w:t>require signed waivers</w:t>
      </w:r>
      <w:r>
        <w:rPr/>
        <w:t xml:space="preserve"> for each progress payment precisely to invoke this protection. Florida courts have long upheld that an owner may rely on such releases to bar later lien claims. For instance, in </w:t>
      </w:r>
      <w:r>
        <w:rPr>
          <w:rStyle w:val="Emphasis"/>
        </w:rPr>
        <w:t>Gulf Stream Lumber Co. v. Lathrop</w:t>
      </w:r>
      <w:r>
        <w:rPr/>
        <w:t xml:space="preserve"> (Fla. 2d DCA 1959), an owner who paid the contractor in reliance on subcontractors’ lien releases was shielded from those subs’ liens – the subs were estopped because the owner had parted with funds on the strength of the releases</w:t>
      </w:r>
      <w:hyperlink r:id="rId25" w:anchor=":~:text=Klein%20argues%20on%20appeal%20that,reliance%20on%20the%20release%20of" w:tgtFrame="_blank">
        <w:r>
          <w:rPr>
            <w:rStyle w:val="Hyperlink"/>
          </w:rPr>
          <w:t>caselaw.findlaw.com</w:t>
        </w:r>
      </w:hyperlink>
      <w:hyperlink r:id="rId26" w:anchor=":~:text=subcontractors%27%20releases%20of%20lien,Phelps%20released%20its%20lien%20rights" w:tgtFrame="_blank">
        <w:r>
          <w:rPr>
            <w:rStyle w:val="Hyperlink"/>
          </w:rPr>
          <w:t>caselaw.findlaw.com</w:t>
        </w:r>
      </w:hyperlink>
      <w:r>
        <w:rPr/>
        <w:t xml:space="preserve">. This principle was earlier recognized by the Florida Supreme Court in </w:t>
      </w:r>
      <w:r>
        <w:rPr>
          <w:rStyle w:val="Emphasis"/>
        </w:rPr>
        <w:t>Lehman v. Snyder</w:t>
      </w:r>
      <w:r>
        <w:rPr/>
        <w:t xml:space="preserve"> (1955) (also cited in </w:t>
      </w:r>
      <w:r>
        <w:rPr>
          <w:rStyle w:val="Emphasis"/>
        </w:rPr>
        <w:t>Klein</w:t>
      </w:r>
      <w:r>
        <w:rPr/>
        <w:t xml:space="preserve">) as a fundamental fairness rule: an owner who </w:t>
      </w:r>
      <w:r>
        <w:rPr>
          <w:rStyle w:val="Strong"/>
        </w:rPr>
        <w:t>acts in good faith</w:t>
      </w:r>
      <w:r>
        <w:rPr/>
        <w:t>, paying the contract price out to the contractor while obtaining the required waivers, is entitled to finality and will not be forced to pay again to subs or suppliers who have waived their lien rights.</w:t>
      </w:r>
    </w:p>
    <w:p>
      <w:pPr>
        <w:pStyle w:val="BodyText"/>
        <w:bidi w:val="0"/>
        <w:jc w:val="start"/>
        <w:rPr/>
      </w:pPr>
      <w:r>
        <w:rPr/>
        <w:t xml:space="preserve">However, owner reliance must be </w:t>
      </w:r>
      <w:r>
        <w:rPr>
          <w:rStyle w:val="Strong"/>
        </w:rPr>
        <w:t>actual and reasonable</w:t>
      </w:r>
      <w:r>
        <w:rPr/>
        <w:t xml:space="preserve">. The </w:t>
      </w:r>
      <w:r>
        <w:rPr>
          <w:rStyle w:val="Emphasis"/>
        </w:rPr>
        <w:t>Klein</w:t>
      </w:r>
      <w:r>
        <w:rPr/>
        <w:t xml:space="preserve"> case demonstrates that mere possession of a signed waiver is not enough if the owner didn’t </w:t>
      </w:r>
      <w:r>
        <w:rPr>
          <w:rStyle w:val="Emphasis"/>
        </w:rPr>
        <w:t>do</w:t>
      </w:r>
      <w:r>
        <w:rPr/>
        <w:t xml:space="preserve"> anything in reliance. In </w:t>
      </w:r>
      <w:r>
        <w:rPr>
          <w:rStyle w:val="Emphasis"/>
        </w:rPr>
        <w:t>Klein</w:t>
      </w:r>
      <w:r>
        <w:rPr/>
        <w:t xml:space="preserve">, the developer (owner) received a faxed lien release from the sub-subcontractor but then </w:t>
      </w:r>
      <w:r>
        <w:rPr>
          <w:rStyle w:val="Emphasis"/>
        </w:rPr>
        <w:t>withheld payment</w:t>
      </w:r>
      <w:r>
        <w:rPr/>
        <w:t xml:space="preserve"> to the contractor due to an unrelated dispute</w:t>
      </w:r>
      <w:hyperlink r:id="rId27" w:anchor=":~:text=Phelps%20performed%20its%20obligations%20under,When%20Cadenhead%20refused%20to%20make" w:tgtFrame="_blank">
        <w:r>
          <w:rPr>
            <w:rStyle w:val="Hyperlink"/>
          </w:rPr>
          <w:t>caselaw.findlaw.com</w:t>
        </w:r>
      </w:hyperlink>
      <w:hyperlink r:id="rId28" w:anchor=":~:text=Klein%20argues%20on%20appeal%20that,reliance%20on%20the%20release%20of" w:tgtFrame="_blank">
        <w:r>
          <w:rPr>
            <w:rStyle w:val="Hyperlink"/>
          </w:rPr>
          <w:t>caselaw.findlaw.com</w:t>
        </w:r>
      </w:hyperlink>
      <w:r>
        <w:rPr/>
        <w:t>. Because no money was disbursed in reliance on the sub-sub’s release, the court found the owner could not claim any equitable benefit from the release</w:t>
      </w:r>
      <w:hyperlink r:id="rId29" w:anchor=":~:text=cases%20that%20purport%20to%20stand,case%2C%20Klein%27s%20mere%20possession%20of" w:tgtFrame="_blank">
        <w:r>
          <w:rPr>
            <w:rStyle w:val="Hyperlink"/>
          </w:rPr>
          <w:t>caselaw.findlaw.com</w:t>
        </w:r>
      </w:hyperlink>
      <w:r>
        <w:rPr/>
        <w:t xml:space="preserve">. In fact, the owner’s own conduct showed it </w:t>
      </w:r>
      <w:r>
        <w:rPr>
          <w:rStyle w:val="Strong"/>
        </w:rPr>
        <w:t>didn’t treat the fax as final</w:t>
      </w:r>
      <w:r>
        <w:rPr/>
        <w:t xml:space="preserve"> – two weeks later the owner demanded original signed releases (including from that sub-sub), implicitly recognizing the fax copy was insufficient</w:t>
      </w:r>
      <w:hyperlink r:id="rId30" w:anchor=":~:text=Klein%27s%20actions%20also%20show%20that,the%20letter%2C%20Klein%20was%20conducting" w:tgtFrame="_blank">
        <w:r>
          <w:rPr>
            <w:rStyle w:val="Hyperlink"/>
          </w:rPr>
          <w:t>caselaw.findlaw.com</w:t>
        </w:r>
      </w:hyperlink>
      <w:r>
        <w:rPr/>
        <w:t>. Under those facts, the court allowed the sub-subcontractor’s lien, since the owner had not been misled into any payment by the premature release</w:t>
      </w:r>
      <w:hyperlink r:id="rId31" w:anchor=":~:text=subcontractors%27%20releases%20of%20lien,Phelps%20released%20its%20lien%20rights" w:tgtFrame="_blank">
        <w:r>
          <w:rPr>
            <w:rStyle w:val="Hyperlink"/>
          </w:rPr>
          <w:t>caselaw.findlaw.com</w:t>
        </w:r>
      </w:hyperlink>
      <w:r>
        <w:rPr/>
        <w:t xml:space="preserve">. The takeaway is that a waiver can be invalidated for lack of true intent </w:t>
      </w:r>
      <w:r>
        <w:rPr>
          <w:rStyle w:val="Emphasis"/>
        </w:rPr>
        <w:t>and</w:t>
      </w:r>
      <w:r>
        <w:rPr/>
        <w:t xml:space="preserve"> lack of reliance, but owners generally avoid this scenario by </w:t>
      </w:r>
      <w:r>
        <w:rPr>
          <w:rStyle w:val="Strong"/>
        </w:rPr>
        <w:t>insisting on original, unconditional waivers before releasing funds</w:t>
      </w:r>
      <w:r>
        <w:rPr/>
        <w:t>. Owners and lenders should ensure that the waiver documents they receive are executed by the correct party and in the required form (notarization is not required by statute, but many use it as an extra safeguard). A forged or fraudulent lien waiver would not bind the true lienor, so prudent owners verify the authenticity of each release. If an owner unknowingly pays based on a forged waiver, the innocent lienor can still claim a lien and the owner may be forced to pay again – hence, verifying signatures and using project payment management systems (like requiring lienors to sign waivers in person or via e-signature systems) can prevent costly mistakes.</w:t>
      </w:r>
    </w:p>
    <w:p>
      <w:pPr>
        <w:pStyle w:val="BodyText"/>
        <w:bidi w:val="0"/>
        <w:jc w:val="start"/>
        <w:rPr/>
      </w:pPr>
      <w:r>
        <w:rPr/>
        <w:t xml:space="preserve">For construction lenders, lien waivers are equally critical. Lenders financing projects often require the owner and contractor to furnish interim lien releases and a final release from all lienors as a condition of funding draws or final payments. This protects the </w:t>
      </w:r>
      <w:r>
        <w:rPr>
          <w:rStyle w:val="Strong"/>
        </w:rPr>
        <w:t>priority of the construction mortgage</w:t>
      </w:r>
      <w:r>
        <w:rPr/>
        <w:t xml:space="preserve">. One illustrative scenario arose in </w:t>
      </w:r>
      <w:r>
        <w:rPr>
          <w:rStyle w:val="Emphasis"/>
        </w:rPr>
        <w:t>Stock Building Supply of Fla., Inc. v. Soares Da Costa Constr. Servs., LLC</w:t>
      </w:r>
      <w:r>
        <w:rPr/>
        <w:t xml:space="preserve">, 76 So. 3d 313 (Fla. 3d DCA 2011). There, an owner terminated the original contractor and needed new financing to complete the project. The court noted it was necessary for the owner to file a statutory Notice of Termination of the original Notice of Commencement – which required that all lienors be paid in full – </w:t>
      </w:r>
      <w:r>
        <w:rPr>
          <w:rStyle w:val="Strong"/>
        </w:rPr>
        <w:t>before</w:t>
      </w:r>
      <w:r>
        <w:rPr/>
        <w:t xml:space="preserve"> the new lender’s mortgage would have first priority</w:t>
      </w:r>
      <w:hyperlink r:id="rId32" w:anchor=":~:text=Because%20construction%20liens%20relate%20back,when%20it%20subsequently%20recorded%20the" w:tgtFrame="_blank">
        <w:r>
          <w:rPr>
            <w:rStyle w:val="Hyperlink"/>
          </w:rPr>
          <w:t>jimersonfirm.com</w:t>
        </w:r>
      </w:hyperlink>
      <w:hyperlink r:id="rId33" w:anchor=":~:text=has%20priority,%E2%80%9D" w:tgtFrame="_blank">
        <w:r>
          <w:rPr>
            <w:rStyle w:val="Hyperlink"/>
          </w:rPr>
          <w:t>jimersonfirm.com</w:t>
        </w:r>
      </w:hyperlink>
      <w:r>
        <w:rPr/>
        <w:t xml:space="preserve">. In practical terms, that meant the owner had to obtain final lien releases (or payoff all liens) from everyone on the job to date. Thus, final payment waivers serve not only to protect owners from direct liability, but also to clear title for refinancing or sale of the property. An owner who makes proper use of lien waivers can raise the defense that all lienors have been paid (or waived liens) up to the amount of the contract, per Fla. Stat. §713.06(3). Conversely, if an owner fails to secure the required waivers, they </w:t>
      </w:r>
      <w:r>
        <w:rPr>
          <w:rStyle w:val="Strong"/>
        </w:rPr>
        <w:t>lose the statutory shield</w:t>
      </w:r>
      <w:r>
        <w:rPr/>
        <w:t xml:space="preserve"> and may have to pay subcontractors or suppliers despite having paid the general contractor. This is the classic “double payment” nightmare that the lien law’s notice and waiver structure is designed to prevent. The case law thus strongly incentivizes owners to </w:t>
      </w:r>
      <w:r>
        <w:rPr>
          <w:rStyle w:val="Emphasis"/>
        </w:rPr>
        <w:t>strictly comply</w:t>
      </w:r>
      <w:r>
        <w:rPr/>
        <w:t xml:space="preserve"> with the waiver-and-payment process: those who do so “will never have to pay twice” for the same work</w:t>
      </w:r>
      <w:hyperlink r:id="rId34" w:anchor=":~:text=contract%20price,21" w:tgtFrame="_blank">
        <w:r>
          <w:rPr>
            <w:rStyle w:val="Hyperlink"/>
          </w:rPr>
          <w:t>floridabar.org</w:t>
        </w:r>
      </w:hyperlink>
      <w:hyperlink r:id="rId35" w:anchor=":~:text=Thus%2C%20in%20order%20to%20avoid,waivers%20or%20releases%20will%20be" w:tgtFrame="_blank">
        <w:r>
          <w:rPr>
            <w:rStyle w:val="Hyperlink"/>
          </w:rPr>
          <w:t>floridabar.org</w:t>
        </w:r>
      </w:hyperlink>
      <w:r>
        <w:rPr/>
        <w:t>, but those who take shortcuts risk unextinguished liens.</w:t>
      </w:r>
    </w:p>
    <w:p>
      <w:pPr>
        <w:pStyle w:val="Heading2"/>
        <w:bidi w:val="0"/>
        <w:jc w:val="start"/>
        <w:rPr/>
      </w:pPr>
      <w:r>
        <w:rPr/>
        <w:t>Fraud, Mistake, or Duress in Waiver Execution</w:t>
      </w:r>
    </w:p>
    <w:p>
      <w:pPr>
        <w:pStyle w:val="BodyText"/>
        <w:bidi w:val="0"/>
        <w:jc w:val="start"/>
        <w:rPr/>
      </w:pPr>
      <w:r>
        <w:rPr/>
        <w:t xml:space="preserve">Florida courts treat a lien waiver like any contract – it can be voided or reformed in cases of fraud, duress, or mutual mistake, but such relief is rare. The bar for </w:t>
      </w:r>
      <w:r>
        <w:rPr>
          <w:rStyle w:val="Strong"/>
        </w:rPr>
        <w:t>duress</w:t>
      </w:r>
      <w:r>
        <w:rPr/>
        <w:t xml:space="preserve"> is high: the typical pressure of “sign this release or you won’t get paid” is not duress in the legal sense, because the contractor/owner has a lawful right to insist on a lien release upon payment. Only improper threats or deception (e.g. a contractor misrepresenting that a release is “just a receipt” or physically coercing a signature) would qualify as duress or fraud to invalidate a waiver. While published Florida decisions on duress in lien waivers are scant, courts would likely apply general contract principles – a release signed under </w:t>
      </w:r>
      <w:r>
        <w:rPr>
          <w:rStyle w:val="Strong"/>
        </w:rPr>
        <w:t>fraudulent pretenses</w:t>
      </w:r>
      <w:r>
        <w:rPr/>
        <w:t xml:space="preserve"> or </w:t>
      </w:r>
      <w:r>
        <w:rPr>
          <w:rStyle w:val="Strong"/>
        </w:rPr>
        <w:t>forgery</w:t>
      </w:r>
      <w:r>
        <w:rPr/>
        <w:t xml:space="preserve"> is void. An example of fraud would be if a contractor presented a lienor with a document represented as a partial release for one invoice, but it was actually an unconditional final waiver of all rights, and the lienor was tricked into signing. In such a case, the lienor could argue the waiver is void due to fraud. Similarly, if a release was </w:t>
      </w:r>
      <w:r>
        <w:rPr>
          <w:rStyle w:val="Strong"/>
        </w:rPr>
        <w:t>materially altered</w:t>
      </w:r>
      <w:r>
        <w:rPr/>
        <w:t xml:space="preserve"> after the lienor signed it, it would not be enforceable. These scenarios, however, are the exception.</w:t>
      </w:r>
    </w:p>
    <w:p>
      <w:pPr>
        <w:pStyle w:val="BodyText"/>
        <w:bidi w:val="0"/>
        <w:jc w:val="start"/>
        <w:rPr/>
      </w:pPr>
      <w:r>
        <w:rPr/>
        <w:t xml:space="preserve">More commonly, lienors seek relief by claiming </w:t>
      </w:r>
      <w:r>
        <w:rPr>
          <w:rStyle w:val="Strong"/>
        </w:rPr>
        <w:t>mistake</w:t>
      </w:r>
      <w:r>
        <w:rPr/>
        <w:t xml:space="preserve"> – for instance, that they did not intend the release to cover certain work or sums. Florida courts have been largely unsympathetic to unilateral mistake claims. In </w:t>
      </w:r>
      <w:r>
        <w:rPr>
          <w:rStyle w:val="Emphasis"/>
        </w:rPr>
        <w:t>Frank Maio</w:t>
      </w:r>
      <w:r>
        <w:rPr/>
        <w:t xml:space="preserve"> (discussed above), the supplier’s claim of mistakenly signing too broad a release was not a valid excuse. The courts require a </w:t>
      </w:r>
      <w:r>
        <w:rPr>
          <w:rStyle w:val="Strong"/>
        </w:rPr>
        <w:t>mutual</w:t>
      </w:r>
      <w:r>
        <w:rPr/>
        <w:t xml:space="preserve"> mistake (both parties shared a wrong assumption of fact) or a unilateral mistake induced by the other party’s inequitable conduct to set aside a clear waiver. The Florida Bar has noted that a lienor would need to convince a court there was </w:t>
      </w:r>
      <w:r>
        <w:rPr>
          <w:rStyle w:val="Emphasis"/>
        </w:rPr>
        <w:t>either</w:t>
      </w:r>
      <w:r>
        <w:rPr/>
        <w:t xml:space="preserve"> a mutual mistake about the release’s scope </w:t>
      </w:r>
      <w:r>
        <w:rPr>
          <w:rStyle w:val="Emphasis"/>
        </w:rPr>
        <w:t>or</w:t>
      </w:r>
      <w:r>
        <w:rPr/>
        <w:t xml:space="preserve"> a unilateral mistake coupled with misconduct by the payor, in order to reform a release. That is a difficult showing. One avenue lienors have attempted is to claim an “understanding” that the release was conditional or not effective until payment. The </w:t>
      </w:r>
      <w:r>
        <w:rPr>
          <w:rStyle w:val="Emphasis"/>
        </w:rPr>
        <w:t>Klein</w:t>
      </w:r>
      <w:r>
        <w:rPr/>
        <w:t xml:space="preserve"> case demonstrates that evidence of such an understanding can prevail, but the facts were compelling: the lienor’s internal practice of holding the original until the check cleared, the affidavit testifying to conditional intent, and the owner’s own lack of reliance all aligned to show the faxed waiver should not count</w:t>
      </w:r>
      <w:hyperlink r:id="rId36" w:anchor=":~:text=In%20addition%20to%20Morin%27s%20affidavit%2C,waiting%20for%20Cadenhead%27s%20check%20to" w:tgtFrame="_blank">
        <w:r>
          <w:rPr>
            <w:rStyle w:val="Hyperlink"/>
          </w:rPr>
          <w:t>caselaw.findlaw.com</w:t>
        </w:r>
      </w:hyperlink>
      <w:hyperlink r:id="rId37" w:anchor=":~:text=clear,Phelps%27%20intent%20was%20not%20contradicted" w:tgtFrame="_blank">
        <w:r>
          <w:rPr>
            <w:rStyle w:val="Hyperlink"/>
          </w:rPr>
          <w:t>caselaw.findlaw.com</w:t>
        </w:r>
      </w:hyperlink>
      <w:r>
        <w:rPr/>
        <w:t xml:space="preserve">. Notably, </w:t>
      </w:r>
      <w:r>
        <w:rPr>
          <w:rStyle w:val="Emphasis"/>
        </w:rPr>
        <w:t>Klein</w:t>
      </w:r>
      <w:r>
        <w:rPr/>
        <w:t xml:space="preserve"> was decided at summary judgment, suggesting no factual dispute that the release was meant to be conditional. If the owner in </w:t>
      </w:r>
      <w:r>
        <w:rPr>
          <w:rStyle w:val="Emphasis"/>
        </w:rPr>
        <w:t>Klein</w:t>
      </w:r>
      <w:r>
        <w:rPr/>
        <w:t xml:space="preserve"> had paid the contractor after receiving the fax, the outcome likely would have been different – the owner’s reliance would trump the lienor’s secret intent. Florida law thus tends to favor the party who </w:t>
      </w:r>
      <w:r>
        <w:rPr>
          <w:rStyle w:val="Strong"/>
        </w:rPr>
        <w:t>relies on the face of a document</w:t>
      </w:r>
      <w:r>
        <w:rPr/>
        <w:t xml:space="preserve"> over one who signs it but later protests it didn’t mean what it said.</w:t>
      </w:r>
    </w:p>
    <w:p>
      <w:pPr>
        <w:pStyle w:val="BodyText"/>
        <w:bidi w:val="0"/>
        <w:jc w:val="start"/>
        <w:rPr/>
      </w:pPr>
      <w:r>
        <w:rPr/>
        <w:t xml:space="preserve">In sum, a lien waiver procured by actual fraud or signed due to a mutual mistake can be attacked in court, but absent such extraordinary circumstances, the waiver is final. “Innocent” mistakes by a lienor – like forgetting to exclude retainage or dating the waiver wrong – are not grounds to invalidate the waiver after the fact. The practical lesson for lienors is to </w:t>
      </w:r>
      <w:r>
        <w:rPr>
          <w:rStyle w:val="Strong"/>
        </w:rPr>
        <w:t>raise any objections or corrections before signing</w:t>
      </w:r>
      <w:r>
        <w:rPr/>
        <w:t xml:space="preserve">. Once a release is executed, any ambiguity will be resolved against the lienor and any clear waiver of rights will be upheld. Courts will not entertain testimony that “I didn’t really mean to waive that” if the document is unambiguous. Thus, except in cases of proven fraud or mutual mistake, a signed lien waiver is treated as a </w:t>
      </w:r>
      <w:r>
        <w:rPr>
          <w:rStyle w:val="Strong"/>
        </w:rPr>
        <w:t>conclusive extinguishment</w:t>
      </w:r>
      <w:r>
        <w:rPr/>
        <w:t xml:space="preserve"> of the lien rights stated in it.</w:t>
      </w:r>
    </w:p>
    <w:p>
      <w:pPr>
        <w:pStyle w:val="Heading2"/>
        <w:bidi w:val="0"/>
        <w:jc w:val="start"/>
        <w:rPr/>
      </w:pPr>
      <w:r>
        <w:rPr/>
        <w:t>Final-Payment vs. Progress-Payment Waiver Distinctions</w:t>
      </w:r>
    </w:p>
    <w:p>
      <w:pPr>
        <w:pStyle w:val="BodyText"/>
        <w:bidi w:val="0"/>
        <w:jc w:val="start"/>
        <w:rPr/>
      </w:pPr>
      <w:r>
        <w:rPr/>
        <w:t xml:space="preserve">Both statutory forms – the interim </w:t>
      </w:r>
      <w:r>
        <w:rPr>
          <w:rStyle w:val="Strong"/>
        </w:rPr>
        <w:t>Waiver and Release of Lien Upon Progress Payment</w:t>
      </w:r>
      <w:r>
        <w:rPr/>
        <w:t xml:space="preserve"> and the </w:t>
      </w:r>
      <w:r>
        <w:rPr>
          <w:rStyle w:val="Strong"/>
        </w:rPr>
        <w:t>Waiver and Release of Lien Upon Final Payment</w:t>
      </w:r>
      <w:r>
        <w:rPr/>
        <w:t xml:space="preserve"> – function similarly, and courts have generally construed them under the same principles, with attention to their different scope. </w:t>
      </w:r>
      <w:r>
        <w:rPr>
          <w:rStyle w:val="Strong"/>
        </w:rPr>
        <w:t>Progress payment waivers</w:t>
      </w:r>
      <w:r>
        <w:rPr/>
        <w:t xml:space="preserve"> are </w:t>
      </w:r>
      <w:r>
        <w:rPr>
          <w:rStyle w:val="Strong"/>
        </w:rPr>
        <w:t>partial</w:t>
      </w:r>
      <w:r>
        <w:rPr/>
        <w:t>; they waive lien rights only for work done up to a specified date (the form provides a blank to fill in the “through” date) in exchange for a stated sum</w:t>
      </w:r>
      <w:hyperlink r:id="rId38" w:anchor=":~:text=WAIVER%20AND%20RELEASE%20OF%20LIEN,UPON%20PROGRESS%20PAYMENT" w:tgtFrame="_blank">
        <w:r>
          <w:rPr>
            <w:rStyle w:val="Hyperlink"/>
          </w:rPr>
          <w:t>codes.findlaw.com</w:t>
        </w:r>
      </w:hyperlink>
      <w:r>
        <w:rPr/>
        <w:t>. Any labor or materials furnished after that date remain lienable, and retainage is explicitly not covered by the release</w:t>
      </w:r>
      <w:hyperlink r:id="rId39" w:anchor=":~:text=The%20undersigned%20lienor%2C%20in%20consideration,to%20the%20following%20property" w:tgtFrame="_blank">
        <w:r>
          <w:rPr>
            <w:rStyle w:val="Hyperlink"/>
          </w:rPr>
          <w:t>codes.findlaw.com</w:t>
        </w:r>
      </w:hyperlink>
      <w:r>
        <w:rPr/>
        <w:t xml:space="preserve">. In contrast, a </w:t>
      </w:r>
      <w:r>
        <w:rPr>
          <w:rStyle w:val="Strong"/>
        </w:rPr>
        <w:t>final payment waiver</w:t>
      </w:r>
      <w:r>
        <w:rPr/>
        <w:t xml:space="preserve"> typically signifies that the project is complete (for that lienor’s work) and all payments due have been made. The final waiver form waives lien rights for </w:t>
      </w:r>
      <w:r>
        <w:rPr>
          <w:rStyle w:val="Strong"/>
        </w:rPr>
        <w:t>all labor, services, or materials furnished to the job</w:t>
      </w:r>
      <w:r>
        <w:rPr/>
        <w:t xml:space="preserve"> in exchange for a final payment amount</w:t>
      </w:r>
      <w:hyperlink r:id="rId40" w:anchor=":~:text=WAIVER%20AND%20RELEASE%20OF%20LIEN,UPON%20FINAL%20PAYMENT" w:tgtFrame="_blank">
        <w:r>
          <w:rPr>
            <w:rStyle w:val="Hyperlink"/>
          </w:rPr>
          <w:t>codes.findlaw.com</w:t>
        </w:r>
      </w:hyperlink>
      <w:r>
        <w:rPr/>
        <w:t xml:space="preserve">. By its nature, a final release is intended to </w:t>
      </w:r>
      <w:r>
        <w:rPr>
          <w:rStyle w:val="Strong"/>
        </w:rPr>
        <w:t>extinguish any and all lien rights on the project</w:t>
      </w:r>
      <w:r>
        <w:rPr/>
        <w:t xml:space="preserve"> for that lienor.</w:t>
      </w:r>
    </w:p>
    <w:p>
      <w:pPr>
        <w:pStyle w:val="BodyText"/>
        <w:bidi w:val="0"/>
        <w:jc w:val="start"/>
        <w:rPr/>
      </w:pPr>
      <w:r>
        <w:rPr/>
        <w:t xml:space="preserve">One key distinction in case law is that issues unique to final waivers often involve timing of final payment and project completion. For example, if a lienor signs a final waiver but then is asked to perform additional punch-list work or corrective work, can they lien for that? Generally, work performed </w:t>
      </w:r>
      <w:r>
        <w:rPr>
          <w:rStyle w:val="Emphasis"/>
        </w:rPr>
        <w:t>after</w:t>
      </w:r>
      <w:r>
        <w:rPr/>
        <w:t xml:space="preserve"> the date of a final release (or not encompassed by the original contract) might give rise to a new lien right, since the final release covers only what was furnished up to its execution. As one court observed, a “final” lien release will not waive lien rights for </w:t>
      </w:r>
      <w:r>
        <w:rPr>
          <w:rStyle w:val="Strong"/>
        </w:rPr>
        <w:t>work performed after its execution</w:t>
      </w:r>
      <w:hyperlink r:id="rId41" w:anchor=":~:text=upon%20completion%20of%20a%20project%2C,3d%202011" w:tgtFrame="_blank">
        <w:r>
          <w:rPr>
            <w:rStyle w:val="Hyperlink"/>
          </w:rPr>
          <w:t>lexology.com</w:t>
        </w:r>
      </w:hyperlink>
      <w:hyperlink r:id="rId42" w:anchor=":~:text=prohibit%20you%20from%20any%20claim,3d%202011" w:tgtFrame="_blank">
        <w:r>
          <w:rPr>
            <w:rStyle w:val="Hyperlink"/>
          </w:rPr>
          <w:t>lexology.com</w:t>
        </w:r>
      </w:hyperlink>
      <w:r>
        <w:rPr/>
        <w:t xml:space="preserve">. In </w:t>
      </w:r>
      <w:r>
        <w:rPr>
          <w:rStyle w:val="Emphasis"/>
        </w:rPr>
        <w:t>Stock Building Supply v. Soares Da Costa</w:t>
      </w:r>
      <w:r>
        <w:rPr/>
        <w:t>, the Third DCA noted that even though a “final payment” was made and releases obtained, subsequent work under a new contract or after a Notice of Termination could be separately liened because it was outside the scope of the original contract covered by the final waivers</w:t>
      </w:r>
      <w:hyperlink r:id="rId43" w:anchor=":~:text=upon%20completion%20of%20a%20project%2C,3d%202011" w:tgtFrame="_blank">
        <w:r>
          <w:rPr>
            <w:rStyle w:val="Hyperlink"/>
          </w:rPr>
          <w:t>lexology.com</w:t>
        </w:r>
      </w:hyperlink>
      <w:hyperlink r:id="rId44" w:anchor=":~:text=prohibit%20you%20from%20any%20claim,3d%202011" w:tgtFrame="_blank">
        <w:r>
          <w:rPr>
            <w:rStyle w:val="Hyperlink"/>
          </w:rPr>
          <w:t>lexology.com</w:t>
        </w:r>
      </w:hyperlink>
      <w:r>
        <w:rPr/>
        <w:t xml:space="preserve">. Thus, final really means final </w:t>
      </w:r>
      <w:r>
        <w:rPr>
          <w:rStyle w:val="Emphasis"/>
        </w:rPr>
        <w:t>as to that contract or scope of work</w:t>
      </w:r>
      <w:r>
        <w:rPr/>
        <w:t xml:space="preserve">. Lienors and owners should be careful that, at project close-out, the final payment truly accounts for all work done. If there are pending change orders or disputes, a lienor should either </w:t>
      </w:r>
      <w:r>
        <w:rPr>
          <w:rStyle w:val="Strong"/>
        </w:rPr>
        <w:t>exclude those items in the final release</w:t>
      </w:r>
      <w:r>
        <w:rPr/>
        <w:t xml:space="preserve"> or refuse to sign a “final” release until they are resolved. Otherwise, a final waiver will bar any lien claim for those unresolved items.</w:t>
      </w:r>
    </w:p>
    <w:p>
      <w:pPr>
        <w:pStyle w:val="BodyText"/>
        <w:bidi w:val="0"/>
        <w:jc w:val="start"/>
        <w:rPr/>
      </w:pPr>
      <w:r>
        <w:rPr/>
        <w:t xml:space="preserve">Another area where final vs. progress waivers diverge is </w:t>
      </w:r>
      <w:r>
        <w:rPr>
          <w:rStyle w:val="Strong"/>
        </w:rPr>
        <w:t>delivery and condition precedents</w:t>
      </w:r>
      <w:r>
        <w:rPr/>
        <w:t xml:space="preserve">. Owners and lenders often will not release the final payment (including retainage) until a final lien waiver is delivered – effectively making the final waiver a condition precedent to the owner’s performance. Florida courts have upheld this practice: as noted earlier, </w:t>
      </w:r>
      <w:r>
        <w:rPr>
          <w:rStyle w:val="Emphasis"/>
        </w:rPr>
        <w:t>Team Land Development v. Anzac Contractors</w:t>
      </w:r>
      <w:r>
        <w:rPr/>
        <w:t xml:space="preserve"> enforced a contract term requiring the subcontractor to submit the executed final-payment waiver (the §713.20(5) form) before the owner had to pay the balance</w:t>
      </w:r>
      <w:hyperlink r:id="rId45" w:anchor=":~:text=FLETCHER%2C%20J,2" w:tgtFrame="_blank">
        <w:r>
          <w:rPr>
            <w:rStyle w:val="Hyperlink"/>
          </w:rPr>
          <w:t>law.justia.com</w:t>
        </w:r>
      </w:hyperlink>
      <w:r>
        <w:rPr/>
        <w:t xml:space="preserve">. Progress payment waivers, on the other hand, occur throughout the job and typically every progress payment will be conditioned on the subcontractor (and its subs) giving a release for that payment’s worth of work. Both forms are </w:t>
      </w:r>
      <w:r>
        <w:rPr>
          <w:rStyle w:val="Strong"/>
        </w:rPr>
        <w:t>unconditional</w:t>
      </w:r>
      <w:r>
        <w:rPr/>
        <w:t xml:space="preserve"> on their face (unless modified as discussed), so once signed they immediately waive the lienor’s rights for the period covered.</w:t>
      </w:r>
    </w:p>
    <w:p>
      <w:pPr>
        <w:pStyle w:val="BodyText"/>
        <w:bidi w:val="0"/>
        <w:jc w:val="start"/>
        <w:rPr/>
      </w:pPr>
      <w:r>
        <w:rPr/>
        <w:t xml:space="preserve">In case law, there are fewer unique disputes about the </w:t>
      </w:r>
      <w:r>
        <w:rPr>
          <w:rStyle w:val="Strong"/>
        </w:rPr>
        <w:t>final</w:t>
      </w:r>
      <w:r>
        <w:rPr/>
        <w:t xml:space="preserve"> form itself — mostly, a final waiver marks the end of the lien rights, and any lien filed after a true final waiver will be summarily extinguished (absent fraud or mistake). Courts do not hesitate to cancel a lien if a final waiver was signed: for example, if a subcontractor signs the final release upon receiving a final check, and then the check clears, any later claim of lien by that subcontractor is invalid because the lien was waived. By contrast, disputes over </w:t>
      </w:r>
      <w:r>
        <w:rPr>
          <w:rStyle w:val="Strong"/>
        </w:rPr>
        <w:t>progress waivers</w:t>
      </w:r>
      <w:r>
        <w:rPr/>
        <w:t xml:space="preserve"> have generated more case law, often about whether the waiver’s effective date was intended to cover certain work or not (like in </w:t>
      </w:r>
      <w:r>
        <w:rPr>
          <w:rStyle w:val="Emphasis"/>
        </w:rPr>
        <w:t>Spectrum Interiors</w:t>
      </w:r>
      <w:r>
        <w:rPr/>
        <w:t xml:space="preserve"> or the hypothetical in the Florida Bar Journal article). But the legal principles applied are the same. Both types of waivers are construed strictly according to their text. Both can be conditioned on actual payment (despite the text) if explicitly stated</w:t>
      </w:r>
      <w:hyperlink r:id="rId46" w:anchor=":~:text=,5" w:tgtFrame="_blank">
        <w:r>
          <w:rPr>
            <w:rStyle w:val="Hyperlink"/>
          </w:rPr>
          <w:t>codes.findlaw.com</w:t>
        </w:r>
      </w:hyperlink>
      <w:r>
        <w:rPr/>
        <w:t>. And both are protected by the statutory rule that no one can force a lienor to sign more expansive language than the forms provide</w:t>
      </w:r>
      <w:hyperlink r:id="rId47" w:anchor=":~:text=,5" w:tgtFrame="_blank">
        <w:r>
          <w:rPr>
            <w:rStyle w:val="Hyperlink"/>
          </w:rPr>
          <w:t>codes.findlaw.com</w:t>
        </w:r>
      </w:hyperlink>
      <w:r>
        <w:rPr/>
        <w:t>.</w:t>
      </w:r>
    </w:p>
    <w:p>
      <w:pPr>
        <w:pStyle w:val="BodyText"/>
        <w:bidi w:val="0"/>
        <w:jc w:val="start"/>
        <w:rPr/>
      </w:pPr>
      <w:r>
        <w:rPr/>
        <w:t xml:space="preserve">In summary, Florida courts view the </w:t>
      </w:r>
      <w:r>
        <w:rPr>
          <w:rStyle w:val="Strong"/>
        </w:rPr>
        <w:t>progress payment waiver</w:t>
      </w:r>
      <w:r>
        <w:rPr/>
        <w:t xml:space="preserve"> as a routine partial relinquishment of lien rights – a snapshot in time – whereas the </w:t>
      </w:r>
      <w:r>
        <w:rPr>
          <w:rStyle w:val="Strong"/>
        </w:rPr>
        <w:t>final payment waiver</w:t>
      </w:r>
      <w:r>
        <w:rPr/>
        <w:t xml:space="preserve"> is the definitive closure of lien rights on a job. Lienors should treat a “final” release with utmost gravity: it is effectively an acknowledgment that they have been paid in full for the project. If that’s not the case, the document should not be signed (or should be qualified with any exceptions in writing). Conversely, owners and lenders rely on final waivers to safely disburse final funds and confidently conclude that no liens can thereafter encumber the property. By understanding how courts have interpreted these waivers, all parties can act to preserve their rights: lienors will carefully tailor or condition waivers to match what they’ve been paid, and owners will insist on proper waivers (in the statutory format) to guard against any lingering lien exposure. The consistent theme from Florida decisions is that a statutory lien waiver, when executed in connection with a payment, is </w:t>
      </w:r>
      <w:r>
        <w:rPr>
          <w:rStyle w:val="Strong"/>
        </w:rPr>
        <w:t>powerful and conclusive</w:t>
      </w:r>
      <w:r>
        <w:rPr/>
        <w:t xml:space="preserve"> – it can preserve an owner’s proper-payment defense and extinguish a lienor’s rights completely, so it must be handled with precision and good faith by everyone involved.</w:t>
      </w:r>
    </w:p>
    <w:p>
      <w:pPr>
        <w:pStyle w:val="BodyText"/>
        <w:bidi w:val="0"/>
        <w:jc w:val="start"/>
        <w:rPr/>
      </w:pPr>
      <w:r>
        <w:rPr>
          <w:rStyle w:val="Strong"/>
        </w:rPr>
        <w:t>Sources:</w:t>
      </w:r>
      <w:r>
        <w:rPr/>
        <w:t xml:space="preserve"> Florida Statutes §713.20</w:t>
      </w:r>
      <w:hyperlink r:id="rId48" w:anchor=":~:text=WAIVER%20AND%20RELEASE%20OF%20LIEN,UPON%20PROGRESS%20PAYMENT" w:tgtFrame="_blank">
        <w:r>
          <w:rPr>
            <w:rStyle w:val="Hyperlink"/>
          </w:rPr>
          <w:t>codes.findlaw.com</w:t>
        </w:r>
      </w:hyperlink>
      <w:hyperlink r:id="rId49" w:anchor=":~:text=WAIVER%20AND%20RELEASE%20OF%20LIEN,UPON%20FINAL%20PAYMENT" w:tgtFrame="_blank">
        <w:r>
          <w:rPr>
            <w:rStyle w:val="Hyperlink"/>
          </w:rPr>
          <w:t>codes.findlaw.com</w:t>
        </w:r>
      </w:hyperlink>
      <w:r>
        <w:rPr/>
        <w:t xml:space="preserve">; </w:t>
      </w:r>
      <w:r>
        <w:rPr>
          <w:rStyle w:val="Emphasis"/>
        </w:rPr>
        <w:t>Climatrol Corp. v. Kent</w:t>
      </w:r>
      <w:r>
        <w:rPr/>
        <w:t xml:space="preserve">, 370 So.2d 394 (Fla. 3d DCA 1979); </w:t>
      </w:r>
      <w:r>
        <w:rPr>
          <w:rStyle w:val="Emphasis"/>
        </w:rPr>
        <w:t>Orlando Central Park, Inc. v. Master Door Co.</w:t>
      </w:r>
      <w:r>
        <w:rPr/>
        <w:t xml:space="preserve">, 303 So.2d 685 (Fla. 4th DCA 1974); </w:t>
      </w:r>
      <w:r>
        <w:rPr>
          <w:rStyle w:val="Emphasis"/>
        </w:rPr>
        <w:t>Mills v. Robert W. Gottfried, Inc.</w:t>
      </w:r>
      <w:r>
        <w:rPr/>
        <w:t xml:space="preserve">, 272 So.2d 837 (Fla. 4th DCA 1973); </w:t>
      </w:r>
      <w:r>
        <w:rPr>
          <w:rStyle w:val="Emphasis"/>
        </w:rPr>
        <w:t>First Atlantic Bldg. Corp. v. Neubauer Constr. Co.</w:t>
      </w:r>
      <w:r>
        <w:rPr/>
        <w:t xml:space="preserve">, 352 So.2d 103 (Fla. 4th DCA 1977); </w:t>
      </w:r>
      <w:r>
        <w:rPr>
          <w:rStyle w:val="Emphasis"/>
        </w:rPr>
        <w:t>Gulf Stream Lumber Co. v. Lathrop</w:t>
      </w:r>
      <w:r>
        <w:rPr/>
        <w:t>, 108 So.2d 55 (Fla. 2d DCA 1959)</w:t>
      </w:r>
      <w:hyperlink r:id="rId50" w:anchor=":~:text=cases%20that%20purport%20to%20stand,case%2C%20Klein%27s%20mere%20possession%20of" w:tgtFrame="_blank">
        <w:r>
          <w:rPr>
            <w:rStyle w:val="Hyperlink"/>
          </w:rPr>
          <w:t>caselaw.findlaw.com</w:t>
        </w:r>
      </w:hyperlink>
      <w:r>
        <w:rPr/>
        <w:t xml:space="preserve">; </w:t>
      </w:r>
      <w:r>
        <w:rPr>
          <w:rStyle w:val="Emphasis"/>
        </w:rPr>
        <w:t>Frank Maio Gen. Contractor, Inc. v. Consol. Elec. Supply, Inc.</w:t>
      </w:r>
      <w:r>
        <w:rPr/>
        <w:t xml:space="preserve">, 452 So.2d 1092 (Fla. 4th DCA 1984); </w:t>
      </w:r>
      <w:r>
        <w:rPr>
          <w:rStyle w:val="Emphasis"/>
        </w:rPr>
        <w:t>Klein Development, Inc. v. Ellis K. Phelps &amp; Co.</w:t>
      </w:r>
      <w:r>
        <w:rPr/>
        <w:t>, 761 So.2d 441 (Fla. 2d DCA 2000)</w:t>
      </w:r>
      <w:hyperlink r:id="rId51" w:anchor=":~:text=Klein%27s%20actions%20also%20show%20that,the%20letter%2C%20Klein%20was%20conducting" w:tgtFrame="_blank">
        <w:r>
          <w:rPr>
            <w:rStyle w:val="Hyperlink"/>
          </w:rPr>
          <w:t>caselaw.findlaw.com</w:t>
        </w:r>
      </w:hyperlink>
      <w:hyperlink r:id="rId52" w:anchor=":~:text=Klein%20argues%20on%20appeal%20that,reliance%20on%20the%20release%20of" w:tgtFrame="_blank">
        <w:r>
          <w:rPr>
            <w:rStyle w:val="Hyperlink"/>
          </w:rPr>
          <w:t>caselaw.findlaw.com</w:t>
        </w:r>
      </w:hyperlink>
      <w:r>
        <w:rPr/>
        <w:t xml:space="preserve">; </w:t>
      </w:r>
      <w:r>
        <w:rPr>
          <w:rStyle w:val="Emphasis"/>
        </w:rPr>
        <w:t>Team Land Dev., Inc. v. Anzac Contractors, Inc.</w:t>
      </w:r>
      <w:r>
        <w:rPr/>
        <w:t>, 811 So.2d 698 (Fla. 3d DCA 2002)</w:t>
      </w:r>
      <w:hyperlink r:id="rId53" w:anchor=":~:text=FLETCHER%2C%20J,2" w:tgtFrame="_blank">
        <w:r>
          <w:rPr>
            <w:rStyle w:val="Hyperlink"/>
          </w:rPr>
          <w:t>law.justia.com</w:t>
        </w:r>
      </w:hyperlink>
      <w:r>
        <w:rPr/>
        <w:t xml:space="preserve">; </w:t>
      </w:r>
      <w:r>
        <w:rPr>
          <w:rStyle w:val="Emphasis"/>
        </w:rPr>
        <w:t>Spectrum Interiors, Inc. v. Exterior Walls, Inc.</w:t>
      </w:r>
      <w:r>
        <w:rPr/>
        <w:t xml:space="preserve">, 2 So.3d 1093 (Fla. 5th DCA 2009); </w:t>
      </w:r>
      <w:r>
        <w:rPr>
          <w:rStyle w:val="Emphasis"/>
        </w:rPr>
        <w:t>Stock Bldg. Supply of Fla., Inc. v. Soares Da Costa Constr. Servs., LLC</w:t>
      </w:r>
      <w:r>
        <w:rPr/>
        <w:t>, 76 So.3d 313 (Fla. 3d DCA 2011)</w:t>
      </w:r>
      <w:hyperlink r:id="rId54" w:anchor=":~:text=upon%20completion%20of%20a%20project%2C,3d%202011" w:tgtFrame="_blank">
        <w:r>
          <w:rPr>
            <w:rStyle w:val="Hyperlink"/>
          </w:rPr>
          <w:t>lexology.com</w:t>
        </w:r>
      </w:hyperlink>
      <w:hyperlink r:id="rId55" w:anchor=":~:text=prohibit%20you%20from%20any%20claim,3d%202011" w:tgtFrame="_blank">
        <w:r>
          <w:rPr>
            <w:rStyle w:val="Hyperlink"/>
          </w:rPr>
          <w:t>lexology.com</w:t>
        </w:r>
      </w:hyperlink>
      <w:r>
        <w:rPr/>
        <w:t xml:space="preserve">; </w:t>
      </w:r>
      <w:r>
        <w:rPr>
          <w:rStyle w:val="Strong"/>
        </w:rPr>
        <w:t>see also</w:t>
      </w:r>
      <w:r>
        <w:rPr/>
        <w:t xml:space="preserve"> Fla. Bar Journal articles by Larry R. Leiby and Douglas L. Waldorf, Jr.</w:t>
      </w:r>
      <w:hyperlink r:id="rId56" w:anchor=":~:text=contract%20price,21" w:tgtFrame="_blank">
        <w:r>
          <w:rPr>
            <w:rStyle w:val="Hyperlink"/>
          </w:rPr>
          <w:t>floridabar.org</w:t>
        </w:r>
      </w:hyperlink>
      <w:hyperlink r:id="rId57" w:anchor=":~:text=%C2%A7713,22" w:tgtFrame="_blank">
        <w:r>
          <w:rPr>
            <w:rStyle w:val="Hyperlink"/>
          </w:rPr>
          <w:t>floridabar.org</w:t>
        </w:r>
      </w:hyperlink>
      <w:r>
        <w:rPr/>
        <w:t>; Cobb &amp; Gonzalez construction law blog.</w:t>
      </w:r>
    </w:p>
    <w:p>
      <w:pPr>
        <w:pStyle w:val="BodyText"/>
        <w:bidi w:val="0"/>
        <w:spacing w:before="0" w:after="0"/>
        <w:jc w:val="start"/>
        <w:rPr/>
      </w:pPr>
      <w:r>
        <w:rPr/>
        <w:drawing>
          <wp:inline distT="0" distB="0" distL="0" distR="0">
            <wp:extent cx="304800" cy="3048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58"/>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drawing>
          <wp:inline distT="0" distB="0" distL="0" distR="0">
            <wp:extent cx="304800" cy="30480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59"/>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drawing>
          <wp:inline distT="0" distB="0" distL="0" distR="0">
            <wp:extent cx="304800" cy="3048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60"/>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drawing>
          <wp:inline distT="0" distB="0" distL="0" distR="0">
            <wp:extent cx="304800" cy="304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61"/>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drawing>
          <wp:inline distT="0" distB="0" distL="0" distR="0">
            <wp:extent cx="304800" cy="30480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2"/>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t>Sources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Unicode MS"/>
      <w:b/>
      <w:bCs/>
      <w:sz w:val="36"/>
      <w:szCs w:val="36"/>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des.findlaw.com/fl/title-xl-real-and-personal-property/fl-st-sect-713-20/" TargetMode="External"/><Relationship Id="rId3" Type="http://schemas.openxmlformats.org/officeDocument/2006/relationships/hyperlink" Target="https://codes.findlaw.com/fl/title-xl-real-and-personal-property/fl-st-sect-713-20/" TargetMode="External"/><Relationship Id="rId4" Type="http://schemas.openxmlformats.org/officeDocument/2006/relationships/hyperlink" Target="https://codes.findlaw.com/fl/title-xl-real-and-personal-property/fl-st-sect-713-20/" TargetMode="External"/><Relationship Id="rId5" Type="http://schemas.openxmlformats.org/officeDocument/2006/relationships/hyperlink" Target="https://codes.findlaw.com/fl/title-xl-real-and-personal-property/fl-st-sect-713-20/" TargetMode="External"/><Relationship Id="rId6" Type="http://schemas.openxmlformats.org/officeDocument/2006/relationships/hyperlink" Target="https://caselaw.findlaw.com/fl-district-court-of-appeal/1165642.html" TargetMode="External"/><Relationship Id="rId7" Type="http://schemas.openxmlformats.org/officeDocument/2006/relationships/hyperlink" Target="https://caselaw.findlaw.com/fl-district-court-of-appeal/1165642.html" TargetMode="External"/><Relationship Id="rId8" Type="http://schemas.openxmlformats.org/officeDocument/2006/relationships/hyperlink" Target="https://caselaw.findlaw.com/fl-district-court-of-appeal/1165642.html" TargetMode="External"/><Relationship Id="rId9" Type="http://schemas.openxmlformats.org/officeDocument/2006/relationships/hyperlink" Target="https://caselaw.findlaw.com/fl-district-court-of-appeal/1165642.html" TargetMode="External"/><Relationship Id="rId10" Type="http://schemas.openxmlformats.org/officeDocument/2006/relationships/hyperlink" Target="https://law.justia.com/cases/florida/third-district-court-of-appeal/2003/3d02-2904.html" TargetMode="External"/><Relationship Id="rId11" Type="http://schemas.openxmlformats.org/officeDocument/2006/relationships/hyperlink" Target="https://law.justia.com/cases/florida/third-district-court-of-appeal/2003/3d02-2904.html" TargetMode="External"/><Relationship Id="rId12" Type="http://schemas.openxmlformats.org/officeDocument/2006/relationships/hyperlink" Target="https://codes.findlaw.com/fl/title-xl-real-and-personal-property/fl-st-sect-713-20/" TargetMode="External"/><Relationship Id="rId13" Type="http://schemas.openxmlformats.org/officeDocument/2006/relationships/hyperlink" Target="https://codes.findlaw.com/fl/title-xl-real-and-personal-property/fl-st-sect-713-20/" TargetMode="External"/><Relationship Id="rId14" Type="http://schemas.openxmlformats.org/officeDocument/2006/relationships/hyperlink" Target="https://www.floridabar.org/the-florida-bar-journal/the-1996-amendments-to-the-florida-construction-lien-law/" TargetMode="External"/><Relationship Id="rId15" Type="http://schemas.openxmlformats.org/officeDocument/2006/relationships/hyperlink" Target="https://www.floridabar.org/the-florida-bar-journal/the-1996-amendments-to-the-florida-construction-lien-law/" TargetMode="External"/><Relationship Id="rId16" Type="http://schemas.openxmlformats.org/officeDocument/2006/relationships/hyperlink" Target="https://codes.findlaw.com/fl/title-xl-real-and-personal-property/fl-st-sect-713-20/" TargetMode="External"/><Relationship Id="rId17" Type="http://schemas.openxmlformats.org/officeDocument/2006/relationships/hyperlink" Target="https://codes.findlaw.com/fl/title-xl-real-and-personal-property/fl-st-sect-713-20/" TargetMode="External"/><Relationship Id="rId18" Type="http://schemas.openxmlformats.org/officeDocument/2006/relationships/hyperlink" Target="https://codes.findlaw.com/fl/title-xl-real-and-personal-property/fl-st-sect-713-20/" TargetMode="External"/><Relationship Id="rId19" Type="http://schemas.openxmlformats.org/officeDocument/2006/relationships/hyperlink" Target="https://codes.findlaw.com/fl/title-xl-real-and-personal-property/fl-st-sect-713-20/" TargetMode="External"/><Relationship Id="rId20" Type="http://schemas.openxmlformats.org/officeDocument/2006/relationships/hyperlink" Target="https://codes.findlaw.com/fl/title-xl-real-and-personal-property/fl-st-sect-713-20/" TargetMode="External"/><Relationship Id="rId21" Type="http://schemas.openxmlformats.org/officeDocument/2006/relationships/hyperlink" Target="https://www.floridabar.org/the-florida-bar-journal/the-1996-amendments-to-the-florida-construction-lien-law/" TargetMode="External"/><Relationship Id="rId22" Type="http://schemas.openxmlformats.org/officeDocument/2006/relationships/hyperlink" Target="https://www.floridabar.org/the-florida-bar-journal/the-1996-amendments-to-the-florida-construction-lien-law/" TargetMode="External"/><Relationship Id="rId23" Type="http://schemas.openxmlformats.org/officeDocument/2006/relationships/hyperlink" Target="https://www.floridabar.org/the-florida-bar-journal/the-1996-amendments-to-the-florida-construction-lien-law/" TargetMode="External"/><Relationship Id="rId24" Type="http://schemas.openxmlformats.org/officeDocument/2006/relationships/hyperlink" Target="https://www.floridabar.org/the-florida-bar-journal/the-1996-amendments-to-the-florida-construction-lien-law/" TargetMode="External"/><Relationship Id="rId25" Type="http://schemas.openxmlformats.org/officeDocument/2006/relationships/hyperlink" Target="https://caselaw.findlaw.com/fl-district-court-of-appeal/1165642.html" TargetMode="External"/><Relationship Id="rId26" Type="http://schemas.openxmlformats.org/officeDocument/2006/relationships/hyperlink" Target="https://caselaw.findlaw.com/fl-district-court-of-appeal/1165642.html" TargetMode="External"/><Relationship Id="rId27" Type="http://schemas.openxmlformats.org/officeDocument/2006/relationships/hyperlink" Target="https://caselaw.findlaw.com/fl-district-court-of-appeal/1165642.html" TargetMode="External"/><Relationship Id="rId28" Type="http://schemas.openxmlformats.org/officeDocument/2006/relationships/hyperlink" Target="https://caselaw.findlaw.com/fl-district-court-of-appeal/1165642.html" TargetMode="External"/><Relationship Id="rId29" Type="http://schemas.openxmlformats.org/officeDocument/2006/relationships/hyperlink" Target="https://caselaw.findlaw.com/fl-district-court-of-appeal/1165642.html" TargetMode="External"/><Relationship Id="rId30" Type="http://schemas.openxmlformats.org/officeDocument/2006/relationships/hyperlink" Target="https://caselaw.findlaw.com/fl-district-court-of-appeal/1165642.html" TargetMode="External"/><Relationship Id="rId31" Type="http://schemas.openxmlformats.org/officeDocument/2006/relationships/hyperlink" Target="https://caselaw.findlaw.com/fl-district-court-of-appeal/1165642.html" TargetMode="External"/><Relationship Id="rId32" Type="http://schemas.openxmlformats.org/officeDocument/2006/relationships/hyperlink" Target="https://www.jimersonfirm.com/blog/2021/02/top-five-construction-lien-law/" TargetMode="External"/><Relationship Id="rId33" Type="http://schemas.openxmlformats.org/officeDocument/2006/relationships/hyperlink" Target="https://www.jimersonfirm.com/blog/2021/02/top-five-construction-lien-law/" TargetMode="External"/><Relationship Id="rId34" Type="http://schemas.openxmlformats.org/officeDocument/2006/relationships/hyperlink" Target="https://www.floridabar.org/the-florida-bar-journal/the-1996-amendments-to-the-florida-construction-lien-law/" TargetMode="External"/><Relationship Id="rId35" Type="http://schemas.openxmlformats.org/officeDocument/2006/relationships/hyperlink" Target="https://www.floridabar.org/the-florida-bar-journal/the-1996-amendments-to-the-florida-construction-lien-law/" TargetMode="External"/><Relationship Id="rId36" Type="http://schemas.openxmlformats.org/officeDocument/2006/relationships/hyperlink" Target="https://caselaw.findlaw.com/fl-district-court-of-appeal/1165642.html" TargetMode="External"/><Relationship Id="rId37" Type="http://schemas.openxmlformats.org/officeDocument/2006/relationships/hyperlink" Target="https://caselaw.findlaw.com/fl-district-court-of-appeal/1165642.html" TargetMode="External"/><Relationship Id="rId38" Type="http://schemas.openxmlformats.org/officeDocument/2006/relationships/hyperlink" Target="https://codes.findlaw.com/fl/title-xl-real-and-personal-property/fl-st-sect-713-20/" TargetMode="External"/><Relationship Id="rId39" Type="http://schemas.openxmlformats.org/officeDocument/2006/relationships/hyperlink" Target="https://codes.findlaw.com/fl/title-xl-real-and-personal-property/fl-st-sect-713-20/" TargetMode="External"/><Relationship Id="rId40" Type="http://schemas.openxmlformats.org/officeDocument/2006/relationships/hyperlink" Target="https://codes.findlaw.com/fl/title-xl-real-and-personal-property/fl-st-sect-713-20/" TargetMode="External"/><Relationship Id="rId41" Type="http://schemas.openxmlformats.org/officeDocument/2006/relationships/hyperlink" Target="https://www.lexology.com/library/detail.aspx?g=65445bb8-8e7d-42b0-89de-36bc0c38ddc4" TargetMode="External"/><Relationship Id="rId42" Type="http://schemas.openxmlformats.org/officeDocument/2006/relationships/hyperlink" Target="https://www.lexology.com/library/detail.aspx?g=65445bb8-8e7d-42b0-89de-36bc0c38ddc4" TargetMode="External"/><Relationship Id="rId43" Type="http://schemas.openxmlformats.org/officeDocument/2006/relationships/hyperlink" Target="https://www.lexology.com/library/detail.aspx?g=65445bb8-8e7d-42b0-89de-36bc0c38ddc4" TargetMode="External"/><Relationship Id="rId44" Type="http://schemas.openxmlformats.org/officeDocument/2006/relationships/hyperlink" Target="https://www.lexology.com/library/detail.aspx?g=65445bb8-8e7d-42b0-89de-36bc0c38ddc4" TargetMode="External"/><Relationship Id="rId45" Type="http://schemas.openxmlformats.org/officeDocument/2006/relationships/hyperlink" Target="https://law.justia.com/cases/florida/third-district-court-of-appeal/2003/3d02-2904.html" TargetMode="External"/><Relationship Id="rId46" Type="http://schemas.openxmlformats.org/officeDocument/2006/relationships/hyperlink" Target="https://codes.findlaw.com/fl/title-xl-real-and-personal-property/fl-st-sect-713-20/" TargetMode="External"/><Relationship Id="rId47" Type="http://schemas.openxmlformats.org/officeDocument/2006/relationships/hyperlink" Target="https://codes.findlaw.com/fl/title-xl-real-and-personal-property/fl-st-sect-713-20/" TargetMode="External"/><Relationship Id="rId48" Type="http://schemas.openxmlformats.org/officeDocument/2006/relationships/hyperlink" Target="https://codes.findlaw.com/fl/title-xl-real-and-personal-property/fl-st-sect-713-20/" TargetMode="External"/><Relationship Id="rId49" Type="http://schemas.openxmlformats.org/officeDocument/2006/relationships/hyperlink" Target="https://codes.findlaw.com/fl/title-xl-real-and-personal-property/fl-st-sect-713-20/" TargetMode="External"/><Relationship Id="rId50" Type="http://schemas.openxmlformats.org/officeDocument/2006/relationships/hyperlink" Target="https://caselaw.findlaw.com/fl-district-court-of-appeal/1165642.html" TargetMode="External"/><Relationship Id="rId51" Type="http://schemas.openxmlformats.org/officeDocument/2006/relationships/hyperlink" Target="https://caselaw.findlaw.com/fl-district-court-of-appeal/1165642.html" TargetMode="External"/><Relationship Id="rId52" Type="http://schemas.openxmlformats.org/officeDocument/2006/relationships/hyperlink" Target="https://caselaw.findlaw.com/fl-district-court-of-appeal/1165642.html" TargetMode="External"/><Relationship Id="rId53" Type="http://schemas.openxmlformats.org/officeDocument/2006/relationships/hyperlink" Target="https://law.justia.com/cases/florida/third-district-court-of-appeal/2003/3d02-2904.html" TargetMode="External"/><Relationship Id="rId54" Type="http://schemas.openxmlformats.org/officeDocument/2006/relationships/hyperlink" Target="https://www.lexology.com/library/detail.aspx?g=65445bb8-8e7d-42b0-89de-36bc0c38ddc4" TargetMode="External"/><Relationship Id="rId55" Type="http://schemas.openxmlformats.org/officeDocument/2006/relationships/hyperlink" Target="https://www.lexology.com/library/detail.aspx?g=65445bb8-8e7d-42b0-89de-36bc0c38ddc4" TargetMode="External"/><Relationship Id="rId56" Type="http://schemas.openxmlformats.org/officeDocument/2006/relationships/hyperlink" Target="https://www.floridabar.org/the-florida-bar-journal/the-1996-amendments-to-the-florida-construction-lien-law/" TargetMode="External"/><Relationship Id="rId57" Type="http://schemas.openxmlformats.org/officeDocument/2006/relationships/hyperlink" Target="https://www.floridabar.org/the-florida-bar-journal/the-1996-amendments-to-the-florida-construction-lien-law/" TargetMode="External"/><Relationship Id="rId58" Type="http://schemas.openxmlformats.org/officeDocument/2006/relationships/image" Target="media/image1.png"/><Relationship Id="rId59" Type="http://schemas.openxmlformats.org/officeDocument/2006/relationships/image" Target="media/image2.png"/><Relationship Id="rId60" Type="http://schemas.openxmlformats.org/officeDocument/2006/relationships/image" Target="media/image3.png"/><Relationship Id="rId61" Type="http://schemas.openxmlformats.org/officeDocument/2006/relationships/image" Target="media/image4.jpeg"/><Relationship Id="rId62" Type="http://schemas.openxmlformats.org/officeDocument/2006/relationships/image" Target="media/image4.jpeg"/><Relationship Id="rId63" Type="http://schemas.openxmlformats.org/officeDocument/2006/relationships/fontTable" Target="fontTable.xml"/><Relationship Id="rId64" Type="http://schemas.openxmlformats.org/officeDocument/2006/relationships/settings" Target="settings.xml"/><Relationship Id="rId6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LibreOffice/25.2.6.2$Windows_X86_64 LibreOffice_project/729c5bfe710f5eb71ed3bbde9e06a6065e9c6c5d</Application>
  <AppVersion>15.0000</AppVersion>
  <Pages>7</Pages>
  <Words>3820</Words>
  <Characters>20487</Characters>
  <CharactersWithSpaces>24309</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2025-11-30T21:52:32Z</dcterms:created>
  <dc:creator/>
  <dc:description/>
  <dc:language>en-US</dc:language>
  <cp:lastModifiedBy/>
  <dcterms:modified xsi:type="dcterms:W3CDTF">2025-11-30T21:53:29Z</dcterms:modified>
  <cp:revision>1</cp:revision>
  <dc:subject/>
  <dc:title/>
</cp:coreProperties>
</file>