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4.jpeg" ContentType="image/jpeg"/>
  <Override PartName="/word/media/image3.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Florida’s Notice to Owner (NTO) Requirement – Key Cases and Compliance Principles</w:t>
      </w:r>
    </w:p>
    <w:p>
      <w:pPr>
        <w:pStyle w:val="Heading2"/>
        <w:bidi w:val="0"/>
        <w:jc w:val="start"/>
        <w:rPr/>
      </w:pPr>
      <w:r>
        <w:rPr/>
        <w:t>Background: Purpose and Strict Nature of NTO Requirements</w:t>
      </w:r>
    </w:p>
    <w:p>
      <w:pPr>
        <w:pStyle w:val="BodyText"/>
        <w:bidi w:val="0"/>
        <w:jc w:val="start"/>
        <w:rPr/>
      </w:pPr>
      <w:r>
        <w:rPr/>
        <w:t xml:space="preserve">Under Florida’s Construction Lien Law, lienors not in direct privity with the owner (e.g. subcontractors, sub-subs, material suppliers) </w:t>
      </w:r>
      <w:r>
        <w:rPr>
          <w:rStyle w:val="Strong"/>
        </w:rPr>
        <w:t>must serve a Notice to Owner (NTO)</w:t>
      </w:r>
      <w:r>
        <w:rPr/>
        <w:t xml:space="preserve"> as a prerequisite to preserving lien rights</w:t>
      </w:r>
      <w:hyperlink r:id="rId2" w:anchor=":~:text=As%20a%20prerequisite%20to%20perfecting,recognized%2C%20the%20notice%20requirement%20is" w:tgtFrame="_blank">
        <w:r>
          <w:rPr>
            <w:rStyle w:val="Hyperlink"/>
          </w:rPr>
          <w:t>law.justia.com</w:t>
        </w:r>
      </w:hyperlink>
      <w:r>
        <w:rPr/>
        <w:t>. The NTO alerts the property owner that these parties are working on the project and may look to the owner for payment if unpaid</w:t>
      </w:r>
      <w:hyperlink r:id="rId3" w:anchor=":~:text=713,double%20payment%2C%20such%20notice%20will" w:tgtFrame="_blank">
        <w:r>
          <w:rPr>
            <w:rStyle w:val="Hyperlink"/>
          </w:rPr>
          <w:t>law.justia.com</w:t>
        </w:r>
      </w:hyperlink>
      <w:r>
        <w:rPr/>
        <w:t>. This protects owners from “double payment” – paying the general contractor and then being forced to pay subs/suppliers who remain unpaid</w:t>
      </w:r>
      <w:hyperlink r:id="rId4" w:anchor=":~:text=713,double%20payment%2C%20such%20notice%20will" w:tgtFrame="_blank">
        <w:r>
          <w:rPr>
            <w:rStyle w:val="Hyperlink"/>
          </w:rPr>
          <w:t>law.justia.com</w:t>
        </w:r>
      </w:hyperlink>
      <w:r>
        <w:rPr/>
        <w:t xml:space="preserve">. Florida courts emphasize that the lien law is strictly construed, and </w:t>
      </w:r>
      <w:r>
        <w:rPr>
          <w:rStyle w:val="Strong"/>
        </w:rPr>
        <w:t>strict compliance</w:t>
      </w:r>
      <w:r>
        <w:rPr/>
        <w:t xml:space="preserve"> with statutory NTO requirements is “indispensable” for a valid lien</w:t>
      </w:r>
      <w:hyperlink r:id="rId5" w:anchor=":~:text=Electric%20an%20electrical%20contractor%20filed,Home" w:tgtFrame="_blank">
        <w:r>
          <w:rPr>
            <w:rStyle w:val="Hyperlink"/>
          </w:rPr>
          <w:t>law.justia.com</w:t>
        </w:r>
      </w:hyperlink>
      <w:hyperlink r:id="rId6" w:anchor=":~:text=argument%20that%20its%20facsimile%20transmission,was%20fatal%20to%20establishing%20its" w:tgtFrame="_blank">
        <w:r>
          <w:rPr>
            <w:rStyle w:val="Hyperlink"/>
          </w:rPr>
          <w:t>caselaw.findlaw.com</w:t>
        </w:r>
      </w:hyperlink>
      <w:r>
        <w:rPr/>
        <w:t xml:space="preserve">. Although minor, non-misleading errors might be forgiven, substantial noncompliance (missed deadlines, missing statutory warning language, improper service, etc.) will </w:t>
      </w:r>
      <w:r>
        <w:rPr>
          <w:rStyle w:val="Emphasis"/>
        </w:rPr>
        <w:t>defeat lien rights</w:t>
      </w:r>
      <w:hyperlink r:id="rId7" w:anchor=":~:text=argument%20that%20its%20facsimile%20transmission,was%20fatal%20to%20establishing%20its" w:tgtFrame="_blank">
        <w:r>
          <w:rPr>
            <w:rStyle w:val="Hyperlink"/>
          </w:rPr>
          <w:t>caselaw.findlaw.com</w:t>
        </w:r>
      </w:hyperlink>
      <w:hyperlink r:id="rId8" w:anchor=":~:text=recipients" w:tgtFrame="_blank">
        <w:r>
          <w:rPr>
            <w:rStyle w:val="Hyperlink"/>
          </w:rPr>
          <w:t>buildersnotice.com</w:t>
        </w:r>
      </w:hyperlink>
      <w:r>
        <w:rPr/>
        <w:t>. The cases below illustrate how Florida courts have enforced the NTO rules (focusing on the current statute post-2023, which retains the strict amendments made in 1991). For each case, we note the parties involved, the NTO issue, the outcome, the court’s reasoning, common compliance errors, and the impact on lien enforceability.</w:t>
      </w:r>
    </w:p>
    <w:p>
      <w:pPr>
        <w:pStyle w:val="Heading2"/>
        <w:bidi w:val="0"/>
        <w:jc w:val="start"/>
        <w:rPr/>
      </w:pPr>
      <w:r>
        <w:rPr/>
        <w:t xml:space="preserve">Aetna Cas. &amp; Sur. Co. v. Buck (Fla. Supreme Court 1992) – </w:t>
      </w:r>
      <w:r>
        <w:rPr>
          <w:rStyle w:val="Strong"/>
          <w:b/>
          <w:bCs/>
        </w:rPr>
        <w:t>Common-Identity Privity Excuses Notice</w:t>
      </w:r>
    </w:p>
    <w:p>
      <w:pPr>
        <w:pStyle w:val="BodyText"/>
        <w:bidi w:val="0"/>
        <w:jc w:val="start"/>
        <w:rPr/>
      </w:pPr>
      <w:r>
        <w:rPr>
          <w:rStyle w:val="Strong"/>
        </w:rPr>
        <w:t>Parties:</w:t>
      </w:r>
      <w:r>
        <w:rPr/>
        <w:t xml:space="preserve"> A subcontractor (Buck, d/b/a American Metal Fabricating) contracted with a general contractor (Pappalardo Construction) to supply materials for a condo project. Pappalardo was also the principal of the owning joint venture (Bay Colony Land Co.), effectively making the owner and contractor the </w:t>
      </w:r>
      <w:r>
        <w:rPr>
          <w:rStyle w:val="Emphasis"/>
        </w:rPr>
        <w:t>same person</w:t>
      </w:r>
      <w:r>
        <w:rPr/>
        <w:t xml:space="preserve">. Buck recorded a lien after nonpayment but </w:t>
      </w:r>
      <w:r>
        <w:rPr>
          <w:rStyle w:val="Strong"/>
        </w:rPr>
        <w:t>never served an NTO on the owner</w:t>
      </w:r>
      <w:hyperlink r:id="rId9" w:anchor=":~:text=Vincent%20J,withheld%20payment%20for%20the%20materials" w:tgtFrame="_blank">
        <w:r>
          <w:rPr>
            <w:rStyle w:val="Hyperlink"/>
          </w:rPr>
          <w:t>law.justia.com</w:t>
        </w:r>
      </w:hyperlink>
      <w:hyperlink r:id="rId10" w:anchor=":~:text=owns%20the%20property%20under%20construction,as%20owner%20of%20the%20property" w:tgtFrame="_blank">
        <w:r>
          <w:rPr>
            <w:rStyle w:val="Hyperlink"/>
          </w:rPr>
          <w:t>law.justia.com</w:t>
        </w:r>
      </w:hyperlink>
      <w:r>
        <w:rPr/>
        <w:t>.</w:t>
        <w:br/>
      </w:r>
      <w:r>
        <w:rPr>
          <w:rStyle w:val="Strong"/>
        </w:rPr>
        <w:t>Issue:</w:t>
      </w:r>
      <w:r>
        <w:rPr/>
        <w:t xml:space="preserve"> Whether the NTO requirement can be waived because the owner and contractor were essentially the same entity (common identity), putting the sub in “privity” with the owner despite no direct contract. Normally, a sub not in privity must serve an NTO</w:t>
      </w:r>
      <w:hyperlink r:id="rId11" w:anchor=":~:text=As%20a%20prerequisite%20to%20perfecting,recognized%2C%20the%20notice%20requirement%20is" w:tgtFrame="_blank">
        <w:r>
          <w:rPr>
            <w:rStyle w:val="Hyperlink"/>
          </w:rPr>
          <w:t>law.justia.com</w:t>
        </w:r>
      </w:hyperlink>
      <w:r>
        <w:rPr/>
        <w:t>. Buck argued that common ownership/identity established privity, excusing the notice.</w:t>
        <w:br/>
      </w:r>
      <w:r>
        <w:rPr>
          <w:rStyle w:val="Strong"/>
        </w:rPr>
        <w:t>Outcome:</w:t>
      </w:r>
      <w:r>
        <w:rPr/>
        <w:t xml:space="preserve"> The Florida Supreme Court agreed with the subcontractor. It held that </w:t>
      </w:r>
      <w:r>
        <w:rPr>
          <w:rStyle w:val="Strong"/>
        </w:rPr>
        <w:t>when “the owner and contractor share a common identity,” the NTO is not required</w:t>
      </w:r>
      <w:hyperlink r:id="rId12" w:anchor=":~:text=Although%20we%20agree%20with%20the,work%20or%20when%20the%20owner" w:tgtFrame="_blank">
        <w:r>
          <w:rPr>
            <w:rStyle w:val="Hyperlink"/>
          </w:rPr>
          <w:t>law.justia.com</w:t>
        </w:r>
      </w:hyperlink>
      <w:r>
        <w:rPr/>
        <w:t xml:space="preserve">. This created a narrow exception: privity (and thus no notice) exists either when the owner has expressly assumed the sub’s obligation </w:t>
      </w:r>
      <w:r>
        <w:rPr>
          <w:rStyle w:val="Emphasis"/>
        </w:rPr>
        <w:t>or</w:t>
      </w:r>
      <w:r>
        <w:rPr/>
        <w:t xml:space="preserve"> when, for all practical purposes, the owner and contractor are the same entity</w:t>
      </w:r>
      <w:hyperlink r:id="rId13" w:anchor=":~:text=Although%20we%20agree%20with%20the,work%20or%20when%20the%20owner" w:tgtFrame="_blank">
        <w:r>
          <w:rPr>
            <w:rStyle w:val="Hyperlink"/>
          </w:rPr>
          <w:t>law.justia.com</w:t>
        </w:r>
      </w:hyperlink>
      <w:r>
        <w:rPr/>
        <w:t>. Here, because Pappalardo was on both sides (owner’s principal and contractor), Buck was deemed in privity and his lien was enforceable despite no NTO. The Court noted that in such cases the owner is obviously aware of the sub and its claim (since the “owner” is the contractor)</w:t>
      </w:r>
      <w:hyperlink r:id="rId14" w:anchor=":~:text=common%20identity%20exists%20between%20the,either%20situation%2C%20notice%20is%20not" w:tgtFrame="_blank">
        <w:r>
          <w:rPr>
            <w:rStyle w:val="Hyperlink"/>
          </w:rPr>
          <w:t>law.justia.com</w:t>
        </w:r>
      </w:hyperlink>
      <w:r>
        <w:rPr/>
        <w:t>.</w:t>
        <w:br/>
      </w:r>
      <w:r>
        <w:rPr>
          <w:rStyle w:val="Strong"/>
        </w:rPr>
        <w:t>Reasoning:</w:t>
      </w:r>
      <w:r>
        <w:rPr/>
        <w:t xml:space="preserve"> Although mechanics’ liens are strictly statutory and usually require notice, the Court extended the concept of privity to common-identity situations, citing earlier cases that had reached similar results in owner-as-contractor scenarios</w:t>
      </w:r>
      <w:hyperlink r:id="rId15" w:anchor=":~:text=Although%20we%20agree%20with%20the,work%20or%20when%20the%20owner" w:tgtFrame="_blank">
        <w:r>
          <w:rPr>
            <w:rStyle w:val="Hyperlink"/>
          </w:rPr>
          <w:t>law.justia.com</w:t>
        </w:r>
      </w:hyperlink>
      <w:r>
        <w:rPr/>
        <w:t>. The purpose of the NTO – warning owners of unknown subs</w:t>
      </w:r>
      <w:hyperlink r:id="rId16" w:anchor=":~:text=713,double%20payment%2C%20such%20notice%20will" w:tgtFrame="_blank">
        <w:r>
          <w:rPr>
            <w:rStyle w:val="Hyperlink"/>
          </w:rPr>
          <w:t>law.justia.com</w:t>
        </w:r>
      </w:hyperlink>
      <w:r>
        <w:rPr/>
        <w:t xml:space="preserve"> – wasn’t defeated here because the owner knew of and controlled the subcontract. </w:t>
      </w:r>
      <w:r>
        <w:rPr>
          <w:rStyle w:val="Emphasis"/>
        </w:rPr>
        <w:t>However, a concurring justice cautioned that this “bails out” a subcontractor who forgot to file an NTO and creates uncertainty about how much common ownership is enough</w:t>
      </w:r>
      <w:hyperlink r:id="rId17" w:anchor=":~:text=In%20an%20effort%20to%20bail,common%20identity" w:tgtFrame="_blank">
        <w:r>
          <w:rPr>
            <w:rStyle w:val="Hyperlink"/>
            <w:i/>
            <w:i/>
            <w:iCs/>
          </w:rPr>
          <w:t>law.justia.com</w:t>
        </w:r>
      </w:hyperlink>
      <w:r>
        <w:rPr>
          <w:rStyle w:val="Emphasis"/>
        </w:rPr>
        <w:t>.</w:t>
      </w:r>
      <w:r>
        <w:rPr/>
        <w:t xml:space="preserve"> In practice, this exception is </w:t>
      </w:r>
      <w:r>
        <w:rPr>
          <w:rStyle w:val="Strong"/>
        </w:rPr>
        <w:t>limited</w:t>
      </w:r>
      <w:r>
        <w:rPr/>
        <w:t xml:space="preserve"> to situations with nearly complete overlap between owner and contractor.</w:t>
        <w:br/>
      </w:r>
      <w:r>
        <w:rPr>
          <w:rStyle w:val="Strong"/>
        </w:rPr>
        <w:t>Compliance Pitfall:</w:t>
      </w:r>
      <w:r>
        <w:rPr/>
        <w:t xml:space="preserve"> The subcontractor’s failure to serve any NTO would normally be fatal. Buck only avoided disaster because of the uncommon fact of identical ownership. Relying on an “identity of interest” is risky – absent a clear unity between owner and contractor, lack of notice remains a complete defense to a lien.</w:t>
        <w:br/>
      </w:r>
      <w:r>
        <w:rPr>
          <w:rStyle w:val="Strong"/>
        </w:rPr>
        <w:t>Impact on Lien:</w:t>
      </w:r>
      <w:r>
        <w:rPr/>
        <w:t xml:space="preserve"> Buck’s lien was deemed valid and enforceable (and the owner’s payment bond surety was liable) despite no NTO, due to the privity-by-identity finding</w:t>
      </w:r>
      <w:hyperlink r:id="rId18" w:anchor=":~:text=Although%20we%20agree%20with%20the,work%20or%20when%20the%20owner" w:tgtFrame="_blank">
        <w:r>
          <w:rPr>
            <w:rStyle w:val="Hyperlink"/>
          </w:rPr>
          <w:t>law.justia.com</w:t>
        </w:r>
      </w:hyperlink>
      <w:r>
        <w:rPr/>
        <w:t xml:space="preserve">. This case underscores that </w:t>
      </w:r>
      <w:r>
        <w:rPr>
          <w:rStyle w:val="Strong"/>
        </w:rPr>
        <w:t>direct contract (or its equivalent) = no NTO needed</w:t>
      </w:r>
      <w:r>
        <w:rPr/>
        <w:t xml:space="preserve">, but it is </w:t>
      </w:r>
      <w:r>
        <w:rPr>
          <w:rStyle w:val="Emphasis"/>
        </w:rPr>
        <w:t>not</w:t>
      </w:r>
      <w:r>
        <w:rPr/>
        <w:t xml:space="preserve"> a general leniency rule. Courts still require notice in typical subcontractor situations where the owner is a separate entity. Practitioners should err on the side of serving an NTO unless truly in privity; do not assume an owner’s knowledge or common management will excuse compliance.</w:t>
      </w:r>
    </w:p>
    <w:p>
      <w:pPr>
        <w:pStyle w:val="Heading2"/>
        <w:bidi w:val="0"/>
        <w:jc w:val="start"/>
        <w:rPr/>
      </w:pPr>
      <w:r>
        <w:rPr/>
        <w:t xml:space="preserve">Superfos Constr. (U.S.), Inc. v. </w:t>
      </w:r>
      <w:r>
        <w:rPr>
          <w:rStyle w:val="Strong"/>
          <w:b/>
          <w:bCs/>
        </w:rPr>
        <w:t>Hajoca Corp.</w:t>
      </w:r>
      <w:r>
        <w:rPr/>
        <w:t xml:space="preserve"> (Fla. 2d DCA 1998) – </w:t>
      </w:r>
      <w:r>
        <w:rPr>
          <w:rStyle w:val="Strong"/>
          <w:b/>
          <w:bCs/>
        </w:rPr>
        <w:t>Timing: Final Payment vs. 45-Day Rule</w:t>
      </w:r>
    </w:p>
    <w:p>
      <w:pPr>
        <w:pStyle w:val="BodyText"/>
        <w:bidi w:val="0"/>
        <w:jc w:val="start"/>
        <w:rPr/>
      </w:pPr>
      <w:r>
        <w:rPr>
          <w:rStyle w:val="Strong"/>
        </w:rPr>
        <w:t>Parties:</w:t>
      </w:r>
      <w:r>
        <w:rPr/>
        <w:t xml:space="preserve"> A subcontractor (“Superfos”) vs. a property owner (“Hajoca”). Superfos started work late in the project and did not serve its NTO until after the job was done. The owner </w:t>
      </w:r>
      <w:r>
        <w:rPr>
          <w:rStyle w:val="Strong"/>
        </w:rPr>
        <w:t>had already issued final payment to the general contractor</w:t>
      </w:r>
      <w:r>
        <w:rPr/>
        <w:t xml:space="preserve"> (on July 1, 1996) before Superfos served the NTO on July 10, 1996</w:t>
      </w:r>
      <w:hyperlink r:id="rId19" w:anchor=":~:text=concern%20will%20be%20the%20timing,2d%20DCA%201998" w:tgtFrame="_blank">
        <w:r>
          <w:rPr>
            <w:rStyle w:val="Hyperlink"/>
          </w:rPr>
          <w:t>mkpalaw.com</w:t>
        </w:r>
      </w:hyperlink>
      <w:hyperlink r:id="rId20" w:anchor=":~:text=Hajoca%20was%20the%20project%20owner,Owner%20had%20made%20final%20payment" w:tgtFrame="_blank">
        <w:r>
          <w:rPr>
            <w:rStyle w:val="Hyperlink"/>
          </w:rPr>
          <w:t>mkpalaw.com</w:t>
        </w:r>
      </w:hyperlink>
      <w:r>
        <w:rPr/>
        <w:t xml:space="preserve">. The NTO was within 45 days of Superfos’s first work (so timely in that sense) but came </w:t>
      </w:r>
      <w:r>
        <w:rPr>
          <w:rStyle w:val="Emphasis"/>
        </w:rPr>
        <w:t>after</w:t>
      </w:r>
      <w:r>
        <w:rPr/>
        <w:t xml:space="preserve"> the owner paid the contractor in full.</w:t>
        <w:br/>
      </w:r>
      <w:r>
        <w:rPr>
          <w:rStyle w:val="Strong"/>
        </w:rPr>
        <w:t>Issue:</w:t>
      </w:r>
      <w:r>
        <w:rPr/>
        <w:t xml:space="preserve"> Florida’s statute requires NTO service </w:t>
      </w:r>
      <w:r>
        <w:rPr>
          <w:rStyle w:val="Emphasis"/>
        </w:rPr>
        <w:t>within 45 days of commencing work</w:t>
      </w:r>
      <w:r>
        <w:rPr/>
        <w:t xml:space="preserve"> </w:t>
      </w:r>
      <w:r>
        <w:rPr>
          <w:rStyle w:val="Strong"/>
        </w:rPr>
        <w:t>and</w:t>
      </w:r>
      <w:r>
        <w:rPr/>
        <w:t xml:space="preserve"> </w:t>
      </w:r>
      <w:r>
        <w:rPr>
          <w:rStyle w:val="Emphasis"/>
        </w:rPr>
        <w:t xml:space="preserve">“before the date of the owner’s disbursement of final payment </w:t>
      </w:r>
      <w:r>
        <w:rPr>
          <w:rStyle w:val="Strong"/>
        </w:rPr>
        <w:t>after</w:t>
      </w:r>
      <w:r>
        <w:rPr>
          <w:rStyle w:val="Emphasis"/>
        </w:rPr>
        <w:t xml:space="preserve"> the contractor’s final affidavit”</w:t>
      </w:r>
      <w:hyperlink r:id="rId21" w:anchor=":~:text=Florida%20Statutes%2C%20section%20713,relevant%20part%20that%20an%20NTO" w:tgtFrame="_blank">
        <w:r>
          <w:rPr>
            <w:rStyle w:val="Hyperlink"/>
          </w:rPr>
          <w:t>mkpalaw.com</w:t>
        </w:r>
      </w:hyperlink>
      <w:r>
        <w:rPr/>
        <w:t>. What if the owner makes a final payment without obtaining the contractor’s final payment affidavit as required by law? Is an NTO served after such a payment effective? The owner argued Superfos’s notice was untimely since it came after he paid the GC. The sub argued the owner’s payment was improper (no affidavit), so the statutory cutoff hadn’t actually been triggered</w:t>
      </w:r>
      <w:hyperlink r:id="rId22" w:anchor=":~:text=Hajoca%20was%20the%20project%20owner,Owner%20had%20made%20final%20payment" w:tgtFrame="_blank">
        <w:r>
          <w:rPr>
            <w:rStyle w:val="Hyperlink"/>
          </w:rPr>
          <w:t>mkpalaw.com</w:t>
        </w:r>
      </w:hyperlink>
      <w:hyperlink r:id="rId23" w:anchor=":~:text=Owner%20had%20made%20final%20payment,general%20contractor%E2%80%99s%20final%20payment%20affidavit" w:tgtFrame="_blank">
        <w:r>
          <w:rPr>
            <w:rStyle w:val="Hyperlink"/>
          </w:rPr>
          <w:t>mkpalaw.com</w:t>
        </w:r>
      </w:hyperlink>
      <w:r>
        <w:rPr/>
        <w:t>.</w:t>
        <w:br/>
      </w:r>
      <w:r>
        <w:rPr>
          <w:rStyle w:val="Strong"/>
        </w:rPr>
        <w:t>Outcome:</w:t>
      </w:r>
      <w:r>
        <w:rPr/>
        <w:t xml:space="preserve"> The Second DCA sided with the subcontractor, </w:t>
      </w:r>
      <w:r>
        <w:rPr>
          <w:rStyle w:val="Strong"/>
        </w:rPr>
        <w:t>holding the NTO was valid</w:t>
      </w:r>
      <w:r>
        <w:rPr/>
        <w:t>. Because the owner failed to get the contractor’s final-payment affidavit before disbursing final payment, the statutory protection for the owner did not apply</w:t>
      </w:r>
      <w:hyperlink r:id="rId24" w:anchor=":~:text=Owner%20had%20made%20final%20payment,general%20contractor%E2%80%99s%20final%20payment%20affidavit" w:tgtFrame="_blank">
        <w:r>
          <w:rPr>
            <w:rStyle w:val="Hyperlink"/>
          </w:rPr>
          <w:t>mkpalaw.com</w:t>
        </w:r>
      </w:hyperlink>
      <w:r>
        <w:rPr/>
        <w:t>. In fact, the statute punishes an owner who pays the contractor prematurely: the owner’s property remains subject to liens of which the owner has notice if final payment was not properly conditioned on the affidavit</w:t>
      </w:r>
      <w:hyperlink r:id="rId25" w:anchor=":~:text=When%20final%20payment%20has%20become,furnishes%20his%20or%20her%20affidavit" w:tgtFrame="_blank">
        <w:r>
          <w:rPr>
            <w:rStyle w:val="Hyperlink"/>
          </w:rPr>
          <w:t>mkpalaw.com</w:t>
        </w:r>
      </w:hyperlink>
      <w:r>
        <w:rPr/>
        <w:t xml:space="preserve">. The appellate court famously stated that by making final payment without the required affidavit, the owner </w:t>
      </w:r>
      <w:r>
        <w:rPr>
          <w:rStyle w:val="Strong"/>
        </w:rPr>
        <w:t>“subjected itself to the claim of any subcontractor who…filed a notice to owner within forty-five days of commencing work.”</w:t>
      </w:r>
      <w:hyperlink r:id="rId26" w:anchor=":~:text=Unfortunately%2C%20the%20trial%20court%20bought,had%20an%20enforceable%20construction%20lien" w:tgtFrame="_blank">
        <w:r>
          <w:rPr>
            <w:rStyle w:val="Hyperlink"/>
          </w:rPr>
          <w:t>mkpalaw.com</w:t>
        </w:r>
      </w:hyperlink>
      <w:r>
        <w:rPr/>
        <w:t xml:space="preserve"> Superfos’s NTO (served 9 days after final pay) was within 45 days of its start, so it counted – and the lien was enforceable</w:t>
      </w:r>
      <w:hyperlink r:id="rId27" w:anchor=":~:text=Unfortunately%2C%20the%20trial%20court%20bought,had%20an%20enforceable%20construction%20lien" w:tgtFrame="_blank">
        <w:r>
          <w:rPr>
            <w:rStyle w:val="Hyperlink"/>
          </w:rPr>
          <w:t>mkpalaw.com</w:t>
        </w:r>
      </w:hyperlink>
      <w:r>
        <w:rPr/>
        <w:t>.</w:t>
        <w:br/>
      </w:r>
      <w:r>
        <w:rPr>
          <w:rStyle w:val="Strong"/>
        </w:rPr>
        <w:t>Reasoning:</w:t>
      </w:r>
      <w:r>
        <w:rPr/>
        <w:t xml:space="preserve"> The court read the statute’s plain language: an NTO must come before final payment </w:t>
      </w:r>
      <w:r>
        <w:rPr>
          <w:rStyle w:val="Emphasis"/>
        </w:rPr>
        <w:t>after</w:t>
      </w:r>
      <w:r>
        <w:rPr/>
        <w:t xml:space="preserve"> the contractor’s affidavit</w:t>
      </w:r>
      <w:hyperlink r:id="rId28" w:anchor=":~:text=Florida%20Statutes%2C%20section%20713,relevant%20part%20that%20an%20NTO" w:tgtFrame="_blank">
        <w:r>
          <w:rPr>
            <w:rStyle w:val="Hyperlink"/>
          </w:rPr>
          <w:t>mkpalaw.com</w:t>
        </w:r>
      </w:hyperlink>
      <w:r>
        <w:rPr/>
        <w:t>. Here the “final payment” contemplated by the statute never legally occurred because the affidavit wasn’t given. The owner essentially jumped the gun, so the door was still open for lien notices. The decision aligns with the policy that owners who don’t follow the affidavit procedure can be exposed to lien claims</w:t>
      </w:r>
      <w:hyperlink r:id="rId29" w:anchor=":~:text=When%20final%20payment%20has%20become,furnishes%20his%20or%20her%20affidavit" w:tgtFrame="_blank">
        <w:r>
          <w:rPr>
            <w:rStyle w:val="Hyperlink"/>
          </w:rPr>
          <w:t>mkpalaw.com</w:t>
        </w:r>
      </w:hyperlink>
      <w:hyperlink r:id="rId30" w:anchor=":~:text=Unfortunately%2C%20the%20trial%20court%20bought,had%20an%20enforceable%20construction%20lien" w:tgtFrame="_blank">
        <w:r>
          <w:rPr>
            <w:rStyle w:val="Hyperlink"/>
          </w:rPr>
          <w:t>mkpalaw.com</w:t>
        </w:r>
      </w:hyperlink>
      <w:r>
        <w:rPr/>
        <w:t>.</w:t>
        <w:br/>
      </w:r>
      <w:r>
        <w:rPr>
          <w:rStyle w:val="Strong"/>
        </w:rPr>
        <w:t>Compliance Pitfall:</w:t>
      </w:r>
      <w:r>
        <w:rPr/>
        <w:t xml:space="preserve"> The subcontractor narrowly avoided losing its lien rights because of the owner’s mistake. </w:t>
      </w:r>
      <w:r>
        <w:rPr>
          <w:rStyle w:val="Strong"/>
        </w:rPr>
        <w:t>Common error:</w:t>
      </w:r>
      <w:r>
        <w:rPr/>
        <w:t xml:space="preserve"> serving a late NTO on a nearly finished project. If the owner had properly obtained the affidavit and disbursed final payment, any notice served afterward would be invalid even if within 45 days. Subs who start work near the end of a project risk the owner’s final payment cutting off their lien rights. The lesson is to </w:t>
      </w:r>
      <w:r>
        <w:rPr>
          <w:rStyle w:val="Strong"/>
        </w:rPr>
        <w:t>serve the NTO as early as possible</w:t>
      </w:r>
      <w:r>
        <w:rPr/>
        <w:t xml:space="preserve">, ideally immediately upon first providing labor/materials – waiting even a few weeks can be dangerous if the job is ending. As the attorneys observed, “the closer to project completion, the greater the likelihood” final payment (with affidavit) will occur; thus, </w:t>
      </w:r>
      <w:r>
        <w:rPr>
          <w:rStyle w:val="Strong"/>
        </w:rPr>
        <w:t>“it is wise to serve your NTO as soon as possible.”</w:t>
      </w:r>
      <w:hyperlink r:id="rId31" w:anchor=":~:text=subcontractors%20and%20suppliers%20rarely%20know,NTO%20as%20soon%20as%20possible" w:tgtFrame="_blank">
        <w:r>
          <w:rPr>
            <w:rStyle w:val="Hyperlink"/>
          </w:rPr>
          <w:t>mkpalaw.com</w:t>
        </w:r>
      </w:hyperlink>
      <w:r>
        <w:rPr/>
        <w:br/>
      </w:r>
      <w:r>
        <w:rPr>
          <w:rStyle w:val="Strong"/>
        </w:rPr>
        <w:t>Impact on Lien:</w:t>
      </w:r>
      <w:r>
        <w:rPr/>
        <w:t xml:space="preserve"> Superfos’s lien was upheld as valid. Importantly, however, this case does </w:t>
      </w:r>
      <w:r>
        <w:rPr>
          <w:rStyle w:val="Emphasis"/>
        </w:rPr>
        <w:t>not</w:t>
      </w:r>
      <w:r>
        <w:rPr/>
        <w:t xml:space="preserve"> create an exception to the 45-day deadline – it simply enforces the existing statutory caveat about final payments. Current law still mandates </w:t>
      </w:r>
      <w:r>
        <w:rPr>
          <w:rStyle w:val="Strong"/>
        </w:rPr>
        <w:t>service within 45 days</w:t>
      </w:r>
      <w:r>
        <w:rPr/>
        <w:t xml:space="preserve"> and </w:t>
      </w:r>
      <w:r>
        <w:rPr>
          <w:rStyle w:val="Emphasis"/>
        </w:rPr>
        <w:t>before</w:t>
      </w:r>
      <w:r>
        <w:rPr/>
        <w:t xml:space="preserve"> a proper final payment. Practitioners should not view this as a loophole, but rather a reminder: if you’re late in giving notice, an owner who follows the rules will defeat your lien. Always meet the 45-day window, and assume final payment could happen on day 46.</w:t>
      </w:r>
    </w:p>
    <w:p>
      <w:pPr>
        <w:pStyle w:val="Heading2"/>
        <w:bidi w:val="0"/>
        <w:jc w:val="start"/>
        <w:rPr/>
      </w:pPr>
      <w:r>
        <w:rPr/>
        <w:t xml:space="preserve">Mirror &amp; Shower Door Products, Inc. v. </w:t>
      </w:r>
      <w:r>
        <w:rPr>
          <w:rStyle w:val="Strong"/>
          <w:b/>
          <w:bCs/>
        </w:rPr>
        <w:t>Seabridge, Inc.</w:t>
      </w:r>
      <w:r>
        <w:rPr/>
        <w:t xml:space="preserve"> (Fla. 4th DCA 1993) – </w:t>
      </w:r>
      <w:r>
        <w:rPr>
          <w:rStyle w:val="Strong"/>
          <w:b/>
          <w:bCs/>
        </w:rPr>
        <w:t>Statutory Content: Missing Warning Language</w:t>
      </w:r>
    </w:p>
    <w:p>
      <w:pPr>
        <w:pStyle w:val="BodyText"/>
        <w:bidi w:val="0"/>
        <w:jc w:val="start"/>
        <w:rPr/>
      </w:pPr>
      <w:r>
        <w:rPr>
          <w:rStyle w:val="Strong"/>
        </w:rPr>
        <w:t>Parties:</w:t>
      </w:r>
      <w:r>
        <w:rPr/>
        <w:t xml:space="preserve"> A material supplier (Mirror &amp; Shower Door) vs. a property owner (Seabridge). The supplier did send a Notice to Owner, but </w:t>
      </w:r>
      <w:r>
        <w:rPr>
          <w:rStyle w:val="Strong"/>
        </w:rPr>
        <w:t>the written notice did not include certain warning language required by statute</w:t>
      </w:r>
      <w:hyperlink r:id="rId32" w:anchor=":~:text=Mirror%20and%20Shower%20Door%20Products%2C,holding%20that" w:tgtFrame="_blank">
        <w:r>
          <w:rPr>
            <w:rStyle w:val="Hyperlink"/>
          </w:rPr>
          <w:t>floridabar.org</w:t>
        </w:r>
      </w:hyperlink>
      <w:r>
        <w:rPr/>
        <w:t xml:space="preserve">. (Florida Statutes §713.06(2)(c) provides a form for the NTO with specific warnings to the owner about potential liens, such as the “Important Information for…” heading and cautionary statements.) In this case, the supplier’s form omitted some of the mandated warnings – the supplier apparently </w:t>
      </w:r>
      <w:r>
        <w:rPr>
          <w:rStyle w:val="Strong"/>
        </w:rPr>
        <w:t>gave those warnings orally</w:t>
      </w:r>
      <w:r>
        <w:rPr/>
        <w:t xml:space="preserve"> instead of in writing</w:t>
      </w:r>
      <w:hyperlink r:id="rId33" w:anchor=":~:text=Mirror%20and%20Shower%20Door%20Products%2C,holding%20that" w:tgtFrame="_blank">
        <w:r>
          <w:rPr>
            <w:rStyle w:val="Hyperlink"/>
          </w:rPr>
          <w:t>floridabar.org</w:t>
        </w:r>
      </w:hyperlink>
      <w:r>
        <w:rPr/>
        <w:t>.</w:t>
        <w:br/>
      </w:r>
      <w:r>
        <w:rPr>
          <w:rStyle w:val="Strong"/>
        </w:rPr>
        <w:t>Issue:</w:t>
      </w:r>
      <w:r>
        <w:rPr/>
        <w:t xml:space="preserve"> Does an NTO that </w:t>
      </w:r>
      <w:r>
        <w:rPr>
          <w:rStyle w:val="Emphasis"/>
        </w:rPr>
        <w:t>omits</w:t>
      </w:r>
      <w:r>
        <w:rPr/>
        <w:t xml:space="preserve"> required statutory warnings (even if the owner might have been told the information verbally) satisfy the “substantial compliance” standard? The 1991 amendments to §713.06 made the statutory form mandatory (“must substantially follow” the form, including its warnings). The question was whether the supplier’s notice, lacking the printed warnings, was fatally defective despite otherwise notifying the owner of the supplier’s involvement.</w:t>
        <w:br/>
      </w:r>
      <w:r>
        <w:rPr>
          <w:rStyle w:val="Strong"/>
        </w:rPr>
        <w:t>Outcome:</w:t>
      </w:r>
      <w:r>
        <w:rPr/>
        <w:t xml:space="preserve"> The Fourth DCA refused to enforce the lien. It held that </w:t>
      </w:r>
      <w:r>
        <w:rPr>
          <w:rStyle w:val="Strong"/>
        </w:rPr>
        <w:t>failing to include the written statutory warnings on the NTO form is a critical defect</w:t>
      </w:r>
      <w:r>
        <w:rPr/>
        <w:t>, and the supplier’s lien was invalid as a result</w:t>
      </w:r>
      <w:hyperlink r:id="rId34" w:anchor=":~:text=Mirror%20and%20Shower%20Door%20Products%2C,holding%20that" w:tgtFrame="_blank">
        <w:r>
          <w:rPr>
            <w:rStyle w:val="Hyperlink"/>
          </w:rPr>
          <w:t>floridabar.org</w:t>
        </w:r>
      </w:hyperlink>
      <w:hyperlink r:id="rId35" w:anchor=":~:text=argument%20that%20its%20facsimile%20transmission,was%20fatal%20to%20establishing%20its" w:tgtFrame="_blank">
        <w:r>
          <w:rPr>
            <w:rStyle w:val="Hyperlink"/>
          </w:rPr>
          <w:t>caselaw.findlaw.com</w:t>
        </w:r>
      </w:hyperlink>
      <w:r>
        <w:rPr/>
        <w:t xml:space="preserve">. The court noted that only </w:t>
      </w:r>
      <w:r>
        <w:rPr>
          <w:rStyle w:val="Emphasis"/>
        </w:rPr>
        <w:t>“immaterial errors or omissions in the form”</w:t>
      </w:r>
      <w:r>
        <w:rPr/>
        <w:t xml:space="preserve"> of an NTO might be excused – and missing the required warning text is </w:t>
      </w:r>
      <w:r>
        <w:rPr>
          <w:rStyle w:val="Emphasis"/>
        </w:rPr>
        <w:t>material</w:t>
      </w:r>
      <w:r>
        <w:rPr/>
        <w:t>, not a trivial error</w:t>
      </w:r>
      <w:hyperlink r:id="rId36" w:anchor=":~:text=argument%20that%20its%20facsimile%20transmission,was%20fatal%20to%20establishing%20its" w:tgtFrame="_blank">
        <w:r>
          <w:rPr>
            <w:rStyle w:val="Hyperlink"/>
          </w:rPr>
          <w:t>caselaw.findlaw.com</w:t>
        </w:r>
      </w:hyperlink>
      <w:r>
        <w:rPr/>
        <w:t xml:space="preserve">. Simply telling the owner the information was not enough; the </w:t>
      </w:r>
      <w:r>
        <w:rPr>
          <w:rStyle w:val="Emphasis"/>
        </w:rPr>
        <w:t>notice document itself</w:t>
      </w:r>
      <w:r>
        <w:rPr/>
        <w:t xml:space="preserve"> must contain the statutory language.</w:t>
        <w:br/>
      </w:r>
      <w:r>
        <w:rPr>
          <w:rStyle w:val="Strong"/>
        </w:rPr>
        <w:t>Reasoning:</w:t>
      </w:r>
      <w:r>
        <w:rPr/>
        <w:t xml:space="preserve"> After the 1991 changes, the law demands that an NTO </w:t>
      </w:r>
      <w:r>
        <w:rPr>
          <w:rStyle w:val="Strong"/>
        </w:rPr>
        <w:t>include the exact protective warnings outlined in §713.06(2)(c)</w:t>
      </w:r>
      <w:r>
        <w:rPr/>
        <w:t xml:space="preserve">. The court treated the omission of those warnings as a failure to substantially comply with the form. It cited the Legislature’s “plain intent” that a </w:t>
      </w:r>
      <w:r>
        <w:rPr>
          <w:rStyle w:val="Strong"/>
        </w:rPr>
        <w:t>written notice including the statutory warnings is a prerequisite</w:t>
      </w:r>
      <w:r>
        <w:rPr/>
        <w:t xml:space="preserve"> to a lien</w:t>
      </w:r>
      <w:hyperlink r:id="rId37" w:anchor=":~:text=argument%20that%20its%20facsimile%20transmission,was%20fatal%20to%20establishing%20its" w:tgtFrame="_blank">
        <w:r>
          <w:rPr>
            <w:rStyle w:val="Hyperlink"/>
          </w:rPr>
          <w:t>caselaw.findlaw.com</w:t>
        </w:r>
      </w:hyperlink>
      <w:r>
        <w:rPr/>
        <w:t>. In other words, the form’s content is important to ensure owners are formally and clearly warned of potential liens</w:t>
      </w:r>
      <w:hyperlink r:id="rId38" w:anchor=":~:text=argument%20that%20its%20facsimile%20transmission,was%20fatal%20to%20establishing%20its" w:tgtFrame="_blank">
        <w:r>
          <w:rPr>
            <w:rStyle w:val="Hyperlink"/>
          </w:rPr>
          <w:t>caselaw.findlaw.com</w:t>
        </w:r>
      </w:hyperlink>
      <w:r>
        <w:rPr/>
        <w:t>. Without the printed warnings, the notice does not fulfill its statutory purpose, so the lien cannot be perfected</w:t>
      </w:r>
      <w:hyperlink r:id="rId39" w:anchor=":~:text=argument%20that%20its%20facsimile%20transmission,was%20fatal%20to%20establishing%20its" w:tgtFrame="_blank">
        <w:r>
          <w:rPr>
            <w:rStyle w:val="Hyperlink"/>
          </w:rPr>
          <w:t>caselaw.findlaw.com</w:t>
        </w:r>
      </w:hyperlink>
      <w:r>
        <w:rPr/>
        <w:t>. (This decision was later echoed and reinforced by other courts, as we’ll see below.)</w:t>
        <w:br/>
      </w:r>
      <w:r>
        <w:rPr>
          <w:rStyle w:val="Strong"/>
        </w:rPr>
        <w:t>Compliance Pitfall:</w:t>
      </w:r>
      <w:r>
        <w:rPr/>
        <w:t xml:space="preserve"> The supplier used a nonconforming notice form – </w:t>
      </w:r>
      <w:r>
        <w:rPr>
          <w:rStyle w:val="Strong"/>
        </w:rPr>
        <w:t>omitting mandatory language</w:t>
      </w:r>
      <w:r>
        <w:rPr/>
        <w:t xml:space="preserve"> – which is a common mistake when parties draft their own notices or use unapproved templates. The result was loss of lien rights. This case underscores that </w:t>
      </w:r>
      <w:r>
        <w:rPr>
          <w:rStyle w:val="Strong"/>
        </w:rPr>
        <w:t>substantial compliance has limits</w:t>
      </w:r>
      <w:r>
        <w:rPr/>
        <w:t>: you cannot omit or substantially alter the statutorily required content. Only truly minor deviations (e.g. a slight typo in the owner’s name that doesn’t mislead) might be forgiven, but not leaving out the core warnings</w:t>
      </w:r>
      <w:hyperlink r:id="rId40" w:anchor=":~:text=argument%20that%20its%20facsimile%20transmission,was%20fatal%20to%20establishing%20its" w:tgtFrame="_blank">
        <w:r>
          <w:rPr>
            <w:rStyle w:val="Hyperlink"/>
          </w:rPr>
          <w:t>caselaw.findlaw.com</w:t>
        </w:r>
      </w:hyperlink>
      <w:r>
        <w:rPr/>
        <w:t>.</w:t>
        <w:br/>
      </w:r>
      <w:r>
        <w:rPr>
          <w:rStyle w:val="Strong"/>
        </w:rPr>
        <w:t>Impact on Lien:</w:t>
      </w:r>
      <w:r>
        <w:rPr/>
        <w:t xml:space="preserve"> Mirror &amp; Shower Door’s lien was dismissed for noncompliance. The decision made clear that as of the current statute, </w:t>
      </w:r>
      <w:r>
        <w:rPr>
          <w:rStyle w:val="Strong"/>
        </w:rPr>
        <w:t xml:space="preserve">an NTO must </w:t>
      </w:r>
      <w:r>
        <w:rPr>
          <w:rStyle w:val="Emphasis"/>
        </w:rPr>
        <w:t>substantially follow the statutory form</w:t>
      </w:r>
      <w:r>
        <w:rPr>
          <w:rStyle w:val="Strong"/>
        </w:rPr>
        <w:t>, including all cautionary statements</w:t>
      </w:r>
      <w:r>
        <w:rPr/>
        <w:t xml:space="preserve">. This remains the law today. Practically, suppliers and subcontractors should use the </w:t>
      </w:r>
      <w:r>
        <w:rPr>
          <w:rStyle w:val="Strong"/>
        </w:rPr>
        <w:t>exact statutory NTO form</w:t>
      </w:r>
      <w:r>
        <w:rPr/>
        <w:t xml:space="preserve"> or a very faithful reproduction of it. Any “creative” changes risk being deemed material omissions. Courts have little tolerance for form defects after the 1991 amendment from “may use form” to </w:t>
      </w:r>
      <w:r>
        <w:rPr>
          <w:rStyle w:val="Strong"/>
        </w:rPr>
        <w:t>“must use”</w:t>
      </w:r>
      <w:r>
        <w:rPr/>
        <w:t xml:space="preserve"> the statutory form</w:t>
      </w:r>
      <w:hyperlink r:id="rId41" w:anchor=":~:text=1991,word%20%E2%80%9Cprecisely%E2%80%9D%20in%20its%20place" w:tgtFrame="_blank">
        <w:r>
          <w:rPr>
            <w:rStyle w:val="Hyperlink"/>
          </w:rPr>
          <w:t>floridabar.org</w:t>
        </w:r>
      </w:hyperlink>
      <w:r>
        <w:rPr/>
        <w:t>.</w:t>
      </w:r>
    </w:p>
    <w:p>
      <w:pPr>
        <w:pStyle w:val="Heading2"/>
        <w:bidi w:val="0"/>
        <w:jc w:val="start"/>
        <w:rPr/>
      </w:pPr>
      <w:r>
        <w:rPr/>
        <w:t xml:space="preserve">Allstar Building Materials, Ltd. v. </w:t>
      </w:r>
      <w:r>
        <w:rPr>
          <w:rStyle w:val="Strong"/>
          <w:b/>
          <w:bCs/>
        </w:rPr>
        <w:t>Kronauer</w:t>
      </w:r>
      <w:r>
        <w:rPr/>
        <w:t xml:space="preserve"> (Fla. 5th DCA 1998) – </w:t>
      </w:r>
      <w:r>
        <w:rPr>
          <w:rStyle w:val="Strong"/>
          <w:b/>
          <w:bCs/>
        </w:rPr>
        <w:t>Strict Form Compliance (Font Size &amp; Additional Text)</w:t>
      </w:r>
    </w:p>
    <w:p>
      <w:pPr>
        <w:pStyle w:val="BodyText"/>
        <w:bidi w:val="0"/>
        <w:jc w:val="start"/>
        <w:rPr/>
      </w:pPr>
      <w:r>
        <w:rPr>
          <w:rStyle w:val="Strong"/>
        </w:rPr>
        <w:t>Parties:</w:t>
      </w:r>
      <w:r>
        <w:rPr/>
        <w:t xml:space="preserve"> A material supplier (Allstar Building Materials) vs. a property owner (Kronauer, presumably a homeowner). Allstar did serve an NTO, but they </w:t>
      </w:r>
      <w:r>
        <w:rPr>
          <w:rStyle w:val="Strong"/>
        </w:rPr>
        <w:t>used a modified notice form</w:t>
      </w:r>
      <w:r>
        <w:rPr/>
        <w:t xml:space="preserve">. Notably, </w:t>
      </w:r>
      <w:r>
        <w:rPr>
          <w:rStyle w:val="Emphasis"/>
        </w:rPr>
        <w:t>some of the warning text was not in the same format</w:t>
      </w:r>
      <w:r>
        <w:rPr/>
        <w:t xml:space="preserve"> – </w:t>
      </w:r>
      <w:r>
        <w:rPr>
          <w:rStyle w:val="Strong"/>
        </w:rPr>
        <w:t>the supplier had reduced the font size of certain portions</w:t>
      </w:r>
      <w:r>
        <w:rPr/>
        <w:t xml:space="preserve">, and </w:t>
      </w:r>
      <w:r>
        <w:rPr>
          <w:rStyle w:val="Strong"/>
        </w:rPr>
        <w:t>omitted the title “Important Information for Your Protection”</w:t>
      </w:r>
      <w:r>
        <w:rPr/>
        <w:t xml:space="preserve"> that appears in the statutory form</w:t>
      </w:r>
      <w:hyperlink r:id="rId42" w:anchor=":~:text=Even%20more%20interesting%20is%20the,warnings%20required%20in%20order%20to" w:tgtFrame="_blank">
        <w:r>
          <w:rPr>
            <w:rStyle w:val="Hyperlink"/>
          </w:rPr>
          <w:t>floridabar.org</w:t>
        </w:r>
      </w:hyperlink>
      <w:r>
        <w:rPr/>
        <w:t xml:space="preserve">. Additionally, the supplier’s notice was addressed to both the owner and the general contractor. (It’s unclear if the form combined notices or just included the GC in the salutation, but the court pointed out it was sent to the contractor </w:t>
      </w:r>
      <w:r>
        <w:rPr>
          <w:rStyle w:val="Emphasis"/>
        </w:rPr>
        <w:t>as well as</w:t>
      </w:r>
      <w:r>
        <w:rPr/>
        <w:t xml:space="preserve"> the owner</w:t>
      </w:r>
      <w:hyperlink r:id="rId43" w:anchor=":~:text=this%20case%2C%20the%20court%20refused,%E2%80%9D7" w:tgtFrame="_blank">
        <w:r>
          <w:rPr>
            <w:rStyle w:val="Hyperlink"/>
          </w:rPr>
          <w:t>floridabar.org</w:t>
        </w:r>
      </w:hyperlink>
      <w:r>
        <w:rPr/>
        <w:t>.)</w:t>
        <w:br/>
      </w:r>
      <w:r>
        <w:rPr>
          <w:rStyle w:val="Strong"/>
        </w:rPr>
        <w:t>Issue:</w:t>
      </w:r>
      <w:r>
        <w:rPr/>
        <w:t xml:space="preserve"> Whether these deviations from the statutory NTO form – smaller print and missing heading language (and possibly extra addressing) – meant the notice failed to “substantially follow” the required form. Essentially, how strictly must a lienor adhere to the exact layout and wording of §713.06(2)(c)?</w:t>
        <w:br/>
      </w:r>
      <w:r>
        <w:rPr>
          <w:rStyle w:val="Strong"/>
        </w:rPr>
        <w:t>Outcome:</w:t>
      </w:r>
      <w:r>
        <w:rPr/>
        <w:t xml:space="preserve"> The Fifth DCA ruled the lien unenforceable, affirming dismissal of Allstar’s foreclosure suit. </w:t>
      </w:r>
      <w:r>
        <w:rPr>
          <w:rStyle w:val="Strong"/>
        </w:rPr>
        <w:t>Even seemingly minor changes to the form were not tolerated.</w:t>
      </w:r>
      <w:r>
        <w:rPr/>
        <w:t xml:space="preserve"> The court noted three specific defects: “(1) the notice was sent to the contractor, as well as the owner; (2) some of the statutory warning text was printed in reduced-size type; and (3) the notice omitted the boldfaced heading ‘Important Information for Your Protection’” that the statute includes</w:t>
      </w:r>
      <w:hyperlink r:id="rId44" w:anchor=":~:text=Even%20more%20interesting%20is%20the,warnings%20required%20in%20order%20to" w:tgtFrame="_blank">
        <w:r>
          <w:rPr>
            <w:rStyle w:val="Hyperlink"/>
          </w:rPr>
          <w:t>floridabar.org</w:t>
        </w:r>
      </w:hyperlink>
      <w:r>
        <w:rPr/>
        <w:t xml:space="preserve">. These alterations meant the notice did </w:t>
      </w:r>
      <w:r>
        <w:rPr>
          <w:rStyle w:val="Emphasis"/>
        </w:rPr>
        <w:t>not</w:t>
      </w:r>
      <w:r>
        <w:rPr/>
        <w:t xml:space="preserve"> substantially comply. The court went so far as to suggest that </w:t>
      </w:r>
      <w:r>
        <w:rPr>
          <w:rStyle w:val="Strong"/>
        </w:rPr>
        <w:t>any form other than the one the legislature provided is likely insufficient</w:t>
      </w:r>
      <w:r>
        <w:rPr/>
        <w:t xml:space="preserve">, stating: </w:t>
      </w:r>
      <w:r>
        <w:rPr>
          <w:rStyle w:val="Emphasis"/>
        </w:rPr>
        <w:t>“the form itself is important and… the form utilized by the legislature better conveys the warnings required in order to justify a lien on the property of one not in privity.”</w:t>
      </w:r>
      <w:hyperlink r:id="rId45" w:anchor=":~:text=this%20case%2C%20the%20court%20refused,%E2%80%9D7" w:tgtFrame="_blank">
        <w:r>
          <w:rPr>
            <w:rStyle w:val="Hyperlink"/>
          </w:rPr>
          <w:t>floridabar.org</w:t>
        </w:r>
      </w:hyperlink>
      <w:r>
        <w:rPr/>
        <w:t xml:space="preserve"> In short, Allstar should have used the exact statutory form – by deviating, it lost its lien.</w:t>
        <w:br/>
      </w:r>
      <w:r>
        <w:rPr>
          <w:rStyle w:val="Strong"/>
        </w:rPr>
        <w:t>Reasoning:</w:t>
      </w:r>
      <w:r>
        <w:rPr/>
        <w:t xml:space="preserve"> The 5th DCA emphasized the legislative intent behind prescribing a form. Because the construction lien law puts owners’ property at risk for debts they didn’t directly incur, the law requires clear, conspicuous warnings to the owner. The statutory form was crafted to ensure owners understand these rights (hence the bold heading and specified font size). The court believed that altering those aspects might dilute the effectiveness of the warning</w:t>
      </w:r>
      <w:hyperlink r:id="rId46" w:anchor=":~:text=3,%E2%80%9D7" w:tgtFrame="_blank">
        <w:r>
          <w:rPr>
            <w:rStyle w:val="Hyperlink"/>
          </w:rPr>
          <w:t>floridabar.org</w:t>
        </w:r>
      </w:hyperlink>
      <w:r>
        <w:rPr/>
        <w:t xml:space="preserve">. The inclusion of the contractor as a recipient also wasn’t required by the statute (though sending a copy to the contractor is common, the primary notice must go to the owner). By strictly construing the form requirement, the court reinforced that </w:t>
      </w:r>
      <w:r>
        <w:rPr>
          <w:rStyle w:val="Strong"/>
        </w:rPr>
        <w:t>form matters as much as substance</w:t>
      </w:r>
      <w:r>
        <w:rPr/>
        <w:t xml:space="preserve"> under the lien law. This decision, along with </w:t>
      </w:r>
      <w:r>
        <w:rPr>
          <w:rStyle w:val="Emphasis"/>
        </w:rPr>
        <w:t>Seabridge</w:t>
      </w:r>
      <w:r>
        <w:rPr/>
        <w:t xml:space="preserve"> and </w:t>
      </w:r>
      <w:r>
        <w:rPr>
          <w:rStyle w:val="Emphasis"/>
        </w:rPr>
        <w:t>Chapman</w:t>
      </w:r>
      <w:r>
        <w:rPr/>
        <w:t xml:space="preserve"> (below), signaled to practitioners that </w:t>
      </w:r>
      <w:r>
        <w:rPr>
          <w:rStyle w:val="Strong"/>
        </w:rPr>
        <w:t>virtually literal compliance with the statutory NTO form is the safest course</w:t>
      </w:r>
      <w:hyperlink r:id="rId47" w:anchor=":~:text=this%20case%2C%20the%20court%20refused,%E2%80%9D7" w:tgtFrame="_blank">
        <w:r>
          <w:rPr>
            <w:rStyle w:val="Hyperlink"/>
          </w:rPr>
          <w:t>floridabar.org</w:t>
        </w:r>
      </w:hyperlink>
      <w:r>
        <w:rPr/>
        <w:t>.</w:t>
        <w:br/>
      </w:r>
      <w:r>
        <w:rPr>
          <w:rStyle w:val="Strong"/>
        </w:rPr>
        <w:t>Compliance Pitfall:</w:t>
      </w:r>
      <w:r>
        <w:rPr/>
        <w:t xml:space="preserve"> Allstar’s mistakes were in the </w:t>
      </w:r>
      <w:r>
        <w:rPr>
          <w:rStyle w:val="Strong"/>
        </w:rPr>
        <w:t>format and completeness of the notice</w:t>
      </w:r>
      <w:r>
        <w:rPr/>
        <w:t xml:space="preserve">. Common errors of this kind include: leaving out the exact title or any of the protective language, adding extraneous content, or changing the font/print such that required text is not as legible. After 1991, such errors are usually deemed </w:t>
      </w:r>
      <w:r>
        <w:rPr>
          <w:rStyle w:val="Emphasis"/>
        </w:rPr>
        <w:t>material</w:t>
      </w:r>
      <w:r>
        <w:rPr/>
        <w:t>. The court here did not even inquire whether the owner was confused or prejudiced by the changes – it enforced the form requirement rigidly</w:t>
      </w:r>
      <w:hyperlink r:id="rId48" w:anchor=":~:text=Even%20more%20interesting%20is%20the,warnings%20required%20in%20order%20to" w:tgtFrame="_blank">
        <w:r>
          <w:rPr>
            <w:rStyle w:val="Hyperlink"/>
          </w:rPr>
          <w:t>floridabar.org</w:t>
        </w:r>
      </w:hyperlink>
      <w:hyperlink r:id="rId49" w:anchor=":~:text=this%20case%2C%20the%20court%20refused,%E2%80%9D7" w:tgtFrame="_blank">
        <w:r>
          <w:rPr>
            <w:rStyle w:val="Hyperlink"/>
          </w:rPr>
          <w:t>floridabar.org</w:t>
        </w:r>
      </w:hyperlink>
      <w:r>
        <w:rPr/>
        <w:t xml:space="preserve">. The clear message is that lienors should </w:t>
      </w:r>
      <w:r>
        <w:rPr>
          <w:rStyle w:val="Strong"/>
        </w:rPr>
        <w:t>not “reinvent the wheel”</w:t>
      </w:r>
      <w:hyperlink r:id="rId50" w:anchor=":~:text=Although%20there%20is%20perhaps%20a,reinvent%20the%20wheel" w:tgtFrame="_blank">
        <w:r>
          <w:rPr>
            <w:rStyle w:val="Hyperlink"/>
          </w:rPr>
          <w:t>leagle.com</w:t>
        </w:r>
      </w:hyperlink>
      <w:r>
        <w:rPr/>
        <w:t>. Use the form provided in the statute (or a pre-approved form from reliable sources) to avoid any challenge.</w:t>
        <w:br/>
      </w:r>
      <w:r>
        <w:rPr>
          <w:rStyle w:val="Strong"/>
        </w:rPr>
        <w:t>Impact on Lien:</w:t>
      </w:r>
      <w:r>
        <w:rPr/>
        <w:t xml:space="preserve"> Allstar’s lien was invalidated. </w:t>
      </w:r>
      <w:r>
        <w:rPr>
          <w:rStyle w:val="Emphasis"/>
        </w:rPr>
        <w:t>Kronauer</w:t>
      </w:r>
      <w:r>
        <w:rPr/>
        <w:t xml:space="preserve"> remains good law, illustrating that current §713.06 will be enforced to the letter on form/content issues. For modern practitioners, the takeaway is: </w:t>
      </w:r>
      <w:r>
        <w:rPr>
          <w:rStyle w:val="Strong"/>
        </w:rPr>
        <w:t>don’t alter the notice’s mandated text or format</w:t>
      </w:r>
      <w:r>
        <w:rPr/>
        <w:t>. Ensure the NTO you serve is a clone of the statutory form (including the bold heading and all warning paragraphs in at least the minimum font size). Even cosmetic or well-intentioned adjustments can cost you your lien rights.</w:t>
      </w:r>
    </w:p>
    <w:p>
      <w:pPr>
        <w:pStyle w:val="Heading2"/>
        <w:bidi w:val="0"/>
        <w:jc w:val="start"/>
        <w:rPr/>
      </w:pPr>
      <w:r>
        <w:rPr/>
        <w:t xml:space="preserve">Gulfside Properties Corp. v. </w:t>
      </w:r>
      <w:r>
        <w:rPr>
          <w:rStyle w:val="Strong"/>
          <w:b/>
          <w:bCs/>
        </w:rPr>
        <w:t>Chapman Corp.</w:t>
      </w:r>
      <w:r>
        <w:rPr/>
        <w:t xml:space="preserve"> (Fla. 1st DCA 1999) – </w:t>
      </w:r>
      <w:r>
        <w:rPr>
          <w:rStyle w:val="Strong"/>
          <w:b/>
          <w:bCs/>
        </w:rPr>
        <w:t>Complete Failure to Serve Proper NTO</w:t>
      </w:r>
    </w:p>
    <w:p>
      <w:pPr>
        <w:pStyle w:val="BodyText"/>
        <w:bidi w:val="0"/>
        <w:jc w:val="start"/>
        <w:rPr/>
      </w:pPr>
      <w:r>
        <w:rPr>
          <w:rStyle w:val="Strong"/>
        </w:rPr>
        <w:t>Parties:</w:t>
      </w:r>
      <w:r>
        <w:rPr/>
        <w:t xml:space="preserve"> A subcontractor (Chapman) vs. a property owner/developer (Gulfside Properties). Gulfside hired a general contractor (Willis Construction) to build beach villas. Willis filed a Notice of Commencement (NOC) naming Gulfside as owner but </w:t>
      </w:r>
      <w:r>
        <w:rPr>
          <w:rStyle w:val="Strong"/>
        </w:rPr>
        <w:t>Willis mistakenly signed the NOC where the owner should sign</w:t>
      </w:r>
      <w:r>
        <w:rPr/>
        <w:t>, rendering the NOC technically defective</w:t>
      </w:r>
      <w:hyperlink r:id="rId51" w:anchor=":~:text=Villas%2C%20entered%20into%20an%20agreement,posted%20on%20the%20job%20site" w:tgtFrame="_blank">
        <w:r>
          <w:rPr>
            <w:rStyle w:val="Hyperlink"/>
          </w:rPr>
          <w:t>caselaw.findlaw.com</w:t>
        </w:r>
      </w:hyperlink>
      <w:hyperlink r:id="rId52" w:anchor=":~:text=immaterial%20errors%20and%20omissions%20in,judgment%20in%20favor%20of%20Gulfside" w:tgtFrame="_blank">
        <w:r>
          <w:rPr>
            <w:rStyle w:val="Hyperlink"/>
          </w:rPr>
          <w:t>caselaw.findlaw.com</w:t>
        </w:r>
      </w:hyperlink>
      <w:r>
        <w:rPr/>
        <w:t xml:space="preserve">. Chapman, a subcontractor to Willis, </w:t>
      </w:r>
      <w:r>
        <w:rPr>
          <w:rStyle w:val="Strong"/>
        </w:rPr>
        <w:t>never served a Notice to Owner on Gulfside at all</w:t>
      </w:r>
      <w:r>
        <w:rPr/>
        <w:t>. Instead, Chapman sent its invoices and job proposal to the general contractor (Willis) by fax, and later recorded a lien for unpaid amounts</w:t>
      </w:r>
      <w:hyperlink r:id="rId53" w:anchor=":~:text=materials%20for%20the%20project,could%20not%20be%20made%20subject" w:tgtFrame="_blank">
        <w:r>
          <w:rPr>
            <w:rStyle w:val="Hyperlink"/>
          </w:rPr>
          <w:t>caselaw.findlaw.com</w:t>
        </w:r>
      </w:hyperlink>
      <w:hyperlink r:id="rId54" w:anchor=":~:text=Chapman%20recorded%20a%20construction%20lien,case%20on%20written%20briefs%20and" w:tgtFrame="_blank">
        <w:r>
          <w:rPr>
            <w:rStyle w:val="Hyperlink"/>
          </w:rPr>
          <w:t>caselaw.findlaw.com</w:t>
        </w:r>
      </w:hyperlink>
      <w:r>
        <w:rPr/>
        <w:t>. Gulfside paid the GC in full (relying on lien waivers from the GC) and was unaware Chapman was unpaid</w:t>
      </w:r>
      <w:hyperlink r:id="rId55" w:anchor=":~:text=of%20%24906,23" w:tgtFrame="_blank">
        <w:r>
          <w:rPr>
            <w:rStyle w:val="Hyperlink"/>
          </w:rPr>
          <w:t>caselaw.findlaw.com</w:t>
        </w:r>
      </w:hyperlink>
      <w:hyperlink r:id="rId56" w:anchor=":~:text=Gulfside%20with%20lien%20waivers%20representing,23" w:tgtFrame="_blank">
        <w:r>
          <w:rPr>
            <w:rStyle w:val="Hyperlink"/>
          </w:rPr>
          <w:t>caselaw.findlaw.com</w:t>
        </w:r>
      </w:hyperlink>
      <w:r>
        <w:rPr/>
        <w:t xml:space="preserve">. When Chapman sued to foreclose the lien, Gulfside argued the lien was invalid due to Chapman’s </w:t>
      </w:r>
      <w:r>
        <w:rPr>
          <w:rStyle w:val="Strong"/>
        </w:rPr>
        <w:t>failure to serve an NTO</w:t>
      </w:r>
      <w:hyperlink r:id="rId57" w:anchor=":~:text=On%20appeal%2C%20Gulfside%20argues%20that,of%20its%20claim%20of%20lien" w:tgtFrame="_blank">
        <w:r>
          <w:rPr>
            <w:rStyle w:val="Hyperlink"/>
          </w:rPr>
          <w:t>caselaw.findlaw.com</w:t>
        </w:r>
      </w:hyperlink>
      <w:r>
        <w:rPr/>
        <w:t>. Chapman responded that the flawed NOC misled it about who the owner was, or should excuse notice, and alternatively that its invoices to the GC “amounted to” notice to the owner</w:t>
      </w:r>
      <w:hyperlink r:id="rId58" w:anchor=":~:text=Chapman%20counters%20that%20section%20713,in%20Gulfside%27s%20notice%20of%20commencement" w:tgtFrame="_blank">
        <w:r>
          <w:rPr>
            <w:rStyle w:val="Hyperlink"/>
          </w:rPr>
          <w:t>caselaw.findlaw.com</w:t>
        </w:r>
      </w:hyperlink>
      <w:r>
        <w:rPr/>
        <w:t>.</w:t>
        <w:br/>
      </w:r>
      <w:r>
        <w:rPr>
          <w:rStyle w:val="Strong"/>
        </w:rPr>
        <w:t>Issue:</w:t>
      </w:r>
      <w:r>
        <w:rPr/>
        <w:t xml:space="preserve"> Whether a subcontractor’s </w:t>
      </w:r>
      <w:r>
        <w:rPr>
          <w:rStyle w:val="Strong"/>
        </w:rPr>
        <w:t>failure to serve any written NTO on the owner</w:t>
      </w:r>
      <w:r>
        <w:rPr/>
        <w:t xml:space="preserve"> can be excused because the owner’s Notice of Commencement was defectively signed or because the sub sent documents to the contractor. In essence, can a sub avoid the statutory notice requirement due to an owner/GC paperwork defect or by claiming the owner had constructive knowledge via invoices? This case squarely tested the absolute nature of the NTO requirement.</w:t>
        <w:br/>
      </w:r>
      <w:r>
        <w:rPr>
          <w:rStyle w:val="Strong"/>
        </w:rPr>
        <w:t>Outcome:</w:t>
      </w:r>
      <w:r>
        <w:rPr/>
        <w:t xml:space="preserve"> The First DCA emphatically ruled against the subcontractor and </w:t>
      </w:r>
      <w:r>
        <w:rPr>
          <w:rStyle w:val="Strong"/>
        </w:rPr>
        <w:t>discharged the lien</w:t>
      </w:r>
      <w:r>
        <w:rPr/>
        <w:t>. Chapman’s lack of a proper NTO was a “complete defense” under the statute</w:t>
      </w:r>
      <w:hyperlink r:id="rId59" w:anchor=":~:text=a%20complete%20defense%20to%20enforcement,failed%20to%20carry%20its%20burden" w:tgtFrame="_blank">
        <w:r>
          <w:rPr>
            <w:rStyle w:val="Hyperlink"/>
          </w:rPr>
          <w:t>caselaw.findlaw.com</w:t>
        </w:r>
      </w:hyperlink>
      <w:hyperlink r:id="rId60" w:anchor=":~:text=immaterial%20errors%20and%20omissions%20in,judgment%20in%20favor%20of%20Gulfside" w:tgtFrame="_blank">
        <w:r>
          <w:rPr>
            <w:rStyle w:val="Hyperlink"/>
          </w:rPr>
          <w:t>caselaw.findlaw.com</w:t>
        </w:r>
      </w:hyperlink>
      <w:r>
        <w:rPr/>
        <w:t xml:space="preserve">. The court held that </w:t>
      </w:r>
      <w:r>
        <w:rPr>
          <w:rStyle w:val="Emphasis"/>
        </w:rPr>
        <w:t>even a defective notice of commencement by the owner does not waive the subcontractor’s obligation to serve the owner with a Notice to Owner</w:t>
      </w:r>
      <w:hyperlink r:id="rId61" w:anchor=":~:text=MacIntyre%2C%20334%20So,failed%20to%20carry%20its%20burden" w:tgtFrame="_blank">
        <w:r>
          <w:rPr>
            <w:rStyle w:val="Hyperlink"/>
          </w:rPr>
          <w:t>caselaw.findlaw.com</w:t>
        </w:r>
      </w:hyperlink>
      <w:r>
        <w:rPr/>
        <w:t>. It also dismissed the idea that faxing an invoice to the contractor could substitute for the statutory notice to the owner</w:t>
      </w:r>
      <w:hyperlink r:id="rId62" w:anchor=":~:text=notice%20to%20owner" w:tgtFrame="_blank">
        <w:r>
          <w:rPr>
            <w:rStyle w:val="Hyperlink"/>
          </w:rPr>
          <w:t>caselaw.findlaw.com</w:t>
        </w:r>
      </w:hyperlink>
      <w:r>
        <w:rPr/>
        <w:t>. Chapman “failed to carry its burden” to show compliance</w:t>
      </w:r>
      <w:hyperlink r:id="rId63" w:anchor=":~:text=a%20complete%20defense%20to%20enforcement,failed%20to%20carry%20its%20burden" w:tgtFrame="_blank">
        <w:r>
          <w:rPr>
            <w:rStyle w:val="Hyperlink"/>
          </w:rPr>
          <w:t>caselaw.findlaw.com</w:t>
        </w:r>
      </w:hyperlink>
      <w:r>
        <w:rPr/>
        <w:t xml:space="preserve">. The court reiterated the </w:t>
      </w:r>
      <w:r>
        <w:rPr>
          <w:rStyle w:val="Strong"/>
        </w:rPr>
        <w:t>“plain language”</w:t>
      </w:r>
      <w:r>
        <w:rPr/>
        <w:t xml:space="preserve"> of §713.06: a written NTO containing the statutory warnings </w:t>
      </w:r>
      <w:r>
        <w:rPr>
          <w:rStyle w:val="Emphasis"/>
        </w:rPr>
        <w:t>must</w:t>
      </w:r>
      <w:r>
        <w:rPr/>
        <w:t xml:space="preserve"> be served on the owner as a prerequisite to a lien</w:t>
      </w:r>
      <w:hyperlink r:id="rId64" w:anchor=":~:text=argument%20that%20its%20facsimile%20transmission,was%20fatal%20to%20establishing%20its" w:tgtFrame="_blank">
        <w:r>
          <w:rPr>
            <w:rStyle w:val="Hyperlink"/>
          </w:rPr>
          <w:t>caselaw.findlaw.com</w:t>
        </w:r>
      </w:hyperlink>
      <w:r>
        <w:rPr/>
        <w:t xml:space="preserve">. Chapman served no such notice (invoices are not in the required form or directed to the owner), so its lien was invalid. The opinion echoed </w:t>
      </w:r>
      <w:r>
        <w:rPr>
          <w:rStyle w:val="Emphasis"/>
        </w:rPr>
        <w:t>Mirror &amp; Shower Door</w:t>
      </w:r>
      <w:r>
        <w:rPr/>
        <w:t xml:space="preserve">, noting only </w:t>
      </w:r>
      <w:r>
        <w:rPr>
          <w:rStyle w:val="Emphasis"/>
        </w:rPr>
        <w:t>immaterial</w:t>
      </w:r>
      <w:r>
        <w:rPr/>
        <w:t xml:space="preserve"> errors have ever been excused and that Chapman’s total lack of a written, warning-containing notice was obviously not immaterial</w:t>
      </w:r>
      <w:hyperlink r:id="rId65" w:anchor=":~:text=argument%20that%20its%20facsimile%20transmission,was%20fatal%20to%20establishing%20its" w:tgtFrame="_blank">
        <w:r>
          <w:rPr>
            <w:rStyle w:val="Hyperlink"/>
          </w:rPr>
          <w:t>caselaw.findlaw.com</w:t>
        </w:r>
      </w:hyperlink>
      <w:r>
        <w:rPr/>
        <w:t>.</w:t>
        <w:br/>
      </w:r>
      <w:r>
        <w:rPr>
          <w:rStyle w:val="Strong"/>
        </w:rPr>
        <w:t>Reasoning:</w:t>
      </w:r>
      <w:r>
        <w:rPr/>
        <w:t xml:space="preserve"> The court was unwilling to create any exception that isn’t in the statute. The NOC’s defect (owner not signing) did not appear in §713.06 as an excuse for not serving notice. (Indeed, the court footnoted that while the NOC was invalid under §713.13, all the correct owner info </w:t>
      </w:r>
      <w:r>
        <w:rPr>
          <w:rStyle w:val="Emphasis"/>
        </w:rPr>
        <w:t>was</w:t>
      </w:r>
      <w:r>
        <w:rPr/>
        <w:t xml:space="preserve"> in it, so Chapman knew or could easily find the true owner’s identity</w:t>
      </w:r>
      <w:hyperlink r:id="rId66" w:anchor=":~:text=1,310%2C%20Laws%20of%20Fla" w:tgtFrame="_blank">
        <w:r>
          <w:rPr>
            <w:rStyle w:val="Hyperlink"/>
          </w:rPr>
          <w:t>caselaw.findlaw.com</w:t>
        </w:r>
      </w:hyperlink>
      <w:r>
        <w:rPr/>
        <w:t xml:space="preserve">. Nothing prevented Chapman from serving Gulfside.) The decision underscores that </w:t>
      </w:r>
      <w:r>
        <w:rPr>
          <w:rStyle w:val="Strong"/>
        </w:rPr>
        <w:t>actual or constructive knowledge of the owner is irrelevant if the formal notice wasn’t given</w:t>
      </w:r>
      <w:r>
        <w:rPr/>
        <w:t xml:space="preserve"> – Florida courts do not accept “substantial compliance” in the form of “well, the owner should have known I was on the job.” Only the statutory notice, properly served, counts. The court also reinforced that the NTO must contain the statutory warnings: Chapman’s faxes lacked them, which was </w:t>
      </w:r>
      <w:r>
        <w:rPr>
          <w:rStyle w:val="Emphasis"/>
        </w:rPr>
        <w:t>“fatal to establishing its lien.”</w:t>
      </w:r>
      <w:hyperlink r:id="rId67" w:anchor=":~:text=indicates%20the%20legislature%27s%20intent%20that,reasons%2C%20we%20hold%20that%20the" w:tgtFrame="_blank">
        <w:r>
          <w:rPr>
            <w:rStyle w:val="Hyperlink"/>
          </w:rPr>
          <w:t>caselaw.findlaw.com</w:t>
        </w:r>
      </w:hyperlink>
      <w:r>
        <w:rPr/>
        <w:t xml:space="preserve">. In short, </w:t>
      </w:r>
      <w:r>
        <w:rPr>
          <w:rStyle w:val="Strong"/>
        </w:rPr>
        <w:t>no written notice = no lien</w:t>
      </w:r>
      <w:r>
        <w:rPr/>
        <w:t>, end of story.</w:t>
        <w:br/>
      </w:r>
      <w:r>
        <w:rPr>
          <w:rStyle w:val="Strong"/>
        </w:rPr>
        <w:t>Compliance Pitfall:</w:t>
      </w:r>
      <w:r>
        <w:rPr/>
        <w:t xml:space="preserve"> Chapman’s case reflects two common compliance failures: (1) </w:t>
      </w:r>
      <w:r>
        <w:rPr>
          <w:rStyle w:val="Strong"/>
        </w:rPr>
        <w:t>not serving any NTO at all</w:t>
      </w:r>
      <w:r>
        <w:rPr/>
        <w:t xml:space="preserve">, often due to confusion or oversight, and (2) </w:t>
      </w:r>
      <w:r>
        <w:rPr>
          <w:rStyle w:val="Strong"/>
        </w:rPr>
        <w:t>serving the wrong party or address</w:t>
      </w:r>
      <w:r>
        <w:rPr/>
        <w:t xml:space="preserve"> (Chapman sent paperwork to the GC instead of the owner). The court made clear that a </w:t>
      </w:r>
      <w:r>
        <w:rPr>
          <w:rStyle w:val="Strong"/>
        </w:rPr>
        <w:t>defective NOC or misinformation does not excuse the lienor’s duty</w:t>
      </w:r>
      <w:r>
        <w:rPr/>
        <w:t xml:space="preserve"> – the onus remains on the lienor to figure out the correct owner and serve them. Florida law provides tools (the recorded NOC, property records, etc.) to identify owners, and lienors proceed at their peril if they don’t use them. Another implicit point: sending invoices or other documents is </w:t>
      </w:r>
      <w:r>
        <w:rPr>
          <w:rStyle w:val="Emphasis"/>
        </w:rPr>
        <w:t>not</w:t>
      </w:r>
      <w:r>
        <w:rPr/>
        <w:t xml:space="preserve"> the same as an NTO. Only a document that substantially complies with §713.06(2)(c) and is delivered per §713.06(2)(a)/(d) counts. Chapman’s failure demonstrates that even equitable arguments (like “the owner misled me” or “the owner wasn’t harmed because they knew of my claim”) usually </w:t>
      </w:r>
      <w:r>
        <w:rPr>
          <w:rStyle w:val="Strong"/>
        </w:rPr>
        <w:t>fall on deaf ears</w:t>
      </w:r>
      <w:r>
        <w:rPr/>
        <w:t xml:space="preserve"> in lien cases</w:t>
      </w:r>
      <w:hyperlink r:id="rId68" w:anchor=":~:text=argument%20that%20its%20facsimile%20transmission,was%20fatal%20to%20establishing%20its" w:tgtFrame="_blank">
        <w:r>
          <w:rPr>
            <w:rStyle w:val="Hyperlink"/>
          </w:rPr>
          <w:t>caselaw.findlaw.com</w:t>
        </w:r>
      </w:hyperlink>
      <w:hyperlink r:id="rId69" w:anchor=":~:text=immaterial%20errors%20and%20omissions%20in,judgment%20in%20favor%20of%20Gulfside" w:tgtFrame="_blank">
        <w:r>
          <w:rPr>
            <w:rStyle w:val="Hyperlink"/>
          </w:rPr>
          <w:t>caselaw.findlaw.com</w:t>
        </w:r>
      </w:hyperlink>
      <w:r>
        <w:rPr/>
        <w:t>. The statutes are unforgiving on this point.</w:t>
        <w:br/>
      </w:r>
      <w:r>
        <w:rPr>
          <w:rStyle w:val="Strong"/>
        </w:rPr>
        <w:t>Impact on Lien:</w:t>
      </w:r>
      <w:r>
        <w:rPr/>
        <w:t xml:space="preserve"> Chapman’s lien was void and Gulfside won outright</w:t>
      </w:r>
      <w:hyperlink r:id="rId70" w:anchor=":~:text=immaterial%20errors%20and%20omissions%20in,judgment%20in%20favor%20of%20Gulfside" w:tgtFrame="_blank">
        <w:r>
          <w:rPr>
            <w:rStyle w:val="Hyperlink"/>
          </w:rPr>
          <w:t>caselaw.findlaw.com</w:t>
        </w:r>
      </w:hyperlink>
      <w:hyperlink r:id="rId71" w:anchor=":~:text=lien%20against%20the%20subject%20property,judgment%20in%20favor%20of%20Gulfside" w:tgtFrame="_blank">
        <w:r>
          <w:rPr>
            <w:rStyle w:val="Hyperlink"/>
          </w:rPr>
          <w:t>caselaw.findlaw.com</w:t>
        </w:r>
      </w:hyperlink>
      <w:r>
        <w:rPr/>
        <w:t xml:space="preserve">. This case (and others like it) confirm the current law’s stance: </w:t>
      </w:r>
      <w:r>
        <w:rPr>
          <w:rStyle w:val="Strong"/>
        </w:rPr>
        <w:t>Strict compliance is king.</w:t>
      </w:r>
      <w:r>
        <w:rPr/>
        <w:t xml:space="preserve"> An owner can defeat a lien if the lienor cannot prove timely and proper service of a compliant NTO. For practitioners, </w:t>
      </w:r>
      <w:r>
        <w:rPr>
          <w:rStyle w:val="Emphasis"/>
        </w:rPr>
        <w:t>Gulfside v. Chapman</w:t>
      </w:r>
      <w:r>
        <w:rPr/>
        <w:t xml:space="preserve"> is often cited as a cautionary tale: never assume you have an excuse for not serving the notice. If there’s any doubt about owner information (e.g. the NOC is incomplete or signed by the wrong person), </w:t>
      </w:r>
      <w:r>
        <w:rPr>
          <w:rStyle w:val="Strong"/>
        </w:rPr>
        <w:t>take additional steps to find the owner’s correct name and address</w:t>
      </w:r>
      <w:r>
        <w:rPr/>
        <w:t xml:space="preserve"> (corporate records, deed records, etc.) and serve the notice within 45 days. Courts will expect you to do so.</w:t>
      </w:r>
    </w:p>
    <w:p>
      <w:pPr>
        <w:pStyle w:val="Heading2"/>
        <w:bidi w:val="0"/>
        <w:jc w:val="start"/>
        <w:rPr/>
      </w:pPr>
      <w:r>
        <w:rPr/>
        <w:t>Consistent Judicial Interpretations of §713.06 NTO Compliance</w:t>
      </w:r>
    </w:p>
    <w:p>
      <w:pPr>
        <w:pStyle w:val="BodyText"/>
        <w:bidi w:val="0"/>
        <w:jc w:val="start"/>
        <w:rPr/>
      </w:pPr>
      <w:r>
        <w:rPr/>
        <w:t xml:space="preserve">The above cases, spanning Florida’s Supreme Court and multiple District Courts of Appeal, reveal a </w:t>
      </w:r>
      <w:r>
        <w:rPr>
          <w:rStyle w:val="Emphasis"/>
        </w:rPr>
        <w:t>consistent judicial approach</w:t>
      </w:r>
      <w:r>
        <w:rPr/>
        <w:t xml:space="preserve">: </w:t>
      </w:r>
      <w:r>
        <w:rPr>
          <w:rStyle w:val="Strong"/>
        </w:rPr>
        <w:t>Florida courts strictly enforce the NTO requirements</w:t>
      </w:r>
      <w:r>
        <w:rPr/>
        <w:t xml:space="preserve"> in the current construction lien statute. Key interpretations include:</w:t>
      </w:r>
    </w:p>
    <w:p>
      <w:pPr>
        <w:pStyle w:val="BodyText"/>
        <w:numPr>
          <w:ilvl w:val="0"/>
          <w:numId w:val="1"/>
        </w:numPr>
        <w:tabs>
          <w:tab w:val="clear" w:pos="709"/>
          <w:tab w:val="left" w:pos="709" w:leader="none"/>
        </w:tabs>
        <w:bidi w:val="0"/>
        <w:ind w:hanging="283" w:start="709"/>
        <w:jc w:val="start"/>
        <w:rPr/>
      </w:pPr>
      <w:r>
        <w:rPr>
          <w:rStyle w:val="Strong"/>
        </w:rPr>
        <w:t>Timeliness is Absolute:</w:t>
      </w:r>
      <w:r>
        <w:rPr/>
        <w:t xml:space="preserve"> The 45-day deadline to serve the NTO (from first furnishing labor/material) is a hard stop, not extended for weekends or holidays</w:t>
      </w:r>
      <w:hyperlink r:id="rId72" w:anchor=":~:text=Don%27t%20be%20fooled%20into%20thinking,when%20you%20send%20an%20invoice" w:tgtFrame="_blank">
        <w:r>
          <w:rPr>
            <w:rStyle w:val="Hyperlink"/>
          </w:rPr>
          <w:t>buildersnotice.com</w:t>
        </w:r>
      </w:hyperlink>
      <w:r>
        <w:rPr/>
        <w:t>. A notice served even one day late will doom the lien</w:t>
      </w:r>
      <w:hyperlink r:id="rId73" w:anchor=":~:text=you%20furnish%20labor%20or%20materials,when%20you%20send%20an%20invoice" w:tgtFrame="_blank">
        <w:r>
          <w:rPr>
            <w:rStyle w:val="Hyperlink"/>
          </w:rPr>
          <w:t>buildersnotice.com</w:t>
        </w:r>
      </w:hyperlink>
      <w:r>
        <w:rPr/>
        <w:t>. The statute explicitly mandates strict compliance with timing</w:t>
      </w:r>
      <w:hyperlink r:id="rId74" w:anchor=":~:text=1991,word%20%E2%80%9Cprecisely%E2%80%9D%20in%20its%20place" w:tgtFrame="_blank">
        <w:r>
          <w:rPr>
            <w:rStyle w:val="Hyperlink"/>
          </w:rPr>
          <w:t>floridabar.org</w:t>
        </w:r>
      </w:hyperlink>
      <w:r>
        <w:rPr/>
        <w:t xml:space="preserve">, and courts do not craft exceptions (except the narrow final-payment scenario noted in </w:t>
      </w:r>
      <w:r>
        <w:rPr>
          <w:rStyle w:val="Emphasis"/>
        </w:rPr>
        <w:t>Superfos v. Hajoca</w:t>
      </w:r>
      <w:r>
        <w:rPr/>
        <w:t xml:space="preserve">, which is built into the statute). In practice, this means </w:t>
      </w:r>
      <w:r>
        <w:rPr>
          <w:rStyle w:val="Emphasis"/>
        </w:rPr>
        <w:t>mailing</w:t>
      </w:r>
      <w:r>
        <w:rPr/>
        <w:t xml:space="preserve"> by the 45th day is not enough – the owner must receive the notice by day 45 under most interpretations. Lienors who miss the deadline </w:t>
      </w:r>
      <w:r>
        <w:rPr>
          <w:rStyle w:val="Strong"/>
        </w:rPr>
        <w:t>“lose their lien rights”</w:t>
      </w:r>
      <w:r>
        <w:rPr/>
        <w:t xml:space="preserve"> entirely</w:t>
      </w:r>
      <w:hyperlink r:id="rId75" w:anchor=":~:text=you%20furnish%20labor%20or%20materials,when%20you%20send%20an%20invoice" w:tgtFrame="_blank">
        <w:r>
          <w:rPr>
            <w:rStyle w:val="Hyperlink"/>
          </w:rPr>
          <w:t>buildersnotice.com</w:t>
        </w:r>
      </w:hyperlink>
      <w:r>
        <w:rPr/>
        <w:t>.</w:t>
      </w:r>
    </w:p>
    <w:p>
      <w:pPr>
        <w:pStyle w:val="BodyText"/>
        <w:numPr>
          <w:ilvl w:val="0"/>
          <w:numId w:val="1"/>
        </w:numPr>
        <w:tabs>
          <w:tab w:val="clear" w:pos="709"/>
          <w:tab w:val="left" w:pos="709" w:leader="none"/>
        </w:tabs>
        <w:bidi w:val="0"/>
        <w:ind w:hanging="283" w:start="709"/>
        <w:jc w:val="start"/>
        <w:rPr/>
      </w:pPr>
      <w:r>
        <w:rPr>
          <w:rStyle w:val="Strong"/>
        </w:rPr>
        <w:t>Proper Service and Delivery:</w:t>
      </w:r>
      <w:r>
        <w:rPr/>
        <w:t xml:space="preserve"> Florida law dictates acceptable service methods (e.g. certified or registered mail, overnight delivery, or hand delivery, per §713.18). Courts expect lienors to use these methods to ensure the owner actually receives notice. In one appellate case, serving the notice to the wrong address (or wrong party) was held a fatal error</w:t>
      </w:r>
      <w:hyperlink r:id="rId76" w:anchor=":~:text=notice%20to%20owner" w:tgtFrame="_blank">
        <w:r>
          <w:rPr>
            <w:rStyle w:val="Hyperlink"/>
          </w:rPr>
          <w:t>caselaw.findlaw.com</w:t>
        </w:r>
      </w:hyperlink>
      <w:hyperlink r:id="rId77" w:anchor=":~:text=immaterial%20errors%20and%20omissions%20in,judgment%20in%20favor%20of%20Gulfside" w:tgtFrame="_blank">
        <w:r>
          <w:rPr>
            <w:rStyle w:val="Hyperlink"/>
          </w:rPr>
          <w:t>caselaw.findlaw.com</w:t>
        </w:r>
      </w:hyperlink>
      <w:r>
        <w:rPr/>
        <w:t xml:space="preserve">. Failing to serve </w:t>
      </w:r>
      <w:r>
        <w:rPr>
          <w:rStyle w:val="Emphasis"/>
        </w:rPr>
        <w:t>the correct statutory recipients</w:t>
      </w:r>
      <w:r>
        <w:rPr/>
        <w:t xml:space="preserve"> is equally fatal. </w:t>
      </w:r>
      <w:r>
        <w:rPr>
          <w:rStyle w:val="Strong"/>
        </w:rPr>
        <w:t>All required parties must get the NTO</w:t>
      </w:r>
      <w:r>
        <w:rPr/>
        <w:t xml:space="preserve"> – typically the property owner and, if a construction lender is listed in the Notice of Commencement, the lender as well</w:t>
      </w:r>
      <w:hyperlink r:id="rId78" w:anchor=":~:text=Imagine%20sending%20a%20crucial%20letter,intent%20to%20file%20a%20lien" w:tgtFrame="_blank">
        <w:r>
          <w:rPr>
            <w:rStyle w:val="Hyperlink"/>
          </w:rPr>
          <w:t>buildersnotice.com</w:t>
        </w:r>
      </w:hyperlink>
      <w:hyperlink r:id="rId79" w:anchor=":~:text=recipients" w:tgtFrame="_blank">
        <w:r>
          <w:rPr>
            <w:rStyle w:val="Hyperlink"/>
          </w:rPr>
          <w:t>buildersnotice.com</w:t>
        </w:r>
      </w:hyperlink>
      <w:r>
        <w:rPr/>
        <w:t>. (The prime contractor should receive a copy too, though a failure to copy the contractor might not invalidate the lien against the owner if the owner received notice. Still, best practice: serve everyone listed on the NOC.) The overarching theme: the burden is on the lienor to get the notice into the owner’s hands in the authorized manner. An owner who genuinely never receives an NTO has a complete defense. Evidence of proper mailing (certified mail receipt, etc.) is crucial, because if an owner later claims lack of notice, the lienor must prove it was sent correctly.</w:t>
      </w:r>
    </w:p>
    <w:p>
      <w:pPr>
        <w:pStyle w:val="BodyText"/>
        <w:numPr>
          <w:ilvl w:val="0"/>
          <w:numId w:val="1"/>
        </w:numPr>
        <w:tabs>
          <w:tab w:val="clear" w:pos="709"/>
          <w:tab w:val="left" w:pos="709" w:leader="none"/>
        </w:tabs>
        <w:bidi w:val="0"/>
        <w:ind w:hanging="283" w:start="709"/>
        <w:jc w:val="start"/>
        <w:rPr/>
      </w:pPr>
      <w:r>
        <w:rPr>
          <w:rStyle w:val="Strong"/>
        </w:rPr>
        <w:t>Statutory Content Must Be Included:</w:t>
      </w:r>
      <w:r>
        <w:rPr/>
        <w:t xml:space="preserve"> The NTO must </w:t>
      </w:r>
      <w:r>
        <w:rPr>
          <w:rStyle w:val="Strong"/>
        </w:rPr>
        <w:t>substantially follow the form prescribed in §713.06(2)(c)</w:t>
      </w:r>
      <w:r>
        <w:rPr/>
        <w:t xml:space="preserve">. Florida courts have consistently held that the statutory warning language (such as the boldface heading and the explanations that this is not a lien but could become one, etc.) is a </w:t>
      </w:r>
      <w:r>
        <w:rPr>
          <w:rStyle w:val="Emphasis"/>
        </w:rPr>
        <w:t>mandatory component</w:t>
      </w:r>
      <w:r>
        <w:rPr/>
        <w:t xml:space="preserve">. Cases like </w:t>
      </w:r>
      <w:r>
        <w:rPr>
          <w:rStyle w:val="Emphasis"/>
        </w:rPr>
        <w:t>Mirror &amp; Shower Door</w:t>
      </w:r>
      <w:r>
        <w:rPr/>
        <w:t xml:space="preserve">, </w:t>
      </w:r>
      <w:r>
        <w:rPr>
          <w:rStyle w:val="Emphasis"/>
        </w:rPr>
        <w:t>Kronauer</w:t>
      </w:r>
      <w:r>
        <w:rPr/>
        <w:t xml:space="preserve">, and </w:t>
      </w:r>
      <w:r>
        <w:rPr>
          <w:rStyle w:val="Emphasis"/>
        </w:rPr>
        <w:t>Chapman</w:t>
      </w:r>
      <w:r>
        <w:rPr/>
        <w:t xml:space="preserve"> all declare that omitting the required warnings or altering them beyond recognition will invalidate the notice</w:t>
      </w:r>
      <w:hyperlink r:id="rId80" w:anchor=":~:text=argument%20that%20its%20facsimile%20transmission,was%20fatal%20to%20establishing%20its" w:tgtFrame="_blank">
        <w:r>
          <w:rPr>
            <w:rStyle w:val="Hyperlink"/>
          </w:rPr>
          <w:t>caselaw.findlaw.com</w:t>
        </w:r>
      </w:hyperlink>
      <w:hyperlink r:id="rId81" w:anchor=":~:text=this%20case%2C%20the%20court%20refused,%E2%80%9D7" w:tgtFrame="_blank">
        <w:r>
          <w:rPr>
            <w:rStyle w:val="Hyperlink"/>
          </w:rPr>
          <w:t>floridabar.org</w:t>
        </w:r>
      </w:hyperlink>
      <w:r>
        <w:rPr/>
        <w:t xml:space="preserve">. Only </w:t>
      </w:r>
      <w:r>
        <w:rPr>
          <w:rStyle w:val="Strong"/>
        </w:rPr>
        <w:t>immaterial, non-misleading errors</w:t>
      </w:r>
      <w:r>
        <w:rPr/>
        <w:t xml:space="preserve"> are excused. For instance, a minor typo in the owner’s name or a slight error in the legal description </w:t>
      </w:r>
      <w:r>
        <w:rPr>
          <w:rStyle w:val="Emphasis"/>
        </w:rPr>
        <w:t>might</w:t>
      </w:r>
      <w:r>
        <w:rPr/>
        <w:t xml:space="preserve"> be overlooked if it doesn’t mislead anyone and the statute’s savings clause applies</w:t>
      </w:r>
      <w:hyperlink r:id="rId82" w:anchor=":~:text=owner,to%20vacate%20the%20lien%2C%20stating" w:tgtFrame="_blank">
        <w:r>
          <w:rPr>
            <w:rStyle w:val="Hyperlink"/>
          </w:rPr>
          <w:t>floridabar.org</w:t>
        </w:r>
      </w:hyperlink>
      <w:hyperlink r:id="rId83" w:anchor=":~:text=In%20cases%20upholding%20the%20sufficiency,4" w:tgtFrame="_blank">
        <w:r>
          <w:rPr>
            <w:rStyle w:val="Hyperlink"/>
          </w:rPr>
          <w:t>floridabar.org</w:t>
        </w:r>
      </w:hyperlink>
      <w:r>
        <w:rPr/>
        <w:t xml:space="preserve">. But any omission or change that could affect the owner’s understanding is not “immaterial.” The post-1991 case law trend is toward zero tolerance for deviation on the core content. In sum, the courts interpret “substantially similar” to mean </w:t>
      </w:r>
      <w:r>
        <w:rPr>
          <w:rStyle w:val="Strong"/>
        </w:rPr>
        <w:t>“nearly identical”</w:t>
      </w:r>
      <w:r>
        <w:rPr/>
        <w:t xml:space="preserve"> to the statutory form in substance and format. As one court bluntly put it, the legislative form is presumed to convey the warnings properly, so lienors shouldn’t deviate</w:t>
      </w:r>
      <w:hyperlink r:id="rId84" w:anchor=":~:text=this%20case%2C%20the%20court%20refused,%E2%80%9D7" w:tgtFrame="_blank">
        <w:r>
          <w:rPr>
            <w:rStyle w:val="Hyperlink"/>
          </w:rPr>
          <w:t>floridabar.org</w:t>
        </w:r>
      </w:hyperlink>
      <w:r>
        <w:rPr/>
        <w:t>.</w:t>
      </w:r>
    </w:p>
    <w:p>
      <w:pPr>
        <w:pStyle w:val="BodyText"/>
        <w:numPr>
          <w:ilvl w:val="0"/>
          <w:numId w:val="1"/>
        </w:numPr>
        <w:tabs>
          <w:tab w:val="clear" w:pos="709"/>
          <w:tab w:val="left" w:pos="709" w:leader="none"/>
        </w:tabs>
        <w:bidi w:val="0"/>
        <w:ind w:hanging="283" w:start="709"/>
        <w:jc w:val="start"/>
        <w:rPr/>
      </w:pPr>
      <w:r>
        <w:rPr>
          <w:rStyle w:val="Strong"/>
        </w:rPr>
        <w:t>No Notice = No Lien (except true privity):</w:t>
      </w:r>
      <w:r>
        <w:rPr/>
        <w:t xml:space="preserve"> If a lienor required to give notice fails to do so, the lien is invalid – period</w:t>
      </w:r>
      <w:hyperlink r:id="rId85" w:anchor=":~:text=immaterial%20errors%20and%20omissions%20in,judgment%20in%20favor%20of%20Gulfside" w:tgtFrame="_blank">
        <w:r>
          <w:rPr>
            <w:rStyle w:val="Hyperlink"/>
          </w:rPr>
          <w:t>caselaw.findlaw.com</w:t>
        </w:r>
      </w:hyperlink>
      <w:r>
        <w:rPr/>
        <w:t>. The only exception upheld by courts is when the lienor is considered already in privity with the owner, such as being directly contracted or the owner effectively being the contractor (common identity)</w:t>
      </w:r>
      <w:hyperlink r:id="rId86" w:anchor=":~:text=Although%20we%20agree%20with%20the,work%20or%20when%20the%20owner" w:tgtFrame="_blank">
        <w:r>
          <w:rPr>
            <w:rStyle w:val="Hyperlink"/>
          </w:rPr>
          <w:t>law.justia.com</w:t>
        </w:r>
      </w:hyperlink>
      <w:r>
        <w:rPr/>
        <w:t xml:space="preserve">. In all other situations, </w:t>
      </w:r>
      <w:r>
        <w:rPr>
          <w:rStyle w:val="Strong"/>
        </w:rPr>
        <w:t>actual knowledge by the owner is irrelevant</w:t>
      </w:r>
      <w:r>
        <w:rPr/>
        <w:t xml:space="preserve"> if the formal notice wasn’t served. Courts routinely reject arguments like “the owner knew we were on the job” or “the owner saw our trucks/materials, so they weren’t prejudiced.” The statutory scheme is intended to </w:t>
      </w:r>
      <w:r>
        <w:rPr>
          <w:rStyle w:val="Emphasis"/>
        </w:rPr>
        <w:t>formally notify</w:t>
      </w:r>
      <w:r>
        <w:rPr/>
        <w:t xml:space="preserve"> the owner that the lienor is looking to them for payment</w:t>
      </w:r>
      <w:hyperlink r:id="rId87" w:anchor=":~:text=Boux%20v,4th%20DCA%201976" w:tgtFrame="_blank">
        <w:r>
          <w:rPr>
            <w:rStyle w:val="Hyperlink"/>
          </w:rPr>
          <w:t>law.justia.com</w:t>
        </w:r>
      </w:hyperlink>
      <w:r>
        <w:rPr/>
        <w:t xml:space="preserve">. Thus, Florida decisions consistently hold that an owner’s knowledge or a contractor’s promise to inform the owner </w:t>
      </w:r>
      <w:r>
        <w:rPr>
          <w:rStyle w:val="Strong"/>
        </w:rPr>
        <w:t>do not excuse the lienor’s failure to comply</w:t>
      </w:r>
      <w:r>
        <w:rPr/>
        <w:t>. For example, even where an owner’s agent (the GC) signed the notice of commencement incorrectly, the sub was not excused from serving the owner</w:t>
      </w:r>
      <w:hyperlink r:id="rId88" w:anchor=":~:text=There%20is%20no%20support%20in,a%20proper%20notice%20to%20owner" w:tgtFrame="_blank">
        <w:r>
          <w:rPr>
            <w:rStyle w:val="Hyperlink"/>
          </w:rPr>
          <w:t>caselaw.findlaw.com</w:t>
        </w:r>
      </w:hyperlink>
      <w:r>
        <w:rPr/>
        <w:t>. The only safe harbor is being in direct contract with the owner (or falling under the narrow common-identity rule). Note: Laborers are statutorily exempt from the NTO requirement</w:t>
      </w:r>
      <w:hyperlink r:id="rId89" w:anchor=":~:text=As%20a%20prerequisite%20to%20perfecting,recognized%2C%20the%20notice%20requirement%20is" w:tgtFrame="_blank">
        <w:r>
          <w:rPr>
            <w:rStyle w:val="Hyperlink"/>
          </w:rPr>
          <w:t>law.justia.com</w:t>
        </w:r>
      </w:hyperlink>
      <w:r>
        <w:rPr/>
        <w:t>, so a laborer’s lien isn’t defeated by lack of notice; but all other lienors (subcontractors, sub-subs, suppliers, equipment lessors, etc.) must serve one.</w:t>
      </w:r>
    </w:p>
    <w:p>
      <w:pPr>
        <w:pStyle w:val="BodyText"/>
        <w:numPr>
          <w:ilvl w:val="0"/>
          <w:numId w:val="1"/>
        </w:numPr>
        <w:tabs>
          <w:tab w:val="clear" w:pos="709"/>
          <w:tab w:val="left" w:pos="709" w:leader="none"/>
        </w:tabs>
        <w:bidi w:val="0"/>
        <w:ind w:hanging="283" w:start="709"/>
        <w:jc w:val="start"/>
        <w:rPr/>
      </w:pPr>
      <w:r>
        <w:rPr>
          <w:rStyle w:val="Strong"/>
        </w:rPr>
        <w:t>Precedent and Statutory Interpretation:</w:t>
      </w:r>
      <w:r>
        <w:rPr/>
        <w:t xml:space="preserve"> Courts frequently cite earlier decisions to reinforce these points, creating a robust chain of precedent. </w:t>
      </w:r>
      <w:r>
        <w:rPr>
          <w:rStyle w:val="Emphasis"/>
        </w:rPr>
        <w:t>Stresscon v. Madiedo</w:t>
      </w:r>
      <w:r>
        <w:rPr/>
        <w:t xml:space="preserve"> (Fla. 1991) is often cited for the principle that </w:t>
      </w:r>
      <w:r>
        <w:rPr>
          <w:rStyle w:val="Strong"/>
        </w:rPr>
        <w:t>strict compliance is required unless the statute explicitly allows substantial compliance</w:t>
      </w:r>
      <w:hyperlink r:id="rId90" w:anchor=":~:text=The%20fact%20that%20no%20prejudice,%28emphasis%20supplied%298" w:tgtFrame="_blank">
        <w:r>
          <w:rPr>
            <w:rStyle w:val="Hyperlink"/>
          </w:rPr>
          <w:t>floridabar.org</w:t>
        </w:r>
      </w:hyperlink>
      <w:hyperlink r:id="rId91" w:anchor=":~:text=substance%2C%20the%20Stresscon%20court%20noted,10" w:tgtFrame="_blank">
        <w:r>
          <w:rPr>
            <w:rStyle w:val="Hyperlink"/>
          </w:rPr>
          <w:t>floridabar.org</w:t>
        </w:r>
      </w:hyperlink>
      <w:r>
        <w:rPr/>
        <w:t xml:space="preserve">. In the NTO context, §713.06 does allow “substantial” compliance </w:t>
      </w:r>
      <w:r>
        <w:rPr>
          <w:rStyle w:val="Emphasis"/>
        </w:rPr>
        <w:t>with content</w:t>
      </w:r>
      <w:r>
        <w:rPr/>
        <w:t xml:space="preserve"> so long as no one is adversely affected</w:t>
      </w:r>
      <w:hyperlink r:id="rId92" w:anchor=":~:text=%E2%80%9Csubstantially%E2%80%9D%20follow%20the%20statutory%20form,%E2%80%9D1" w:tgtFrame="_blank">
        <w:r>
          <w:rPr>
            <w:rStyle w:val="Hyperlink"/>
          </w:rPr>
          <w:t>floridabar.org</w:t>
        </w:r>
      </w:hyperlink>
      <w:hyperlink r:id="rId93" w:anchor=":~:text=Since%20both%20the%20notice%20to,%E2%80%9D%20The%20court" w:tgtFrame="_blank">
        <w:r>
          <w:rPr>
            <w:rStyle w:val="Hyperlink"/>
          </w:rPr>
          <w:t>floridabar.org</w:t>
        </w:r>
      </w:hyperlink>
      <w:r>
        <w:rPr/>
        <w:t>, but the 1991 change from “may” to “must” use the statutory form heightened the strictness</w:t>
      </w:r>
      <w:hyperlink r:id="rId94" w:anchor=":~:text=1991,word%20%E2%80%9Cprecisely%E2%80%9D%20in%20its%20place" w:tgtFrame="_blank">
        <w:r>
          <w:rPr>
            <w:rStyle w:val="Hyperlink"/>
          </w:rPr>
          <w:t>floridabar.org</w:t>
        </w:r>
      </w:hyperlink>
      <w:r>
        <w:rPr/>
        <w:t>. Consequently, post-1991 cases (Chapman, Kronauer, etc.) have hewed to the letter of the form. Courts also refer back to the purpose of the law – protecting owners from hidden lien claims – when interpreting ambiguities, invariably resolving doubts in favor of the owner’s protection (which translates to requiring clear, timely notice from lienors)</w:t>
      </w:r>
      <w:hyperlink r:id="rId95" w:anchor=":~:text=713,double%20payment%2C%20such%20notice%20will" w:tgtFrame="_blank">
        <w:r>
          <w:rPr>
            <w:rStyle w:val="Hyperlink"/>
          </w:rPr>
          <w:t>law.justia.com</w:t>
        </w:r>
      </w:hyperlink>
      <w:hyperlink r:id="rId96" w:anchor=":~:text=argument%20that%20its%20facsimile%20transmission,was%20fatal%20to%20establishing%20its" w:tgtFrame="_blank">
        <w:r>
          <w:rPr>
            <w:rStyle w:val="Hyperlink"/>
          </w:rPr>
          <w:t>caselaw.findlaw.com</w:t>
        </w:r>
      </w:hyperlink>
      <w:r>
        <w:rPr/>
        <w:t xml:space="preserve">. The consistent thread is that Florida’s appellate courts want lienors to </w:t>
      </w:r>
      <w:r>
        <w:rPr>
          <w:rStyle w:val="Strong"/>
        </w:rPr>
        <w:t>follow the statute exactly</w:t>
      </w:r>
      <w:r>
        <w:rPr/>
        <w:t>: meet the deadlines, use the proper form, and serve the right parties. Failure to do so is a self-inflicted forfeiture of lien rights, not something the courts will rescue.</w:t>
      </w:r>
    </w:p>
    <w:p>
      <w:pPr>
        <w:pStyle w:val="Heading2"/>
        <w:bidi w:val="0"/>
        <w:jc w:val="start"/>
        <w:rPr/>
      </w:pPr>
      <w:r>
        <w:rPr/>
        <w:t>Practical Recommendations to Preserve Lien Rights under §713.06</w:t>
      </w:r>
    </w:p>
    <w:p>
      <w:pPr>
        <w:pStyle w:val="BodyText"/>
        <w:bidi w:val="0"/>
        <w:jc w:val="start"/>
        <w:rPr/>
      </w:pPr>
      <w:r>
        <w:rPr/>
        <w:t>For subcontractors, suppliers, and other lienors in Florida, the following best practices are recommended to ensure compliance with the Notice to Owner requirement and safeguard your lien rights:</w:t>
      </w:r>
    </w:p>
    <w:p>
      <w:pPr>
        <w:pStyle w:val="BodyText"/>
        <w:numPr>
          <w:ilvl w:val="0"/>
          <w:numId w:val="2"/>
        </w:numPr>
        <w:tabs>
          <w:tab w:val="clear" w:pos="709"/>
          <w:tab w:val="left" w:pos="709" w:leader="none"/>
        </w:tabs>
        <w:bidi w:val="0"/>
        <w:ind w:hanging="283" w:start="709"/>
        <w:jc w:val="start"/>
        <w:rPr/>
      </w:pPr>
      <w:r>
        <w:rPr>
          <w:rStyle w:val="Strong"/>
        </w:rPr>
        <w:t>Serve the Notice Early – Don’t Wait:</w:t>
      </w:r>
      <w:r>
        <w:rPr/>
        <w:t xml:space="preserve"> Mark your calendar for the 45-day deadline from your first work or delivery on the project, but plan to serve the NTO well </w:t>
      </w:r>
      <w:r>
        <w:rPr>
          <w:rStyle w:val="Emphasis"/>
        </w:rPr>
        <w:t>before</w:t>
      </w:r>
      <w:r>
        <w:rPr/>
        <w:t xml:space="preserve"> that. In fact, it’s wise to send the notice </w:t>
      </w:r>
      <w:r>
        <w:rPr>
          <w:rStyle w:val="Strong"/>
        </w:rPr>
        <w:t>immediately when you start work</w:t>
      </w:r>
      <w:r>
        <w:rPr/>
        <w:t xml:space="preserve"> (or even just before starting)</w:t>
      </w:r>
      <w:hyperlink r:id="rId97" w:anchor=":~:text=subcontractors%20and%20suppliers%20rarely%20know,NTO%20as%20soon%20as%20possible" w:tgtFrame="_blank">
        <w:r>
          <w:rPr>
            <w:rStyle w:val="Hyperlink"/>
          </w:rPr>
          <w:t>mkpalaw.com</w:t>
        </w:r>
      </w:hyperlink>
      <w:r>
        <w:rPr/>
        <w:t xml:space="preserve">. This avoids any risk of missing the deadline or the owner making final payment before you notice. Remember that </w:t>
      </w:r>
      <w:r>
        <w:rPr>
          <w:rStyle w:val="Strong"/>
        </w:rPr>
        <w:t>all days count</w:t>
      </w:r>
      <w:r>
        <w:rPr/>
        <w:t xml:space="preserve"> – the 45-day clock runs through weekends and holidays</w:t>
      </w:r>
      <w:hyperlink r:id="rId98" w:anchor=":~:text=Don%27t%20be%20fooled%20into%20thinking,when%20you%20send%20an%20invoice" w:tgtFrame="_blank">
        <w:r>
          <w:rPr>
            <w:rStyle w:val="Hyperlink"/>
          </w:rPr>
          <w:t>buildersnotice.com</w:t>
        </w:r>
      </w:hyperlink>
      <w:r>
        <w:rPr/>
        <w:t xml:space="preserve">. There is no grace period. If Day 45 falls on a Sunday, your notice still must be received by then. Late delivery (Day 46, etc.) means </w:t>
      </w:r>
      <w:r>
        <w:rPr>
          <w:rStyle w:val="Emphasis"/>
        </w:rPr>
        <w:t>no lien</w:t>
      </w:r>
      <w:r>
        <w:rPr/>
        <w:t xml:space="preserve">. As one industry guide flatly warns, </w:t>
      </w:r>
      <w:r>
        <w:rPr>
          <w:rStyle w:val="Strong"/>
        </w:rPr>
        <w:t>“if you fail to file a Notice to Owner within the 45-day period, your right to file a lien vanishes.”</w:t>
      </w:r>
      <w:hyperlink r:id="rId99" w:anchor=":~:text=you%20furnish%20labor%20or%20materials,when%20you%20send%20an%20invoice" w:tgtFrame="_blank">
        <w:r>
          <w:rPr>
            <w:rStyle w:val="Hyperlink"/>
          </w:rPr>
          <w:t>buildersnotice.com</w:t>
        </w:r>
      </w:hyperlink>
    </w:p>
    <w:p>
      <w:pPr>
        <w:pStyle w:val="BodyText"/>
        <w:numPr>
          <w:ilvl w:val="0"/>
          <w:numId w:val="2"/>
        </w:numPr>
        <w:tabs>
          <w:tab w:val="clear" w:pos="709"/>
          <w:tab w:val="left" w:pos="709" w:leader="none"/>
        </w:tabs>
        <w:bidi w:val="0"/>
        <w:ind w:hanging="283" w:start="709"/>
        <w:jc w:val="start"/>
        <w:rPr/>
      </w:pPr>
      <w:r>
        <w:rPr>
          <w:rStyle w:val="Strong"/>
        </w:rPr>
        <w:t>Use the Statutory NTO Form (Don’t Deviate):</w:t>
      </w:r>
      <w:r>
        <w:rPr/>
        <w:t xml:space="preserve"> Obtain a copy of the exact Notice to Owner form as set out in Fla. Stat. §713.06(2)(c) (many Florida construction law resources and the statutes provide this form). </w:t>
      </w:r>
      <w:r>
        <w:rPr>
          <w:rStyle w:val="Strong"/>
        </w:rPr>
        <w:t>Use it verbatim.</w:t>
      </w:r>
      <w:r>
        <w:rPr/>
        <w:t xml:space="preserve"> Fill in the project-specific blanks (your name, description of work, property description, etc.) but do not omit or paraphrase the statutory text. The notice should prominently bear the title and warnings exactly as required. </w:t>
      </w:r>
      <w:r>
        <w:rPr>
          <w:rStyle w:val="Emphasis"/>
        </w:rPr>
        <w:t>Do not shrink or fine-print the warning language.</w:t>
      </w:r>
      <w:r>
        <w:rPr/>
        <w:t xml:space="preserve"> Courts have invalidated liens because the notice’s font was too small or the title was missing</w:t>
      </w:r>
      <w:hyperlink r:id="rId100" w:anchor=":~:text=Even%20more%20interesting%20is%20the,warnings%20required%20in%20order%20to" w:tgtFrame="_blank">
        <w:r>
          <w:rPr>
            <w:rStyle w:val="Hyperlink"/>
          </w:rPr>
          <w:t>floridabar.org</w:t>
        </w:r>
      </w:hyperlink>
      <w:r>
        <w:rPr/>
        <w:t xml:space="preserve">. Keep the formatting similar (e.g., title in bold caps). While slight imperfections in non-critical details (like a minor spelling error) might be overlooked, there’s no benefit to testing that – the safest route is a </w:t>
      </w:r>
      <w:r>
        <w:rPr>
          <w:rStyle w:val="Emphasis"/>
        </w:rPr>
        <w:t>faithful reproduction</w:t>
      </w:r>
      <w:r>
        <w:rPr/>
        <w:t xml:space="preserve"> of the statutory form. By using the proper form, you ensure all required warnings (such as the statement that “THIS IS NOT A LIEN” and other protections) are conveyed as the law intends</w:t>
      </w:r>
      <w:hyperlink r:id="rId101" w:anchor=":~:text=this%20case%2C%20the%20court%20refused,%E2%80%9D7" w:tgtFrame="_blank">
        <w:r>
          <w:rPr>
            <w:rStyle w:val="Hyperlink"/>
          </w:rPr>
          <w:t>floridabar.org</w:t>
        </w:r>
      </w:hyperlink>
      <w:r>
        <w:rPr/>
        <w:t>.</w:t>
      </w:r>
    </w:p>
    <w:p>
      <w:pPr>
        <w:pStyle w:val="BodyText"/>
        <w:numPr>
          <w:ilvl w:val="0"/>
          <w:numId w:val="2"/>
        </w:numPr>
        <w:tabs>
          <w:tab w:val="clear" w:pos="709"/>
          <w:tab w:val="left" w:pos="709" w:leader="none"/>
        </w:tabs>
        <w:bidi w:val="0"/>
        <w:ind w:hanging="283" w:start="709"/>
        <w:jc w:val="start"/>
        <w:rPr/>
      </w:pPr>
      <w:r>
        <w:rPr>
          <w:rStyle w:val="Strong"/>
        </w:rPr>
        <w:t>Identify All Required Recipients and Correct Addresses:</w:t>
      </w:r>
      <w:r>
        <w:rPr/>
        <w:t xml:space="preserve"> </w:t>
      </w:r>
      <w:r>
        <w:rPr>
          <w:rStyle w:val="Emphasis"/>
        </w:rPr>
        <w:t>Before sending your NTO</w:t>
      </w:r>
      <w:r>
        <w:rPr/>
        <w:t xml:space="preserve">, determine exactly who must receive it. This typically includes: </w:t>
      </w:r>
      <w:r>
        <w:rPr>
          <w:rStyle w:val="Strong"/>
        </w:rPr>
        <w:t>the owner</w:t>
      </w:r>
      <w:r>
        <w:rPr/>
        <w:t xml:space="preserve"> (as listed on the building permit or deed – if multiple owners, each should get a notice), </w:t>
      </w:r>
      <w:r>
        <w:rPr>
          <w:rStyle w:val="Strong"/>
        </w:rPr>
        <w:t>the general contractor</w:t>
      </w:r>
      <w:r>
        <w:rPr/>
        <w:t xml:space="preserve"> (to comply with §713.06(2)(a) which says give a copy to the contractor if you’re a sub), and </w:t>
      </w:r>
      <w:r>
        <w:rPr>
          <w:rStyle w:val="Strong"/>
        </w:rPr>
        <w:t>the construction lender</w:t>
      </w:r>
      <w:r>
        <w:rPr/>
        <w:t xml:space="preserve"> if one is identified in the Notice of Commencement. The Notice of Commencement is a valuable source – it is usually posted at the site or recorded in county records, and it provides the owner’s name and address, the contractor’s name, and any lender’s name/address</w:t>
      </w:r>
      <w:hyperlink r:id="rId102" w:anchor=":~:text=The%20Notice%20of%20Commencement%20is,NTO%20to%20all%20required%20recipients" w:tgtFrame="_blank">
        <w:r>
          <w:rPr>
            <w:rStyle w:val="Hyperlink"/>
          </w:rPr>
          <w:t>buildersnotice.com</w:t>
        </w:r>
      </w:hyperlink>
      <w:r>
        <w:rPr/>
        <w:t xml:space="preserve">. Use that information. Make sure to address your notice exactly as those parties are named. If the NOC designates an owner’s agent to receive notices, send it there as well. Failing to send the NTO to </w:t>
      </w:r>
      <w:r>
        <w:rPr>
          <w:rStyle w:val="Strong"/>
        </w:rPr>
        <w:t>even one required party (owner, contractor, or listed lender)</w:t>
      </w:r>
      <w:r>
        <w:rPr/>
        <w:t xml:space="preserve"> can invalidate your notice and thus your lien</w:t>
      </w:r>
      <w:hyperlink r:id="rId103" w:anchor=":~:text=recipients" w:tgtFrame="_blank">
        <w:r>
          <w:rPr>
            <w:rStyle w:val="Hyperlink"/>
          </w:rPr>
          <w:t>buildersnotice.com</w:t>
        </w:r>
      </w:hyperlink>
      <w:r>
        <w:rPr/>
        <w:t xml:space="preserve">. For example, if a bank financing the project is listed, send them a copy – owners have successfully argued a lien was invalid when a required notice to a lender was omitted. Bottom line: cast a </w:t>
      </w:r>
      <w:r>
        <w:rPr>
          <w:rStyle w:val="Strong"/>
        </w:rPr>
        <w:t>wide net</w:t>
      </w:r>
      <w:r>
        <w:rPr/>
        <w:t xml:space="preserve"> – it’s better to over-include recipients (where statute says to) than to miss one. Keep records of </w:t>
      </w:r>
      <w:r>
        <w:rPr>
          <w:rStyle w:val="Emphasis"/>
        </w:rPr>
        <w:t>who</w:t>
      </w:r>
      <w:r>
        <w:rPr/>
        <w:t xml:space="preserve"> you sent to and </w:t>
      </w:r>
      <w:r>
        <w:rPr>
          <w:rStyle w:val="Emphasis"/>
        </w:rPr>
        <w:t>where</w:t>
      </w:r>
      <w:r>
        <w:rPr/>
        <w:t>.</w:t>
      </w:r>
    </w:p>
    <w:p>
      <w:pPr>
        <w:pStyle w:val="BodyText"/>
        <w:numPr>
          <w:ilvl w:val="0"/>
          <w:numId w:val="2"/>
        </w:numPr>
        <w:tabs>
          <w:tab w:val="clear" w:pos="709"/>
          <w:tab w:val="left" w:pos="709" w:leader="none"/>
        </w:tabs>
        <w:bidi w:val="0"/>
        <w:ind w:hanging="283" w:start="709"/>
        <w:jc w:val="start"/>
        <w:rPr/>
      </w:pPr>
      <w:r>
        <w:rPr>
          <w:rStyle w:val="Strong"/>
        </w:rPr>
        <w:t>Serve via Certified Mail (and/or Other Statutory Methods) with Proof:</w:t>
      </w:r>
      <w:r>
        <w:rPr/>
        <w:t xml:space="preserve"> Florida’s lien law permits service of the NTO by several methods, but </w:t>
      </w:r>
      <w:r>
        <w:rPr>
          <w:rStyle w:val="Strong"/>
        </w:rPr>
        <w:t>Certified Mail with Return Receipt Requested is the gold standard</w:t>
      </w:r>
      <w:hyperlink r:id="rId104" w:anchor=":~:text=Incorrectly%20Serving%20the%20Notice%20to,Owner" w:tgtFrame="_blank">
        <w:r>
          <w:rPr>
            <w:rStyle w:val="Hyperlink"/>
          </w:rPr>
          <w:t>buildersnotice.com</w:t>
        </w:r>
      </w:hyperlink>
      <w:r>
        <w:rPr/>
        <w:t xml:space="preserve">. It provides a paper trail – you’ll have a mailing receipt and an electronic delivery confirmation or a signed green card showing when the owner (or their agent) received the notice. Commercial courier with tracking (e.g. FedEx) or actual hand delivery (with a signed acknowledgment) are also acceptable, but certified mail is most common. Always mail to the </w:t>
      </w:r>
      <w:r>
        <w:rPr>
          <w:rStyle w:val="Strong"/>
        </w:rPr>
        <w:t>correct address</w:t>
      </w:r>
      <w:r>
        <w:rPr/>
        <w:t xml:space="preserve"> – use the owner’s address from the NOC or their official address (and consider also sending to the property address if different). If mail is returned unclaimed, Florida law may deem the attempt sufficient if properly sent, but you might then try an alternate method or address to ensure actual notice (and document those efforts). The key is to be able to later </w:t>
      </w:r>
      <w:r>
        <w:rPr>
          <w:rStyle w:val="Strong"/>
        </w:rPr>
        <w:t>prove</w:t>
      </w:r>
      <w:r>
        <w:rPr/>
        <w:t xml:space="preserve"> in court that you served the notice within the 45 days and in accordance with §713.18. Keep copies of the NTO, certified mail receipts, tracking printouts, etc., for your records. If possible, do </w:t>
      </w:r>
      <w:r>
        <w:rPr>
          <w:rStyle w:val="Strong"/>
        </w:rPr>
        <w:t>not rely on regular mail or verbal notice</w:t>
      </w:r>
      <w:r>
        <w:rPr/>
        <w:t xml:space="preserve"> – they won’t satisfy the statute if contested.</w:t>
      </w:r>
    </w:p>
    <w:p>
      <w:pPr>
        <w:pStyle w:val="BodyText"/>
        <w:numPr>
          <w:ilvl w:val="0"/>
          <w:numId w:val="2"/>
        </w:numPr>
        <w:tabs>
          <w:tab w:val="clear" w:pos="709"/>
          <w:tab w:val="left" w:pos="709" w:leader="none"/>
        </w:tabs>
        <w:bidi w:val="0"/>
        <w:ind w:hanging="283" w:start="709"/>
        <w:jc w:val="start"/>
        <w:rPr/>
      </w:pPr>
      <w:r>
        <w:rPr>
          <w:rStyle w:val="Strong"/>
        </w:rPr>
        <w:t>Double-Check Your Content and Details:</w:t>
      </w:r>
      <w:r>
        <w:rPr/>
        <w:t xml:space="preserve"> Before sending out the NTO, review it carefully. Verify that: (1) </w:t>
      </w:r>
      <w:r>
        <w:rPr>
          <w:rStyle w:val="Strong"/>
        </w:rPr>
        <w:t>Property identification is accurate</w:t>
      </w:r>
      <w:r>
        <w:rPr/>
        <w:t xml:space="preserve"> – use the legal description or at least the street address as required by the form, and ensure it’s the correct project (many liens are lost due to notices referencing the wrong lot or project, especially when contractors handle many jobs); (2) </w:t>
      </w:r>
      <w:r>
        <w:rPr>
          <w:rStyle w:val="Strong"/>
        </w:rPr>
        <w:t>Owner’s name is correct</w:t>
      </w:r>
      <w:r>
        <w:rPr/>
        <w:t xml:space="preserve"> – exactly as on record (if the owner is “XYZ Investments, LLC,” don’t just write “XYZ Investments” or a trade name); (3) </w:t>
      </w:r>
      <w:r>
        <w:rPr>
          <w:rStyle w:val="Strong"/>
        </w:rPr>
        <w:t>Your information is correct</w:t>
      </w:r>
      <w:r>
        <w:rPr/>
        <w:t xml:space="preserve"> – name and address of the lienor, general description of services or materials, and the party who hired you (contractor or subcontractor) should all be filled in; and (4) </w:t>
      </w:r>
      <w:r>
        <w:rPr>
          <w:rStyle w:val="Strong"/>
        </w:rPr>
        <w:t>All the statutory warning text is present</w:t>
      </w:r>
      <w:r>
        <w:rPr/>
        <w:t xml:space="preserve"> – including the headline and the body text that begins “WARNING TO OWNER…” etc. Any omission or obvious error could give the owner an argument that your notice was deficient. While the statute allows “substantial” compliance, remember the courts’ interpretation is very strict on the warnings. Thus, an NTO that, say, mistakenly leaves out the contractor’s name or has a minor typo in the legal description </w:t>
      </w:r>
      <w:r>
        <w:rPr>
          <w:rStyle w:val="Emphasis"/>
        </w:rPr>
        <w:t>might</w:t>
      </w:r>
      <w:r>
        <w:rPr/>
        <w:t xml:space="preserve"> still be enforceable if no one was misled, but these are avoidable errors. It’s best not to rely on the mercy of a court. Essentially, treat the NTO with the same precision as you would a legal contract or a recorded lien – because it is just as critical to your rights.</w:t>
      </w:r>
    </w:p>
    <w:p>
      <w:pPr>
        <w:pStyle w:val="BodyText"/>
        <w:numPr>
          <w:ilvl w:val="0"/>
          <w:numId w:val="2"/>
        </w:numPr>
        <w:tabs>
          <w:tab w:val="clear" w:pos="709"/>
          <w:tab w:val="left" w:pos="709" w:leader="none"/>
        </w:tabs>
        <w:bidi w:val="0"/>
        <w:ind w:hanging="283" w:start="709"/>
        <w:jc w:val="start"/>
        <w:rPr/>
      </w:pPr>
      <w:r>
        <w:rPr>
          <w:rStyle w:val="Strong"/>
        </w:rPr>
        <w:t>Be Mindful of Final Payment Affidavits:</w:t>
      </w:r>
      <w:r>
        <w:rPr/>
        <w:t xml:space="preserve"> If you’re joining a project late or it’s nearing completion, be extremely prompt with your NTO. Under §713.06(2)(a), if the owner has received a contractor’s final payment affidavit and paid the contractor </w:t>
      </w:r>
      <w:r>
        <w:rPr>
          <w:rStyle w:val="Emphasis"/>
        </w:rPr>
        <w:t>before</w:t>
      </w:r>
      <w:r>
        <w:rPr/>
        <w:t xml:space="preserve"> you serve your notice, your lien rights are cut off. You usually won’t know exactly when the contractor submits that final affidavit, so </w:t>
      </w:r>
      <w:r>
        <w:rPr>
          <w:rStyle w:val="Strong"/>
        </w:rPr>
        <w:t>assume your real deadline is much earlier than 45 days if the job is finishing</w:t>
      </w:r>
      <w:r>
        <w:rPr/>
        <w:t xml:space="preserve">. An owner who follows the proper procedure (final affidavit + final payment) will have an ironclad defense against any NTO served afterward. The </w:t>
      </w:r>
      <w:r>
        <w:rPr>
          <w:rStyle w:val="Emphasis"/>
        </w:rPr>
        <w:t>Superfos</w:t>
      </w:r>
      <w:r>
        <w:rPr/>
        <w:t xml:space="preserve"> case demonstrated a lucky scenario for the sub when the owner skipped the affidavit</w:t>
      </w:r>
      <w:hyperlink r:id="rId105" w:anchor=":~:text=Owner%20had%20made%20final%20payment,general%20contractor%E2%80%99s%20final%20payment%20affidavit" w:tgtFrame="_blank">
        <w:r>
          <w:rPr>
            <w:rStyle w:val="Hyperlink"/>
          </w:rPr>
          <w:t>mkpalaw.com</w:t>
        </w:r>
      </w:hyperlink>
      <w:hyperlink r:id="rId106" w:anchor=":~:text=Unfortunately%2C%20the%20trial%20court%20bought,had%20an%20enforceable%20construction%20lien" w:tgtFrame="_blank">
        <w:r>
          <w:rPr>
            <w:rStyle w:val="Hyperlink"/>
          </w:rPr>
          <w:t>mkpalaw.com</w:t>
        </w:r>
      </w:hyperlink>
      <w:r>
        <w:rPr/>
        <w:t xml:space="preserve">, but you cannot count on owner error. Thus, if you start work near the end of a project, </w:t>
      </w:r>
      <w:r>
        <w:rPr>
          <w:rStyle w:val="Strong"/>
        </w:rPr>
        <w:t>serve your NTO immediately</w:t>
      </w:r>
      <w:r>
        <w:rPr/>
        <w:t xml:space="preserve"> – even </w:t>
      </w:r>
      <w:r>
        <w:rPr>
          <w:rStyle w:val="Emphasis"/>
        </w:rPr>
        <w:t>before</w:t>
      </w:r>
      <w:r>
        <w:rPr/>
        <w:t xml:space="preserve"> you actually begin work if possible (the statute allows service before commencing). This preserves your rights in case the project wraps up quickly. Likewise, if you find out the contractor has been terminated or is in trouble financially, treat that as a red flag to get your notice in right away – final payments and changes can happen fast in such situations.</w:t>
      </w:r>
    </w:p>
    <w:p>
      <w:pPr>
        <w:pStyle w:val="BodyText"/>
        <w:numPr>
          <w:ilvl w:val="0"/>
          <w:numId w:val="2"/>
        </w:numPr>
        <w:tabs>
          <w:tab w:val="clear" w:pos="709"/>
          <w:tab w:val="left" w:pos="709" w:leader="none"/>
        </w:tabs>
        <w:bidi w:val="0"/>
        <w:ind w:hanging="283" w:start="709"/>
        <w:jc w:val="start"/>
        <w:rPr/>
      </w:pPr>
      <w:r>
        <w:rPr>
          <w:rStyle w:val="Strong"/>
        </w:rPr>
        <w:t>Laborers and Prime Contractors:</w:t>
      </w:r>
      <w:r>
        <w:rPr/>
        <w:t xml:space="preserve"> If you’re a laborer (individual performing labor who is not an architect, engineer, or other professional), note that the law exempts you from the NTO requirement – your lien rights are not contingent on giving notice. Still, it may be a good practice for laborer crews to notify the owner informally of their presence to avoid issues, but legally it’s not required. If you’re a </w:t>
      </w:r>
      <w:r>
        <w:rPr>
          <w:rStyle w:val="Strong"/>
        </w:rPr>
        <w:t>general contractor in direct privity with the owner</w:t>
      </w:r>
      <w:r>
        <w:rPr/>
        <w:t xml:space="preserve">, you also do </w:t>
      </w:r>
      <w:r>
        <w:rPr>
          <w:rStyle w:val="Emphasis"/>
        </w:rPr>
        <w:t>not</w:t>
      </w:r>
      <w:r>
        <w:rPr/>
        <w:t xml:space="preserve"> give an NTO (the contract itself serves as notice). However, general contractors must be mindful of other requirements (like the contractor’s final payment affidavit) but that’s outside the NTO scope. For everyone else, assume you must send an NTO.</w:t>
      </w:r>
    </w:p>
    <w:p>
      <w:pPr>
        <w:pStyle w:val="BodyText"/>
        <w:numPr>
          <w:ilvl w:val="0"/>
          <w:numId w:val="2"/>
        </w:numPr>
        <w:tabs>
          <w:tab w:val="clear" w:pos="709"/>
          <w:tab w:val="left" w:pos="709" w:leader="none"/>
        </w:tabs>
        <w:bidi w:val="0"/>
        <w:ind w:hanging="283" w:start="709"/>
        <w:jc w:val="start"/>
        <w:rPr/>
      </w:pPr>
      <w:r>
        <w:rPr>
          <w:rStyle w:val="Strong"/>
        </w:rPr>
        <w:t>Document and Preserve Evidence:</w:t>
      </w:r>
      <w:r>
        <w:rPr/>
        <w:t xml:space="preserve"> Finally, treat the Notice to Owner process as a formal, significant step – because courts will. Keep meticulous evidence that you prepared and sent the notice correctly and on time. If a dispute arises, you want to be able to lay out proof of compliance (e.g., a copy of the NTO, the certified mail tracking showing delivered on Day X, etc.). Many lienors use professional notice services or software to manage this; that’s a worthwhile investment if you handle many projects. Courts have no sympathy for spurious “the notice got lost” arguments without proof – the burden is on you as the lien claimant to show you did it right</w:t>
      </w:r>
      <w:hyperlink r:id="rId107" w:anchor=":~:text=a%20complete%20defense%20to%20enforcement,failed%20to%20carry%20its%20burden" w:tgtFrame="_blank">
        <w:r>
          <w:rPr>
            <w:rStyle w:val="Hyperlink"/>
          </w:rPr>
          <w:t>caselaw.findlaw.com</w:t>
        </w:r>
      </w:hyperlink>
      <w:r>
        <w:rPr/>
        <w:t>.</w:t>
      </w:r>
    </w:p>
    <w:p>
      <w:pPr>
        <w:pStyle w:val="BodyText"/>
        <w:bidi w:val="0"/>
        <w:jc w:val="start"/>
        <w:rPr/>
      </w:pPr>
      <w:r>
        <w:rPr/>
        <w:t xml:space="preserve">By following these practices – </w:t>
      </w:r>
      <w:r>
        <w:rPr>
          <w:rStyle w:val="Strong"/>
        </w:rPr>
        <w:t>timely service, correct form, proper recipients, and thorough documentation</w:t>
      </w:r>
      <w:r>
        <w:rPr/>
        <w:t xml:space="preserve"> – subcontractors, suppliers, and other lien claimants can confidently preserve their lien rights. Florida’s courts have made it clear that those who </w:t>
      </w:r>
      <w:r>
        <w:rPr>
          <w:rStyle w:val="Strong"/>
        </w:rPr>
        <w:t>diligently comply with §713.06</w:t>
      </w:r>
      <w:r>
        <w:rPr/>
        <w:t xml:space="preserve"> will be protected, but those who slip up on notice will find their liens invalid. In summary, current law and case decisions send a simple message: </w:t>
      </w:r>
      <w:r>
        <w:rPr>
          <w:rStyle w:val="Strong"/>
        </w:rPr>
        <w:t>follow the lien statute to the letter</w:t>
      </w:r>
      <w:r>
        <w:rPr/>
        <w:t>. If you do so, you avoid the common pitfalls (late notices, faulty notices, or no notices) that have tripped up others, and you position yourself to successfully enforce your construction lien when needed</w:t>
      </w:r>
      <w:hyperlink r:id="rId108" w:anchor=":~:text=immaterial%20errors%20and%20omissions%20in,judgment%20in%20favor%20of%20Gulfside" w:tgtFrame="_blank">
        <w:r>
          <w:rPr>
            <w:rStyle w:val="Hyperlink"/>
          </w:rPr>
          <w:t>caselaw.findlaw.com</w:t>
        </w:r>
      </w:hyperlink>
      <w:hyperlink r:id="rId109" w:anchor=":~:text=you%20furnish%20labor%20or%20materials,when%20you%20send%20an%20invoice" w:tgtFrame="_blank">
        <w:r>
          <w:rPr>
            <w:rStyle w:val="Hyperlink"/>
          </w:rPr>
          <w:t>buildersnotice.com</w:t>
        </w:r>
      </w:hyperlink>
      <w:r>
        <w:rPr/>
        <w:t>. Remember that a mechanics’ lien can be a powerful tool – but only if you’ve preserved it through meticulous NTO compliance. As the Florida courts have shown time and again, an once of prevention (serving a proper NTO) is worth far more than a pound of cure in this area of law.</w:t>
      </w:r>
    </w:p>
    <w:p>
      <w:pPr>
        <w:pStyle w:val="BodyText"/>
        <w:bidi w:val="0"/>
        <w:jc w:val="start"/>
        <w:rPr/>
      </w:pPr>
      <w:r>
        <w:rPr>
          <w:rStyle w:val="Strong"/>
        </w:rPr>
        <w:t>Sources:</w:t>
      </w:r>
      <w:r>
        <w:rPr/>
        <w:t xml:space="preserve"> Florida Statutes §713.06 (2023); </w:t>
      </w:r>
      <w:r>
        <w:rPr>
          <w:rStyle w:val="Emphasis"/>
        </w:rPr>
        <w:t>Aetna Cas. &amp; Sur. Co. v. Buck</w:t>
      </w:r>
      <w:r>
        <w:rPr/>
        <w:t>, 594 So.2d 280 (Fla. 1992)</w:t>
      </w:r>
      <w:hyperlink r:id="rId110" w:anchor=":~:text=Although%20we%20agree%20with%20the,work%20or%20when%20the%20owner" w:tgtFrame="_blank">
        <w:r>
          <w:rPr>
            <w:rStyle w:val="Hyperlink"/>
          </w:rPr>
          <w:t>law.justia.com</w:t>
        </w:r>
      </w:hyperlink>
      <w:hyperlink r:id="rId111" w:anchor=":~:text=713,double%20payment%2C%20such%20notice%20will" w:tgtFrame="_blank">
        <w:r>
          <w:rPr>
            <w:rStyle w:val="Hyperlink"/>
          </w:rPr>
          <w:t>law.justia.com</w:t>
        </w:r>
      </w:hyperlink>
      <w:r>
        <w:rPr/>
        <w:t xml:space="preserve">; </w:t>
      </w:r>
      <w:r>
        <w:rPr>
          <w:rStyle w:val="Emphasis"/>
        </w:rPr>
        <w:t>Superfos Constr. v. Hajoca Corp.</w:t>
      </w:r>
      <w:r>
        <w:rPr/>
        <w:t>, 712 So.2d 1228 (Fla. 2d DCA 1998)</w:t>
      </w:r>
      <w:hyperlink r:id="rId112" w:anchor=":~:text=Unfortunately%2C%20the%20trial%20court%20bought,had%20an%20enforceable%20construction%20lien" w:tgtFrame="_blank">
        <w:r>
          <w:rPr>
            <w:rStyle w:val="Hyperlink"/>
          </w:rPr>
          <w:t>mkpalaw.com</w:t>
        </w:r>
      </w:hyperlink>
      <w:r>
        <w:rPr/>
        <w:t xml:space="preserve">; </w:t>
      </w:r>
      <w:r>
        <w:rPr>
          <w:rStyle w:val="Emphasis"/>
        </w:rPr>
        <w:t>Mirror &amp; Shower Door Prods., Inc. v. Seabridge, Inc.</w:t>
      </w:r>
      <w:r>
        <w:rPr/>
        <w:t>, 621 So.2d 486 (Fla. 4th DCA 1993)</w:t>
      </w:r>
      <w:hyperlink r:id="rId113" w:anchor=":~:text=argument%20that%20its%20facsimile%20transmission,was%20fatal%20to%20establishing%20its" w:tgtFrame="_blank">
        <w:r>
          <w:rPr>
            <w:rStyle w:val="Hyperlink"/>
          </w:rPr>
          <w:t>caselaw.findlaw.com</w:t>
        </w:r>
      </w:hyperlink>
      <w:r>
        <w:rPr/>
        <w:t xml:space="preserve">; </w:t>
      </w:r>
      <w:r>
        <w:rPr>
          <w:rStyle w:val="Emphasis"/>
        </w:rPr>
        <w:t>Allstar Bldg. Materials, Ltd. v. Kronauer</w:t>
      </w:r>
      <w:r>
        <w:rPr/>
        <w:t>, 724 So.2d 616 (Fla. 5th DCA 1998)</w:t>
      </w:r>
      <w:hyperlink r:id="rId114" w:anchor=":~:text=this%20case%2C%20the%20court%20refused,%E2%80%9D7" w:tgtFrame="_blank">
        <w:r>
          <w:rPr>
            <w:rStyle w:val="Hyperlink"/>
          </w:rPr>
          <w:t>floridabar.org</w:t>
        </w:r>
      </w:hyperlink>
      <w:r>
        <w:rPr/>
        <w:t xml:space="preserve">; </w:t>
      </w:r>
      <w:r>
        <w:rPr>
          <w:rStyle w:val="Emphasis"/>
        </w:rPr>
        <w:t>Gulfside Properties Corp. v. Chapman Corp.</w:t>
      </w:r>
      <w:r>
        <w:rPr/>
        <w:t>, 756 So.2d 250 (Fla. 1st DCA 2000)</w:t>
      </w:r>
      <w:hyperlink r:id="rId115" w:anchor=":~:text=indicates%20the%20legislature%27s%20intent%20that,reasons%2C%20we%20hold%20that%20the" w:tgtFrame="_blank">
        <w:r>
          <w:rPr>
            <w:rStyle w:val="Hyperlink"/>
          </w:rPr>
          <w:t>caselaw.findlaw.com</w:t>
        </w:r>
      </w:hyperlink>
      <w:hyperlink r:id="rId116" w:anchor=":~:text=immaterial%20errors%20and%20omissions%20in,judgment%20in%20favor%20of%20Gulfside" w:tgtFrame="_blank">
        <w:r>
          <w:rPr>
            <w:rStyle w:val="Hyperlink"/>
          </w:rPr>
          <w:t>caselaw.findlaw.com</w:t>
        </w:r>
      </w:hyperlink>
      <w:r>
        <w:rPr/>
        <w:t xml:space="preserve">; </w:t>
      </w:r>
      <w:r>
        <w:rPr>
          <w:rStyle w:val="Emphasis"/>
        </w:rPr>
        <w:t>Howard J. Hollander, “Subcontractors/Suppliers Beware: Form Over Substance,” Fla. Bar Journal</w:t>
      </w:r>
      <w:r>
        <w:rPr/>
        <w:t xml:space="preserve"> (Jan. 2000)</w:t>
      </w:r>
      <w:hyperlink r:id="rId117" w:anchor=":~:text=Mirror%20and%20Shower%20Door%20Products%2C,holding%20that" w:tgtFrame="_blank">
        <w:r>
          <w:rPr>
            <w:rStyle w:val="Hyperlink"/>
          </w:rPr>
          <w:t>floridabar.org</w:t>
        </w:r>
      </w:hyperlink>
      <w:hyperlink r:id="rId118" w:anchor=":~:text=Even%20more%20interesting%20is%20the,warnings%20required%20in%20order%20to" w:tgtFrame="_blank">
        <w:r>
          <w:rPr>
            <w:rStyle w:val="Hyperlink"/>
          </w:rPr>
          <w:t>floridabar.org</w:t>
        </w:r>
      </w:hyperlink>
      <w:r>
        <w:rPr/>
        <w:t xml:space="preserve">; </w:t>
      </w:r>
      <w:r>
        <w:rPr>
          <w:rStyle w:val="Emphasis"/>
        </w:rPr>
        <w:t>Robert S. Tanner &amp; Larry R. Leiby, “Notice to Owner Issues,”</w:t>
      </w:r>
      <w:r>
        <w:rPr/>
        <w:t xml:space="preserve"> Malka &amp; Kravitz, P.A. article (2019)</w:t>
      </w:r>
      <w:hyperlink r:id="rId119" w:anchor=":~:text=Unfortunately%2C%20the%20trial%20court%20bought,had%20an%20enforceable%20construction%20lien" w:tgtFrame="_blank">
        <w:r>
          <w:rPr>
            <w:rStyle w:val="Hyperlink"/>
          </w:rPr>
          <w:t>mkpalaw.com</w:t>
        </w:r>
      </w:hyperlink>
      <w:hyperlink r:id="rId120" w:anchor=":~:text=subcontractors%20and%20suppliers%20rarely%20know,NTO%20as%20soon%20as%20possible" w:tgtFrame="_blank">
        <w:r>
          <w:rPr>
            <w:rStyle w:val="Hyperlink"/>
          </w:rPr>
          <w:t>mkpalaw.com</w:t>
        </w:r>
      </w:hyperlink>
      <w:r>
        <w:rPr/>
        <w:t xml:space="preserve">; </w:t>
      </w:r>
      <w:r>
        <w:rPr>
          <w:rStyle w:val="Emphasis"/>
        </w:rPr>
        <w:t>Jason Lambert, “NTO Too Late: How to Lose a Lien in 45 Days,”</w:t>
      </w:r>
      <w:r>
        <w:rPr/>
        <w:t xml:space="preserve"> Levelset (2020)</w:t>
      </w:r>
      <w:hyperlink r:id="rId121" w:anchor=":~:text=Don%27t%20be%20fooled%20into%20thinking,when%20you%20send%20an%20invoice" w:tgtFrame="_blank">
        <w:r>
          <w:rPr>
            <w:rStyle w:val="Hyperlink"/>
          </w:rPr>
          <w:t>buildersnotice.com</w:t>
        </w:r>
      </w:hyperlink>
      <w:hyperlink r:id="rId122" w:anchor=":~:text=recipients" w:tgtFrame="_blank">
        <w:r>
          <w:rPr>
            <w:rStyle w:val="Hyperlink"/>
          </w:rPr>
          <w:t>buildersnotice.com</w:t>
        </w:r>
      </w:hyperlink>
      <w:r>
        <w:rPr/>
        <w:t xml:space="preserve">; </w:t>
      </w:r>
      <w:r>
        <w:rPr>
          <w:rStyle w:val="Emphasis"/>
        </w:rPr>
        <w:t>“Top Mistakes to Avoid When Filing a Notice to Owner,”</w:t>
      </w:r>
      <w:r>
        <w:rPr/>
        <w:t xml:space="preserve"> Builders Notice Corp. (July 9, 2024)</w:t>
      </w:r>
      <w:hyperlink r:id="rId123" w:anchor=":~:text=you%20furnish%20labor%20or%20materials,when%20you%20send%20an%20invoice" w:tgtFrame="_blank">
        <w:r>
          <w:rPr>
            <w:rStyle w:val="Hyperlink"/>
          </w:rPr>
          <w:t>buildersnotice.com</w:t>
        </w:r>
      </w:hyperlink>
      <w:hyperlink r:id="rId124" w:anchor=":~:text=Incorrectly%20Serving%20the%20Notice%20to,Owner" w:tgtFrame="_blank">
        <w:r>
          <w:rPr>
            <w:rStyle w:val="Hyperlink"/>
          </w:rPr>
          <w:t>buildersnotice.com</w:t>
        </w:r>
      </w:hyperlink>
      <w:r>
        <w:rPr/>
        <w:t>.</w:t>
      </w:r>
    </w:p>
    <w:p>
      <w:pPr>
        <w:pStyle w:val="BodyText"/>
        <w:bidi w:val="0"/>
        <w:spacing w:before="0" w:after="0"/>
        <w:jc w:val="start"/>
        <w:rPr/>
      </w:pPr>
      <w:r>
        <w:rPr/>
        <w:drawing>
          <wp:inline distT="0" distB="0" distL="0" distR="0">
            <wp:extent cx="304800" cy="3048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25"/>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drawing>
          <wp:inline distT="0" distB="0" distL="0" distR="0">
            <wp:extent cx="304800" cy="30480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26"/>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drawing>
          <wp:inline distT="0" distB="0" distL="0" distR="0">
            <wp:extent cx="304800" cy="30480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127"/>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drawing>
          <wp:inline distT="0" distB="0" distL="0" distR="0">
            <wp:extent cx="304800" cy="304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28"/>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drawing>
          <wp:inline distT="0" distB="0" distL="0" distR="0">
            <wp:extent cx="304800" cy="30480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129"/>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t>Sources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Unicode MS"/>
      <w:b/>
      <w:bCs/>
      <w:sz w:val="36"/>
      <w:szCs w:val="36"/>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aw.justia.com/cases/florida/supreme-court/1992/76925-0.html" TargetMode="External"/><Relationship Id="rId3" Type="http://schemas.openxmlformats.org/officeDocument/2006/relationships/hyperlink" Target="https://law.justia.com/cases/florida/supreme-court/1992/76925-0.html" TargetMode="External"/><Relationship Id="rId4" Type="http://schemas.openxmlformats.org/officeDocument/2006/relationships/hyperlink" Target="https://law.justia.com/cases/florida/supreme-court/1992/76925-0.html" TargetMode="External"/><Relationship Id="rId5" Type="http://schemas.openxmlformats.org/officeDocument/2006/relationships/hyperlink" Target="https://law.justia.com/cases/florida/supreme-court/1991/76234-0.html" TargetMode="External"/><Relationship Id="rId6" Type="http://schemas.openxmlformats.org/officeDocument/2006/relationships/hyperlink" Target="https://caselaw.findlaw.com/court/fl-district-court-of-appeal/1165504.html" TargetMode="External"/><Relationship Id="rId7" Type="http://schemas.openxmlformats.org/officeDocument/2006/relationships/hyperlink" Target="https://caselaw.findlaw.com/court/fl-district-court-of-appeal/1165504.html" TargetMode="External"/><Relationship Id="rId8" Type="http://schemas.openxmlformats.org/officeDocument/2006/relationships/hyperlink" Target="https://www.buildersnotice.com/blog-post/top-mistakes-to-avoid-when-filing-a-notice-to-owner" TargetMode="External"/><Relationship Id="rId9" Type="http://schemas.openxmlformats.org/officeDocument/2006/relationships/hyperlink" Target="https://law.justia.com/cases/florida/supreme-court/1992/76925-0.html" TargetMode="External"/><Relationship Id="rId10" Type="http://schemas.openxmlformats.org/officeDocument/2006/relationships/hyperlink" Target="https://law.justia.com/cases/florida/supreme-court/1992/76925-0.html" TargetMode="External"/><Relationship Id="rId11" Type="http://schemas.openxmlformats.org/officeDocument/2006/relationships/hyperlink" Target="https://law.justia.com/cases/florida/supreme-court/1992/76925-0.html" TargetMode="External"/><Relationship Id="rId12" Type="http://schemas.openxmlformats.org/officeDocument/2006/relationships/hyperlink" Target="https://law.justia.com/cases/florida/supreme-court/1992/76925-0.html" TargetMode="External"/><Relationship Id="rId13" Type="http://schemas.openxmlformats.org/officeDocument/2006/relationships/hyperlink" Target="https://law.justia.com/cases/florida/supreme-court/1992/76925-0.html" TargetMode="External"/><Relationship Id="rId14" Type="http://schemas.openxmlformats.org/officeDocument/2006/relationships/hyperlink" Target="https://law.justia.com/cases/florida/supreme-court/1992/76925-0.html" TargetMode="External"/><Relationship Id="rId15" Type="http://schemas.openxmlformats.org/officeDocument/2006/relationships/hyperlink" Target="https://law.justia.com/cases/florida/supreme-court/1992/76925-0.html" TargetMode="External"/><Relationship Id="rId16" Type="http://schemas.openxmlformats.org/officeDocument/2006/relationships/hyperlink" Target="https://law.justia.com/cases/florida/supreme-court/1992/76925-0.html" TargetMode="External"/><Relationship Id="rId17" Type="http://schemas.openxmlformats.org/officeDocument/2006/relationships/hyperlink" Target="https://law.justia.com/cases/florida/supreme-court/1992/76925-0.html" TargetMode="External"/><Relationship Id="rId18" Type="http://schemas.openxmlformats.org/officeDocument/2006/relationships/hyperlink" Target="https://law.justia.com/cases/florida/supreme-court/1992/76925-0.html" TargetMode="External"/><Relationship Id="rId19" Type="http://schemas.openxmlformats.org/officeDocument/2006/relationships/hyperlink" Target="https://www.mkpalaw.com/articles-forms/articles/notice-to-owner-issues/" TargetMode="External"/><Relationship Id="rId20" Type="http://schemas.openxmlformats.org/officeDocument/2006/relationships/hyperlink" Target="https://www.mkpalaw.com/articles-forms/articles/notice-to-owner-issues/" TargetMode="External"/><Relationship Id="rId21" Type="http://schemas.openxmlformats.org/officeDocument/2006/relationships/hyperlink" Target="https://www.mkpalaw.com/articles-forms/articles/notice-to-owner-issues/" TargetMode="External"/><Relationship Id="rId22" Type="http://schemas.openxmlformats.org/officeDocument/2006/relationships/hyperlink" Target="https://www.mkpalaw.com/articles-forms/articles/notice-to-owner-issues/" TargetMode="External"/><Relationship Id="rId23" Type="http://schemas.openxmlformats.org/officeDocument/2006/relationships/hyperlink" Target="https://www.mkpalaw.com/articles-forms/articles/notice-to-owner-issues/" TargetMode="External"/><Relationship Id="rId24" Type="http://schemas.openxmlformats.org/officeDocument/2006/relationships/hyperlink" Target="https://www.mkpalaw.com/articles-forms/articles/notice-to-owner-issues/" TargetMode="External"/><Relationship Id="rId25" Type="http://schemas.openxmlformats.org/officeDocument/2006/relationships/hyperlink" Target="https://www.mkpalaw.com/articles-forms/articles/notice-to-owner-issues/" TargetMode="External"/><Relationship Id="rId26" Type="http://schemas.openxmlformats.org/officeDocument/2006/relationships/hyperlink" Target="https://www.mkpalaw.com/articles-forms/articles/notice-to-owner-issues/" TargetMode="External"/><Relationship Id="rId27" Type="http://schemas.openxmlformats.org/officeDocument/2006/relationships/hyperlink" Target="https://www.mkpalaw.com/articles-forms/articles/notice-to-owner-issues/" TargetMode="External"/><Relationship Id="rId28" Type="http://schemas.openxmlformats.org/officeDocument/2006/relationships/hyperlink" Target="https://www.mkpalaw.com/articles-forms/articles/notice-to-owner-issues/" TargetMode="External"/><Relationship Id="rId29" Type="http://schemas.openxmlformats.org/officeDocument/2006/relationships/hyperlink" Target="https://www.mkpalaw.com/articles-forms/articles/notice-to-owner-issues/" TargetMode="External"/><Relationship Id="rId30" Type="http://schemas.openxmlformats.org/officeDocument/2006/relationships/hyperlink" Target="https://www.mkpalaw.com/articles-forms/articles/notice-to-owner-issues/" TargetMode="External"/><Relationship Id="rId31" Type="http://schemas.openxmlformats.org/officeDocument/2006/relationships/hyperlink" Target="https://www.mkpalaw.com/articles-forms/articles/notice-to-owner-issues/" TargetMode="External"/><Relationship Id="rId32" Type="http://schemas.openxmlformats.org/officeDocument/2006/relationships/hyperlink" Target="https://www.floridabar.org/the-florida-bar-journal/subcontractors-suppliers-beware-form-over-substance/" TargetMode="External"/><Relationship Id="rId33" Type="http://schemas.openxmlformats.org/officeDocument/2006/relationships/hyperlink" Target="https://www.floridabar.org/the-florida-bar-journal/subcontractors-suppliers-beware-form-over-substance/" TargetMode="External"/><Relationship Id="rId34" Type="http://schemas.openxmlformats.org/officeDocument/2006/relationships/hyperlink" Target="https://www.floridabar.org/the-florida-bar-journal/subcontractors-suppliers-beware-form-over-substance/" TargetMode="External"/><Relationship Id="rId35" Type="http://schemas.openxmlformats.org/officeDocument/2006/relationships/hyperlink" Target="https://caselaw.findlaw.com/court/fl-district-court-of-appeal/1165504.html" TargetMode="External"/><Relationship Id="rId36" Type="http://schemas.openxmlformats.org/officeDocument/2006/relationships/hyperlink" Target="https://caselaw.findlaw.com/court/fl-district-court-of-appeal/1165504.html" TargetMode="External"/><Relationship Id="rId37" Type="http://schemas.openxmlformats.org/officeDocument/2006/relationships/hyperlink" Target="https://caselaw.findlaw.com/court/fl-district-court-of-appeal/1165504.html" TargetMode="External"/><Relationship Id="rId38" Type="http://schemas.openxmlformats.org/officeDocument/2006/relationships/hyperlink" Target="https://caselaw.findlaw.com/court/fl-district-court-of-appeal/1165504.html" TargetMode="External"/><Relationship Id="rId39" Type="http://schemas.openxmlformats.org/officeDocument/2006/relationships/hyperlink" Target="https://caselaw.findlaw.com/court/fl-district-court-of-appeal/1165504.html" TargetMode="External"/><Relationship Id="rId40" Type="http://schemas.openxmlformats.org/officeDocument/2006/relationships/hyperlink" Target="https://caselaw.findlaw.com/court/fl-district-court-of-appeal/1165504.html" TargetMode="External"/><Relationship Id="rId41" Type="http://schemas.openxmlformats.org/officeDocument/2006/relationships/hyperlink" Target="https://www.floridabar.org/the-florida-bar-journal/subcontractors-suppliers-beware-form-over-substance/" TargetMode="External"/><Relationship Id="rId42" Type="http://schemas.openxmlformats.org/officeDocument/2006/relationships/hyperlink" Target="https://www.floridabar.org/the-florida-bar-journal/subcontractors-suppliers-beware-form-over-substance/" TargetMode="External"/><Relationship Id="rId43" Type="http://schemas.openxmlformats.org/officeDocument/2006/relationships/hyperlink" Target="https://www.floridabar.org/the-florida-bar-journal/subcontractors-suppliers-beware-form-over-substance/" TargetMode="External"/><Relationship Id="rId44" Type="http://schemas.openxmlformats.org/officeDocument/2006/relationships/hyperlink" Target="https://www.floridabar.org/the-florida-bar-journal/subcontractors-suppliers-beware-form-over-substance/" TargetMode="External"/><Relationship Id="rId45" Type="http://schemas.openxmlformats.org/officeDocument/2006/relationships/hyperlink" Target="https://www.floridabar.org/the-florida-bar-journal/subcontractors-suppliers-beware-form-over-substance/" TargetMode="External"/><Relationship Id="rId46" Type="http://schemas.openxmlformats.org/officeDocument/2006/relationships/hyperlink" Target="https://www.floridabar.org/the-florida-bar-journal/subcontractors-suppliers-beware-form-over-substance/" TargetMode="External"/><Relationship Id="rId47" Type="http://schemas.openxmlformats.org/officeDocument/2006/relationships/hyperlink" Target="https://www.floridabar.org/the-florida-bar-journal/subcontractors-suppliers-beware-form-over-substance/" TargetMode="External"/><Relationship Id="rId48" Type="http://schemas.openxmlformats.org/officeDocument/2006/relationships/hyperlink" Target="https://www.floridabar.org/the-florida-bar-journal/subcontractors-suppliers-beware-form-over-substance/" TargetMode="External"/><Relationship Id="rId49" Type="http://schemas.openxmlformats.org/officeDocument/2006/relationships/hyperlink" Target="https://www.floridabar.org/the-florida-bar-journal/subcontractors-suppliers-beware-form-over-substance/" TargetMode="External"/><Relationship Id="rId50" Type="http://schemas.openxmlformats.org/officeDocument/2006/relationships/hyperlink" Target="https://www.leagle.com/decision/19981340724so2d61611238" TargetMode="External"/><Relationship Id="rId51" Type="http://schemas.openxmlformats.org/officeDocument/2006/relationships/hyperlink" Target="https://caselaw.findlaw.com/court/fl-district-court-of-appeal/1165504.html" TargetMode="External"/><Relationship Id="rId52" Type="http://schemas.openxmlformats.org/officeDocument/2006/relationships/hyperlink" Target="https://caselaw.findlaw.com/court/fl-district-court-of-appeal/1165504.html" TargetMode="External"/><Relationship Id="rId53" Type="http://schemas.openxmlformats.org/officeDocument/2006/relationships/hyperlink" Target="https://caselaw.findlaw.com/court/fl-district-court-of-appeal/1165504.html" TargetMode="External"/><Relationship Id="rId54" Type="http://schemas.openxmlformats.org/officeDocument/2006/relationships/hyperlink" Target="https://caselaw.findlaw.com/court/fl-district-court-of-appeal/1165504.html" TargetMode="External"/><Relationship Id="rId55" Type="http://schemas.openxmlformats.org/officeDocument/2006/relationships/hyperlink" Target="https://caselaw.findlaw.com/court/fl-district-court-of-appeal/1165504.html" TargetMode="External"/><Relationship Id="rId56" Type="http://schemas.openxmlformats.org/officeDocument/2006/relationships/hyperlink" Target="https://caselaw.findlaw.com/court/fl-district-court-of-appeal/1165504.html" TargetMode="External"/><Relationship Id="rId57" Type="http://schemas.openxmlformats.org/officeDocument/2006/relationships/hyperlink" Target="https://caselaw.findlaw.com/court/fl-district-court-of-appeal/1165504.html" TargetMode="External"/><Relationship Id="rId58" Type="http://schemas.openxmlformats.org/officeDocument/2006/relationships/hyperlink" Target="https://caselaw.findlaw.com/court/fl-district-court-of-appeal/1165504.html" TargetMode="External"/><Relationship Id="rId59" Type="http://schemas.openxmlformats.org/officeDocument/2006/relationships/hyperlink" Target="https://caselaw.findlaw.com/court/fl-district-court-of-appeal/1165504.html" TargetMode="External"/><Relationship Id="rId60" Type="http://schemas.openxmlformats.org/officeDocument/2006/relationships/hyperlink" Target="https://caselaw.findlaw.com/court/fl-district-court-of-appeal/1165504.html" TargetMode="External"/><Relationship Id="rId61" Type="http://schemas.openxmlformats.org/officeDocument/2006/relationships/hyperlink" Target="https://caselaw.findlaw.com/court/fl-district-court-of-appeal/1165504.html" TargetMode="External"/><Relationship Id="rId62" Type="http://schemas.openxmlformats.org/officeDocument/2006/relationships/hyperlink" Target="https://caselaw.findlaw.com/court/fl-district-court-of-appeal/1165504.html" TargetMode="External"/><Relationship Id="rId63" Type="http://schemas.openxmlformats.org/officeDocument/2006/relationships/hyperlink" Target="https://caselaw.findlaw.com/court/fl-district-court-of-appeal/1165504.html" TargetMode="External"/><Relationship Id="rId64" Type="http://schemas.openxmlformats.org/officeDocument/2006/relationships/hyperlink" Target="https://caselaw.findlaw.com/court/fl-district-court-of-appeal/1165504.html" TargetMode="External"/><Relationship Id="rId65" Type="http://schemas.openxmlformats.org/officeDocument/2006/relationships/hyperlink" Target="https://caselaw.findlaw.com/court/fl-district-court-of-appeal/1165504.html" TargetMode="External"/><Relationship Id="rId66" Type="http://schemas.openxmlformats.org/officeDocument/2006/relationships/hyperlink" Target="https://caselaw.findlaw.com/court/fl-district-court-of-appeal/1165504.html" TargetMode="External"/><Relationship Id="rId67" Type="http://schemas.openxmlformats.org/officeDocument/2006/relationships/hyperlink" Target="https://caselaw.findlaw.com/court/fl-district-court-of-appeal/1165504.html" TargetMode="External"/><Relationship Id="rId68" Type="http://schemas.openxmlformats.org/officeDocument/2006/relationships/hyperlink" Target="https://caselaw.findlaw.com/court/fl-district-court-of-appeal/1165504.html" TargetMode="External"/><Relationship Id="rId69" Type="http://schemas.openxmlformats.org/officeDocument/2006/relationships/hyperlink" Target="https://caselaw.findlaw.com/court/fl-district-court-of-appeal/1165504.html" TargetMode="External"/><Relationship Id="rId70" Type="http://schemas.openxmlformats.org/officeDocument/2006/relationships/hyperlink" Target="https://caselaw.findlaw.com/court/fl-district-court-of-appeal/1165504.html" TargetMode="External"/><Relationship Id="rId71" Type="http://schemas.openxmlformats.org/officeDocument/2006/relationships/hyperlink" Target="https://caselaw.findlaw.com/court/fl-district-court-of-appeal/1165504.html" TargetMode="External"/><Relationship Id="rId72" Type="http://schemas.openxmlformats.org/officeDocument/2006/relationships/hyperlink" Target="https://www.buildersnotice.com/blog-post/top-mistakes-to-avoid-when-filing-a-notice-to-owner" TargetMode="External"/><Relationship Id="rId73" Type="http://schemas.openxmlformats.org/officeDocument/2006/relationships/hyperlink" Target="https://www.buildersnotice.com/blog-post/top-mistakes-to-avoid-when-filing-a-notice-to-owner" TargetMode="External"/><Relationship Id="rId74" Type="http://schemas.openxmlformats.org/officeDocument/2006/relationships/hyperlink" Target="https://www.floridabar.org/the-florida-bar-journal/subcontractors-suppliers-beware-form-over-substance/" TargetMode="External"/><Relationship Id="rId75" Type="http://schemas.openxmlformats.org/officeDocument/2006/relationships/hyperlink" Target="https://www.buildersnotice.com/blog-post/top-mistakes-to-avoid-when-filing-a-notice-to-owner" TargetMode="External"/><Relationship Id="rId76" Type="http://schemas.openxmlformats.org/officeDocument/2006/relationships/hyperlink" Target="https://caselaw.findlaw.com/court/fl-district-court-of-appeal/1165504.html" TargetMode="External"/><Relationship Id="rId77" Type="http://schemas.openxmlformats.org/officeDocument/2006/relationships/hyperlink" Target="https://caselaw.findlaw.com/court/fl-district-court-of-appeal/1165504.html" TargetMode="External"/><Relationship Id="rId78" Type="http://schemas.openxmlformats.org/officeDocument/2006/relationships/hyperlink" Target="https://www.buildersnotice.com/blog-post/top-mistakes-to-avoid-when-filing-a-notice-to-owner" TargetMode="External"/><Relationship Id="rId79" Type="http://schemas.openxmlformats.org/officeDocument/2006/relationships/hyperlink" Target="https://www.buildersnotice.com/blog-post/top-mistakes-to-avoid-when-filing-a-notice-to-owner" TargetMode="External"/><Relationship Id="rId80" Type="http://schemas.openxmlformats.org/officeDocument/2006/relationships/hyperlink" Target="https://caselaw.findlaw.com/court/fl-district-court-of-appeal/1165504.html" TargetMode="External"/><Relationship Id="rId81" Type="http://schemas.openxmlformats.org/officeDocument/2006/relationships/hyperlink" Target="https://www.floridabar.org/the-florida-bar-journal/subcontractors-suppliers-beware-form-over-substance/" TargetMode="External"/><Relationship Id="rId82" Type="http://schemas.openxmlformats.org/officeDocument/2006/relationships/hyperlink" Target="https://www.floridabar.org/the-florida-bar-journal/subcontractors-suppliers-beware-form-over-substance/" TargetMode="External"/><Relationship Id="rId83" Type="http://schemas.openxmlformats.org/officeDocument/2006/relationships/hyperlink" Target="https://www.floridabar.org/the-florida-bar-journal/subcontractors-suppliers-beware-form-over-substance/" TargetMode="External"/><Relationship Id="rId84" Type="http://schemas.openxmlformats.org/officeDocument/2006/relationships/hyperlink" Target="https://www.floridabar.org/the-florida-bar-journal/subcontractors-suppliers-beware-form-over-substance/" TargetMode="External"/><Relationship Id="rId85" Type="http://schemas.openxmlformats.org/officeDocument/2006/relationships/hyperlink" Target="https://caselaw.findlaw.com/court/fl-district-court-of-appeal/1165504.html" TargetMode="External"/><Relationship Id="rId86" Type="http://schemas.openxmlformats.org/officeDocument/2006/relationships/hyperlink" Target="https://law.justia.com/cases/florida/supreme-court/1992/76925-0.html" TargetMode="External"/><Relationship Id="rId87" Type="http://schemas.openxmlformats.org/officeDocument/2006/relationships/hyperlink" Target="https://law.justia.com/cases/florida/supreme-court/1992/76925-0.html" TargetMode="External"/><Relationship Id="rId88" Type="http://schemas.openxmlformats.org/officeDocument/2006/relationships/hyperlink" Target="https://caselaw.findlaw.com/court/fl-district-court-of-appeal/1165504.html" TargetMode="External"/><Relationship Id="rId89" Type="http://schemas.openxmlformats.org/officeDocument/2006/relationships/hyperlink" Target="https://law.justia.com/cases/florida/supreme-court/1992/76925-0.html" TargetMode="External"/><Relationship Id="rId90" Type="http://schemas.openxmlformats.org/officeDocument/2006/relationships/hyperlink" Target="https://www.floridabar.org/the-florida-bar-journal/subcontractors-suppliers-beware-form-over-substance/" TargetMode="External"/><Relationship Id="rId91" Type="http://schemas.openxmlformats.org/officeDocument/2006/relationships/hyperlink" Target="https://www.floridabar.org/the-florida-bar-journal/subcontractors-suppliers-beware-form-over-substance/" TargetMode="External"/><Relationship Id="rId92" Type="http://schemas.openxmlformats.org/officeDocument/2006/relationships/hyperlink" Target="https://www.floridabar.org/the-florida-bar-journal/subcontractors-suppliers-beware-form-over-substance/" TargetMode="External"/><Relationship Id="rId93" Type="http://schemas.openxmlformats.org/officeDocument/2006/relationships/hyperlink" Target="https://www.floridabar.org/the-florida-bar-journal/subcontractors-suppliers-beware-form-over-substance/" TargetMode="External"/><Relationship Id="rId94" Type="http://schemas.openxmlformats.org/officeDocument/2006/relationships/hyperlink" Target="https://www.floridabar.org/the-florida-bar-journal/subcontractors-suppliers-beware-form-over-substance/" TargetMode="External"/><Relationship Id="rId95" Type="http://schemas.openxmlformats.org/officeDocument/2006/relationships/hyperlink" Target="https://law.justia.com/cases/florida/supreme-court/1992/76925-0.html" TargetMode="External"/><Relationship Id="rId96" Type="http://schemas.openxmlformats.org/officeDocument/2006/relationships/hyperlink" Target="https://caselaw.findlaw.com/court/fl-district-court-of-appeal/1165504.html" TargetMode="External"/><Relationship Id="rId97" Type="http://schemas.openxmlformats.org/officeDocument/2006/relationships/hyperlink" Target="https://www.mkpalaw.com/articles-forms/articles/notice-to-owner-issues/" TargetMode="External"/><Relationship Id="rId98" Type="http://schemas.openxmlformats.org/officeDocument/2006/relationships/hyperlink" Target="https://www.buildersnotice.com/blog-post/top-mistakes-to-avoid-when-filing-a-notice-to-owner" TargetMode="External"/><Relationship Id="rId99" Type="http://schemas.openxmlformats.org/officeDocument/2006/relationships/hyperlink" Target="https://www.buildersnotice.com/blog-post/top-mistakes-to-avoid-when-filing-a-notice-to-owner" TargetMode="External"/><Relationship Id="rId100" Type="http://schemas.openxmlformats.org/officeDocument/2006/relationships/hyperlink" Target="https://www.floridabar.org/the-florida-bar-journal/subcontractors-suppliers-beware-form-over-substance/" TargetMode="External"/><Relationship Id="rId101" Type="http://schemas.openxmlformats.org/officeDocument/2006/relationships/hyperlink" Target="https://www.floridabar.org/the-florida-bar-journal/subcontractors-suppliers-beware-form-over-substance/" TargetMode="External"/><Relationship Id="rId102" Type="http://schemas.openxmlformats.org/officeDocument/2006/relationships/hyperlink" Target="https://www.buildersnotice.com/blog-post/top-mistakes-to-avoid-when-filing-a-notice-to-owner" TargetMode="External"/><Relationship Id="rId103" Type="http://schemas.openxmlformats.org/officeDocument/2006/relationships/hyperlink" Target="https://www.buildersnotice.com/blog-post/top-mistakes-to-avoid-when-filing-a-notice-to-owner" TargetMode="External"/><Relationship Id="rId104" Type="http://schemas.openxmlformats.org/officeDocument/2006/relationships/hyperlink" Target="https://www.buildersnotice.com/blog-post/top-mistakes-to-avoid-when-filing-a-notice-to-owner" TargetMode="External"/><Relationship Id="rId105" Type="http://schemas.openxmlformats.org/officeDocument/2006/relationships/hyperlink" Target="https://www.mkpalaw.com/articles-forms/articles/notice-to-owner-issues/" TargetMode="External"/><Relationship Id="rId106" Type="http://schemas.openxmlformats.org/officeDocument/2006/relationships/hyperlink" Target="https://www.mkpalaw.com/articles-forms/articles/notice-to-owner-issues/" TargetMode="External"/><Relationship Id="rId107" Type="http://schemas.openxmlformats.org/officeDocument/2006/relationships/hyperlink" Target="https://caselaw.findlaw.com/court/fl-district-court-of-appeal/1165504.html" TargetMode="External"/><Relationship Id="rId108" Type="http://schemas.openxmlformats.org/officeDocument/2006/relationships/hyperlink" Target="https://caselaw.findlaw.com/court/fl-district-court-of-appeal/1165504.html" TargetMode="External"/><Relationship Id="rId109" Type="http://schemas.openxmlformats.org/officeDocument/2006/relationships/hyperlink" Target="https://www.buildersnotice.com/blog-post/top-mistakes-to-avoid-when-filing-a-notice-to-owner" TargetMode="External"/><Relationship Id="rId110" Type="http://schemas.openxmlformats.org/officeDocument/2006/relationships/hyperlink" Target="https://law.justia.com/cases/florida/supreme-court/1992/76925-0.html" TargetMode="External"/><Relationship Id="rId111" Type="http://schemas.openxmlformats.org/officeDocument/2006/relationships/hyperlink" Target="https://law.justia.com/cases/florida/supreme-court/1992/76925-0.html" TargetMode="External"/><Relationship Id="rId112" Type="http://schemas.openxmlformats.org/officeDocument/2006/relationships/hyperlink" Target="https://www.mkpalaw.com/articles-forms/articles/notice-to-owner-issues/" TargetMode="External"/><Relationship Id="rId113" Type="http://schemas.openxmlformats.org/officeDocument/2006/relationships/hyperlink" Target="https://caselaw.findlaw.com/court/fl-district-court-of-appeal/1165504.html" TargetMode="External"/><Relationship Id="rId114" Type="http://schemas.openxmlformats.org/officeDocument/2006/relationships/hyperlink" Target="https://www.floridabar.org/the-florida-bar-journal/subcontractors-suppliers-beware-form-over-substance/" TargetMode="External"/><Relationship Id="rId115" Type="http://schemas.openxmlformats.org/officeDocument/2006/relationships/hyperlink" Target="https://caselaw.findlaw.com/court/fl-district-court-of-appeal/1165504.html" TargetMode="External"/><Relationship Id="rId116" Type="http://schemas.openxmlformats.org/officeDocument/2006/relationships/hyperlink" Target="https://caselaw.findlaw.com/court/fl-district-court-of-appeal/1165504.html" TargetMode="External"/><Relationship Id="rId117" Type="http://schemas.openxmlformats.org/officeDocument/2006/relationships/hyperlink" Target="https://www.floridabar.org/the-florida-bar-journal/subcontractors-suppliers-beware-form-over-substance/" TargetMode="External"/><Relationship Id="rId118" Type="http://schemas.openxmlformats.org/officeDocument/2006/relationships/hyperlink" Target="https://www.floridabar.org/the-florida-bar-journal/subcontractors-suppliers-beware-form-over-substance/" TargetMode="External"/><Relationship Id="rId119" Type="http://schemas.openxmlformats.org/officeDocument/2006/relationships/hyperlink" Target="https://www.mkpalaw.com/articles-forms/articles/notice-to-owner-issues/" TargetMode="External"/><Relationship Id="rId120" Type="http://schemas.openxmlformats.org/officeDocument/2006/relationships/hyperlink" Target="https://www.mkpalaw.com/articles-forms/articles/notice-to-owner-issues/" TargetMode="External"/><Relationship Id="rId121" Type="http://schemas.openxmlformats.org/officeDocument/2006/relationships/hyperlink" Target="https://www.buildersnotice.com/blog-post/top-mistakes-to-avoid-when-filing-a-notice-to-owner" TargetMode="External"/><Relationship Id="rId122" Type="http://schemas.openxmlformats.org/officeDocument/2006/relationships/hyperlink" Target="https://www.buildersnotice.com/blog-post/top-mistakes-to-avoid-when-filing-a-notice-to-owner" TargetMode="External"/><Relationship Id="rId123" Type="http://schemas.openxmlformats.org/officeDocument/2006/relationships/hyperlink" Target="https://www.buildersnotice.com/blog-post/top-mistakes-to-avoid-when-filing-a-notice-to-owner" TargetMode="External"/><Relationship Id="rId124" Type="http://schemas.openxmlformats.org/officeDocument/2006/relationships/hyperlink" Target="https://www.buildersnotice.com/blog-post/top-mistakes-to-avoid-when-filing-a-notice-to-owner" TargetMode="External"/><Relationship Id="rId125" Type="http://schemas.openxmlformats.org/officeDocument/2006/relationships/image" Target="media/image1.png"/><Relationship Id="rId126" Type="http://schemas.openxmlformats.org/officeDocument/2006/relationships/image" Target="media/image2.png"/><Relationship Id="rId127" Type="http://schemas.openxmlformats.org/officeDocument/2006/relationships/image" Target="media/image3.png"/><Relationship Id="rId128" Type="http://schemas.openxmlformats.org/officeDocument/2006/relationships/image" Target="media/image4.jpeg"/><Relationship Id="rId129" Type="http://schemas.openxmlformats.org/officeDocument/2006/relationships/image" Target="media/image5.png"/><Relationship Id="rId130" Type="http://schemas.openxmlformats.org/officeDocument/2006/relationships/numbering" Target="numbering.xml"/><Relationship Id="rId131" Type="http://schemas.openxmlformats.org/officeDocument/2006/relationships/fontTable" Target="fontTable.xml"/><Relationship Id="rId132" Type="http://schemas.openxmlformats.org/officeDocument/2006/relationships/settings" Target="settings.xml"/><Relationship Id="rId1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LibreOffice/25.2.6.2$Windows_X86_64 LibreOffice_project/729c5bfe710f5eb71ed3bbde9e06a6065e9c6c5d</Application>
  <AppVersion>15.0000</AppVersion>
  <Pages>12</Pages>
  <Words>5888</Words>
  <Characters>32640</Characters>
  <CharactersWithSpaces>38534</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2025-11-30T21:47:57Z</dcterms:created>
  <dc:creator/>
  <dc:description/>
  <dc:language>en-US</dc:language>
  <cp:lastModifiedBy/>
  <dcterms:modified xsi:type="dcterms:W3CDTF">2025-11-30T21:48:48Z</dcterms:modified>
  <cp:revision>1</cp:revision>
  <dc:subject/>
  <dc:title/>
</cp:coreProperties>
</file>