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Florida Notice of Commencement Compliance – Case Law Analysis</w:t>
      </w:r>
    </w:p>
    <w:p>
      <w:pPr>
        <w:pStyle w:val="Heading2"/>
        <w:bidi w:val="0"/>
        <w:jc w:val="start"/>
        <w:rPr/>
      </w:pPr>
      <w:r>
        <w:rPr/>
        <w:t>Introduction and Legal Background</w:t>
      </w:r>
    </w:p>
    <w:p>
      <w:pPr>
        <w:pStyle w:val="BodyText"/>
        <w:bidi w:val="0"/>
        <w:jc w:val="start"/>
        <w:rPr/>
      </w:pPr>
      <w:r>
        <w:rPr/>
        <w:t xml:space="preserve">Under Florida’s Construction Lien Law, a </w:t>
      </w:r>
      <w:r>
        <w:rPr>
          <w:rStyle w:val="Strong"/>
        </w:rPr>
        <w:t>Notice of Commencement (NOC)</w:t>
      </w:r>
      <w:r>
        <w:rPr/>
        <w:t xml:space="preserve"> is a statutory document that a property owner (or owner’s agent) must record in the county public records </w:t>
      </w:r>
      <w:r>
        <w:rPr>
          <w:rStyle w:val="Strong"/>
        </w:rPr>
        <w:t>before starting construction</w:t>
      </w:r>
      <w:r>
        <w:rPr/>
        <w:t xml:space="preserve"> on improvements exceeding a small cost threshold (now </w:t>
      </w:r>
      <w:r>
        <w:rPr>
          <w:rStyle w:val="Strong"/>
        </w:rPr>
        <w:t>&gt;$5,000</w:t>
      </w:r>
      <w:r>
        <w:rPr/>
        <w:t xml:space="preserve"> for most projects)</w:t>
      </w:r>
      <w:hyperlink r:id="rId2" w:anchor=":~:text=,not%20apply%20to%20maintenance%20work" w:tgtFrame="_blank">
        <w:r>
          <w:rPr>
            <w:rStyle w:val="Hyperlink"/>
          </w:rPr>
          <w:t>floridabar.org</w:t>
        </w:r>
      </w:hyperlink>
      <w:r>
        <w:rPr/>
        <w:t xml:space="preserve">. The NOC contains key information (property description, owner’s name, contractor, lender, surety, etc.) and must be </w:t>
      </w:r>
      <w:r>
        <w:rPr>
          <w:rStyle w:val="Strong"/>
        </w:rPr>
        <w:t>signed by the owner</w:t>
      </w:r>
      <w:r>
        <w:rPr/>
        <w:t xml:space="preserve"> (no one else may sign in their stead)</w:t>
      </w:r>
      <w:hyperlink r:id="rId3" w:anchor=":~:text=The%20statute%20allows%20the%20owner,5th%20DCA%201988" w:tgtFrame="_blank">
        <w:r>
          <w:rPr>
            <w:rStyle w:val="Hyperlink"/>
          </w:rPr>
          <w:t>caselaw.findlaw.com</w:t>
        </w:r>
      </w:hyperlink>
      <w:r>
        <w:rPr/>
        <w:t>. A copy must be posted at the job site prior to the first inspection</w:t>
      </w:r>
      <w:hyperlink r:id="rId4" w:anchor=":~:text=Except%20for%20certain%20exempt%20improvements%2C,to%20provide%20a%20lienor%20with" w:tgtFrame="_blank">
        <w:r>
          <w:rPr>
            <w:rStyle w:val="Hyperlink"/>
          </w:rPr>
          <w:t>taylordaylaw.com</w:t>
        </w:r>
      </w:hyperlink>
      <w:r>
        <w:rPr/>
        <w:t>. Certain minor work (small-value or specified repairs) and public projects are exempt from this requirement</w:t>
      </w:r>
      <w:hyperlink r:id="rId5" w:anchor=":~:text=%E2%80%9CClerk%E2%80%99s%20office%E2%80%9D%20means%20the%20office,135%281%29%28d" w:tgtFrame="_blank">
        <w:r>
          <w:rPr>
            <w:rStyle w:val="Hyperlink"/>
          </w:rPr>
          <w:t>flsenate.gov</w:t>
        </w:r>
      </w:hyperlink>
      <w:hyperlink r:id="rId6" w:anchor=":~:text=,not%20apply%20to%20maintenance%20work" w:tgtFrame="_blank">
        <w:r>
          <w:rPr>
            <w:rStyle w:val="Hyperlink"/>
          </w:rPr>
          <w:t>floridabar.org</w:t>
        </w:r>
      </w:hyperlink>
      <w:r>
        <w:rPr/>
        <w:t>.</w:t>
      </w:r>
    </w:p>
    <w:p>
      <w:pPr>
        <w:pStyle w:val="BodyText"/>
        <w:bidi w:val="0"/>
        <w:jc w:val="start"/>
        <w:rPr/>
      </w:pPr>
      <w:r>
        <w:rPr/>
        <w:t xml:space="preserve">The NOC serves two main purposes in Florida’s lien framework. </w:t>
      </w:r>
      <w:r>
        <w:rPr>
          <w:rStyle w:val="Strong"/>
        </w:rPr>
        <w:t>First</w:t>
      </w:r>
      <w:r>
        <w:rPr/>
        <w:t xml:space="preserve">, it protects owners by establishing a clear </w:t>
      </w:r>
      <w:r>
        <w:rPr>
          <w:rStyle w:val="Strong"/>
        </w:rPr>
        <w:t>“commencement” date</w:t>
      </w:r>
      <w:r>
        <w:rPr/>
        <w:t xml:space="preserve"> for the project – effectively a trigger for lien priority and limitations</w:t>
      </w:r>
      <w:hyperlink r:id="rId7" w:anchor=":~:text=Integral%20to%20our%20analysis%20here,The" w:tgtFrame="_blank">
        <w:r>
          <w:rPr>
            <w:rStyle w:val="Hyperlink"/>
          </w:rPr>
          <w:t>caselaw.findlaw.com</w:t>
        </w:r>
      </w:hyperlink>
      <w:r>
        <w:rPr/>
        <w:t xml:space="preserve">. By statute, properly perfected construction liens can </w:t>
      </w:r>
      <w:r>
        <w:rPr>
          <w:rStyle w:val="Strong"/>
        </w:rPr>
        <w:t>relate back</w:t>
      </w:r>
      <w:r>
        <w:rPr/>
        <w:t xml:space="preserve"> in priority to the date the NOC was recorded</w:t>
      </w:r>
      <w:hyperlink r:id="rId8" w:anchor=":~:text=Nevertheless%2C%20the%20standard%20here%20is,notice%20of%20commencement%20been%20filed" w:tgtFrame="_blank">
        <w:r>
          <w:rPr>
            <w:rStyle w:val="Hyperlink"/>
          </w:rPr>
          <w:t>taylordaylaw.com</w:t>
        </w:r>
      </w:hyperlink>
      <w:r>
        <w:rPr/>
        <w:t xml:space="preserve">. (If no NOC is recorded, a lien’s priority </w:t>
      </w:r>
      <w:r>
        <w:rPr>
          <w:rStyle w:val="Emphasis"/>
        </w:rPr>
        <w:t>attaches only on the date of its recording</w:t>
      </w:r>
      <w:r>
        <w:rPr/>
        <w:t>, meaning intervening liens or mortgages may take priority</w:t>
      </w:r>
      <w:hyperlink r:id="rId9" w:anchor=":~:text=Nevertheless%2C%20the%20standard%20here%20is,notice%20of%20commencement%20been%20filed" w:tgtFrame="_blank">
        <w:r>
          <w:rPr>
            <w:rStyle w:val="Hyperlink"/>
          </w:rPr>
          <w:t>taylordaylaw.com</w:t>
        </w:r>
      </w:hyperlink>
      <w:r>
        <w:rPr/>
        <w:t xml:space="preserve">.) </w:t>
      </w:r>
      <w:r>
        <w:rPr>
          <w:rStyle w:val="Strong"/>
        </w:rPr>
        <w:t>Second</w:t>
      </w:r>
      <w:r>
        <w:rPr/>
        <w:t xml:space="preserve">, the NOC provides potential lienors (e.g. subcontractors, suppliers) with all information needed to serve their required </w:t>
      </w:r>
      <w:r>
        <w:rPr>
          <w:rStyle w:val="Strong"/>
        </w:rPr>
        <w:t>Notice to Owner (NTO)</w:t>
      </w:r>
      <w:r>
        <w:rPr/>
        <w:t>, which is a prerequisite to enforcing a lien</w:t>
      </w:r>
      <w:hyperlink r:id="rId10" w:anchor=":~:text=owner%20by%20providing%20a%20trigger,is%20to%20receive%20copies%20of" w:tgtFrame="_blank">
        <w:r>
          <w:rPr>
            <w:rStyle w:val="Hyperlink"/>
          </w:rPr>
          <w:t>caselaw.findlaw.com</w:t>
        </w:r>
      </w:hyperlink>
      <w:r>
        <w:rPr/>
        <w:t xml:space="preserve">. In essence, the NOC is a </w:t>
      </w:r>
      <w:r>
        <w:rPr>
          <w:rStyle w:val="Strong"/>
        </w:rPr>
        <w:t>“roadmap”</w:t>
      </w:r>
      <w:r>
        <w:rPr/>
        <w:t xml:space="preserve"> for lienors, listing the project’s critical details (owner, general contractor, lender, etc.) and an address for service of notices</w:t>
      </w:r>
      <w:hyperlink r:id="rId11" w:anchor=":~:text=owner%20by%20providing%20a%20trigger,is%20to%20receive%20copies%20of" w:tgtFrame="_blank">
        <w:r>
          <w:rPr>
            <w:rStyle w:val="Hyperlink"/>
          </w:rPr>
          <w:t>caselaw.findlaw.com</w:t>
        </w:r>
      </w:hyperlink>
      <w:r>
        <w:rPr/>
        <w:t>.</w:t>
      </w:r>
    </w:p>
    <w:p>
      <w:pPr>
        <w:pStyle w:val="BodyText"/>
        <w:bidi w:val="0"/>
        <w:jc w:val="start"/>
        <w:rPr/>
      </w:pPr>
      <w:r>
        <w:rPr/>
        <w:t xml:space="preserve">Florida courts historically have required </w:t>
      </w:r>
      <w:r>
        <w:rPr>
          <w:rStyle w:val="Strong"/>
        </w:rPr>
        <w:t>strict compliance</w:t>
      </w:r>
      <w:r>
        <w:rPr/>
        <w:t xml:space="preserve"> with lien law statutes, given that construction liens are creatures of statute</w:t>
      </w:r>
      <w:hyperlink r:id="rId12" w:anchor=":~:text=laws%20were%20enacted%20for%20the,substantially%20complied%20with%20the%20statutory" w:tgtFrame="_blank">
        <w:r>
          <w:rPr>
            <w:rStyle w:val="Hyperlink"/>
          </w:rPr>
          <w:t>caselaw.findlaw.com</w:t>
        </w:r>
      </w:hyperlink>
      <w:r>
        <w:rPr/>
        <w:t xml:space="preserve">. In the words of the Florida Supreme Court, the lien laws exist “to protect those whose materials, labor and skills improve the land of others” but courts will not be sympathetic to a party seeking relief unless they </w:t>
      </w:r>
      <w:r>
        <w:rPr>
          <w:rStyle w:val="Strong"/>
        </w:rPr>
        <w:t>“strictly comply”</w:t>
      </w:r>
      <w:r>
        <w:rPr/>
        <w:t xml:space="preserve"> with the statutory requirements</w:t>
      </w:r>
      <w:hyperlink r:id="rId13" w:anchor=":~:text=laws%20were%20enacted%20for%20the,substantially%20complied%20with%20the%20statutory" w:tgtFrame="_blank">
        <w:r>
          <w:rPr>
            <w:rStyle w:val="Hyperlink"/>
          </w:rPr>
          <w:t>caselaw.findlaw.com</w:t>
        </w:r>
      </w:hyperlink>
      <w:r>
        <w:rPr/>
        <w:t xml:space="preserve">. However, case law demonstrates that </w:t>
      </w:r>
      <w:r>
        <w:rPr>
          <w:rStyle w:val="Strong"/>
        </w:rPr>
        <w:t>substantial compliance</w:t>
      </w:r>
      <w:r>
        <w:rPr/>
        <w:t xml:space="preserve"> can suffice, particularly where an owner’s error in NOC compliance would otherwise unfairly prejudice lienors who have done their part</w:t>
      </w:r>
      <w:hyperlink r:id="rId14" w:anchor=":~:text=,in%20the%20Notice%20of%20Commencement" w:tgtFrame="_blank">
        <w:r>
          <w:rPr>
            <w:rStyle w:val="Hyperlink"/>
          </w:rPr>
          <w:t>taylordaylaw.com</w:t>
        </w:r>
      </w:hyperlink>
      <w:hyperlink r:id="rId15" w:anchor=":~:text=regular%20and%20complete%20in%20all,at%20470" w:tgtFrame="_blank">
        <w:r>
          <w:rPr>
            <w:rStyle w:val="Hyperlink"/>
          </w:rPr>
          <w:t>caselaw.findlaw.com</w:t>
        </w:r>
      </w:hyperlink>
      <w:r>
        <w:rPr/>
        <w:t>. The burden of filling out and recording the NOC properly falls squarely on the owner (or an owner-authorized agent)</w:t>
      </w:r>
      <w:hyperlink r:id="rId16" w:anchor=":~:text=stead,only%20confirmed%20the%20contrary%E2%80%94the%20lienor" w:tgtFrame="_blank">
        <w:r>
          <w:rPr>
            <w:rStyle w:val="Hyperlink"/>
          </w:rPr>
          <w:t>caselaw.findlaw.com</w:t>
        </w:r>
      </w:hyperlink>
      <w:r>
        <w:rPr/>
        <w:t xml:space="preserve">. Courts have consistently held that a lienor is </w:t>
      </w:r>
      <w:r>
        <w:rPr>
          <w:rStyle w:val="Strong"/>
        </w:rPr>
        <w:t>not responsible for policing errors or omissions</w:t>
      </w:r>
      <w:r>
        <w:rPr/>
        <w:t xml:space="preserve"> in an owner’s NOC</w:t>
      </w:r>
      <w:hyperlink r:id="rId17" w:anchor=":~:text=stead,to%20shift%20this%20risk%20to" w:tgtFrame="_blank">
        <w:r>
          <w:rPr>
            <w:rStyle w:val="Hyperlink"/>
          </w:rPr>
          <w:t>caselaw.findlaw.com</w:t>
        </w:r>
      </w:hyperlink>
      <w:hyperlink r:id="rId18" w:anchor=":~:text=is%20on%20the%20owner%2C%20whereas,at%20470" w:tgtFrame="_blank">
        <w:r>
          <w:rPr>
            <w:rStyle w:val="Hyperlink"/>
          </w:rPr>
          <w:t>caselaw.findlaw.com</w:t>
        </w:r>
      </w:hyperlink>
      <w:r>
        <w:rPr/>
        <w:t xml:space="preserve">. In disputes over NOC defects, Florida courts balance the statutory technicalities against the lien law’s protective purpose, often relieving diligent lienors of harsh consequences where the </w:t>
      </w:r>
      <w:r>
        <w:rPr>
          <w:rStyle w:val="Emphasis"/>
        </w:rPr>
        <w:t>owner’s</w:t>
      </w:r>
      <w:r>
        <w:rPr/>
        <w:t xml:space="preserve"> noncompliance with §713.13 was central.</w:t>
      </w:r>
    </w:p>
    <w:p>
      <w:pPr>
        <w:pStyle w:val="BodyText"/>
        <w:bidi w:val="0"/>
        <w:jc w:val="start"/>
        <w:rPr/>
      </w:pPr>
      <w:r>
        <w:rPr/>
        <w:t xml:space="preserve">Below is a survey of Florida cases – from trial level up through District Courts of Appeal (and notable Supreme Court guidance) – where compliance with the NOC requirement was a decisive issue. For each case, the parties, NOC-related issues, outcomes, and legal reasoning are summarized. The cases cover both </w:t>
      </w:r>
      <w:r>
        <w:rPr>
          <w:rStyle w:val="Strong"/>
        </w:rPr>
        <w:t>residential</w:t>
      </w:r>
      <w:r>
        <w:rPr/>
        <w:t xml:space="preserve"> and </w:t>
      </w:r>
      <w:r>
        <w:rPr>
          <w:rStyle w:val="Strong"/>
        </w:rPr>
        <w:t>commercial</w:t>
      </w:r>
      <w:r>
        <w:rPr/>
        <w:t xml:space="preserve"> projects, illustrating common mistakes and their impact on lien rights and contracts. A summary table of the key cases is also provided for quick reference.</w:t>
      </w:r>
    </w:p>
    <w:p>
      <w:pPr>
        <w:pStyle w:val="Heading2"/>
        <w:bidi w:val="0"/>
        <w:jc w:val="start"/>
        <w:rPr/>
      </w:pPr>
      <w:r>
        <w:rPr/>
        <w:t>Key Case Law on NOC Compliance in Florida</w:t>
      </w:r>
    </w:p>
    <w:p>
      <w:pPr>
        <w:pStyle w:val="Heading3"/>
        <w:bidi w:val="0"/>
        <w:jc w:val="start"/>
        <w:rPr/>
      </w:pPr>
      <w:r>
        <w:rPr/>
        <w:t>Execution and Accuracy of the NOC (Owner Signature &amp; Information)</w:t>
      </w:r>
    </w:p>
    <w:p>
      <w:pPr>
        <w:pStyle w:val="BodyText"/>
        <w:bidi w:val="0"/>
        <w:jc w:val="start"/>
        <w:rPr/>
      </w:pPr>
      <w:r>
        <w:rPr>
          <w:rStyle w:val="Strong"/>
        </w:rPr>
        <w:t>Edwin Taylor Corp. v. Mortgage Electronic Registration Sys., Inc.</w:t>
      </w:r>
      <w:r>
        <w:rPr/>
        <w:t xml:space="preserve">, 311 So.3d 139 (Fla. 2d DCA 2020) – </w:t>
      </w:r>
      <w:r>
        <w:rPr>
          <w:rStyle w:val="Emphasis"/>
        </w:rPr>
        <w:t>Commercial project (priority dispute between subcontractor and lender).</w:t>
      </w:r>
    </w:p>
    <w:p>
      <w:pPr>
        <w:pStyle w:val="BodyText"/>
        <w:numPr>
          <w:ilvl w:val="0"/>
          <w:numId w:val="1"/>
        </w:numPr>
        <w:tabs>
          <w:tab w:val="clear" w:pos="709"/>
          <w:tab w:val="left" w:pos="709" w:leader="none"/>
        </w:tabs>
        <w:bidi w:val="0"/>
        <w:ind w:hanging="283" w:start="709"/>
        <w:jc w:val="start"/>
        <w:rPr/>
      </w:pPr>
      <w:r>
        <w:rPr>
          <w:rStyle w:val="Strong"/>
        </w:rPr>
        <w:t>Parties:</w:t>
      </w:r>
      <w:r>
        <w:rPr/>
        <w:t xml:space="preserve"> A subcontractor (Edwin Taylor Corp.) vs. a lender (BB&amp;T, whose nominee was MERS) and property owner. The owner had hired a general contractor (GC) for construction</w:t>
      </w:r>
      <w:hyperlink r:id="rId19" w:anchor=":~:text=On%20January%207%2C%202014%2C%20the,BB%26T%27s%20notice%20of" w:tgtFrame="_blank">
        <w:r>
          <w:rPr>
            <w:rStyle w:val="Hyperlink"/>
          </w:rPr>
          <w:t>caselaw.findlaw.com</w:t>
        </w:r>
      </w:hyperlink>
      <w:hyperlink r:id="rId20" w:anchor=":~:text=Edwin%20Taylor%2C%20who%20subcontracted%20with,all%20other%20claims%E2%80%94including%20BB%26T%27s%20claim" w:tgtFrame="_blank">
        <w:r>
          <w:rPr>
            <w:rStyle w:val="Hyperlink"/>
          </w:rPr>
          <w:t>caselaw.findlaw.com</w:t>
        </w:r>
      </w:hyperlink>
      <w:r>
        <w:rPr/>
        <w:t>.</w:t>
      </w:r>
    </w:p>
    <w:p>
      <w:pPr>
        <w:pStyle w:val="BodyText"/>
        <w:numPr>
          <w:ilvl w:val="0"/>
          <w:numId w:val="1"/>
        </w:numPr>
        <w:tabs>
          <w:tab w:val="clear" w:pos="709"/>
          <w:tab w:val="left" w:pos="709" w:leader="none"/>
        </w:tabs>
        <w:bidi w:val="0"/>
        <w:ind w:hanging="283" w:start="709"/>
        <w:jc w:val="start"/>
        <w:rPr/>
      </w:pPr>
      <w:r>
        <w:rPr>
          <w:rStyle w:val="Strong"/>
        </w:rPr>
        <w:t>NOC Issue:</w:t>
      </w:r>
      <w:r>
        <w:rPr/>
        <w:t xml:space="preserve"> The GC recorded a NOC at project start which was </w:t>
      </w:r>
      <w:r>
        <w:rPr>
          <w:rStyle w:val="Strong"/>
        </w:rPr>
        <w:t>complete and accurate</w:t>
      </w:r>
      <w:r>
        <w:rPr/>
        <w:t xml:space="preserve"> </w:t>
      </w:r>
      <w:r>
        <w:rPr>
          <w:rStyle w:val="Emphasis"/>
        </w:rPr>
        <w:t>except</w:t>
      </w:r>
      <w:r>
        <w:rPr/>
        <w:t xml:space="preserve"> that it was </w:t>
      </w:r>
      <w:r>
        <w:rPr>
          <w:rStyle w:val="Strong"/>
        </w:rPr>
        <w:t>signed by the GC (not the owner)</w:t>
      </w:r>
      <w:hyperlink r:id="rId21" w:anchor=":~:text=On%20January%207%2C%202014%2C%20the,property%20and%20recorded%20its%20own" w:tgtFrame="_blank">
        <w:r>
          <w:rPr>
            <w:rStyle w:val="Hyperlink"/>
          </w:rPr>
          <w:t>caselaw.findlaw.com</w:t>
        </w:r>
      </w:hyperlink>
      <w:hyperlink r:id="rId22" w:anchor=":~:text=BB%26T%20moved%20for%20summary%20judgment,of%20the%20summary%20judgment%20motion" w:tgtFrame="_blank">
        <w:r>
          <w:rPr>
            <w:rStyle w:val="Hyperlink"/>
          </w:rPr>
          <w:t>caselaw.findlaw.com</w:t>
        </w:r>
      </w:hyperlink>
      <w:r>
        <w:rPr/>
        <w:t>. The owner knew of and did not object to this NOC, nor did the owner file any “Notice of Termination” to void it</w:t>
      </w:r>
      <w:hyperlink r:id="rId23" w:anchor=":~:text=notice%20of%20commencement%20was%20complete,1" w:tgtFrame="_blank">
        <w:r>
          <w:rPr>
            <w:rStyle w:val="Hyperlink"/>
          </w:rPr>
          <w:t>caselaw.findlaw.com</w:t>
        </w:r>
      </w:hyperlink>
      <w:r>
        <w:rPr/>
        <w:t xml:space="preserve">. The next day, the owner obtained a construction loan from BB&amp;T, which recorded its </w:t>
      </w:r>
      <w:r>
        <w:rPr>
          <w:rStyle w:val="Strong"/>
        </w:rPr>
        <w:t>mortgage</w:t>
      </w:r>
      <w:r>
        <w:rPr/>
        <w:t xml:space="preserve"> and a second NOC (signed by the owner) listing BB&amp;T as lender</w:t>
      </w:r>
      <w:hyperlink r:id="rId24" w:anchor=":~:text=aware%20of%20the%20general%20contractor%27s,1" w:tgtFrame="_blank">
        <w:r>
          <w:rPr>
            <w:rStyle w:val="Hyperlink"/>
          </w:rPr>
          <w:t>caselaw.findlaw.com</w:t>
        </w:r>
      </w:hyperlink>
      <w:r>
        <w:rPr/>
        <w:t>.</w:t>
      </w:r>
    </w:p>
    <w:p>
      <w:pPr>
        <w:pStyle w:val="BodyText"/>
        <w:numPr>
          <w:ilvl w:val="0"/>
          <w:numId w:val="1"/>
        </w:numPr>
        <w:tabs>
          <w:tab w:val="clear" w:pos="709"/>
          <w:tab w:val="left" w:pos="709" w:leader="none"/>
        </w:tabs>
        <w:bidi w:val="0"/>
        <w:ind w:hanging="283" w:start="709"/>
        <w:jc w:val="start"/>
        <w:rPr/>
      </w:pPr>
      <w:r>
        <w:rPr>
          <w:rStyle w:val="Strong"/>
        </w:rPr>
        <w:t>Central Issue:</w:t>
      </w:r>
      <w:r>
        <w:rPr/>
        <w:t xml:space="preserve"> Whether the first NOC’s lack of the owner’s signature made it invalid under §713.13(1)(g), thereby preventing the subcontractor’s lien from relating back to that NOC’s recording date</w:t>
      </w:r>
      <w:hyperlink r:id="rId25" w:anchor=":~:text=BB%26T%20moved%20for%20summary%20judgment,records%20of%20Hillsborough%20County%2C%20Florida" w:tgtFrame="_blank">
        <w:r>
          <w:rPr>
            <w:rStyle w:val="Hyperlink"/>
          </w:rPr>
          <w:t>caselaw.findlaw.com</w:t>
        </w:r>
      </w:hyperlink>
      <w:hyperlink r:id="rId26" w:anchor=":~:text=The%20trial%20court%20found%20merit,This%20was%20error" w:tgtFrame="_blank">
        <w:r>
          <w:rPr>
            <w:rStyle w:val="Hyperlink"/>
          </w:rPr>
          <w:t>caselaw.findlaw.com</w:t>
        </w:r>
      </w:hyperlink>
      <w:r>
        <w:rPr/>
        <w:t>. If the NOC was invalid, the subcontractor’s lien (recorded later) would attach after the mortgage and be junior; if the NOC was effective, the lien would relate back and take priority over the intervening mortgage</w:t>
      </w:r>
      <w:hyperlink r:id="rId27" w:anchor=":~:text=BB%26T%20moved%20for%20summary%20judgment,records%20of%20Hillsborough%20County%2C%20Florida" w:tgtFrame="_blank">
        <w:r>
          <w:rPr>
            <w:rStyle w:val="Hyperlink"/>
          </w:rPr>
          <w:t>caselaw.findlaw.com</w:t>
        </w:r>
      </w:hyperlink>
      <w:hyperlink r:id="rId28" w:anchor=":~:text=The%20trial%20court%20found%20merit,This%20was%20error" w:tgtFrame="_blank">
        <w:r>
          <w:rPr>
            <w:rStyle w:val="Hyperlink"/>
          </w:rPr>
          <w:t>caselaw.findlaw.com</w:t>
        </w:r>
      </w:hyperlink>
      <w:r>
        <w:rPr/>
        <w:t>.</w:t>
      </w:r>
    </w:p>
    <w:p>
      <w:pPr>
        <w:pStyle w:val="BodyText"/>
        <w:numPr>
          <w:ilvl w:val="0"/>
          <w:numId w:val="1"/>
        </w:numPr>
        <w:tabs>
          <w:tab w:val="clear" w:pos="709"/>
          <w:tab w:val="left" w:pos="709" w:leader="none"/>
        </w:tabs>
        <w:bidi w:val="0"/>
        <w:ind w:hanging="283" w:start="709"/>
        <w:jc w:val="start"/>
        <w:rPr/>
      </w:pPr>
      <w:r>
        <w:rPr>
          <w:rStyle w:val="Strong"/>
        </w:rPr>
        <w:t>Outcome:</w:t>
      </w:r>
      <w:r>
        <w:rPr/>
        <w:t xml:space="preserve"> The Second DCA </w:t>
      </w:r>
      <w:r>
        <w:rPr>
          <w:rStyle w:val="Strong"/>
        </w:rPr>
        <w:t>reversed</w:t>
      </w:r>
      <w:r>
        <w:rPr/>
        <w:t xml:space="preserve"> summary judgment for the lender and held that the NOC, though signed by the GC, was </w:t>
      </w:r>
      <w:r>
        <w:rPr>
          <w:rStyle w:val="Strong"/>
        </w:rPr>
        <w:t>not a nullity per se</w:t>
      </w:r>
      <w:r>
        <w:rPr/>
        <w:t xml:space="preserve"> in this context</w:t>
      </w:r>
      <w:hyperlink r:id="rId29" w:anchor=":~:text=Edwin%20Taylor%2C%20on%20the%20other,signed%20by%20all%20owners%20of" w:tgtFrame="_blank">
        <w:r>
          <w:rPr>
            <w:rStyle w:val="Hyperlink"/>
          </w:rPr>
          <w:t>caselaw.findlaw.com</w:t>
        </w:r>
      </w:hyperlink>
      <w:hyperlink r:id="rId30" w:anchor=":~:text=Accordingly%2C%20we%20hold%20that%20a,lender%20on%20this%20basis%20was" w:tgtFrame="_blank">
        <w:r>
          <w:rPr>
            <w:rStyle w:val="Hyperlink"/>
          </w:rPr>
          <w:t>caselaw.findlaw.com</w:t>
        </w:r>
      </w:hyperlink>
      <w:r>
        <w:rPr/>
        <w:t xml:space="preserve">. A subcontractor who </w:t>
      </w:r>
      <w:r>
        <w:rPr>
          <w:rStyle w:val="Strong"/>
        </w:rPr>
        <w:t>strictly complied</w:t>
      </w:r>
      <w:r>
        <w:rPr/>
        <w:t xml:space="preserve"> with all lien prerequisites (serving notice to owner, timely recording the lien, etc.) could rely on a defective NOC that otherwise met all statutory requirements</w:t>
      </w:r>
      <w:hyperlink r:id="rId31" w:anchor=":~:text=We%20find%20Sasso%20instructive,an%20updated%20title%20search%20through" w:tgtFrame="_blank">
        <w:r>
          <w:rPr>
            <w:rStyle w:val="Hyperlink"/>
          </w:rPr>
          <w:t>caselaw.findlaw.com</w:t>
        </w:r>
      </w:hyperlink>
      <w:hyperlink r:id="rId32" w:anchor=":~:text=Accordingly%2C%20we%20hold%20that%20a,lender%20on%20this%20basis%20was" w:tgtFrame="_blank">
        <w:r>
          <w:rPr>
            <w:rStyle w:val="Hyperlink"/>
          </w:rPr>
          <w:t>caselaw.findlaw.com</w:t>
        </w:r>
      </w:hyperlink>
      <w:r>
        <w:rPr/>
        <w:t>. The court ruled the subcontractor’s lien related back to the first NOC’s recording date despite the missing owner’s signature</w:t>
      </w:r>
      <w:hyperlink r:id="rId33" w:anchor=":~:text=We%20find%20Sasso%20instructive,an%20updated%20title%20search%20through" w:tgtFrame="_blank">
        <w:r>
          <w:rPr>
            <w:rStyle w:val="Hyperlink"/>
          </w:rPr>
          <w:t>caselaw.findlaw.com</w:t>
        </w:r>
      </w:hyperlink>
      <w:hyperlink r:id="rId34" w:anchor=":~:text=Accordingly%2C%20we%20hold%20that%20a,lender%20on%20this%20basis%20was" w:tgtFrame="_blank">
        <w:r>
          <w:rPr>
            <w:rStyle w:val="Hyperlink"/>
          </w:rPr>
          <w:t>caselaw.findlaw.com</w:t>
        </w:r>
      </w:hyperlink>
      <w:r>
        <w:rPr/>
        <w:t>.</w:t>
      </w:r>
    </w:p>
    <w:p>
      <w:pPr>
        <w:pStyle w:val="BodyText"/>
        <w:numPr>
          <w:ilvl w:val="0"/>
          <w:numId w:val="1"/>
        </w:numPr>
        <w:tabs>
          <w:tab w:val="clear" w:pos="709"/>
          <w:tab w:val="left" w:pos="709" w:leader="none"/>
        </w:tabs>
        <w:bidi w:val="0"/>
        <w:ind w:hanging="283" w:start="709"/>
        <w:jc w:val="start"/>
        <w:rPr/>
      </w:pPr>
      <w:r>
        <w:rPr>
          <w:rStyle w:val="Strong"/>
        </w:rPr>
        <w:t>Rationale:</w:t>
      </w:r>
      <w:r>
        <w:rPr/>
        <w:t xml:space="preserve"> The court emphasized that §713.13(1)(g) places the duty on the owner to sign the NOC, and the </w:t>
      </w:r>
      <w:r>
        <w:rPr>
          <w:rStyle w:val="Strong"/>
        </w:rPr>
        <w:t>risk of any error in a NOC falls on the owner (or its agent)</w:t>
      </w:r>
      <w:r>
        <w:rPr/>
        <w:t xml:space="preserve"> – not on lienors</w:t>
      </w:r>
      <w:hyperlink r:id="rId35" w:anchor=":~:text=stead,to%20shift%20this%20risk%20to" w:tgtFrame="_blank">
        <w:r>
          <w:rPr>
            <w:rStyle w:val="Hyperlink"/>
          </w:rPr>
          <w:t>caselaw.findlaw.com</w:t>
        </w:r>
      </w:hyperlink>
      <w:r>
        <w:rPr/>
        <w:t>. Here, the NOC substantially fulfilled its purpose: it was recorded before work began and contained all required information (owner identity, description, contractor, etc.)</w:t>
      </w:r>
      <w:hyperlink r:id="rId36" w:anchor=":~:text=We%20find%20Sasso%20instructive,an%20updated%20title%20search%20through" w:tgtFrame="_blank">
        <w:r>
          <w:rPr>
            <w:rStyle w:val="Hyperlink"/>
          </w:rPr>
          <w:t>caselaw.findlaw.com</w:t>
        </w:r>
      </w:hyperlink>
      <w:r>
        <w:rPr/>
        <w:t>. The subcontractor had no way to compel the owner’s signature and was entitled to assume the recorded NOC was valid</w:t>
      </w:r>
      <w:hyperlink r:id="rId37" w:anchor=":~:text=is%20on%20the%20owner%2C%20whereas,at%20470" w:tgtFrame="_blank">
        <w:r>
          <w:rPr>
            <w:rStyle w:val="Hyperlink"/>
          </w:rPr>
          <w:t>caselaw.findlaw.com</w:t>
        </w:r>
      </w:hyperlink>
      <w:r>
        <w:rPr/>
        <w:t xml:space="preserve">. Citing a similar 4th DCA case, the court noted it would be </w:t>
      </w:r>
      <w:r>
        <w:rPr>
          <w:rStyle w:val="Emphasis"/>
        </w:rPr>
        <w:t>“a strange construction”</w:t>
      </w:r>
      <w:r>
        <w:rPr/>
        <w:t xml:space="preserve"> of the law to make a lienor lose its protection “because an owner, over whom the lienor had no control, failed to complete some detail in recording the notice”</w:t>
      </w:r>
      <w:hyperlink r:id="rId38" w:anchor=":~:text=regular%20and%20complete%20in%20all,at%20470" w:tgtFrame="_blank">
        <w:r>
          <w:rPr>
            <w:rStyle w:val="Hyperlink"/>
          </w:rPr>
          <w:t>caselaw.findlaw.com</w:t>
        </w:r>
      </w:hyperlink>
      <w:r>
        <w:rPr/>
        <w:t>. Furthermore, the lender was in a better position to protect itself (it could have done an updated title search or required the owner to terminate the earlier NOC before closing)</w:t>
      </w:r>
      <w:hyperlink r:id="rId39" w:anchor=":~:text=In%20reaching%20its%20conclusion%2C%20the,the%20notice%20of%20commencement%20where" w:tgtFrame="_blank">
        <w:r>
          <w:rPr>
            <w:rStyle w:val="Hyperlink"/>
          </w:rPr>
          <w:t>caselaw.findlaw.com</w:t>
        </w:r>
      </w:hyperlink>
      <w:hyperlink r:id="rId40" w:anchor=":~:text=the%20lienor%20to%20properly%20mail,4" w:tgtFrame="_blank">
        <w:r>
          <w:rPr>
            <w:rStyle w:val="Hyperlink"/>
          </w:rPr>
          <w:t>caselaw.findlaw.com</w:t>
        </w:r>
      </w:hyperlink>
      <w:r>
        <w:rPr/>
        <w:t>. Allowing the lender to exploit the owner’s technical omission would undermine the lien law’s purpose</w:t>
      </w:r>
      <w:hyperlink r:id="rId41" w:anchor=":~:text=the%20notice%20is%20true%20and,at%20470" w:tgtFrame="_blank">
        <w:r>
          <w:rPr>
            <w:rStyle w:val="Hyperlink"/>
          </w:rPr>
          <w:t>caselaw.findlaw.com</w:t>
        </w:r>
      </w:hyperlink>
      <w:hyperlink r:id="rId42" w:anchor=":~:text=the%20subcontractor%20had%20the%20right,71" w:tgtFrame="_blank">
        <w:r>
          <w:rPr>
            <w:rStyle w:val="Hyperlink"/>
          </w:rPr>
          <w:t>caselaw.findlaw.com</w:t>
        </w:r>
      </w:hyperlink>
      <w:r>
        <w:rPr/>
        <w:t xml:space="preserve">. Thus, equity and the statutory scheme favored the lienor. The case set a precedent that </w:t>
      </w:r>
      <w:r>
        <w:rPr>
          <w:rStyle w:val="Strong"/>
        </w:rPr>
        <w:t>an owner-authorized agent’s signature can substantially comply</w:t>
      </w:r>
      <w:r>
        <w:rPr/>
        <w:t xml:space="preserve"> with the NOC requirement such that lien rights are preserved</w:t>
      </w:r>
      <w:hyperlink r:id="rId43" w:anchor=":~:text=Accordingly%2C%20we%20hold%20that%20a,lender%20on%20this%20basis%20was" w:tgtFrame="_blank">
        <w:r>
          <w:rPr>
            <w:rStyle w:val="Hyperlink"/>
          </w:rPr>
          <w:t>caselaw.findlaw.com</w:t>
        </w:r>
      </w:hyperlink>
      <w:r>
        <w:rPr/>
        <w:t>.</w:t>
      </w:r>
    </w:p>
    <w:p>
      <w:pPr>
        <w:pStyle w:val="BodyText"/>
        <w:numPr>
          <w:ilvl w:val="0"/>
          <w:numId w:val="1"/>
        </w:numPr>
        <w:tabs>
          <w:tab w:val="clear" w:pos="709"/>
          <w:tab w:val="left" w:pos="709" w:leader="none"/>
        </w:tabs>
        <w:bidi w:val="0"/>
        <w:ind w:hanging="283" w:start="709"/>
        <w:jc w:val="start"/>
        <w:rPr/>
      </w:pPr>
      <w:r>
        <w:rPr>
          <w:rStyle w:val="Strong"/>
        </w:rPr>
        <w:t>Common Mistakes:</w:t>
      </w:r>
      <w:r>
        <w:rPr/>
        <w:t xml:space="preserve"> Failing to have the </w:t>
      </w:r>
      <w:r>
        <w:rPr>
          <w:rStyle w:val="Strong"/>
        </w:rPr>
        <w:t>owner personally sign</w:t>
      </w:r>
      <w:r>
        <w:rPr/>
        <w:t xml:space="preserve"> the NOC is a mistake; however, if an owner permits someone else (like a contractor) to sign on their behalf, the NOC may still be effective </w:t>
      </w:r>
      <w:r>
        <w:rPr>
          <w:rStyle w:val="Strong"/>
        </w:rPr>
        <w:t>so long as no interested party is adversely affected</w:t>
      </w:r>
      <w:hyperlink r:id="rId44" w:anchor=":~:text=Accordingly%2C%20we%20hold%20that%20a,lender%20on%20this%20basis%20was" w:tgtFrame="_blank">
        <w:r>
          <w:rPr>
            <w:rStyle w:val="Hyperlink"/>
          </w:rPr>
          <w:t>caselaw.findlaw.com</w:t>
        </w:r>
      </w:hyperlink>
      <w:r>
        <w:rPr/>
        <w:t>. The owner’s inaction here (not correcting or terminating the NOC) was critical – it implied authorization. The lender’s mistake was not recognizing the first NOC’s existence/priority; prudent lenders should check for any prior NOCs and insist on proper termination or releases to avoid subordinate liens</w:t>
      </w:r>
      <w:hyperlink r:id="rId45" w:anchor=":~:text=the%20lienor%20to%20properly%20mail,4" w:tgtFrame="_blank">
        <w:r>
          <w:rPr>
            <w:rStyle w:val="Hyperlink"/>
          </w:rPr>
          <w:t>caselaw.findlaw.com</w:t>
        </w:r>
      </w:hyperlink>
      <w:hyperlink r:id="rId46" w:anchor=":~:text=MHB%20was%20in%20the%20best,costs%20in%20the%20underlying%20action" w:tgtFrame="_blank">
        <w:r>
          <w:rPr>
            <w:rStyle w:val="Hyperlink"/>
          </w:rPr>
          <w:t>caselaw.findlaw.com</w:t>
        </w:r>
      </w:hyperlink>
      <w:r>
        <w:rPr/>
        <w:t>.</w:t>
      </w:r>
    </w:p>
    <w:p>
      <w:pPr>
        <w:pStyle w:val="BodyText"/>
        <w:numPr>
          <w:ilvl w:val="0"/>
          <w:numId w:val="1"/>
        </w:numPr>
        <w:tabs>
          <w:tab w:val="clear" w:pos="709"/>
          <w:tab w:val="left" w:pos="709" w:leader="none"/>
        </w:tabs>
        <w:bidi w:val="0"/>
        <w:ind w:hanging="283" w:start="709"/>
        <w:jc w:val="start"/>
        <w:rPr/>
      </w:pPr>
      <w:r>
        <w:rPr>
          <w:rStyle w:val="Strong"/>
        </w:rPr>
        <w:t>Impact:</w:t>
      </w:r>
      <w:r>
        <w:rPr/>
        <w:t xml:space="preserve"> This decision preserves lien priority for subcontractors even when the NOC is technically imperfect, preventing owners or third parties from using minor NOC defects as a </w:t>
      </w:r>
      <w:r>
        <w:rPr>
          <w:rStyle w:val="Strong"/>
        </w:rPr>
        <w:t>“sword” against lienors who did everything else right</w:t>
      </w:r>
      <w:hyperlink r:id="rId47" w:anchor=":~:text=nullity%2C%20per%20se%2C%20in%20a,and%20remand%20for%20further%20proceedings" w:tgtFrame="_blank">
        <w:r>
          <w:rPr>
            <w:rStyle w:val="Hyperlink"/>
            <w:b/>
            <w:b/>
            <w:bCs/>
          </w:rPr>
          <w:t>caselaw.findlaw.com</w:t>
        </w:r>
      </w:hyperlink>
      <w:r>
        <w:rPr/>
        <w:t xml:space="preserve">. It clarifies that the </w:t>
      </w:r>
      <w:r>
        <w:rPr>
          <w:rStyle w:val="Strong"/>
        </w:rPr>
        <w:t>lien’s relation-back under §713.07(2) will apply</w:t>
      </w:r>
      <w:r>
        <w:rPr/>
        <w:t xml:space="preserve"> if the NOC substantially complies, thus upholding contract rights and payment expectations of subs and suppliers. Owners and lenders, on the other hand, are reminded that noncompliance with NOC formalities can jeopardize their interests (e.g. a lender’s mortgage priority)</w:t>
      </w:r>
      <w:hyperlink r:id="rId48" w:anchor=":~:text=In%20reaching%20its%20conclusion%2C%20the,the%20notice%20of%20commencement%20where" w:tgtFrame="_blank">
        <w:r>
          <w:rPr>
            <w:rStyle w:val="Hyperlink"/>
          </w:rPr>
          <w:t>caselaw.findlaw.com</w:t>
        </w:r>
      </w:hyperlink>
      <w:hyperlink r:id="rId49" w:anchor=":~:text=the%20lienor%20to%20properly%20mail,4" w:tgtFrame="_blank">
        <w:r>
          <w:rPr>
            <w:rStyle w:val="Hyperlink"/>
          </w:rPr>
          <w:t>caselaw.findlaw.com</w:t>
        </w:r>
      </w:hyperlink>
      <w:r>
        <w:rPr/>
        <w:t>.</w:t>
      </w:r>
    </w:p>
    <w:p>
      <w:pPr>
        <w:pStyle w:val="BodyText"/>
        <w:bidi w:val="0"/>
        <w:jc w:val="start"/>
        <w:rPr/>
      </w:pPr>
      <w:r>
        <w:rPr>
          <w:rStyle w:val="Strong"/>
        </w:rPr>
        <w:t>Sasso Air Conditioning, Inc. v. United Cos. Lending Corp.</w:t>
      </w:r>
      <w:r>
        <w:rPr/>
        <w:t xml:space="preserve">, 742 So.2d 468 (Fla. 4th DCA 1999) – </w:t>
      </w:r>
      <w:r>
        <w:rPr>
          <w:rStyle w:val="Emphasis"/>
        </w:rPr>
        <w:t>Residential construction (subcontractor vs. bank).</w:t>
      </w:r>
    </w:p>
    <w:p>
      <w:pPr>
        <w:pStyle w:val="BodyText"/>
        <w:numPr>
          <w:ilvl w:val="0"/>
          <w:numId w:val="2"/>
        </w:numPr>
        <w:tabs>
          <w:tab w:val="clear" w:pos="709"/>
          <w:tab w:val="left" w:pos="709" w:leader="none"/>
        </w:tabs>
        <w:bidi w:val="0"/>
        <w:ind w:hanging="283" w:start="709"/>
        <w:jc w:val="start"/>
        <w:rPr/>
      </w:pPr>
      <w:r>
        <w:rPr>
          <w:rStyle w:val="Strong"/>
        </w:rPr>
        <w:t>Parties:</w:t>
      </w:r>
      <w:r>
        <w:rPr/>
        <w:t xml:space="preserve"> A subcontractor (Sasso Air Conditioning) placed a lien for unpaid work, and a bank (mortgagee) contested that lien’s priority. The property was co-owned (a husband and wife), and the bank held a mortgage recorded after construction began.</w:t>
      </w:r>
    </w:p>
    <w:p>
      <w:pPr>
        <w:pStyle w:val="BodyText"/>
        <w:numPr>
          <w:ilvl w:val="0"/>
          <w:numId w:val="2"/>
        </w:numPr>
        <w:tabs>
          <w:tab w:val="clear" w:pos="709"/>
          <w:tab w:val="left" w:pos="709" w:leader="none"/>
        </w:tabs>
        <w:bidi w:val="0"/>
        <w:ind w:hanging="283" w:start="709"/>
        <w:jc w:val="start"/>
        <w:rPr/>
      </w:pPr>
      <w:r>
        <w:rPr>
          <w:rStyle w:val="Strong"/>
        </w:rPr>
        <w:t>NOC Issue:</w:t>
      </w:r>
      <w:r>
        <w:rPr/>
        <w:t xml:space="preserve"> The NOC for the project was recorded by the general contractor </w:t>
      </w:r>
      <w:r>
        <w:rPr>
          <w:rStyle w:val="Strong"/>
        </w:rPr>
        <w:t>before the bank’s mortgage</w:t>
      </w:r>
      <w:r>
        <w:rPr/>
        <w:t xml:space="preserve">, but it had technical defects – it was </w:t>
      </w:r>
      <w:r>
        <w:rPr>
          <w:rStyle w:val="Strong"/>
        </w:rPr>
        <w:t>not signed by all owners</w:t>
      </w:r>
      <w:r>
        <w:rPr/>
        <w:t xml:space="preserve"> (only one spouse signed) and the subcontractor’s name was not listed on the NOC</w:t>
      </w:r>
      <w:hyperlink r:id="rId50" w:anchor=":~:text=sought%20to%20foreclose%20its%20mortgage,%E2%80%9Cno%20practical%20way%20to%20protect" w:tgtFrame="_blank">
        <w:r>
          <w:rPr>
            <w:rStyle w:val="Hyperlink"/>
          </w:rPr>
          <w:t>caselaw.findlaw.com</w:t>
        </w:r>
      </w:hyperlink>
      <w:r>
        <w:rPr/>
        <w:t xml:space="preserve"> (note: subcontractors are generally not listed on an NOC form, so the bank may have been grasping at any irregularity). The bank argued these defects made the NOC invalid, so the subcontractor’s lien should not relate back to the NOC date</w:t>
      </w:r>
      <w:hyperlink r:id="rId51" w:anchor=":~:text=sought%20to%20foreclose%20its%20mortgage,%E2%80%9Cno%20practical%20way%20to%20protect" w:tgtFrame="_blank">
        <w:r>
          <w:rPr>
            <w:rStyle w:val="Hyperlink"/>
          </w:rPr>
          <w:t>caselaw.findlaw.com</w:t>
        </w:r>
      </w:hyperlink>
      <w:r>
        <w:rPr/>
        <w:t>.</w:t>
      </w:r>
    </w:p>
    <w:p>
      <w:pPr>
        <w:pStyle w:val="BodyText"/>
        <w:numPr>
          <w:ilvl w:val="0"/>
          <w:numId w:val="2"/>
        </w:numPr>
        <w:tabs>
          <w:tab w:val="clear" w:pos="709"/>
          <w:tab w:val="left" w:pos="709" w:leader="none"/>
        </w:tabs>
        <w:bidi w:val="0"/>
        <w:ind w:hanging="283" w:start="709"/>
        <w:jc w:val="start"/>
        <w:rPr/>
      </w:pPr>
      <w:r>
        <w:rPr>
          <w:rStyle w:val="Strong"/>
        </w:rPr>
        <w:t>Outcome:</w:t>
      </w:r>
      <w:r>
        <w:rPr/>
        <w:t xml:space="preserve"> The Fourth DCA ruled </w:t>
      </w:r>
      <w:r>
        <w:rPr>
          <w:rStyle w:val="Strong"/>
        </w:rPr>
        <w:t>in favor of the subcontractor</w:t>
      </w:r>
      <w:r>
        <w:rPr/>
        <w:t>, holding that the NOC remained effective for lien-priority purposes despite the missing owner signature(s)</w:t>
      </w:r>
      <w:hyperlink r:id="rId52" w:anchor=":~:text=general%20contractor%20that%20was%20recorded,law%20does%20not%20require%20every" w:tgtFrame="_blank">
        <w:r>
          <w:rPr>
            <w:rStyle w:val="Hyperlink"/>
          </w:rPr>
          <w:t>caselaw.findlaw.com</w:t>
        </w:r>
      </w:hyperlink>
      <w:hyperlink r:id="rId53" w:anchor=":~:text=the%20notice%20is%20true%20and,at%20470" w:tgtFrame="_blank">
        <w:r>
          <w:rPr>
            <w:rStyle w:val="Hyperlink"/>
          </w:rPr>
          <w:t>caselaw.findlaw.com</w:t>
        </w:r>
      </w:hyperlink>
      <w:r>
        <w:rPr/>
        <w:t>. The subcontractor’s lien was allowed to relate back ahead of the bank’s mortgage. Summary judgment for the bank was reversed and directed in favor of the subcontractor</w:t>
      </w:r>
      <w:hyperlink r:id="rId54" w:anchor=":~:text=In%20reaching%20its%20conclusion%2C%20the,the%20notice%20of%20commencement%20where" w:tgtFrame="_blank">
        <w:r>
          <w:rPr>
            <w:rStyle w:val="Hyperlink"/>
          </w:rPr>
          <w:t>caselaw.findlaw.com</w:t>
        </w:r>
      </w:hyperlink>
      <w:r>
        <w:rPr/>
        <w:t>.</w:t>
      </w:r>
    </w:p>
    <w:p>
      <w:pPr>
        <w:pStyle w:val="BodyText"/>
        <w:numPr>
          <w:ilvl w:val="0"/>
          <w:numId w:val="2"/>
        </w:numPr>
        <w:tabs>
          <w:tab w:val="clear" w:pos="709"/>
          <w:tab w:val="left" w:pos="709" w:leader="none"/>
        </w:tabs>
        <w:bidi w:val="0"/>
        <w:ind w:hanging="283" w:start="709"/>
        <w:jc w:val="start"/>
        <w:rPr/>
      </w:pPr>
      <w:r>
        <w:rPr>
          <w:rStyle w:val="Strong"/>
        </w:rPr>
        <w:t>Rationale:</w:t>
      </w:r>
      <w:r>
        <w:rPr/>
        <w:t xml:space="preserve"> The court reasoned that the duty to ensure a proper NOC (including obtaining all owners’ signatures) lies with the owner, not the lienor</w:t>
      </w:r>
      <w:hyperlink r:id="rId55" w:anchor=":~:text=to%20the%20void%20notice%20of,had%20no%20control%2C%20failed%20to" w:tgtFrame="_blank">
        <w:r>
          <w:rPr>
            <w:rStyle w:val="Hyperlink"/>
          </w:rPr>
          <w:t>caselaw.findlaw.com</w:t>
        </w:r>
      </w:hyperlink>
      <w:r>
        <w:rPr/>
        <w:t xml:space="preserve">. A subcontractor has </w:t>
      </w:r>
      <w:r>
        <w:rPr>
          <w:rStyle w:val="Strong"/>
        </w:rPr>
        <w:t>“no practical way to protect itself”</w:t>
      </w:r>
      <w:r>
        <w:rPr/>
        <w:t xml:space="preserve"> or verify ownership details – </w:t>
      </w:r>
      <w:r>
        <w:rPr>
          <w:rStyle w:val="Emphasis"/>
        </w:rPr>
        <w:t>“the law does not require every contractor to conduct a title search to verify that the information contained in the notice is true and correct”</w:t>
      </w:r>
      <w:hyperlink r:id="rId56" w:anchor=":~:text=to%20the%20void%20notice%20of,had%20no%20control%2C%20failed%20to" w:tgtFrame="_blank">
        <w:r>
          <w:rPr>
            <w:rStyle w:val="Hyperlink"/>
          </w:rPr>
          <w:t>caselaw.findlaw.com</w:t>
        </w:r>
      </w:hyperlink>
      <w:r>
        <w:rPr/>
        <w:t>. As long as the NOC appears regular and the lienor relied on it in good faith, the lienor should not be punished for an owner’s omission</w:t>
      </w:r>
      <w:hyperlink r:id="rId57" w:anchor=":~:text=is%20on%20the%20owner%2C%20whereas,at%20470" w:tgtFrame="_blank">
        <w:r>
          <w:rPr>
            <w:rStyle w:val="Hyperlink"/>
          </w:rPr>
          <w:t>caselaw.findlaw.com</w:t>
        </w:r>
      </w:hyperlink>
      <w:r>
        <w:rPr/>
        <w:t>. Importantly, the court noted it would be inequitable to “permit the lienor to lose its protection and the value of its labor” due to an owner’s failure to complete some detail on the NOC</w:t>
      </w:r>
      <w:hyperlink r:id="rId58" w:anchor=":~:text=regular%20and%20complete%20in%20all,at%20470" w:tgtFrame="_blank">
        <w:r>
          <w:rPr>
            <w:rStyle w:val="Hyperlink"/>
          </w:rPr>
          <w:t>caselaw.findlaw.com</w:t>
        </w:r>
      </w:hyperlink>
      <w:r>
        <w:rPr/>
        <w:t xml:space="preserve">. The 4th DCA also pointed out that the </w:t>
      </w:r>
      <w:r>
        <w:rPr>
          <w:rStyle w:val="Strong"/>
        </w:rPr>
        <w:t>bank was in the best position to protect itself</w:t>
      </w:r>
      <w:r>
        <w:rPr/>
        <w:t xml:space="preserve"> – a proper title search would have revealed the recorded NOC before the bank made the loan</w:t>
      </w:r>
      <w:hyperlink r:id="rId59" w:anchor=":~:text=In%20reaching%20its%20conclusion%2C%20the,the%20notice%20of%20commencement%20where" w:tgtFrame="_blank">
        <w:r>
          <w:rPr>
            <w:rStyle w:val="Hyperlink"/>
          </w:rPr>
          <w:t>caselaw.findlaw.com</w:t>
        </w:r>
      </w:hyperlink>
      <w:r>
        <w:rPr/>
        <w:t xml:space="preserve">. The bank should not “benefit from a defect” that it easily could have discovered, especially when it was </w:t>
      </w:r>
      <w:r>
        <w:rPr>
          <w:rStyle w:val="Strong"/>
        </w:rPr>
        <w:t>“the party who was most able to protect itself from loss”</w:t>
      </w:r>
      <w:hyperlink r:id="rId60" w:anchor=":~:text=In%20reaching%20its%20conclusion%2C%20the,the%20notice%20of%20commencement%20where" w:tgtFrame="_blank">
        <w:r>
          <w:rPr>
            <w:rStyle w:val="Hyperlink"/>
          </w:rPr>
          <w:t>caselaw.findlaw.com</w:t>
        </w:r>
      </w:hyperlink>
      <w:r>
        <w:rPr/>
        <w:t xml:space="preserve">. In sum, the NOC was in </w:t>
      </w:r>
      <w:r>
        <w:rPr>
          <w:rStyle w:val="Strong"/>
        </w:rPr>
        <w:t>substantial compliance</w:t>
      </w:r>
      <w:r>
        <w:rPr/>
        <w:t>, and the subcontractor met all other lien requirements, so the lien’s priority was preserved</w:t>
      </w:r>
      <w:hyperlink r:id="rId61" w:anchor=":~:text=Accordingly%2C%20the%20court%20reversed%20the,71" w:tgtFrame="_blank">
        <w:r>
          <w:rPr>
            <w:rStyle w:val="Hyperlink"/>
          </w:rPr>
          <w:t>caselaw.findlaw.com</w:t>
        </w:r>
      </w:hyperlink>
      <w:r>
        <w:rPr/>
        <w:t>.</w:t>
      </w:r>
    </w:p>
    <w:p>
      <w:pPr>
        <w:pStyle w:val="BodyText"/>
        <w:numPr>
          <w:ilvl w:val="0"/>
          <w:numId w:val="2"/>
        </w:numPr>
        <w:tabs>
          <w:tab w:val="clear" w:pos="709"/>
          <w:tab w:val="left" w:pos="709" w:leader="none"/>
        </w:tabs>
        <w:bidi w:val="0"/>
        <w:ind w:hanging="283" w:start="709"/>
        <w:jc w:val="start"/>
        <w:rPr/>
      </w:pPr>
      <w:r>
        <w:rPr>
          <w:rStyle w:val="Strong"/>
        </w:rPr>
        <w:t>Common Mistakes:</w:t>
      </w:r>
      <w:r>
        <w:rPr/>
        <w:t xml:space="preserve"> Not having </w:t>
      </w:r>
      <w:r>
        <w:rPr>
          <w:rStyle w:val="Strong"/>
        </w:rPr>
        <w:t>all co-owners sign</w:t>
      </w:r>
      <w:r>
        <w:rPr/>
        <w:t xml:space="preserve"> the NOC is a frequent mistake in residential projects (e.g., one spouse signs for both). </w:t>
      </w:r>
      <w:r>
        <w:rPr>
          <w:rStyle w:val="Emphasis"/>
        </w:rPr>
        <w:t>Sasso</w:t>
      </w:r>
      <w:r>
        <w:rPr/>
        <w:t xml:space="preserve"> confirms that such an oversight will not invalidate lien rights of those who rely on the NOC – but it could have been avoided by ensuring every titled owner executed the document. Another mistake highlighted is the </w:t>
      </w:r>
      <w:r>
        <w:rPr>
          <w:rStyle w:val="Strong"/>
        </w:rPr>
        <w:t>bank’s failure to catch title discrepancies</w:t>
      </w:r>
      <w:r>
        <w:rPr/>
        <w:t xml:space="preserve"> – lenders should always verify that an NOC is properly executed by the true owner(s) before funding, as they may otherwise lose priority</w:t>
      </w:r>
      <w:hyperlink r:id="rId62" w:anchor=":~:text=In%20reaching%20its%20conclusion%2C%20the,the%20notice%20of%20commencement%20where" w:tgtFrame="_blank">
        <w:r>
          <w:rPr>
            <w:rStyle w:val="Hyperlink"/>
          </w:rPr>
          <w:t>caselaw.findlaw.com</w:t>
        </w:r>
      </w:hyperlink>
      <w:r>
        <w:rPr/>
        <w:t>.</w:t>
      </w:r>
    </w:p>
    <w:p>
      <w:pPr>
        <w:pStyle w:val="BodyText"/>
        <w:numPr>
          <w:ilvl w:val="0"/>
          <w:numId w:val="2"/>
        </w:numPr>
        <w:tabs>
          <w:tab w:val="clear" w:pos="709"/>
          <w:tab w:val="left" w:pos="709" w:leader="none"/>
        </w:tabs>
        <w:bidi w:val="0"/>
        <w:ind w:hanging="283" w:start="709"/>
        <w:jc w:val="start"/>
        <w:rPr/>
      </w:pPr>
      <w:r>
        <w:rPr>
          <w:rStyle w:val="Strong"/>
        </w:rPr>
        <w:t>Impact on Liens:</w:t>
      </w:r>
      <w:r>
        <w:rPr/>
        <w:t xml:space="preserve"> This case established that minor NOC execution errors (like a missing signature) do </w:t>
      </w:r>
      <w:r>
        <w:rPr>
          <w:rStyle w:val="Strong"/>
        </w:rPr>
        <w:t>not automatically void an NOC</w:t>
      </w:r>
      <w:r>
        <w:rPr/>
        <w:t xml:space="preserve"> as against lienors. It set a precedent (later followed by </w:t>
      </w:r>
      <w:r>
        <w:rPr>
          <w:rStyle w:val="Emphasis"/>
        </w:rPr>
        <w:t>Edwin Taylor Corp.</w:t>
      </w:r>
      <w:r>
        <w:rPr/>
        <w:t xml:space="preserve"> above) that </w:t>
      </w:r>
      <w:r>
        <w:rPr>
          <w:rStyle w:val="Strong"/>
        </w:rPr>
        <w:t>substantial compliance is sufficient</w:t>
      </w:r>
      <w:r>
        <w:rPr/>
        <w:t xml:space="preserve"> for NOCs</w:t>
      </w:r>
      <w:hyperlink r:id="rId63" w:anchor=":~:text=,in%20the%20Notice%20of%20Commencement" w:tgtFrame="_blank">
        <w:r>
          <w:rPr>
            <w:rStyle w:val="Hyperlink"/>
          </w:rPr>
          <w:t>taylordaylaw.com</w:t>
        </w:r>
      </w:hyperlink>
      <w:hyperlink r:id="rId64" w:anchor=":~:text=the%20notice%20is%20true%20and,at%20470" w:tgtFrame="_blank">
        <w:r>
          <w:rPr>
            <w:rStyle w:val="Hyperlink"/>
          </w:rPr>
          <w:t>caselaw.findlaw.com</w:t>
        </w:r>
      </w:hyperlink>
      <w:r>
        <w:rPr/>
        <w:t>. Liens can still be enforced and given full priority if the NOC’s purpose – providing notice and project information – was met. Owners cannot use their own slip-ups to dodge liability, and banks cannot seize on technicalities to leapfrog a lienor who improved the property</w:t>
      </w:r>
      <w:hyperlink r:id="rId65" w:anchor=":~:text=regular%20and%20complete%20in%20all,at%20470" w:tgtFrame="_blank">
        <w:r>
          <w:rPr>
            <w:rStyle w:val="Hyperlink"/>
          </w:rPr>
          <w:t>caselaw.findlaw.com</w:t>
        </w:r>
      </w:hyperlink>
      <w:r>
        <w:rPr/>
        <w:t>.</w:t>
      </w:r>
    </w:p>
    <w:p>
      <w:pPr>
        <w:pStyle w:val="BodyText"/>
        <w:bidi w:val="0"/>
        <w:jc w:val="start"/>
        <w:rPr/>
      </w:pPr>
      <w:r>
        <w:rPr>
          <w:rStyle w:val="Strong"/>
        </w:rPr>
        <w:t>Design Aluminum, Inc. v. DeSanti</w:t>
      </w:r>
      <w:r>
        <w:rPr/>
        <w:t xml:space="preserve">, 521 So.2d 285 (Fla. 2d DCA 1988) – </w:t>
      </w:r>
      <w:r>
        <w:rPr>
          <w:rStyle w:val="Emphasis"/>
        </w:rPr>
        <w:t>Residential renovation (material supplier vs. owner).</w:t>
      </w:r>
    </w:p>
    <w:p>
      <w:pPr>
        <w:pStyle w:val="BodyText"/>
        <w:numPr>
          <w:ilvl w:val="0"/>
          <w:numId w:val="3"/>
        </w:numPr>
        <w:tabs>
          <w:tab w:val="clear" w:pos="709"/>
          <w:tab w:val="left" w:pos="709" w:leader="none"/>
        </w:tabs>
        <w:bidi w:val="0"/>
        <w:ind w:hanging="283" w:start="709"/>
        <w:jc w:val="start"/>
        <w:rPr/>
      </w:pPr>
      <w:r>
        <w:rPr>
          <w:rStyle w:val="Strong"/>
        </w:rPr>
        <w:t>Parties:</w:t>
      </w:r>
      <w:r>
        <w:rPr/>
        <w:t xml:space="preserve"> A material supplier (Design Aluminum) sought to foreclose a lien for materials supplied to a home improvement project; the homeowner (DeSanti) defended against the lien.</w:t>
      </w:r>
    </w:p>
    <w:p>
      <w:pPr>
        <w:pStyle w:val="BodyText"/>
        <w:numPr>
          <w:ilvl w:val="0"/>
          <w:numId w:val="3"/>
        </w:numPr>
        <w:tabs>
          <w:tab w:val="clear" w:pos="709"/>
          <w:tab w:val="left" w:pos="709" w:leader="none"/>
        </w:tabs>
        <w:bidi w:val="0"/>
        <w:ind w:hanging="283" w:start="709"/>
        <w:jc w:val="start"/>
        <w:rPr/>
      </w:pPr>
      <w:r>
        <w:rPr>
          <w:rStyle w:val="Strong"/>
        </w:rPr>
        <w:t>NOC Issue:</w:t>
      </w:r>
      <w:r>
        <w:rPr/>
        <w:t xml:space="preserve"> The case centered on an </w:t>
      </w:r>
      <w:r>
        <w:rPr>
          <w:rStyle w:val="Strong"/>
        </w:rPr>
        <w:t>inaccuracy in the NOC’s information</w:t>
      </w:r>
      <w:r>
        <w:rPr/>
        <w:t>. The owner had recorded an NOC, but some detail (likely the owner’s name or address) was erroneous. The supplier’s required Notice to Owner was sent based on the faulty NOC information, raising the question of who bears responsibility for the error.</w:t>
      </w:r>
    </w:p>
    <w:p>
      <w:pPr>
        <w:pStyle w:val="BodyText"/>
        <w:numPr>
          <w:ilvl w:val="0"/>
          <w:numId w:val="3"/>
        </w:numPr>
        <w:tabs>
          <w:tab w:val="clear" w:pos="709"/>
          <w:tab w:val="left" w:pos="709" w:leader="none"/>
        </w:tabs>
        <w:bidi w:val="0"/>
        <w:ind w:hanging="283" w:start="709"/>
        <w:jc w:val="start"/>
        <w:rPr/>
      </w:pPr>
      <w:r>
        <w:rPr>
          <w:rStyle w:val="Strong"/>
        </w:rPr>
        <w:t>Outcome &amp; Precedent:</w:t>
      </w:r>
      <w:r>
        <w:rPr/>
        <w:t xml:space="preserve"> The Second DCA held that the </w:t>
      </w:r>
      <w:r>
        <w:rPr>
          <w:rStyle w:val="Strong"/>
        </w:rPr>
        <w:t>owner bears the burden of ensuring the NOC is accurate</w:t>
      </w:r>
      <w:r>
        <w:rPr/>
        <w:t xml:space="preserve">, and the </w:t>
      </w:r>
      <w:r>
        <w:rPr>
          <w:rStyle w:val="Strong"/>
        </w:rPr>
        <w:t>“risk of any errors in the Notice of Commencement [falls] squarely on the shoulders of the owners.”</w:t>
      </w:r>
      <w:hyperlink r:id="rId66" w:anchor=":~:text=stead,to%20shift%20this%20risk%20to" w:tgtFrame="_blank">
        <w:r>
          <w:rPr>
            <w:rStyle w:val="Hyperlink"/>
          </w:rPr>
          <w:t>caselaw.findlaw.com</w:t>
        </w:r>
      </w:hyperlink>
      <w:r>
        <w:rPr/>
        <w:t>. It explicitly found no legal basis to shift that burden to lienors</w:t>
      </w:r>
      <w:hyperlink r:id="rId67" w:anchor=":~:text=,the%20lack%20of%20authority%20for" w:tgtFrame="_blank">
        <w:r>
          <w:rPr>
            <w:rStyle w:val="Hyperlink"/>
          </w:rPr>
          <w:t>caselaw.findlaw.com</w:t>
        </w:r>
      </w:hyperlink>
      <w:r>
        <w:rPr/>
        <w:t xml:space="preserve">. Accordingly, a lienor’s rights will not be defeated due to misinformation in an NOC that the lienor relied upon. The lien in </w:t>
      </w:r>
      <w:r>
        <w:rPr>
          <w:rStyle w:val="Emphasis"/>
        </w:rPr>
        <w:t>Design Aluminum</w:t>
      </w:r>
      <w:r>
        <w:rPr/>
        <w:t xml:space="preserve"> was upheld, with the court noting that the lienor had </w:t>
      </w:r>
      <w:r>
        <w:rPr>
          <w:rStyle w:val="Strong"/>
        </w:rPr>
        <w:t>no duty to independently verify</w:t>
      </w:r>
      <w:r>
        <w:rPr/>
        <w:t xml:space="preserve"> the NOC’s contents</w:t>
      </w:r>
      <w:hyperlink r:id="rId68" w:anchor=":~:text=,the%20lack%20of%20authority%20for" w:tgtFrame="_blank">
        <w:r>
          <w:rPr>
            <w:rStyle w:val="Hyperlink"/>
          </w:rPr>
          <w:t>caselaw.findlaw.com</w:t>
        </w:r>
      </w:hyperlink>
      <w:r>
        <w:rPr/>
        <w:t xml:space="preserve">. This decision is frequently cited to affirm that </w:t>
      </w:r>
      <w:r>
        <w:rPr>
          <w:rStyle w:val="Strong"/>
        </w:rPr>
        <w:t>lienors are entitled to rely on a recorded NOC</w:t>
      </w:r>
      <w:r>
        <w:rPr/>
        <w:t xml:space="preserve"> and that owners must shoulder the consequences of mistakes in that document</w:t>
      </w:r>
      <w:hyperlink r:id="rId69" w:anchor=":~:text=stead,to%20shift%20this%20risk%20to" w:tgtFrame="_blank">
        <w:r>
          <w:rPr>
            <w:rStyle w:val="Hyperlink"/>
          </w:rPr>
          <w:t>caselaw.findlaw.com</w:t>
        </w:r>
      </w:hyperlink>
      <w:hyperlink r:id="rId70" w:anchor=":~:text=,the%20lack%20of%20authority%20for" w:tgtFrame="_blank">
        <w:r>
          <w:rPr>
            <w:rStyle w:val="Hyperlink"/>
          </w:rPr>
          <w:t>caselaw.findlaw.com</w:t>
        </w:r>
      </w:hyperlink>
      <w:r>
        <w:rPr/>
        <w:t>.</w:t>
      </w:r>
    </w:p>
    <w:p>
      <w:pPr>
        <w:pStyle w:val="BodyText"/>
        <w:numPr>
          <w:ilvl w:val="0"/>
          <w:numId w:val="3"/>
        </w:numPr>
        <w:tabs>
          <w:tab w:val="clear" w:pos="709"/>
          <w:tab w:val="left" w:pos="709" w:leader="none"/>
        </w:tabs>
        <w:bidi w:val="0"/>
        <w:ind w:hanging="283" w:start="709"/>
        <w:jc w:val="start"/>
        <w:rPr/>
      </w:pPr>
      <w:r>
        <w:rPr>
          <w:rStyle w:val="Strong"/>
        </w:rPr>
        <w:t>Common Mistakes:</w:t>
      </w:r>
      <w:r>
        <w:rPr/>
        <w:t xml:space="preserve"> Providing </w:t>
      </w:r>
      <w:r>
        <w:rPr>
          <w:rStyle w:val="Strong"/>
        </w:rPr>
        <w:t>incorrect information</w:t>
      </w:r>
      <w:r>
        <w:rPr/>
        <w:t xml:space="preserve"> on the NOC (e.g., wrong legal description, owner name, or address for notices) is a critical error by owners. </w:t>
      </w:r>
      <w:r>
        <w:rPr>
          <w:rStyle w:val="Emphasis"/>
        </w:rPr>
        <w:t>Design Aluminum</w:t>
      </w:r>
      <w:r>
        <w:rPr/>
        <w:t xml:space="preserve"> illustrates that while such mistakes may not invalidate liens, they can lead to </w:t>
      </w:r>
      <w:r>
        <w:rPr>
          <w:rStyle w:val="Strong"/>
        </w:rPr>
        <w:t>disputes and delays</w:t>
      </w:r>
      <w:r>
        <w:rPr/>
        <w:t>. Owners should double-check all NOC details (and amend the NOC if an error is discovered) to avoid estoppel arguments or confusion. Lienors, for their part, should document that they followed the NOC as recorded – any error-induced missteps (like sending notice to a wrong address given in the NOC) can then be excused by the court</w:t>
      </w:r>
      <w:hyperlink r:id="rId71" w:anchor=":~:text=stead,to%20shift%20this%20risk%20to" w:tgtFrame="_blank">
        <w:r>
          <w:rPr>
            <w:rStyle w:val="Hyperlink"/>
          </w:rPr>
          <w:t>caselaw.findlaw.com</w:t>
        </w:r>
      </w:hyperlink>
      <w:hyperlink r:id="rId72" w:anchor=":~:text=3,which%20the%20owner%20took%20title" w:tgtFrame="_blank">
        <w:r>
          <w:rPr>
            <w:rStyle w:val="Hyperlink"/>
          </w:rPr>
          <w:t>caselaw.findlaw.com</w:t>
        </w:r>
      </w:hyperlink>
      <w:r>
        <w:rPr/>
        <w:t>.</w:t>
      </w:r>
    </w:p>
    <w:p>
      <w:pPr>
        <w:pStyle w:val="BodyText"/>
        <w:numPr>
          <w:ilvl w:val="0"/>
          <w:numId w:val="3"/>
        </w:numPr>
        <w:tabs>
          <w:tab w:val="clear" w:pos="709"/>
          <w:tab w:val="left" w:pos="709" w:leader="none"/>
        </w:tabs>
        <w:bidi w:val="0"/>
        <w:ind w:hanging="283" w:start="709"/>
        <w:jc w:val="start"/>
        <w:rPr/>
      </w:pPr>
      <w:r>
        <w:rPr>
          <w:rStyle w:val="Strong"/>
        </w:rPr>
        <w:t>Impact:</w:t>
      </w:r>
      <w:r>
        <w:rPr/>
        <w:t xml:space="preserve"> This case solidified a pro-lienor interpretation of NOC duties. It serves as a warning to owners that an NOC is not a mere formality – inaccuracies can come back to haunt the owner, as courts will not allow an owner to use its own error as a shield against paying for improvements. Practically, </w:t>
      </w:r>
      <w:r>
        <w:rPr>
          <w:rStyle w:val="Emphasis"/>
        </w:rPr>
        <w:t>Design Aluminum</w:t>
      </w:r>
      <w:r>
        <w:rPr/>
        <w:t xml:space="preserve"> encourages owners (or their agents) to exercise care in preparing NOCs, and reassures lienors that </w:t>
      </w:r>
      <w:r>
        <w:rPr>
          <w:rStyle w:val="Strong"/>
        </w:rPr>
        <w:t>good-faith reliance on NOC information</w:t>
      </w:r>
      <w:r>
        <w:rPr/>
        <w:t xml:space="preserve"> will protect their lien claims</w:t>
      </w:r>
      <w:hyperlink r:id="rId73" w:anchor=":~:text=,the%20lack%20of%20authority%20for" w:tgtFrame="_blank">
        <w:r>
          <w:rPr>
            <w:rStyle w:val="Hyperlink"/>
          </w:rPr>
          <w:t>caselaw.findlaw.com</w:t>
        </w:r>
      </w:hyperlink>
      <w:r>
        <w:rPr/>
        <w:t>.</w:t>
      </w:r>
    </w:p>
    <w:p>
      <w:pPr>
        <w:pStyle w:val="BodyText"/>
        <w:bidi w:val="0"/>
        <w:jc w:val="start"/>
        <w:rPr/>
      </w:pPr>
      <w:r>
        <w:rPr>
          <w:rStyle w:val="Strong"/>
        </w:rPr>
        <w:t>Napolitano v. Security First Fed. Sav. &amp; Loan Ass’n</w:t>
      </w:r>
      <w:r>
        <w:rPr/>
        <w:t xml:space="preserve">, 533 So.2d 948 (Fla. 5th DCA 1988) – </w:t>
      </w:r>
      <w:r>
        <w:rPr>
          <w:rStyle w:val="Emphasis"/>
        </w:rPr>
        <w:t>Residential construction loan (owner vs. lender).</w:t>
      </w:r>
    </w:p>
    <w:p>
      <w:pPr>
        <w:pStyle w:val="BodyText"/>
        <w:numPr>
          <w:ilvl w:val="0"/>
          <w:numId w:val="4"/>
        </w:numPr>
        <w:tabs>
          <w:tab w:val="clear" w:pos="709"/>
          <w:tab w:val="left" w:pos="709" w:leader="none"/>
        </w:tabs>
        <w:bidi w:val="0"/>
        <w:ind w:hanging="283" w:start="709"/>
        <w:jc w:val="start"/>
        <w:rPr/>
      </w:pPr>
      <w:r>
        <w:rPr>
          <w:rStyle w:val="Strong"/>
        </w:rPr>
        <w:t>Parties:</w:t>
      </w:r>
      <w:r>
        <w:rPr/>
        <w:t xml:space="preserve"> A property owner (Napolitano) versus a construction lender (Security First F.S.L.A.). The owner had a construction loan to build a home, and the lender was responsible for certain aspects of the project’s administration.</w:t>
      </w:r>
    </w:p>
    <w:p>
      <w:pPr>
        <w:pStyle w:val="BodyText"/>
        <w:numPr>
          <w:ilvl w:val="0"/>
          <w:numId w:val="4"/>
        </w:numPr>
        <w:tabs>
          <w:tab w:val="clear" w:pos="709"/>
          <w:tab w:val="left" w:pos="709" w:leader="none"/>
        </w:tabs>
        <w:bidi w:val="0"/>
        <w:ind w:hanging="283" w:start="709"/>
        <w:jc w:val="start"/>
        <w:rPr/>
      </w:pPr>
      <w:r>
        <w:rPr>
          <w:rStyle w:val="Strong"/>
        </w:rPr>
        <w:t>NOC Issue:</w:t>
      </w:r>
      <w:r>
        <w:rPr/>
        <w:t xml:space="preserve"> The lender, acting as the owner’s </w:t>
      </w:r>
      <w:r>
        <w:rPr>
          <w:rStyle w:val="Strong"/>
        </w:rPr>
        <w:t>authorized agent</w:t>
      </w:r>
      <w:r>
        <w:rPr/>
        <w:t xml:space="preserve">, undertook to record the NOC but allegedly did so </w:t>
      </w:r>
      <w:r>
        <w:rPr>
          <w:rStyle w:val="Strong"/>
        </w:rPr>
        <w:t>improperly or untimely</w:t>
      </w:r>
      <w:r>
        <w:rPr/>
        <w:t>. (The branch manager admitted their practice was to record the NOC to protect the mortgage’s priority</w:t>
      </w:r>
      <w:hyperlink r:id="rId74" w:anchor=":~:text=Security%20First%27s%20branch%20manager%20stated,their%20mortgage%20interest%2C%20and" w:tgtFrame="_blank">
        <w:r>
          <w:rPr>
            <w:rStyle w:val="Hyperlink"/>
          </w:rPr>
          <w:t>descrybe.ai</w:t>
        </w:r>
      </w:hyperlink>
      <w:r>
        <w:rPr/>
        <w:t xml:space="preserve">.) A dispute arose about a </w:t>
      </w:r>
      <w:r>
        <w:rPr>
          <w:rStyle w:val="Strong"/>
        </w:rPr>
        <w:t>mistake in the NOC or a delay in recording</w:t>
      </w:r>
      <w:r>
        <w:rPr/>
        <w:t xml:space="preserve"> it, which affected lien priority or the owner’s exposure.</w:t>
      </w:r>
    </w:p>
    <w:p>
      <w:pPr>
        <w:pStyle w:val="BodyText"/>
        <w:numPr>
          <w:ilvl w:val="0"/>
          <w:numId w:val="4"/>
        </w:numPr>
        <w:tabs>
          <w:tab w:val="clear" w:pos="709"/>
          <w:tab w:val="left" w:pos="709" w:leader="none"/>
        </w:tabs>
        <w:bidi w:val="0"/>
        <w:ind w:hanging="283" w:start="709"/>
        <w:jc w:val="start"/>
        <w:rPr/>
      </w:pPr>
      <w:r>
        <w:rPr>
          <w:rStyle w:val="Strong"/>
        </w:rPr>
        <w:t>Outcome:</w:t>
      </w:r>
      <w:r>
        <w:rPr/>
        <w:t xml:space="preserve"> The Fifth DCA held that when a </w:t>
      </w:r>
      <w:r>
        <w:rPr>
          <w:rStyle w:val="Strong"/>
        </w:rPr>
        <w:t>lender</w:t>
      </w:r>
      <w:r>
        <w:rPr/>
        <w:t xml:space="preserve"> voluntarily takes on the task of recording the NOC on the owner’s behalf, the </w:t>
      </w:r>
      <w:r>
        <w:rPr>
          <w:rStyle w:val="Strong"/>
        </w:rPr>
        <w:t>lender assumes the owner’s statutory responsibility</w:t>
      </w:r>
      <w:r>
        <w:rPr/>
        <w:t xml:space="preserve">, and thus </w:t>
      </w:r>
      <w:r>
        <w:rPr>
          <w:rStyle w:val="Strong"/>
        </w:rPr>
        <w:t>any errors or delays by the lender are attributable to the lender</w:t>
      </w:r>
      <w:r>
        <w:rPr/>
        <w:t xml:space="preserve"> (and not to the detriment of the owner or lienors)</w:t>
      </w:r>
      <w:hyperlink r:id="rId75" w:anchor=":~:text=in%20the%20Notice%20of%20Commencement,only%20confirmed%20the%20contrary%E2%80%94the%20lienor" w:tgtFrame="_blank">
        <w:r>
          <w:rPr>
            <w:rStyle w:val="Hyperlink"/>
          </w:rPr>
          <w:t>caselaw.findlaw.com</w:t>
        </w:r>
      </w:hyperlink>
      <w:r>
        <w:rPr/>
        <w:t xml:space="preserve">. In fact, the court noted that Florida law is clear that a lender who fails to record the NOC properly or timely </w:t>
      </w:r>
      <w:r>
        <w:rPr>
          <w:rStyle w:val="Strong"/>
        </w:rPr>
        <w:t>“will be liable to the owner”</w:t>
      </w:r>
      <w:r>
        <w:rPr/>
        <w:t xml:space="preserve"> for any resulting losses</w:t>
      </w:r>
      <w:hyperlink r:id="rId76" w:anchor=":~:text=The%20Top%20Five%20Things%20Lenders,to%20the%20owner%20for" w:tgtFrame="_blank">
        <w:r>
          <w:rPr>
            <w:rStyle w:val="Hyperlink"/>
          </w:rPr>
          <w:t>jimersonfirm.com</w:t>
        </w:r>
      </w:hyperlink>
      <w:r>
        <w:rPr/>
        <w:t xml:space="preserve">. Napolitano reinforced that the agent (here, the lender) must strictly perform the owner’s duty – a NOC must be recorded </w:t>
      </w:r>
      <w:r>
        <w:rPr>
          <w:rStyle w:val="Strong"/>
        </w:rPr>
        <w:t>before construction begins</w:t>
      </w:r>
      <w:r>
        <w:rPr/>
        <w:t xml:space="preserve"> (no matter what internal loan contingencies remain) to preserve the intended priority</w:t>
      </w:r>
      <w:hyperlink r:id="rId77" w:anchor=":~:text=,the%20approval%20or%20recording" w:tgtFrame="_blank">
        <w:r>
          <w:rPr>
            <w:rStyle w:val="Hyperlink"/>
          </w:rPr>
          <w:t>courtlistener.com</w:t>
        </w:r>
      </w:hyperlink>
      <w:r>
        <w:rPr/>
        <w:t>.</w:t>
      </w:r>
    </w:p>
    <w:p>
      <w:pPr>
        <w:pStyle w:val="BodyText"/>
        <w:numPr>
          <w:ilvl w:val="0"/>
          <w:numId w:val="4"/>
        </w:numPr>
        <w:tabs>
          <w:tab w:val="clear" w:pos="709"/>
          <w:tab w:val="left" w:pos="709" w:leader="none"/>
        </w:tabs>
        <w:bidi w:val="0"/>
        <w:ind w:hanging="283" w:start="709"/>
        <w:jc w:val="start"/>
        <w:rPr/>
      </w:pPr>
      <w:r>
        <w:rPr>
          <w:rStyle w:val="Strong"/>
        </w:rPr>
        <w:t>Implications:</w:t>
      </w:r>
      <w:r>
        <w:rPr/>
        <w:t xml:space="preserve"> The case essentially shifts the </w:t>
      </w:r>
      <w:r>
        <w:rPr>
          <w:rStyle w:val="Strong"/>
        </w:rPr>
        <w:t>risk of NOC noncompliance onto lenders</w:t>
      </w:r>
      <w:r>
        <w:rPr/>
        <w:t xml:space="preserve"> when they undertake that role</w:t>
      </w:r>
      <w:hyperlink r:id="rId78" w:anchor=":~:text=in%20the%20Notice%20of%20Commencement,only%20confirmed%20the%20contrary%E2%80%94the%20lienor" w:tgtFrame="_blank">
        <w:r>
          <w:rPr>
            <w:rStyle w:val="Hyperlink"/>
          </w:rPr>
          <w:t>caselaw.findlaw.com</w:t>
        </w:r>
      </w:hyperlink>
      <w:r>
        <w:rPr/>
        <w:t xml:space="preserve">. A common mistake highlighted is </w:t>
      </w:r>
      <w:r>
        <w:rPr>
          <w:rStyle w:val="Strong"/>
        </w:rPr>
        <w:t>lender delay</w:t>
      </w:r>
      <w:r>
        <w:rPr/>
        <w:t xml:space="preserve"> – if a lender waits to record the NOC (for example, until after a mortgage is recorded or other conditions are met), it may inadvertently allow construction to start without an effective NOC, jeopardizing the mortgage’s priority. </w:t>
      </w:r>
      <w:r>
        <w:rPr>
          <w:rStyle w:val="Emphasis"/>
        </w:rPr>
        <w:t>Napolitano</w:t>
      </w:r>
      <w:r>
        <w:rPr/>
        <w:t xml:space="preserve"> warns that a lender in such a scenario could be held financially responsible for liens that gain priority or for the owner paying twice.</w:t>
      </w:r>
    </w:p>
    <w:p>
      <w:pPr>
        <w:pStyle w:val="BodyText"/>
        <w:numPr>
          <w:ilvl w:val="0"/>
          <w:numId w:val="4"/>
        </w:numPr>
        <w:tabs>
          <w:tab w:val="clear" w:pos="709"/>
          <w:tab w:val="left" w:pos="709" w:leader="none"/>
        </w:tabs>
        <w:bidi w:val="0"/>
        <w:ind w:hanging="283" w:start="709"/>
        <w:jc w:val="start"/>
        <w:rPr/>
      </w:pPr>
      <w:r>
        <w:rPr>
          <w:rStyle w:val="Strong"/>
        </w:rPr>
        <w:t>Practice Pointer:</w:t>
      </w:r>
      <w:r>
        <w:rPr/>
        <w:t xml:space="preserve"> Construction lenders in Florida typically ensure an NOC is recorded at loan closing (often even requiring an owner-signed NOC as a funding condition). This case underscores why: failing to do so can make the lender </w:t>
      </w:r>
      <w:r>
        <w:rPr>
          <w:rStyle w:val="Strong"/>
        </w:rPr>
        <w:t>directly liable</w:t>
      </w:r>
      <w:r>
        <w:rPr/>
        <w:t xml:space="preserve"> and its collateral security (the mortgage) vulnerable. Owners should clarify with their lenders who will record the NOC, and ensure it’s done correctly. If a lender is handling it, the owner should follow up promptly—any mistake is the lender’s to bear, by law</w:t>
      </w:r>
      <w:hyperlink r:id="rId79" w:anchor=":~:text=in%20the%20Notice%20of%20Commencement,only%20confirmed%20the%20contrary%E2%80%94the%20lienor" w:tgtFrame="_blank">
        <w:r>
          <w:rPr>
            <w:rStyle w:val="Hyperlink"/>
          </w:rPr>
          <w:t>caselaw.findlaw.com</w:t>
        </w:r>
      </w:hyperlink>
      <w:r>
        <w:rPr/>
        <w:t>.</w:t>
      </w:r>
    </w:p>
    <w:p>
      <w:pPr>
        <w:pStyle w:val="Heading3"/>
        <w:bidi w:val="0"/>
        <w:jc w:val="start"/>
        <w:rPr/>
      </w:pPr>
      <w:r>
        <w:rPr/>
        <w:t>Failure to Record or Post a NOC &amp; Effect on Lien Notices</w:t>
      </w:r>
    </w:p>
    <w:p>
      <w:pPr>
        <w:pStyle w:val="BodyText"/>
        <w:bidi w:val="0"/>
        <w:jc w:val="start"/>
        <w:rPr/>
      </w:pPr>
      <w:r>
        <w:rPr>
          <w:rStyle w:val="Strong"/>
        </w:rPr>
        <w:t>Roof Structures, Inc. v. Piccou</w:t>
      </w:r>
      <w:r>
        <w:rPr/>
        <w:t xml:space="preserve">, 544 So.2d 1138 (Fla. 4th DCA 1989) – </w:t>
      </w:r>
      <w:r>
        <w:rPr>
          <w:rStyle w:val="Emphasis"/>
        </w:rPr>
        <w:t>Residential project (subcontractor vs. homeowner).</w:t>
      </w:r>
    </w:p>
    <w:p>
      <w:pPr>
        <w:pStyle w:val="BodyText"/>
        <w:numPr>
          <w:ilvl w:val="0"/>
          <w:numId w:val="5"/>
        </w:numPr>
        <w:tabs>
          <w:tab w:val="clear" w:pos="709"/>
          <w:tab w:val="left" w:pos="709" w:leader="none"/>
        </w:tabs>
        <w:bidi w:val="0"/>
        <w:ind w:hanging="283" w:start="709"/>
        <w:jc w:val="start"/>
        <w:rPr/>
      </w:pPr>
      <w:r>
        <w:rPr>
          <w:rStyle w:val="Strong"/>
        </w:rPr>
        <w:t>Scenario:</w:t>
      </w:r>
      <w:r>
        <w:rPr/>
        <w:t xml:space="preserve"> A homeowner (Piccou) </w:t>
      </w:r>
      <w:r>
        <w:rPr>
          <w:rStyle w:val="Strong"/>
        </w:rPr>
        <w:t>failed to record any NOC</w:t>
      </w:r>
      <w:r>
        <w:rPr/>
        <w:t xml:space="preserve"> before a subcontractor began work on their property. Lacking an NOC in the public records or posted on-site, the subcontractor relied on </w:t>
      </w:r>
      <w:r>
        <w:rPr>
          <w:rStyle w:val="Strong"/>
        </w:rPr>
        <w:t>building permit records</w:t>
      </w:r>
      <w:r>
        <w:rPr/>
        <w:t xml:space="preserve"> (or other sources) to identify the owner for sending its Notice to Owner. Unfortunately, those sources led the subcontractor to address the Notice to Owner to the </w:t>
      </w:r>
      <w:r>
        <w:rPr>
          <w:rStyle w:val="Strong"/>
        </w:rPr>
        <w:t>wrong person (or wrong address)</w:t>
      </w:r>
      <w:r>
        <w:rPr/>
        <w:t>, meaning the actual owner did not receive the statutory notice. The owner later argued the subcontractor’s lien was invalid due to this failure to serve the proper owner.</w:t>
      </w:r>
    </w:p>
    <w:p>
      <w:pPr>
        <w:pStyle w:val="BodyText"/>
        <w:numPr>
          <w:ilvl w:val="0"/>
          <w:numId w:val="5"/>
        </w:numPr>
        <w:tabs>
          <w:tab w:val="clear" w:pos="709"/>
          <w:tab w:val="left" w:pos="709" w:leader="none"/>
        </w:tabs>
        <w:bidi w:val="0"/>
        <w:ind w:hanging="283" w:start="709"/>
        <w:jc w:val="start"/>
        <w:rPr/>
      </w:pPr>
      <w:r>
        <w:rPr>
          <w:rStyle w:val="Strong"/>
        </w:rPr>
        <w:t>Outcome:</w:t>
      </w:r>
      <w:r>
        <w:rPr/>
        <w:t xml:space="preserve"> The Fourth DCA ruled in favor of the subcontractor, finding the lien </w:t>
      </w:r>
      <w:r>
        <w:rPr>
          <w:rStyle w:val="Strong"/>
        </w:rPr>
        <w:t>valid despite the notice mistake</w:t>
      </w:r>
      <w:r>
        <w:rPr/>
        <w:t>, because the owner’s own omission (failing to record a NOC) was the root cause of the problem</w:t>
      </w:r>
      <w:hyperlink r:id="rId80" w:anchor=":~:text=Appraiser%E2%80%99s%20office%2C%20identified%20himself%20as,title%20search%20to%20file%2036" w:tgtFrame="_blank">
        <w:r>
          <w:rPr>
            <w:rStyle w:val="Hyperlink"/>
          </w:rPr>
          <w:t>acis-api.flcourts.gov</w:t>
        </w:r>
      </w:hyperlink>
      <w:r>
        <w:rPr/>
        <w:t xml:space="preserve">. The court held that when an owner fails to file a NOC as required, and that </w:t>
      </w:r>
      <w:r>
        <w:rPr>
          <w:rStyle w:val="Strong"/>
        </w:rPr>
        <w:t>“material omission”</w:t>
      </w:r>
      <w:r>
        <w:rPr/>
        <w:t xml:space="preserve"> causes a lienor to detrimentally rely on other erroneous information (e.g., county records showing a prior owner), the owner is </w:t>
      </w:r>
      <w:r>
        <w:rPr>
          <w:rStyle w:val="Strong"/>
        </w:rPr>
        <w:t>estopped from exploiting the lienor’s resulting mistake</w:t>
      </w:r>
      <w:hyperlink r:id="rId81" w:anchor=":~:text=Appraiser%E2%80%99s%20office%2C%20identified%20himself%20as,title%20search%20to%20file%2036" w:tgtFrame="_blank">
        <w:r>
          <w:rPr>
            <w:rStyle w:val="Hyperlink"/>
          </w:rPr>
          <w:t>acis-api.flcourts.gov</w:t>
        </w:r>
      </w:hyperlink>
      <w:r>
        <w:rPr/>
        <w:t xml:space="preserve">. In </w:t>
      </w:r>
      <w:r>
        <w:rPr>
          <w:rStyle w:val="Emphasis"/>
        </w:rPr>
        <w:t>Roof Structures</w:t>
      </w:r>
      <w:r>
        <w:rPr/>
        <w:t>, the absence of an NOC excused the subcontractor’s naming of the wrong owner in its Notice to Owner, and the lien was enforceable</w:t>
      </w:r>
      <w:hyperlink r:id="rId82" w:anchor=":~:text=Appraiser%E2%80%99s%20office%2C%20identified%20himself%20as,title%20search%20to%20file%2036" w:tgtFrame="_blank">
        <w:r>
          <w:rPr>
            <w:rStyle w:val="Hyperlink"/>
          </w:rPr>
          <w:t>acis-api.flcourts.gov</w:t>
        </w:r>
      </w:hyperlink>
      <w:r>
        <w:rPr/>
        <w:t>.</w:t>
      </w:r>
    </w:p>
    <w:p>
      <w:pPr>
        <w:pStyle w:val="BodyText"/>
        <w:numPr>
          <w:ilvl w:val="0"/>
          <w:numId w:val="5"/>
        </w:numPr>
        <w:tabs>
          <w:tab w:val="clear" w:pos="709"/>
          <w:tab w:val="left" w:pos="709" w:leader="none"/>
        </w:tabs>
        <w:bidi w:val="0"/>
        <w:ind w:hanging="283" w:start="709"/>
        <w:jc w:val="start"/>
        <w:rPr/>
      </w:pPr>
      <w:r>
        <w:rPr>
          <w:rStyle w:val="Strong"/>
        </w:rPr>
        <w:t>Legal Principle:</w:t>
      </w:r>
      <w:r>
        <w:rPr/>
        <w:t xml:space="preserve"> This case established that an owner who ignores the NOC requirement cannot then use the lack of notice (caused by their omission) as a defense. It reinforces an equitable principle: </w:t>
      </w:r>
      <w:r>
        <w:rPr>
          <w:rStyle w:val="Strong"/>
        </w:rPr>
        <w:t>“Good faith substantial compliance”</w:t>
      </w:r>
      <w:r>
        <w:rPr/>
        <w:t xml:space="preserve"> by a lienor will be sufficient when the owner’s failure in their NOC duty misleads the lienor</w:t>
      </w:r>
      <w:hyperlink r:id="rId83" w:anchor=":~:text=Appraiser%E2%80%99s%20office%2C%20identified%20himself%20as,title%20search%20to%20file%2036" w:tgtFrame="_blank">
        <w:r>
          <w:rPr>
            <w:rStyle w:val="Hyperlink"/>
          </w:rPr>
          <w:t>acis-api.flcourts.gov</w:t>
        </w:r>
      </w:hyperlink>
      <w:hyperlink r:id="rId84" w:anchor=":~:text=3,which%20the%20owner%20took%20title" w:tgtFrame="_blank">
        <w:r>
          <w:rPr>
            <w:rStyle w:val="Hyperlink"/>
          </w:rPr>
          <w:t>caselaw.findlaw.com</w:t>
        </w:r>
      </w:hyperlink>
      <w:r>
        <w:rPr/>
        <w:t>. The court recognized that lienors should not be penalized for information gaps that an NOC would have filled</w:t>
      </w:r>
      <w:hyperlink r:id="rId85" w:anchor=":~:text=Appraiser%E2%80%99s%20office%2C%20identified%20himself%20as,title%20search%20to%20file%2036" w:tgtFrame="_blank">
        <w:r>
          <w:rPr>
            <w:rStyle w:val="Hyperlink"/>
          </w:rPr>
          <w:t>acis-api.flcourts.gov</w:t>
        </w:r>
      </w:hyperlink>
      <w:r>
        <w:rPr/>
        <w:t>.</w:t>
      </w:r>
    </w:p>
    <w:p>
      <w:pPr>
        <w:pStyle w:val="BodyText"/>
        <w:numPr>
          <w:ilvl w:val="0"/>
          <w:numId w:val="5"/>
        </w:numPr>
        <w:tabs>
          <w:tab w:val="clear" w:pos="709"/>
          <w:tab w:val="left" w:pos="709" w:leader="none"/>
        </w:tabs>
        <w:bidi w:val="0"/>
        <w:ind w:hanging="283" w:start="709"/>
        <w:jc w:val="start"/>
        <w:rPr/>
      </w:pPr>
      <w:r>
        <w:rPr>
          <w:rStyle w:val="Strong"/>
        </w:rPr>
        <w:t>Key Mistake:</w:t>
      </w:r>
      <w:r>
        <w:rPr/>
        <w:t xml:space="preserve"> Simply </w:t>
      </w:r>
      <w:r>
        <w:rPr>
          <w:rStyle w:val="Strong"/>
        </w:rPr>
        <w:t>not recording a NOC</w:t>
      </w:r>
      <w:r>
        <w:rPr/>
        <w:t xml:space="preserve"> at all is a major owner error. Florida law mandates an NOC for most private projects, and </w:t>
      </w:r>
      <w:r>
        <w:rPr>
          <w:rStyle w:val="Emphasis"/>
        </w:rPr>
        <w:t>Roof Structures</w:t>
      </w:r>
      <w:r>
        <w:rPr/>
        <w:t xml:space="preserve"> shows why: without an NOC, subcontractors/suppliers must hunt for project information and may get it wrong. Here the owner’s noncompliance nearly cost them the protection of receiving a Notice to Owner (which is intended to give owners a heads-up to withhold payment if necessary). Owners who fail to record a NOC forfeit certain defenses – essentially, they lose the right to complain about defects in preliminary notices that result from their own omission</w:t>
      </w:r>
      <w:hyperlink r:id="rId86" w:anchor=":~:text=Appraiser%E2%80%99s%20office%2C%20identified%20himself%20as,title%20search%20to%20file%2036" w:tgtFrame="_blank">
        <w:r>
          <w:rPr>
            <w:rStyle w:val="Hyperlink"/>
          </w:rPr>
          <w:t>acis-api.flcourts.gov</w:t>
        </w:r>
      </w:hyperlink>
      <w:hyperlink r:id="rId87" w:anchor=":~:text=3,which%20the%20owner%20took%20title" w:tgtFrame="_blank">
        <w:r>
          <w:rPr>
            <w:rStyle w:val="Hyperlink"/>
          </w:rPr>
          <w:t>caselaw.findlaw.com</w:t>
        </w:r>
      </w:hyperlink>
      <w:r>
        <w:rPr/>
        <w:t>.</w:t>
      </w:r>
    </w:p>
    <w:p>
      <w:pPr>
        <w:pStyle w:val="BodyText"/>
        <w:numPr>
          <w:ilvl w:val="0"/>
          <w:numId w:val="5"/>
        </w:numPr>
        <w:tabs>
          <w:tab w:val="clear" w:pos="709"/>
          <w:tab w:val="left" w:pos="709" w:leader="none"/>
        </w:tabs>
        <w:bidi w:val="0"/>
        <w:ind w:hanging="283" w:start="709"/>
        <w:jc w:val="start"/>
        <w:rPr/>
      </w:pPr>
      <w:r>
        <w:rPr>
          <w:rStyle w:val="Strong"/>
        </w:rPr>
        <w:t>Impact:</w:t>
      </w:r>
      <w:r>
        <w:rPr/>
        <w:t xml:space="preserve"> </w:t>
      </w:r>
      <w:r>
        <w:rPr>
          <w:rStyle w:val="Emphasis"/>
        </w:rPr>
        <w:t>Roof Structures</w:t>
      </w:r>
      <w:r>
        <w:rPr/>
        <w:t xml:space="preserve"> protects lienors’ rights in the face of owner noncompliance, ensuring that a </w:t>
      </w:r>
      <w:r>
        <w:rPr>
          <w:rStyle w:val="Strong"/>
        </w:rPr>
        <w:t>mechanic’s lien remains valid</w:t>
      </w:r>
      <w:r>
        <w:rPr/>
        <w:t xml:space="preserve"> even if the lienor’s Notice to Owner was imperfect due to the missing NOC info. It incentivizes owners to always record and post the NOC (since failing to do so can undermine their ability to contest liens for lack of notice). From the lienor’s perspective, this case (and others like it) provide an </w:t>
      </w:r>
      <w:r>
        <w:rPr>
          <w:rStyle w:val="Strong"/>
        </w:rPr>
        <w:t>“equitable safety net”</w:t>
      </w:r>
      <w:r>
        <w:rPr/>
        <w:t xml:space="preserve"> – if you make a reasonable, good-faith effort to comply and any mistake is traceable to the owner’s failure to follow the statute, the courts may still enforce your lien</w:t>
      </w:r>
      <w:hyperlink r:id="rId88" w:anchor=":~:text=Appraiser%E2%80%99s%20office%2C%20identified%20himself%20as,title%20search%20to%20file%2036" w:tgtFrame="_blank">
        <w:r>
          <w:rPr>
            <w:rStyle w:val="Hyperlink"/>
          </w:rPr>
          <w:t>acis-api.flcourts.gov</w:t>
        </w:r>
      </w:hyperlink>
      <w:hyperlink r:id="rId89" w:anchor=":~:text=3,which%20the%20owner%20took%20title" w:tgtFrame="_blank">
        <w:r>
          <w:rPr>
            <w:rStyle w:val="Hyperlink"/>
          </w:rPr>
          <w:t>caselaw.findlaw.com</w:t>
        </w:r>
      </w:hyperlink>
      <w:r>
        <w:rPr/>
        <w:t>.</w:t>
      </w:r>
    </w:p>
    <w:p>
      <w:pPr>
        <w:pStyle w:val="BodyText"/>
        <w:bidi w:val="0"/>
        <w:jc w:val="start"/>
        <w:rPr/>
      </w:pPr>
      <w:r>
        <w:rPr>
          <w:rStyle w:val="Strong"/>
        </w:rPr>
        <w:t>S &amp; S Air Conditioning Co. v. Cantor</w:t>
      </w:r>
      <w:r>
        <w:rPr/>
        <w:t xml:space="preserve">, 343 So.2d 923 (Fla. 3d DCA 1977) – </w:t>
      </w:r>
      <w:r>
        <w:rPr>
          <w:rStyle w:val="Emphasis"/>
        </w:rPr>
        <w:t>Residential (contractor vs. homeowner).</w:t>
      </w:r>
    </w:p>
    <w:p>
      <w:pPr>
        <w:pStyle w:val="BodyText"/>
        <w:numPr>
          <w:ilvl w:val="0"/>
          <w:numId w:val="6"/>
        </w:numPr>
        <w:tabs>
          <w:tab w:val="clear" w:pos="709"/>
          <w:tab w:val="left" w:pos="709" w:leader="none"/>
        </w:tabs>
        <w:bidi w:val="0"/>
        <w:ind w:hanging="283" w:start="709"/>
        <w:jc w:val="start"/>
        <w:rPr/>
      </w:pPr>
      <w:r>
        <w:rPr>
          <w:rStyle w:val="Strong"/>
        </w:rPr>
        <w:t>Scenario:</w:t>
      </w:r>
      <w:r>
        <w:rPr/>
        <w:t xml:space="preserve"> This early case dealt with an owner who </w:t>
      </w:r>
      <w:r>
        <w:rPr>
          <w:rStyle w:val="Strong"/>
        </w:rPr>
        <w:t>never recorded a NOC</w:t>
      </w:r>
      <w:r>
        <w:rPr/>
        <w:t xml:space="preserve">, and a contractor who needed to serve a Notice to Owner. In absence of an NOC (which would normally list a specific address or designated agent for the owner), the contractor sent the notice to the </w:t>
      </w:r>
      <w:r>
        <w:rPr>
          <w:rStyle w:val="Strong"/>
        </w:rPr>
        <w:t>owner’s address as shown on the deed/public records</w:t>
      </w:r>
      <w:r>
        <w:rPr/>
        <w:t>. The owner later claimed they never actually received the notice (perhaps the address was outdated or the owner was an out-of-state entity).</w:t>
      </w:r>
    </w:p>
    <w:p>
      <w:pPr>
        <w:pStyle w:val="BodyText"/>
        <w:numPr>
          <w:ilvl w:val="0"/>
          <w:numId w:val="6"/>
        </w:numPr>
        <w:tabs>
          <w:tab w:val="clear" w:pos="709"/>
          <w:tab w:val="left" w:pos="709" w:leader="none"/>
        </w:tabs>
        <w:bidi w:val="0"/>
        <w:ind w:hanging="283" w:start="709"/>
        <w:jc w:val="start"/>
        <w:rPr/>
      </w:pPr>
      <w:r>
        <w:rPr>
          <w:rStyle w:val="Strong"/>
        </w:rPr>
        <w:t>Holding:</w:t>
      </w:r>
      <w:r>
        <w:rPr/>
        <w:t xml:space="preserve"> The Third DCA held that if </w:t>
      </w:r>
      <w:r>
        <w:rPr>
          <w:rStyle w:val="Strong"/>
        </w:rPr>
        <w:t>no NOC is recorded</w:t>
      </w:r>
      <w:r>
        <w:rPr/>
        <w:t xml:space="preserve">, an owner is </w:t>
      </w:r>
      <w:r>
        <w:rPr>
          <w:rStyle w:val="Strong"/>
        </w:rPr>
        <w:t>estopped from denying the effectiveness of a Notice to Owner that was sent to the address in the public deed records</w:t>
      </w:r>
      <w:hyperlink r:id="rId90" w:anchor=":~:text=relied%20on%20the%20information%20contained,which%20the%20owner%20took%20title" w:tgtFrame="_blank">
        <w:r>
          <w:rPr>
            <w:rStyle w:val="Hyperlink"/>
          </w:rPr>
          <w:t>caselaw.findlaw.com</w:t>
        </w:r>
      </w:hyperlink>
      <w:r>
        <w:rPr/>
        <w:t>. In other words, the contractor’s notice was deemed sufficient, even if the owner didn’t see it, because the owner could have prevented the issue by recording a NOC with a correct service address</w:t>
      </w:r>
      <w:hyperlink r:id="rId91" w:anchor=":~:text=relied%20on%20the%20information%20contained,which%20the%20owner%20took%20title" w:tgtFrame="_blank">
        <w:r>
          <w:rPr>
            <w:rStyle w:val="Hyperlink"/>
          </w:rPr>
          <w:t>caselaw.findlaw.com</w:t>
        </w:r>
      </w:hyperlink>
      <w:r>
        <w:rPr/>
        <w:t xml:space="preserve">. This aligns with the principle in </w:t>
      </w:r>
      <w:r>
        <w:rPr>
          <w:rStyle w:val="Emphasis"/>
        </w:rPr>
        <w:t>Roof Structures</w:t>
      </w:r>
      <w:r>
        <w:rPr/>
        <w:t>: an owner who neglects the NOC cannot complain about technical notice deficiencies that occur as a result.</w:t>
      </w:r>
    </w:p>
    <w:p>
      <w:pPr>
        <w:pStyle w:val="BodyText"/>
        <w:numPr>
          <w:ilvl w:val="0"/>
          <w:numId w:val="6"/>
        </w:numPr>
        <w:tabs>
          <w:tab w:val="clear" w:pos="709"/>
          <w:tab w:val="left" w:pos="709" w:leader="none"/>
        </w:tabs>
        <w:bidi w:val="0"/>
        <w:ind w:hanging="283" w:start="709"/>
        <w:jc w:val="start"/>
        <w:rPr/>
      </w:pPr>
      <w:r>
        <w:rPr>
          <w:rStyle w:val="Strong"/>
        </w:rPr>
        <w:t>Takeaway:</w:t>
      </w:r>
      <w:r>
        <w:rPr/>
        <w:t xml:space="preserve"> </w:t>
      </w:r>
      <w:r>
        <w:rPr>
          <w:rStyle w:val="Emphasis"/>
        </w:rPr>
        <w:t>S &amp; S Air Conditioning</w:t>
      </w:r>
      <w:r>
        <w:rPr/>
        <w:t xml:space="preserve"> underscores that owners must </w:t>
      </w:r>
      <w:r>
        <w:rPr>
          <w:rStyle w:val="Strong"/>
        </w:rPr>
        <w:t>post and record a NOC to specify how they wish to receive notices</w:t>
      </w:r>
      <w:r>
        <w:rPr/>
        <w:t xml:space="preserve">. If they don’t, lienors are entitled to rely on </w:t>
      </w:r>
      <w:r>
        <w:rPr>
          <w:rStyle w:val="Emphasis"/>
        </w:rPr>
        <w:t>any reasonable source of ownership information</w:t>
      </w:r>
      <w:r>
        <w:rPr/>
        <w:t xml:space="preserve"> (like property appraiser or deed records). Any bad address or missed communication is at the owner’s peril, not the lienor’s</w:t>
      </w:r>
      <w:hyperlink r:id="rId92" w:anchor=":~:text=relied%20on%20the%20information%20contained,which%20the%20owner%20took%20title" w:tgtFrame="_blank">
        <w:r>
          <w:rPr>
            <w:rStyle w:val="Hyperlink"/>
          </w:rPr>
          <w:t>caselaw.findlaw.com</w:t>
        </w:r>
      </w:hyperlink>
      <w:r>
        <w:rPr/>
        <w:t xml:space="preserve">. This case also illustrates the courts’ broader willingness to </w:t>
      </w:r>
      <w:r>
        <w:rPr>
          <w:rStyle w:val="Strong"/>
        </w:rPr>
        <w:t>forgive lienors’ procedural missteps when the owner’s noncompliance set the stage for the error</w:t>
      </w:r>
      <w:hyperlink r:id="rId93" w:anchor=":~:text=relied%20on%20the%20information%20contained,which%20the%20owner%20took%20title" w:tgtFrame="_blank">
        <w:r>
          <w:rPr>
            <w:rStyle w:val="Hyperlink"/>
          </w:rPr>
          <w:t>caselaw.findlaw.com</w:t>
        </w:r>
      </w:hyperlink>
      <w:r>
        <w:rPr/>
        <w:t>. It was an important early decision carving out an exception to strict compliance – effectively foreshadowing the more formalized substantial compliance provisions in later statutes (e.g., §713.06(2)(f) allowing some errors in NTO if no prejudice)</w:t>
      </w:r>
      <w:hyperlink r:id="rId94" w:anchor=":~:text=%28Fla,%282013" w:tgtFrame="_blank">
        <w:r>
          <w:rPr>
            <w:rStyle w:val="Hyperlink"/>
          </w:rPr>
          <w:t>caselaw.findlaw.com</w:t>
        </w:r>
      </w:hyperlink>
      <w:r>
        <w:rPr/>
        <w:t>.</w:t>
      </w:r>
    </w:p>
    <w:p>
      <w:pPr>
        <w:pStyle w:val="BodyText"/>
        <w:bidi w:val="0"/>
        <w:jc w:val="start"/>
        <w:rPr/>
      </w:pPr>
      <w:r>
        <w:rPr>
          <w:rStyle w:val="Strong"/>
        </w:rPr>
        <w:t>Symons Corp. v. Tartan-Lavers Delray Beach, Inc.</w:t>
      </w:r>
      <w:r>
        <w:rPr/>
        <w:t xml:space="preserve">, 456 So.2d 1254 (Fla. 4th DCA 1984) – </w:t>
      </w:r>
      <w:r>
        <w:rPr>
          <w:rStyle w:val="Emphasis"/>
        </w:rPr>
        <w:t>Commercial development (subcontractor vs. developer).</w:t>
      </w:r>
    </w:p>
    <w:p>
      <w:pPr>
        <w:pStyle w:val="BodyText"/>
        <w:numPr>
          <w:ilvl w:val="0"/>
          <w:numId w:val="7"/>
        </w:numPr>
        <w:tabs>
          <w:tab w:val="clear" w:pos="709"/>
          <w:tab w:val="left" w:pos="709" w:leader="none"/>
        </w:tabs>
        <w:bidi w:val="0"/>
        <w:ind w:hanging="283" w:start="709"/>
        <w:jc w:val="start"/>
        <w:rPr/>
      </w:pPr>
      <w:r>
        <w:rPr>
          <w:rStyle w:val="Strong"/>
        </w:rPr>
        <w:t>Scenario:</w:t>
      </w:r>
      <w:r>
        <w:rPr/>
        <w:t xml:space="preserve"> In this case, a subcontractor sent its Notice to Owner to the address/person listed on the recorded NOC. However, there was a dispute over whether the </w:t>
      </w:r>
      <w:r>
        <w:rPr>
          <w:rStyle w:val="Strong"/>
        </w:rPr>
        <w:t>owner actually received the notice</w:t>
      </w:r>
      <w:r>
        <w:rPr/>
        <w:t xml:space="preserve"> (perhaps the address was a jobsite or an office where the owner’s agent failed to forward it). The owner argued non-receipt as a defense against the lien.</w:t>
      </w:r>
    </w:p>
    <w:p>
      <w:pPr>
        <w:pStyle w:val="BodyText"/>
        <w:numPr>
          <w:ilvl w:val="0"/>
          <w:numId w:val="7"/>
        </w:numPr>
        <w:tabs>
          <w:tab w:val="clear" w:pos="709"/>
          <w:tab w:val="left" w:pos="709" w:leader="none"/>
        </w:tabs>
        <w:bidi w:val="0"/>
        <w:ind w:hanging="283" w:start="709"/>
        <w:jc w:val="start"/>
        <w:rPr/>
      </w:pPr>
      <w:r>
        <w:rPr>
          <w:rStyle w:val="Strong"/>
        </w:rPr>
        <w:t>Holding:</w:t>
      </w:r>
      <w:r>
        <w:rPr/>
        <w:t xml:space="preserve"> The Fourth DCA ruled that when a lienor </w:t>
      </w:r>
      <w:r>
        <w:rPr>
          <w:rStyle w:val="Strong"/>
        </w:rPr>
        <w:t>detrimentally relies on the information in a properly recorded NOC to send the Notice to Owner, the owner is estopped from denying receipt of that notice</w:t>
      </w:r>
      <w:hyperlink r:id="rId95" w:anchor=":~:text=3,which%20the%20owner%20took%20title" w:tgtFrame="_blank">
        <w:r>
          <w:rPr>
            <w:rStyle w:val="Hyperlink"/>
            <w:b/>
            <w:b/>
            <w:bCs/>
          </w:rPr>
          <w:t>caselaw.findlaw.com</w:t>
        </w:r>
      </w:hyperlink>
      <w:r>
        <w:rPr>
          <w:rStyle w:val="Strong"/>
        </w:rPr>
        <w:t>.</w:t>
      </w:r>
      <w:r>
        <w:rPr/>
        <w:t xml:space="preserve"> In Symons, the NOC had designated a certain person or address for service, and the subcontractor complied with that. The court would not allow the owner to avoid the lien by claiming the notice didn’t reach them; by listing that contact in the NOC, the owner effectively bore the risk of communication going awry</w:t>
      </w:r>
      <w:hyperlink r:id="rId96" w:anchor=":~:text=3,which%20the%20owner%20took%20title" w:tgtFrame="_blank">
        <w:r>
          <w:rPr>
            <w:rStyle w:val="Hyperlink"/>
          </w:rPr>
          <w:t>caselaw.findlaw.com</w:t>
        </w:r>
      </w:hyperlink>
      <w:r>
        <w:rPr/>
        <w:t>.</w:t>
      </w:r>
    </w:p>
    <w:p>
      <w:pPr>
        <w:pStyle w:val="BodyText"/>
        <w:numPr>
          <w:ilvl w:val="0"/>
          <w:numId w:val="7"/>
        </w:numPr>
        <w:tabs>
          <w:tab w:val="clear" w:pos="709"/>
          <w:tab w:val="left" w:pos="709" w:leader="none"/>
        </w:tabs>
        <w:bidi w:val="0"/>
        <w:ind w:hanging="283" w:start="709"/>
        <w:jc w:val="start"/>
        <w:rPr/>
      </w:pPr>
      <w:r>
        <w:rPr>
          <w:rStyle w:val="Strong"/>
        </w:rPr>
        <w:t>Key Point:</w:t>
      </w:r>
      <w:r>
        <w:rPr/>
        <w:t xml:space="preserve"> </w:t>
      </w:r>
      <w:r>
        <w:rPr>
          <w:rStyle w:val="Emphasis"/>
        </w:rPr>
        <w:t>Symons</w:t>
      </w:r>
      <w:r>
        <w:rPr/>
        <w:t xml:space="preserve"> reinforces that the </w:t>
      </w:r>
      <w:r>
        <w:rPr>
          <w:rStyle w:val="Strong"/>
        </w:rPr>
        <w:t>NOC is binding on the owner with respect to notice</w:t>
      </w:r>
      <w:r>
        <w:rPr/>
        <w:t xml:space="preserve">. If the owner (or its authorized agent) is named in the NOC to receive notices, the owner can’t later shrug off a lien by saying “I never saw the preliminary notice.” This case complements </w:t>
      </w:r>
      <w:r>
        <w:rPr>
          <w:rStyle w:val="Emphasis"/>
        </w:rPr>
        <w:t>S &amp; S Air Conditioning</w:t>
      </w:r>
      <w:r>
        <w:rPr/>
        <w:t xml:space="preserve"> – together, they tell owners: </w:t>
      </w:r>
      <w:r>
        <w:rPr>
          <w:rStyle w:val="Strong"/>
        </w:rPr>
        <w:t>provide correct notice details in your NOC, or you waive defenses related to notice delivery</w:t>
      </w:r>
      <w:hyperlink r:id="rId97" w:anchor=":~:text=3,which%20the%20owner%20took%20title" w:tgtFrame="_blank">
        <w:r>
          <w:rPr>
            <w:rStyle w:val="Hyperlink"/>
          </w:rPr>
          <w:t>caselaw.findlaw.com</w:t>
        </w:r>
      </w:hyperlink>
      <w:r>
        <w:rPr/>
        <w:t xml:space="preserve">. For lienors, the message is to </w:t>
      </w:r>
      <w:r>
        <w:rPr>
          <w:rStyle w:val="Strong"/>
        </w:rPr>
        <w:t>strictly follow the NOC’s guidance</w:t>
      </w:r>
      <w:r>
        <w:rPr/>
        <w:t xml:space="preserve"> on who/where to send the Notice to Owner; doing so will protect you, even if the owner tries to claim a lack of actual notice.</w:t>
      </w:r>
    </w:p>
    <w:p>
      <w:pPr>
        <w:pStyle w:val="BodyText"/>
        <w:numPr>
          <w:ilvl w:val="0"/>
          <w:numId w:val="7"/>
        </w:numPr>
        <w:tabs>
          <w:tab w:val="clear" w:pos="709"/>
          <w:tab w:val="left" w:pos="709" w:leader="none"/>
        </w:tabs>
        <w:bidi w:val="0"/>
        <w:ind w:hanging="283" w:start="709"/>
        <w:jc w:val="start"/>
        <w:rPr/>
      </w:pPr>
      <w:r>
        <w:rPr>
          <w:rStyle w:val="Strong"/>
        </w:rPr>
        <w:t>Practice Tip:</w:t>
      </w:r>
      <w:r>
        <w:rPr/>
        <w:t xml:space="preserve"> Always keep proof of mailing or delivery of the Notice to Owner to the exact name/address in the NOC (or deed records if no NOC). In any later lien foreclosure, cases like </w:t>
      </w:r>
      <w:r>
        <w:rPr>
          <w:rStyle w:val="Emphasis"/>
        </w:rPr>
        <w:t>Symons</w:t>
      </w:r>
      <w:r>
        <w:rPr/>
        <w:t xml:space="preserve"> mean that proof will establish a presumption of notice. The owner cannot defeat your lien by playing “gotcha” with notice receipt if you adhered to the NOC’s instructions</w:t>
      </w:r>
      <w:hyperlink r:id="rId98" w:anchor=":~:text=3,which%20the%20owner%20took%20title" w:tgtFrame="_blank">
        <w:r>
          <w:rPr>
            <w:rStyle w:val="Hyperlink"/>
          </w:rPr>
          <w:t>caselaw.findlaw.com</w:t>
        </w:r>
      </w:hyperlink>
      <w:r>
        <w:rPr/>
        <w:t>.</w:t>
      </w:r>
    </w:p>
    <w:p>
      <w:pPr>
        <w:pStyle w:val="Heading3"/>
        <w:bidi w:val="0"/>
        <w:jc w:val="start"/>
        <w:rPr/>
      </w:pPr>
      <w:r>
        <w:rPr/>
        <w:t>NOC Compliance in Landlord-Tenant Situations</w:t>
      </w:r>
    </w:p>
    <w:p>
      <w:pPr>
        <w:pStyle w:val="BodyText"/>
        <w:bidi w:val="0"/>
        <w:jc w:val="start"/>
        <w:rPr/>
      </w:pPr>
      <w:r>
        <w:rPr>
          <w:rStyle w:val="Strong"/>
        </w:rPr>
        <w:t>MHB Construction Services, LLC v. RM-NA HB Waterway Shoppes, LLC</w:t>
      </w:r>
      <w:r>
        <w:rPr/>
        <w:t xml:space="preserve">, 74 So.3d 587 (Fla. 4th DCA 2011) – </w:t>
      </w:r>
      <w:r>
        <w:rPr>
          <w:rStyle w:val="Emphasis"/>
        </w:rPr>
        <w:t>Commercial leasehold improvement (contractor vs. landlord &amp; tenant).</w:t>
      </w:r>
    </w:p>
    <w:p>
      <w:pPr>
        <w:pStyle w:val="BodyText"/>
        <w:numPr>
          <w:ilvl w:val="0"/>
          <w:numId w:val="8"/>
        </w:numPr>
        <w:tabs>
          <w:tab w:val="clear" w:pos="709"/>
          <w:tab w:val="left" w:pos="709" w:leader="none"/>
        </w:tabs>
        <w:bidi w:val="0"/>
        <w:ind w:hanging="283" w:start="709"/>
        <w:jc w:val="start"/>
        <w:rPr/>
      </w:pPr>
      <w:r>
        <w:rPr>
          <w:rStyle w:val="Strong"/>
        </w:rPr>
        <w:t>Parties/Context:</w:t>
      </w:r>
      <w:r>
        <w:rPr/>
        <w:t xml:space="preserve"> A contractor (MHB) was hired by a </w:t>
      </w:r>
      <w:r>
        <w:rPr>
          <w:rStyle w:val="Strong"/>
        </w:rPr>
        <w:t>tenant</w:t>
      </w:r>
      <w:r>
        <w:rPr/>
        <w:t xml:space="preserve"> to build out a leased space in a shopping center. The landlord (RM-NA Waterway Shoppes) </w:t>
      </w:r>
      <w:r>
        <w:rPr>
          <w:rStyle w:val="Strong"/>
        </w:rPr>
        <w:t>did not directly contract</w:t>
      </w:r>
      <w:r>
        <w:rPr/>
        <w:t xml:space="preserve"> for the improvements, but to facilitate the tenant’s permit, the landlord </w:t>
      </w:r>
      <w:r>
        <w:rPr>
          <w:rStyle w:val="Strong"/>
        </w:rPr>
        <w:t>executed and recorded a Notice of Commencement</w:t>
      </w:r>
      <w:r>
        <w:rPr/>
        <w:t xml:space="preserve"> for the project (as is common in commercial leases)</w:t>
      </w:r>
      <w:hyperlink r:id="rId99" w:anchor=":~:text=In%20MHB%20Construction%20Services%2C%20LLC,Broward%20County%20in%20accordance%20with" w:tgtFrame="_blank">
        <w:r>
          <w:rPr>
            <w:rStyle w:val="Hyperlink"/>
          </w:rPr>
          <w:t>kpsds.com</w:t>
        </w:r>
      </w:hyperlink>
      <w:hyperlink r:id="rId100" w:anchor=":~:text=a%20tenant%20at%20a%20shopping,The%20trial" w:tgtFrame="_blank">
        <w:r>
          <w:rPr>
            <w:rStyle w:val="Hyperlink"/>
          </w:rPr>
          <w:t>kpsds.com</w:t>
        </w:r>
      </w:hyperlink>
      <w:r>
        <w:rPr/>
        <w:t xml:space="preserve">. Importantly, two years prior, the landlord had also recorded a </w:t>
      </w:r>
      <w:r>
        <w:rPr>
          <w:rStyle w:val="Strong"/>
        </w:rPr>
        <w:t>“Notice of Lien Prohibition”</w:t>
      </w:r>
      <w:r>
        <w:rPr/>
        <w:t xml:space="preserve"> in accordance with §713.10, declaring that a tenant’s improvements would not attach as liens on the landlord’s fee interest</w:t>
      </w:r>
      <w:hyperlink r:id="rId101" w:anchor=":~:text=landlord%E2%80%99s%20fee%20simple%20interest%20in,landlord%2C%20and%20the%20contractor%20appealed" w:tgtFrame="_blank">
        <w:r>
          <w:rPr>
            <w:rStyle w:val="Hyperlink"/>
          </w:rPr>
          <w:t>kpsds.com</w:t>
        </w:r>
      </w:hyperlink>
      <w:r>
        <w:rPr/>
        <w:t>. The tenant later failed to pay the contractor, so the contractor filed a lien and sued both tenant and landlord to foreclose.</w:t>
      </w:r>
    </w:p>
    <w:p>
      <w:pPr>
        <w:pStyle w:val="BodyText"/>
        <w:numPr>
          <w:ilvl w:val="0"/>
          <w:numId w:val="8"/>
        </w:numPr>
        <w:tabs>
          <w:tab w:val="clear" w:pos="709"/>
          <w:tab w:val="left" w:pos="709" w:leader="none"/>
        </w:tabs>
        <w:bidi w:val="0"/>
        <w:ind w:hanging="283" w:start="709"/>
        <w:jc w:val="start"/>
        <w:rPr/>
      </w:pPr>
      <w:r>
        <w:rPr>
          <w:rStyle w:val="Strong"/>
        </w:rPr>
        <w:t>NOC Issue:</w:t>
      </w:r>
      <w:r>
        <w:rPr/>
        <w:t xml:space="preserve"> The contractor argued that by recording the NOC and identifying itself as the owner (or as having a controlling stake in the construction), the landlord had essentially held itself out as an </w:t>
      </w:r>
      <w:r>
        <w:rPr>
          <w:rStyle w:val="Strong"/>
        </w:rPr>
        <w:t>“owner” for lien purposes</w:t>
      </w:r>
      <w:r>
        <w:rPr/>
        <w:t>, thus exposing the landlord’s property interest to the lien</w:t>
      </w:r>
      <w:hyperlink r:id="rId102" w:anchor=":~:text=On%20appeal%2C%20the%20contractor%20argued,place%2C%20the%20Fourth%20DCA%20held" w:tgtFrame="_blank">
        <w:r>
          <w:rPr>
            <w:rStyle w:val="Hyperlink"/>
          </w:rPr>
          <w:t>kpsds.com</w:t>
        </w:r>
      </w:hyperlink>
      <w:r>
        <w:rPr/>
        <w:t xml:space="preserve">. In other words, MHB contended the landlord’s act of filing an NOC </w:t>
      </w:r>
      <w:r>
        <w:rPr>
          <w:rStyle w:val="Strong"/>
        </w:rPr>
        <w:t>estopped</w:t>
      </w:r>
      <w:r>
        <w:rPr/>
        <w:t xml:space="preserve"> the landlord from claiming the protection of the §713.10 lien prohibition</w:t>
      </w:r>
      <w:hyperlink r:id="rId103" w:anchor=":~:text=The%20Fourth%20District%20Court%20of,rights%20under%20the%20lien%20law" w:tgtFrame="_blank">
        <w:r>
          <w:rPr>
            <w:rStyle w:val="Hyperlink"/>
          </w:rPr>
          <w:t>kpsds.com</w:t>
        </w:r>
      </w:hyperlink>
      <w:hyperlink r:id="rId104" w:anchor=":~:text=On%20appeal%2C%20the%20contractor%20argued,place%2C%20the%20Fourth%20DCA%20held" w:tgtFrame="_blank">
        <w:r>
          <w:rPr>
            <w:rStyle w:val="Hyperlink"/>
          </w:rPr>
          <w:t>kpsds.com</w:t>
        </w:r>
      </w:hyperlink>
      <w:r>
        <w:rPr/>
        <w:t>.</w:t>
      </w:r>
    </w:p>
    <w:p>
      <w:pPr>
        <w:pStyle w:val="BodyText"/>
        <w:numPr>
          <w:ilvl w:val="0"/>
          <w:numId w:val="8"/>
        </w:numPr>
        <w:tabs>
          <w:tab w:val="clear" w:pos="709"/>
          <w:tab w:val="left" w:pos="709" w:leader="none"/>
        </w:tabs>
        <w:bidi w:val="0"/>
        <w:ind w:hanging="283" w:start="709"/>
        <w:jc w:val="start"/>
        <w:rPr/>
      </w:pPr>
      <w:r>
        <w:rPr>
          <w:rStyle w:val="Strong"/>
        </w:rPr>
        <w:t>Outcome:</w:t>
      </w:r>
      <w:r>
        <w:rPr/>
        <w:t xml:space="preserve"> The Fourth DCA rejected the contractor’s argument and sided with the landlord. It held that </w:t>
      </w:r>
      <w:r>
        <w:rPr>
          <w:rStyle w:val="Strong"/>
        </w:rPr>
        <w:t>nothing in §713.13 (NOC statute) suggests that a landlord’s execution of an NOC magically gives a contractor the right to lien the landlord’s fee interest if the landlord wasn’t party to the construction contract</w:t>
      </w:r>
      <w:hyperlink r:id="rId105" w:anchor=":~:text=On%20appeal%2C%20the%20contractor%20argued,a%20tenant%20from%20attaching%20to" w:tgtFrame="_blank">
        <w:r>
          <w:rPr>
            <w:rStyle w:val="Hyperlink"/>
          </w:rPr>
          <w:t>kpsds.com</w:t>
        </w:r>
      </w:hyperlink>
      <w:r>
        <w:rPr/>
        <w:t xml:space="preserve">. In this case, the landlord had fully complied with §713.10: the lease and the recorded Notice of Lien Prohibition </w:t>
      </w:r>
      <w:r>
        <w:rPr>
          <w:rStyle w:val="Emphasis"/>
        </w:rPr>
        <w:t>expressly forbade</w:t>
      </w:r>
      <w:r>
        <w:rPr/>
        <w:t xml:space="preserve"> liens attaching to the landlord’s interest for tenant improvements</w:t>
      </w:r>
      <w:hyperlink r:id="rId106" w:anchor=":~:text=construction%2C%E2%80%9D%20exposing%20it%20to%20the,10" w:tgtFrame="_blank">
        <w:r>
          <w:rPr>
            <w:rStyle w:val="Hyperlink"/>
          </w:rPr>
          <w:t>kpsds.com</w:t>
        </w:r>
      </w:hyperlink>
      <w:r>
        <w:rPr/>
        <w:t>. The court found that those protections were not undone by the landlord signing the NOC as a courtesy or legal formality</w:t>
      </w:r>
      <w:hyperlink r:id="rId107" w:anchor=":~:text=construction%2C%E2%80%9D%20exposing%20it%20to%20the,of%20a%20landlord%20under%20section" w:tgtFrame="_blank">
        <w:r>
          <w:rPr>
            <w:rStyle w:val="Hyperlink"/>
          </w:rPr>
          <w:t>kpsds.com</w:t>
        </w:r>
      </w:hyperlink>
      <w:r>
        <w:rPr/>
        <w:t>. Consequently, MHB’s lien could only attach to the tenant’s leasehold interest (if at all), and the landlord was properly dismissed from the foreclosure suit</w:t>
      </w:r>
      <w:hyperlink r:id="rId108" w:anchor=":~:text=could%20lien%20Landlord%27s%20fee%20simple,awarding%20attorney%27s%20fees%20and%20costs" w:tgtFrame="_blank">
        <w:r>
          <w:rPr>
            <w:rStyle w:val="Hyperlink"/>
          </w:rPr>
          <w:t>caselaw.findlaw.com</w:t>
        </w:r>
      </w:hyperlink>
      <w:hyperlink r:id="rId109" w:anchor=":~:text=MHB%20argues%20that%20by%20executing,%E2%80%9D%20We%20disagree" w:tgtFrame="_blank">
        <w:r>
          <w:rPr>
            <w:rStyle w:val="Hyperlink"/>
          </w:rPr>
          <w:t>caselaw.findlaw.com</w:t>
        </w:r>
      </w:hyperlink>
      <w:r>
        <w:rPr/>
        <w:t>. The landlord was also awarded attorneys’ fees as the prevailing party</w:t>
      </w:r>
      <w:hyperlink r:id="rId110" w:anchor=":~:text=In%20its%20consolidated%20appeals%2C%20MHB,awarding%20attorney%27s%20fees%20and%20costs" w:tgtFrame="_blank">
        <w:r>
          <w:rPr>
            <w:rStyle w:val="Hyperlink"/>
          </w:rPr>
          <w:t>caselaw.findlaw.com</w:t>
        </w:r>
      </w:hyperlink>
      <w:r>
        <w:rPr/>
        <w:t>.</w:t>
      </w:r>
    </w:p>
    <w:p>
      <w:pPr>
        <w:pStyle w:val="BodyText"/>
        <w:numPr>
          <w:ilvl w:val="0"/>
          <w:numId w:val="8"/>
        </w:numPr>
        <w:tabs>
          <w:tab w:val="clear" w:pos="709"/>
          <w:tab w:val="left" w:pos="709" w:leader="none"/>
        </w:tabs>
        <w:bidi w:val="0"/>
        <w:ind w:hanging="283" w:start="709"/>
        <w:jc w:val="start"/>
        <w:rPr/>
      </w:pPr>
      <w:r>
        <w:rPr>
          <w:rStyle w:val="Strong"/>
        </w:rPr>
        <w:t>Rationale:</w:t>
      </w:r>
      <w:r>
        <w:rPr/>
        <w:t xml:space="preserve"> The court’s analysis highlighted the </w:t>
      </w:r>
      <w:r>
        <w:rPr>
          <w:rStyle w:val="Strong"/>
        </w:rPr>
        <w:t>purpose of a Notice of Commencement</w:t>
      </w:r>
      <w:r>
        <w:rPr/>
        <w:t xml:space="preserve"> (quoting </w:t>
      </w:r>
      <w:r>
        <w:rPr>
          <w:rStyle w:val="Emphasis"/>
        </w:rPr>
        <w:t>Sasso</w:t>
      </w:r>
      <w:r>
        <w:rPr/>
        <w:t xml:space="preserve"> and </w:t>
      </w:r>
      <w:r>
        <w:rPr>
          <w:rStyle w:val="Emphasis"/>
        </w:rPr>
        <w:t>Symons</w:t>
      </w:r>
      <w:r>
        <w:rPr/>
        <w:t xml:space="preserve"> on how NOC info facilitates Notices to Owner)</w:t>
      </w:r>
      <w:hyperlink r:id="rId111" w:anchor=":~:text=We%20begin%20our%20analysis%20by,13%281%29%28a%29%2C%20Florida%20Statutes" w:tgtFrame="_blank">
        <w:r>
          <w:rPr>
            <w:rStyle w:val="Hyperlink"/>
          </w:rPr>
          <w:t>caselaw.findlaw.com</w:t>
        </w:r>
      </w:hyperlink>
      <w:hyperlink r:id="rId112" w:anchor=":~:text=Though%20the%20Notice%20of%20Commencement,mail%20the%20Notice%20to%20Owner" w:tgtFrame="_blank">
        <w:r>
          <w:rPr>
            <w:rStyle w:val="Hyperlink"/>
          </w:rPr>
          <w:t>caselaw.findlaw.com</w:t>
        </w:r>
      </w:hyperlink>
      <w:r>
        <w:rPr/>
        <w:t xml:space="preserve">. It distinguished that purpose from the distinct protections of §713.10 for non-contracting landlords. The </w:t>
      </w:r>
      <w:r>
        <w:rPr>
          <w:rStyle w:val="Strong"/>
        </w:rPr>
        <w:t>key factors</w:t>
      </w:r>
      <w:r>
        <w:rPr/>
        <w:t xml:space="preserve"> were: (1) The </w:t>
      </w:r>
      <w:r>
        <w:rPr>
          <w:rStyle w:val="Strong"/>
        </w:rPr>
        <w:t>lease did not require</w:t>
      </w:r>
      <w:r>
        <w:rPr/>
        <w:t xml:space="preserve"> the improvements (so the landlord had not mandated the construction as a condition of the lease)</w:t>
      </w:r>
      <w:hyperlink r:id="rId113" w:anchor=":~:text=The%20lease%20did%20not%20require,Landlord%27s%20%2410%2C000%20contribution%20towards%20MHB%27s" w:tgtFrame="_blank">
        <w:r>
          <w:rPr>
            <w:rStyle w:val="Hyperlink"/>
          </w:rPr>
          <w:t>caselaw.findlaw.com</w:t>
        </w:r>
      </w:hyperlink>
      <w:r>
        <w:rPr/>
        <w:t xml:space="preserve">; (2) The lease in fact required the tenant to get </w:t>
      </w:r>
      <w:r>
        <w:rPr>
          <w:rStyle w:val="Strong"/>
        </w:rPr>
        <w:t>written consent</w:t>
      </w:r>
      <w:r>
        <w:rPr/>
        <w:t xml:space="preserve"> from the landlord for any improvements (reinforcing that the tenant was the sole contracting party)</w:t>
      </w:r>
      <w:hyperlink r:id="rId114" w:anchor=":~:text=The%20lease%20did%20not%20require,Landlord%27s%20%2410%2C000%20contribution%20towards%20MHB%27s" w:tgtFrame="_blank">
        <w:r>
          <w:rPr>
            <w:rStyle w:val="Hyperlink"/>
          </w:rPr>
          <w:t>caselaw.findlaw.com</w:t>
        </w:r>
      </w:hyperlink>
      <w:r>
        <w:rPr/>
        <w:t>; and (3) The landlord’s financial contribution to the project was minimal (&lt;$10k, under 10% of the cost, and contingent on final releases)</w:t>
      </w:r>
      <w:hyperlink r:id="rId115" w:anchor=":~:text=making%20improvements%29,require%20the%20improvements%20be%20made" w:tgtFrame="_blank">
        <w:r>
          <w:rPr>
            <w:rStyle w:val="Hyperlink"/>
          </w:rPr>
          <w:t>caselaw.findlaw.com</w:t>
        </w:r>
      </w:hyperlink>
      <w:r>
        <w:rPr/>
        <w:t xml:space="preserve">, indicating the landlord was not essentially an “owner” of the construction. Given those facts, plus the recorded lien prohibition, the court ruled that </w:t>
      </w:r>
      <w:r>
        <w:rPr>
          <w:rStyle w:val="Strong"/>
        </w:rPr>
        <w:t>the landlord’s interest was protected</w:t>
      </w:r>
      <w:r>
        <w:rPr/>
        <w:t xml:space="preserve"> despite the landlord having recorded the NOC</w:t>
      </w:r>
      <w:hyperlink r:id="rId116" w:anchor=":~:text=MHB%20was%20in%20the%20best,costs%20in%20the%20underlying%20action" w:tgtFrame="_blank">
        <w:r>
          <w:rPr>
            <w:rStyle w:val="Hyperlink"/>
          </w:rPr>
          <w:t>caselaw.findlaw.com</w:t>
        </w:r>
      </w:hyperlink>
      <w:hyperlink r:id="rId117" w:anchor=":~:text=1,a%20final%20release%20from%20MHB" w:tgtFrame="_blank">
        <w:r>
          <w:rPr>
            <w:rStyle w:val="Hyperlink"/>
          </w:rPr>
          <w:t>caselaw.findlaw.com</w:t>
        </w:r>
      </w:hyperlink>
      <w:r>
        <w:rPr/>
        <w:t xml:space="preserve">. The NOC in this context was simply fulfilling a procedural role (likely to satisfy building permit requirements), not signaling that the landlord had assumed liability for the tenant’s contractor. Indeed, the court noted the NOC </w:t>
      </w:r>
      <w:r>
        <w:rPr>
          <w:rStyle w:val="Strong"/>
        </w:rPr>
        <w:t>properly listed the tenant as the “owner”</w:t>
      </w:r>
      <w:r>
        <w:rPr/>
        <w:t xml:space="preserve"> (with a leasehold interest) per §713.13(1)(a)3</w:t>
      </w:r>
      <w:hyperlink r:id="rId118" w:anchor=":~:text=2,interest%20was%20a%20leasehold%20interest" w:tgtFrame="_blank">
        <w:r>
          <w:rPr>
            <w:rStyle w:val="Hyperlink"/>
          </w:rPr>
          <w:t>caselaw.findlaw.com</w:t>
        </w:r>
      </w:hyperlink>
      <w:r>
        <w:rPr/>
        <w:t xml:space="preserve">. Thus, there was </w:t>
      </w:r>
      <w:r>
        <w:rPr>
          <w:rStyle w:val="Strong"/>
        </w:rPr>
        <w:t>no misrepresentation</w:t>
      </w:r>
      <w:r>
        <w:rPr/>
        <w:t>: any lienor reading the NOC would know the improvement was for a leasehold, putting them on notice of the need to protect themselves (which the contractor could have by contract with the landlord or payment bond, etc.)</w:t>
      </w:r>
      <w:hyperlink r:id="rId119" w:anchor=":~:text=MHB%20was%20in%20the%20best,costs%20in%20the%20underlying%20action" w:tgtFrame="_blank">
        <w:r>
          <w:rPr>
            <w:rStyle w:val="Hyperlink"/>
          </w:rPr>
          <w:t>caselaw.findlaw.com</w:t>
        </w:r>
      </w:hyperlink>
      <w:hyperlink r:id="rId120" w:anchor=":~:text=2,interest%20was%20a%20leasehold%20interest" w:tgtFrame="_blank">
        <w:r>
          <w:rPr>
            <w:rStyle w:val="Hyperlink"/>
          </w:rPr>
          <w:t>caselaw.findlaw.com</w:t>
        </w:r>
      </w:hyperlink>
      <w:r>
        <w:rPr/>
        <w:t>.</w:t>
      </w:r>
    </w:p>
    <w:p>
      <w:pPr>
        <w:pStyle w:val="BodyText"/>
        <w:numPr>
          <w:ilvl w:val="0"/>
          <w:numId w:val="8"/>
        </w:numPr>
        <w:tabs>
          <w:tab w:val="clear" w:pos="709"/>
          <w:tab w:val="left" w:pos="709" w:leader="none"/>
        </w:tabs>
        <w:bidi w:val="0"/>
        <w:ind w:hanging="283" w:start="709"/>
        <w:jc w:val="start"/>
        <w:rPr/>
      </w:pPr>
      <w:r>
        <w:rPr>
          <w:rStyle w:val="Strong"/>
        </w:rPr>
        <w:t>Common Mistakes:</w:t>
      </w:r>
      <w:r>
        <w:rPr/>
        <w:t xml:space="preserve"> The contractor’s </w:t>
      </w:r>
      <w:r>
        <w:rPr>
          <w:rStyle w:val="Strong"/>
        </w:rPr>
        <w:t>misconception</w:t>
      </w:r>
      <w:r>
        <w:rPr/>
        <w:t xml:space="preserve"> here was assuming that a landlord-recorded NOC = landlord consent to be liable for liens. Florida law allows landlords to protect themselves via lease clauses and a recorded Notice of Lien Prohibition, as done here</w:t>
      </w:r>
      <w:hyperlink r:id="rId121" w:anchor=":~:text=construction%2C%E2%80%9D%20exposing%20it%20to%20the,10" w:tgtFrame="_blank">
        <w:r>
          <w:rPr>
            <w:rStyle w:val="Hyperlink"/>
          </w:rPr>
          <w:t>kpsds.com</w:t>
        </w:r>
      </w:hyperlink>
      <w:r>
        <w:rPr/>
        <w:t xml:space="preserve">. A mistake some landlords make is </w:t>
      </w:r>
      <w:r>
        <w:rPr>
          <w:rStyle w:val="Strong"/>
        </w:rPr>
        <w:t>failing to record a lien prohibition or to properly draft the lease</w:t>
      </w:r>
      <w:r>
        <w:rPr/>
        <w:t xml:space="preserve"> – had the landlord not done so, a different outcome might occur (liens could reach the landlord’s interest if the lease </w:t>
      </w:r>
      <w:r>
        <w:rPr>
          <w:rStyle w:val="Emphasis"/>
        </w:rPr>
        <w:t>required</w:t>
      </w:r>
      <w:r>
        <w:rPr/>
        <w:t xml:space="preserve"> improvements or if the landlord funded a substantial portion)</w:t>
      </w:r>
      <w:hyperlink r:id="rId122" w:anchor=":~:text=level%20of%20protection%20afforded%20to,landlords%20under%20Chapter%20713" w:tgtFrame="_blank">
        <w:r>
          <w:rPr>
            <w:rStyle w:val="Hyperlink"/>
          </w:rPr>
          <w:t>caselaw.findlaw.com</w:t>
        </w:r>
      </w:hyperlink>
      <w:hyperlink r:id="rId123" w:anchor=":~:text=making%20improvements%29,require%20the%20improvements%20be%20made" w:tgtFrame="_blank">
        <w:r>
          <w:rPr>
            <w:rStyle w:val="Hyperlink"/>
          </w:rPr>
          <w:t>caselaw.findlaw.com</w:t>
        </w:r>
      </w:hyperlink>
      <w:r>
        <w:rPr/>
        <w:t xml:space="preserve">. Another potential mistake is if a landlord’s NOC </w:t>
      </w:r>
      <w:r>
        <w:rPr>
          <w:rStyle w:val="Strong"/>
        </w:rPr>
        <w:t>lists the wrong “owner”</w:t>
      </w:r>
      <w:r>
        <w:rPr/>
        <w:t>. Here, the landlord wisely listed the tenant and identified the interest as leasehold</w:t>
      </w:r>
      <w:hyperlink r:id="rId124" w:anchor=":~:text=2,interest%20was%20a%20leasehold%20interest" w:tgtFrame="_blank">
        <w:r>
          <w:rPr>
            <w:rStyle w:val="Hyperlink"/>
          </w:rPr>
          <w:t>caselaw.findlaw.com</w:t>
        </w:r>
      </w:hyperlink>
      <w:r>
        <w:rPr/>
        <w:t xml:space="preserve">. If the NOC had improperly named the landlord as the fee owner without mention of the leasehold, it might have strengthened the contractor’s estoppel argument. Thus, </w:t>
      </w:r>
      <w:r>
        <w:rPr>
          <w:rStyle w:val="Strong"/>
        </w:rPr>
        <w:t>accuracy in NOC parties</w:t>
      </w:r>
      <w:r>
        <w:rPr/>
        <w:t xml:space="preserve"> is critical in lease situations to avoid ambiguity</w:t>
      </w:r>
      <w:hyperlink r:id="rId125" w:anchor=":~:text=2,interest%20was%20a%20leasehold%20interest" w:tgtFrame="_blank">
        <w:r>
          <w:rPr>
            <w:rStyle w:val="Hyperlink"/>
          </w:rPr>
          <w:t>caselaw.findlaw.com</w:t>
        </w:r>
      </w:hyperlink>
      <w:r>
        <w:rPr/>
        <w:t>.</w:t>
      </w:r>
    </w:p>
    <w:p>
      <w:pPr>
        <w:pStyle w:val="BodyText"/>
        <w:numPr>
          <w:ilvl w:val="0"/>
          <w:numId w:val="8"/>
        </w:numPr>
        <w:tabs>
          <w:tab w:val="clear" w:pos="709"/>
          <w:tab w:val="left" w:pos="709" w:leader="none"/>
        </w:tabs>
        <w:bidi w:val="0"/>
        <w:ind w:hanging="283" w:start="709"/>
        <w:jc w:val="start"/>
        <w:rPr/>
      </w:pPr>
      <w:r>
        <w:rPr>
          <w:rStyle w:val="Strong"/>
        </w:rPr>
        <w:t>Impact:</w:t>
      </w:r>
      <w:r>
        <w:rPr/>
        <w:t xml:space="preserve"> </w:t>
      </w:r>
      <w:r>
        <w:rPr>
          <w:rStyle w:val="Emphasis"/>
        </w:rPr>
        <w:t>MHB Construction v. Waterway Shoppes</w:t>
      </w:r>
      <w:r>
        <w:rPr/>
        <w:t xml:space="preserve"> clarifies that a landlord can engage in NOC formalities without surrendering its statutory protections. It distinguishes the NOC’s notice role from the substantive property rights addressed in §713.10. The case serves as a guide: </w:t>
      </w:r>
      <w:r>
        <w:rPr>
          <w:rStyle w:val="Strong"/>
        </w:rPr>
        <w:t>Landlords</w:t>
      </w:r>
      <w:r>
        <w:rPr/>
        <w:t xml:space="preserve"> should always (1) include anti-lien clauses in leases for tenant work, (2) record a Notice of Lien Prohibition before lease execution</w:t>
      </w:r>
      <w:hyperlink r:id="rId126" w:anchor=":~:text=Landlord%20is%20the%20owner%20of,13%2C%20Florida%20Statutes%20%282010" w:tgtFrame="_blank">
        <w:r>
          <w:rPr>
            <w:rStyle w:val="Hyperlink"/>
          </w:rPr>
          <w:t>caselaw.findlaw.com</w:t>
        </w:r>
      </w:hyperlink>
      <w:r>
        <w:rPr/>
        <w:t xml:space="preserve">, and (3) if they must sign an NOC for permitting, </w:t>
      </w:r>
      <w:r>
        <w:rPr>
          <w:rStyle w:val="Strong"/>
        </w:rPr>
        <w:t>identify the tenant as the owner (leasehold)</w:t>
      </w:r>
      <w:r>
        <w:rPr/>
        <w:t xml:space="preserve"> to comply with §713.13</w:t>
      </w:r>
      <w:hyperlink r:id="rId127" w:anchor=":~:text=2,interest%20was%20a%20leasehold%20interest" w:tgtFrame="_blank">
        <w:r>
          <w:rPr>
            <w:rStyle w:val="Hyperlink"/>
          </w:rPr>
          <w:t>caselaw.findlaw.com</w:t>
        </w:r>
      </w:hyperlink>
      <w:r>
        <w:rPr/>
        <w:t xml:space="preserve">. </w:t>
      </w:r>
      <w:r>
        <w:rPr>
          <w:rStyle w:val="Strong"/>
        </w:rPr>
        <w:t>Contractors</w:t>
      </w:r>
      <w:r>
        <w:rPr/>
        <w:t xml:space="preserve"> working for tenants are reminded that they </w:t>
      </w:r>
      <w:r>
        <w:rPr>
          <w:rStyle w:val="Strong"/>
        </w:rPr>
        <w:t>cannot rely solely on an NOC to secure lien rights against the landlord</w:t>
      </w:r>
      <w:r>
        <w:rPr/>
        <w:t>. They should check the lease and public records for a lien prohibition. If one exists (as in this case), the contractor should seek additional security (e.g. a payment bond or guaranty) or ensure direct payment arrangements, since their lien will only reach the tenant’s interest, which may be of little value if the tenant defaults</w:t>
      </w:r>
      <w:hyperlink r:id="rId128" w:anchor=":~:text=construction%2C%E2%80%9D%20exposing%20it%20to%20the,10" w:tgtFrame="_blank">
        <w:r>
          <w:rPr>
            <w:rStyle w:val="Hyperlink"/>
          </w:rPr>
          <w:t>kpsds.com</w:t>
        </w:r>
      </w:hyperlink>
      <w:hyperlink r:id="rId129" w:anchor=":~:text=level%20of%20protection%20afforded%20to,landlords%20under%20Chapter%20713" w:tgtFrame="_blank">
        <w:r>
          <w:rPr>
            <w:rStyle w:val="Hyperlink"/>
          </w:rPr>
          <w:t>caselaw.findlaw.com</w:t>
        </w:r>
      </w:hyperlink>
      <w:r>
        <w:rPr/>
        <w:t>.</w:t>
      </w:r>
    </w:p>
    <w:p>
      <w:pPr>
        <w:pStyle w:val="Heading3"/>
        <w:bidi w:val="0"/>
        <w:jc w:val="start"/>
        <w:rPr/>
      </w:pPr>
      <w:r>
        <w:rPr/>
        <w:t>Summary of NOC-Related Cases and Holdings</w:t>
      </w:r>
    </w:p>
    <w:p>
      <w:pPr>
        <w:pStyle w:val="BodyText"/>
        <w:bidi w:val="0"/>
        <w:jc w:val="start"/>
        <w:rPr/>
      </w:pPr>
      <w:r>
        <w:rPr/>
        <w:t>For quick reference, the following table summarizes the above cases, the NOC compliance issue at hand, and the court’s resolution:</w:t>
      </w:r>
    </w:p>
    <w:tbl>
      <w:tblPr>
        <w:tblW w:w="10333" w:type="dxa"/>
        <w:jc w:val="start"/>
        <w:tblInd w:w="0" w:type="dxa"/>
        <w:tblLayout w:type="fixed"/>
        <w:tblCellMar>
          <w:top w:w="28" w:type="dxa"/>
          <w:start w:w="28" w:type="dxa"/>
          <w:bottom w:w="28" w:type="dxa"/>
          <w:end w:w="28" w:type="dxa"/>
        </w:tblCellMar>
      </w:tblPr>
      <w:tblGrid>
        <w:gridCol w:w="4109"/>
        <w:gridCol w:w="1399"/>
        <w:gridCol w:w="4825"/>
      </w:tblGrid>
      <w:tr>
        <w:trPr>
          <w:tblHeader w:val="true"/>
        </w:trPr>
        <w:tc>
          <w:tcPr>
            <w:tcW w:w="4109" w:type="dxa"/>
            <w:tcBorders/>
            <w:vAlign w:val="center"/>
          </w:tcPr>
          <w:p>
            <w:pPr>
              <w:pStyle w:val="TableHeading"/>
              <w:suppressLineNumbers/>
              <w:bidi w:val="0"/>
              <w:jc w:val="center"/>
              <w:rPr/>
            </w:pPr>
            <w:r>
              <w:rPr>
                <w:rStyle w:val="Strong"/>
                <w:b/>
                <w:bCs/>
              </w:rPr>
              <w:t>Case</w:t>
            </w:r>
            <w:r>
              <w:rPr/>
              <w:t xml:space="preserve"> (Court &amp; Year)</w:t>
            </w:r>
          </w:p>
        </w:tc>
        <w:tc>
          <w:tcPr>
            <w:tcW w:w="1399" w:type="dxa"/>
            <w:tcBorders/>
            <w:vAlign w:val="center"/>
          </w:tcPr>
          <w:p>
            <w:pPr>
              <w:pStyle w:val="TableHeading"/>
              <w:suppressLineNumbers/>
              <w:bidi w:val="0"/>
              <w:jc w:val="center"/>
              <w:rPr/>
            </w:pPr>
            <w:r>
              <w:rPr>
                <w:rStyle w:val="Strong"/>
                <w:b/>
                <w:bCs/>
              </w:rPr>
              <w:t>NOC Compliance Issue</w:t>
            </w:r>
          </w:p>
        </w:tc>
        <w:tc>
          <w:tcPr>
            <w:tcW w:w="4825" w:type="dxa"/>
            <w:tcBorders/>
            <w:vAlign w:val="center"/>
          </w:tcPr>
          <w:p>
            <w:pPr>
              <w:pStyle w:val="TableHeading"/>
              <w:suppressLineNumbers/>
              <w:bidi w:val="0"/>
              <w:jc w:val="center"/>
              <w:rPr/>
            </w:pPr>
            <w:r>
              <w:rPr>
                <w:rStyle w:val="Strong"/>
                <w:b/>
                <w:bCs/>
              </w:rPr>
              <w:t>Holding / Outcome</w:t>
            </w:r>
          </w:p>
        </w:tc>
      </w:tr>
      <w:tr>
        <w:trPr/>
        <w:tc>
          <w:tcPr>
            <w:tcW w:w="4109" w:type="dxa"/>
            <w:tcBorders/>
            <w:vAlign w:val="center"/>
          </w:tcPr>
          <w:p>
            <w:pPr>
              <w:pStyle w:val="TableContents"/>
              <w:widowControl w:val="false"/>
              <w:suppressLineNumbers/>
              <w:bidi w:val="0"/>
              <w:jc w:val="start"/>
              <w:rPr/>
            </w:pPr>
            <w:r>
              <w:rPr>
                <w:rStyle w:val="Strong"/>
              </w:rPr>
              <w:t>Edwin Taylor Corp. v. MERS</w:t>
            </w:r>
            <w:r>
              <w:rPr/>
              <w:t xml:space="preserve"> (Fla. 2d DCA 2020)</w:t>
            </w:r>
            <w:hyperlink r:id="rId130" w:anchor=":~:text=On%20January%207%2C%202014%2C%20the,BB%26T%27s%20notice%20of" w:tgtFrame="_blank">
              <w:r>
                <w:rPr>
                  <w:rStyle w:val="Hyperlink"/>
                </w:rPr>
                <w:t>caselaw.findlaw.com</w:t>
              </w:r>
            </w:hyperlink>
            <w:hyperlink r:id="rId131" w:anchor=":~:text=Accordingly%2C%20we%20hold%20that%20a,lender%20on%20this%20basis%20was" w:tgtFrame="_blank">
              <w:r>
                <w:rPr>
                  <w:rStyle w:val="Hyperlink"/>
                </w:rPr>
                <w:t>caselaw.findlaw.com</w:t>
              </w:r>
            </w:hyperlink>
          </w:p>
        </w:tc>
        <w:tc>
          <w:tcPr>
            <w:tcW w:w="1399" w:type="dxa"/>
            <w:tcBorders/>
            <w:vAlign w:val="center"/>
          </w:tcPr>
          <w:p>
            <w:pPr>
              <w:pStyle w:val="TableContents"/>
              <w:widowControl w:val="false"/>
              <w:suppressLineNumbers/>
              <w:bidi w:val="0"/>
              <w:jc w:val="start"/>
              <w:rPr/>
            </w:pPr>
            <w:r>
              <w:rPr/>
              <w:t>NOC signed by GC (not owner); priority dispute between sub and lender.</w:t>
            </w:r>
          </w:p>
        </w:tc>
        <w:tc>
          <w:tcPr>
            <w:tcW w:w="4825" w:type="dxa"/>
            <w:tcBorders/>
            <w:vAlign w:val="center"/>
          </w:tcPr>
          <w:p>
            <w:pPr>
              <w:pStyle w:val="TableContents"/>
              <w:widowControl w:val="false"/>
              <w:suppressLineNumbers/>
              <w:bidi w:val="0"/>
              <w:jc w:val="start"/>
              <w:rPr/>
            </w:pPr>
            <w:r>
              <w:rPr/>
              <w:t xml:space="preserve">NOC </w:t>
            </w:r>
            <w:r>
              <w:rPr>
                <w:rStyle w:val="Emphasis"/>
              </w:rPr>
              <w:t>not</w:t>
            </w:r>
            <w:r>
              <w:rPr/>
              <w:t xml:space="preserve"> void – substantial compliance suffices. Sub’s lien relates back to NOC date despite missing owner signature; lender can’t use defect to defeat lien</w:t>
            </w:r>
            <w:hyperlink r:id="rId132" w:anchor=":~:text=Accordingly%2C%20we%20hold%20that%20a,lender%20on%20this%20basis%20was" w:tgtFrame="_blank">
              <w:r>
                <w:rPr>
                  <w:rStyle w:val="Hyperlink"/>
                </w:rPr>
                <w:t>caselaw.findlaw.com</w:t>
              </w:r>
            </w:hyperlink>
            <w:r>
              <w:rPr/>
              <w:t>.</w:t>
            </w:r>
          </w:p>
        </w:tc>
      </w:tr>
      <w:tr>
        <w:trPr/>
        <w:tc>
          <w:tcPr>
            <w:tcW w:w="4109" w:type="dxa"/>
            <w:tcBorders/>
            <w:vAlign w:val="center"/>
          </w:tcPr>
          <w:p>
            <w:pPr>
              <w:pStyle w:val="TableContents"/>
              <w:widowControl w:val="false"/>
              <w:suppressLineNumbers/>
              <w:bidi w:val="0"/>
              <w:jc w:val="start"/>
              <w:rPr/>
            </w:pPr>
            <w:r>
              <w:rPr>
                <w:rStyle w:val="Strong"/>
              </w:rPr>
              <w:t>Sasso Air Conditioning v. United Lending</w:t>
            </w:r>
            <w:r>
              <w:rPr/>
              <w:t xml:space="preserve"> (Fla. 4th DCA 1999)</w:t>
            </w:r>
            <w:hyperlink r:id="rId133" w:anchor=":~:text=general%20contractor%20that%20was%20recorded,law%20does%20not%20require%20every" w:tgtFrame="_blank">
              <w:r>
                <w:rPr>
                  <w:rStyle w:val="Hyperlink"/>
                </w:rPr>
                <w:t>caselaw.findlaw.com</w:t>
              </w:r>
            </w:hyperlink>
            <w:hyperlink r:id="rId134" w:anchor=":~:text=the%20notice%20is%20true%20and,at%20470" w:tgtFrame="_blank">
              <w:r>
                <w:rPr>
                  <w:rStyle w:val="Hyperlink"/>
                </w:rPr>
                <w:t>caselaw.findlaw.com</w:t>
              </w:r>
            </w:hyperlink>
          </w:p>
        </w:tc>
        <w:tc>
          <w:tcPr>
            <w:tcW w:w="1399" w:type="dxa"/>
            <w:tcBorders/>
            <w:vAlign w:val="center"/>
          </w:tcPr>
          <w:p>
            <w:pPr>
              <w:pStyle w:val="TableContents"/>
              <w:widowControl w:val="false"/>
              <w:suppressLineNumbers/>
              <w:bidi w:val="0"/>
              <w:jc w:val="start"/>
              <w:rPr/>
            </w:pPr>
            <w:r>
              <w:rPr/>
              <w:t>NOC not signed by all owners (one spouse omitted); bank vs. sub priority.</w:t>
            </w:r>
          </w:p>
        </w:tc>
        <w:tc>
          <w:tcPr>
            <w:tcW w:w="4825" w:type="dxa"/>
            <w:tcBorders/>
            <w:vAlign w:val="center"/>
          </w:tcPr>
          <w:p>
            <w:pPr>
              <w:pStyle w:val="TableContents"/>
              <w:widowControl w:val="false"/>
              <w:suppressLineNumbers/>
              <w:bidi w:val="0"/>
              <w:jc w:val="start"/>
              <w:rPr/>
            </w:pPr>
            <w:r>
              <w:rPr/>
              <w:t>NOC valid for lien purposes (owner’s error doesn’t invalidate NOC). Lien relates back prior to mortgage. Burden is on owner to get it right, not on lienor</w:t>
            </w:r>
            <w:hyperlink r:id="rId135" w:anchor=":~:text=is%20on%20the%20owner%2C%20whereas,at%20470" w:tgtFrame="_blank">
              <w:r>
                <w:rPr>
                  <w:rStyle w:val="Hyperlink"/>
                </w:rPr>
                <w:t>caselaw.findlaw.com</w:t>
              </w:r>
            </w:hyperlink>
            <w:hyperlink r:id="rId136" w:anchor=":~:text=regular%20and%20complete%20in%20all,at%20470" w:tgtFrame="_blank">
              <w:r>
                <w:rPr>
                  <w:rStyle w:val="Hyperlink"/>
                </w:rPr>
                <w:t>caselaw.findlaw.com</w:t>
              </w:r>
            </w:hyperlink>
            <w:r>
              <w:rPr/>
              <w:t>.</w:t>
            </w:r>
          </w:p>
        </w:tc>
      </w:tr>
      <w:tr>
        <w:trPr/>
        <w:tc>
          <w:tcPr>
            <w:tcW w:w="4109" w:type="dxa"/>
            <w:tcBorders/>
            <w:vAlign w:val="center"/>
          </w:tcPr>
          <w:p>
            <w:pPr>
              <w:pStyle w:val="TableContents"/>
              <w:widowControl w:val="false"/>
              <w:suppressLineNumbers/>
              <w:bidi w:val="0"/>
              <w:jc w:val="start"/>
              <w:rPr/>
            </w:pPr>
            <w:r>
              <w:rPr>
                <w:rStyle w:val="Strong"/>
              </w:rPr>
              <w:t>Design Aluminum v. DeSanti</w:t>
            </w:r>
            <w:r>
              <w:rPr/>
              <w:t xml:space="preserve"> (Fla. 2d DCA 1988)</w:t>
            </w:r>
            <w:hyperlink r:id="rId137" w:anchor=":~:text=stead,to%20shift%20this%20risk%20to" w:tgtFrame="_blank">
              <w:r>
                <w:rPr>
                  <w:rStyle w:val="Hyperlink"/>
                </w:rPr>
                <w:t>caselaw.findlaw.com</w:t>
              </w:r>
            </w:hyperlink>
            <w:hyperlink r:id="rId138" w:anchor=":~:text=,the%20lack%20of%20authority%20for" w:tgtFrame="_blank">
              <w:r>
                <w:rPr>
                  <w:rStyle w:val="Hyperlink"/>
                </w:rPr>
                <w:t>caselaw.findlaw.com</w:t>
              </w:r>
            </w:hyperlink>
          </w:p>
        </w:tc>
        <w:tc>
          <w:tcPr>
            <w:tcW w:w="1399" w:type="dxa"/>
            <w:tcBorders/>
            <w:vAlign w:val="center"/>
          </w:tcPr>
          <w:p>
            <w:pPr>
              <w:pStyle w:val="TableContents"/>
              <w:widowControl w:val="false"/>
              <w:suppressLineNumbers/>
              <w:bidi w:val="0"/>
              <w:jc w:val="start"/>
              <w:rPr/>
            </w:pPr>
            <w:r>
              <w:rPr/>
              <w:t>NOC contained incorrect info (causing misaddressed notice).</w:t>
            </w:r>
          </w:p>
        </w:tc>
        <w:tc>
          <w:tcPr>
            <w:tcW w:w="4825" w:type="dxa"/>
            <w:tcBorders/>
            <w:vAlign w:val="center"/>
          </w:tcPr>
          <w:p>
            <w:pPr>
              <w:pStyle w:val="TableContents"/>
              <w:widowControl w:val="false"/>
              <w:suppressLineNumbers/>
              <w:bidi w:val="0"/>
              <w:jc w:val="start"/>
              <w:rPr/>
            </w:pPr>
            <w:r>
              <w:rPr/>
              <w:t>Owner bears risk of NOC errors. Lienor’s compliance judged on info provided. Lien upheld; lienor has no duty to verify NOC details</w:t>
            </w:r>
            <w:hyperlink r:id="rId139" w:anchor=":~:text=stead,to%20shift%20this%20risk%20to" w:tgtFrame="_blank">
              <w:r>
                <w:rPr>
                  <w:rStyle w:val="Hyperlink"/>
                </w:rPr>
                <w:t>caselaw.findlaw.com</w:t>
              </w:r>
            </w:hyperlink>
            <w:hyperlink r:id="rId140" w:anchor=":~:text=,the%20lack%20of%20authority%20for" w:tgtFrame="_blank">
              <w:r>
                <w:rPr>
                  <w:rStyle w:val="Hyperlink"/>
                </w:rPr>
                <w:t>caselaw.findlaw.com</w:t>
              </w:r>
            </w:hyperlink>
            <w:r>
              <w:rPr/>
              <w:t>.</w:t>
            </w:r>
          </w:p>
        </w:tc>
      </w:tr>
      <w:tr>
        <w:trPr/>
        <w:tc>
          <w:tcPr>
            <w:tcW w:w="4109" w:type="dxa"/>
            <w:tcBorders/>
            <w:vAlign w:val="center"/>
          </w:tcPr>
          <w:p>
            <w:pPr>
              <w:pStyle w:val="TableContents"/>
              <w:widowControl w:val="false"/>
              <w:suppressLineNumbers/>
              <w:bidi w:val="0"/>
              <w:jc w:val="start"/>
              <w:rPr/>
            </w:pPr>
            <w:r>
              <w:rPr>
                <w:rStyle w:val="Strong"/>
              </w:rPr>
              <w:t>Napolitano v. Security First F.S.L.A.</w:t>
            </w:r>
            <w:r>
              <w:rPr/>
              <w:t xml:space="preserve"> (Fla. 5th DCA 1988)</w:t>
            </w:r>
            <w:hyperlink r:id="rId141" w:anchor=":~:text=in%20the%20Notice%20of%20Commencement,only%20confirmed%20the%20contrary%E2%80%94the%20lienor" w:tgtFrame="_blank">
              <w:r>
                <w:rPr>
                  <w:rStyle w:val="Hyperlink"/>
                </w:rPr>
                <w:t>caselaw.findlaw.com</w:t>
              </w:r>
            </w:hyperlink>
          </w:p>
        </w:tc>
        <w:tc>
          <w:tcPr>
            <w:tcW w:w="1399" w:type="dxa"/>
            <w:tcBorders/>
            <w:vAlign w:val="center"/>
          </w:tcPr>
          <w:p>
            <w:pPr>
              <w:pStyle w:val="TableContents"/>
              <w:widowControl w:val="false"/>
              <w:suppressLineNumbers/>
              <w:bidi w:val="0"/>
              <w:jc w:val="start"/>
              <w:rPr/>
            </w:pPr>
            <w:r>
              <w:rPr/>
              <w:t>Lender (agent) failed to timely/properly record NOC for owner’s project.</w:t>
            </w:r>
          </w:p>
        </w:tc>
        <w:tc>
          <w:tcPr>
            <w:tcW w:w="4825" w:type="dxa"/>
            <w:tcBorders/>
            <w:vAlign w:val="center"/>
          </w:tcPr>
          <w:p>
            <w:pPr>
              <w:pStyle w:val="TableContents"/>
              <w:widowControl w:val="false"/>
              <w:suppressLineNumbers/>
              <w:bidi w:val="0"/>
              <w:jc w:val="start"/>
              <w:rPr/>
            </w:pPr>
            <w:r>
              <w:rPr/>
              <w:t xml:space="preserve">Lender assumes owner’s NOC duties – if it errs or delays, </w:t>
            </w:r>
            <w:r>
              <w:rPr>
                <w:rStyle w:val="Strong"/>
              </w:rPr>
              <w:t>lender is liable</w:t>
            </w:r>
            <w:r>
              <w:rPr/>
              <w:t xml:space="preserve"> and cannot harm lienor or owner thereby</w:t>
            </w:r>
            <w:hyperlink r:id="rId142" w:anchor=":~:text=in%20the%20Notice%20of%20Commencement,only%20confirmed%20the%20contrary%E2%80%94the%20lienor" w:tgtFrame="_blank">
              <w:r>
                <w:rPr>
                  <w:rStyle w:val="Hyperlink"/>
                </w:rPr>
                <w:t>caselaw.findlaw.com</w:t>
              </w:r>
            </w:hyperlink>
            <w:r>
              <w:rPr/>
              <w:t>. NOC must be recorded before start regardless of lender’s internal issues.</w:t>
            </w:r>
          </w:p>
        </w:tc>
      </w:tr>
      <w:tr>
        <w:trPr/>
        <w:tc>
          <w:tcPr>
            <w:tcW w:w="4109" w:type="dxa"/>
            <w:tcBorders/>
            <w:vAlign w:val="center"/>
          </w:tcPr>
          <w:p>
            <w:pPr>
              <w:pStyle w:val="TableContents"/>
              <w:widowControl w:val="false"/>
              <w:suppressLineNumbers/>
              <w:bidi w:val="0"/>
              <w:jc w:val="start"/>
              <w:rPr/>
            </w:pPr>
            <w:r>
              <w:rPr>
                <w:rStyle w:val="Strong"/>
              </w:rPr>
              <w:t>Roof Structures v. Piccou</w:t>
            </w:r>
            <w:r>
              <w:rPr/>
              <w:t xml:space="preserve"> (Fla. 4th DCA 1989)</w:t>
            </w:r>
            <w:hyperlink r:id="rId143" w:anchor=":~:text=Appraiser%E2%80%99s%20office%2C%20identified%20himself%20as,title%20search%20to%20file%2036" w:tgtFrame="_blank">
              <w:r>
                <w:rPr>
                  <w:rStyle w:val="Hyperlink"/>
                </w:rPr>
                <w:t>acis-api.flcourts.gov</w:t>
              </w:r>
            </w:hyperlink>
          </w:p>
        </w:tc>
        <w:tc>
          <w:tcPr>
            <w:tcW w:w="1399" w:type="dxa"/>
            <w:tcBorders/>
            <w:vAlign w:val="center"/>
          </w:tcPr>
          <w:p>
            <w:pPr>
              <w:pStyle w:val="TableContents"/>
              <w:widowControl w:val="false"/>
              <w:suppressLineNumbers/>
              <w:bidi w:val="0"/>
              <w:jc w:val="start"/>
              <w:rPr/>
            </w:pPr>
            <w:r>
              <w:rPr/>
              <w:t>No NOC recorded; subcontractor sent Notice to Owner to wrong party (misled by permit records).</w:t>
            </w:r>
          </w:p>
        </w:tc>
        <w:tc>
          <w:tcPr>
            <w:tcW w:w="4825" w:type="dxa"/>
            <w:tcBorders/>
            <w:vAlign w:val="center"/>
          </w:tcPr>
          <w:p>
            <w:pPr>
              <w:pStyle w:val="TableContents"/>
              <w:widowControl w:val="false"/>
              <w:suppressLineNumbers/>
              <w:bidi w:val="0"/>
              <w:jc w:val="start"/>
              <w:rPr/>
            </w:pPr>
            <w:r>
              <w:rPr/>
              <w:t>Lien remains valid. Owner’s failure to file NOC estops owner from exploiting lienor’s notice error</w:t>
            </w:r>
            <w:hyperlink r:id="rId144" w:anchor=":~:text=Appraiser%E2%80%99s%20office%2C%20identified%20himself%20as,title%20search%20to%20file%2036" w:tgtFrame="_blank">
              <w:r>
                <w:rPr>
                  <w:rStyle w:val="Hyperlink"/>
                </w:rPr>
                <w:t>acis-api.flcourts.gov</w:t>
              </w:r>
            </w:hyperlink>
            <w:r>
              <w:rPr/>
              <w:t>. Owner’s omission = lienor’s mistake excused.</w:t>
            </w:r>
          </w:p>
        </w:tc>
      </w:tr>
      <w:tr>
        <w:trPr/>
        <w:tc>
          <w:tcPr>
            <w:tcW w:w="4109" w:type="dxa"/>
            <w:tcBorders/>
            <w:vAlign w:val="center"/>
          </w:tcPr>
          <w:p>
            <w:pPr>
              <w:pStyle w:val="TableContents"/>
              <w:widowControl w:val="false"/>
              <w:suppressLineNumbers/>
              <w:bidi w:val="0"/>
              <w:jc w:val="start"/>
              <w:rPr/>
            </w:pPr>
            <w:r>
              <w:rPr>
                <w:rStyle w:val="Strong"/>
              </w:rPr>
              <w:t>S &amp; S Air Conditioning v. Cantor</w:t>
            </w:r>
            <w:r>
              <w:rPr/>
              <w:t xml:space="preserve"> (Fla. 3d DCA 1977)</w:t>
            </w:r>
            <w:hyperlink r:id="rId145" w:anchor=":~:text=relied%20on%20the%20information%20contained,which%20the%20owner%20took%20title" w:tgtFrame="_blank">
              <w:r>
                <w:rPr>
                  <w:rStyle w:val="Hyperlink"/>
                </w:rPr>
                <w:t>caselaw.findlaw.com</w:t>
              </w:r>
            </w:hyperlink>
          </w:p>
        </w:tc>
        <w:tc>
          <w:tcPr>
            <w:tcW w:w="1399" w:type="dxa"/>
            <w:tcBorders/>
            <w:vAlign w:val="center"/>
          </w:tcPr>
          <w:p>
            <w:pPr>
              <w:pStyle w:val="TableContents"/>
              <w:widowControl w:val="false"/>
              <w:suppressLineNumbers/>
              <w:bidi w:val="0"/>
              <w:jc w:val="start"/>
              <w:rPr/>
            </w:pPr>
            <w:r>
              <w:rPr/>
              <w:t>No NOC; Notice to Owner sent to address from deed (owner claimed no receipt).</w:t>
            </w:r>
          </w:p>
        </w:tc>
        <w:tc>
          <w:tcPr>
            <w:tcW w:w="4825" w:type="dxa"/>
            <w:tcBorders/>
            <w:vAlign w:val="center"/>
          </w:tcPr>
          <w:p>
            <w:pPr>
              <w:pStyle w:val="TableContents"/>
              <w:widowControl w:val="false"/>
              <w:suppressLineNumbers/>
              <w:bidi w:val="0"/>
              <w:jc w:val="start"/>
              <w:rPr/>
            </w:pPr>
            <w:r>
              <w:rPr/>
              <w:t>Notice deemed effective. Without NOC, owner can’t complain about notice sent to last known address</w:t>
            </w:r>
            <w:hyperlink r:id="rId146" w:anchor=":~:text=relied%20on%20the%20information%20contained,which%20the%20owner%20took%20title" w:tgtFrame="_blank">
              <w:r>
                <w:rPr>
                  <w:rStyle w:val="Hyperlink"/>
                </w:rPr>
                <w:t>caselaw.findlaw.com</w:t>
              </w:r>
            </w:hyperlink>
            <w:r>
              <w:rPr/>
              <w:t>. Owner is estopped from denial of notice.</w:t>
            </w:r>
          </w:p>
        </w:tc>
      </w:tr>
      <w:tr>
        <w:trPr/>
        <w:tc>
          <w:tcPr>
            <w:tcW w:w="4109" w:type="dxa"/>
            <w:tcBorders/>
            <w:vAlign w:val="center"/>
          </w:tcPr>
          <w:p>
            <w:pPr>
              <w:pStyle w:val="TableContents"/>
              <w:widowControl w:val="false"/>
              <w:suppressLineNumbers/>
              <w:bidi w:val="0"/>
              <w:jc w:val="start"/>
              <w:rPr/>
            </w:pPr>
            <w:r>
              <w:rPr>
                <w:rStyle w:val="Strong"/>
              </w:rPr>
              <w:t>Symons Corp. v. Tartan-Lavers</w:t>
            </w:r>
            <w:r>
              <w:rPr/>
              <w:t xml:space="preserve"> (Fla. 4th DCA 1984)</w:t>
            </w:r>
            <w:hyperlink r:id="rId147" w:anchor=":~:text=3,which%20the%20owner%20took%20title" w:tgtFrame="_blank">
              <w:r>
                <w:rPr>
                  <w:rStyle w:val="Hyperlink"/>
                </w:rPr>
                <w:t>caselaw.findlaw.com</w:t>
              </w:r>
            </w:hyperlink>
          </w:p>
        </w:tc>
        <w:tc>
          <w:tcPr>
            <w:tcW w:w="1399" w:type="dxa"/>
            <w:tcBorders/>
            <w:vAlign w:val="center"/>
          </w:tcPr>
          <w:p>
            <w:pPr>
              <w:pStyle w:val="TableContents"/>
              <w:widowControl w:val="false"/>
              <w:suppressLineNumbers/>
              <w:bidi w:val="0"/>
              <w:jc w:val="start"/>
              <w:rPr/>
            </w:pPr>
            <w:r>
              <w:rPr/>
              <w:t>NOC designated a particular address/agent; owner claimed no actual notice of NTO.</w:t>
            </w:r>
          </w:p>
        </w:tc>
        <w:tc>
          <w:tcPr>
            <w:tcW w:w="4825" w:type="dxa"/>
            <w:tcBorders/>
            <w:vAlign w:val="center"/>
          </w:tcPr>
          <w:p>
            <w:pPr>
              <w:pStyle w:val="TableContents"/>
              <w:widowControl w:val="false"/>
              <w:suppressLineNumbers/>
              <w:bidi w:val="0"/>
              <w:jc w:val="start"/>
              <w:rPr/>
            </w:pPr>
            <w:r>
              <w:rPr/>
              <w:t>Owner estopped from denying receipt of NTO that was sent per NOC instructions</w:t>
            </w:r>
            <w:hyperlink r:id="rId148" w:anchor=":~:text=3,which%20the%20owner%20took%20title" w:tgtFrame="_blank">
              <w:r>
                <w:rPr>
                  <w:rStyle w:val="Hyperlink"/>
                </w:rPr>
                <w:t>caselaw.findlaw.com</w:t>
              </w:r>
            </w:hyperlink>
            <w:r>
              <w:rPr/>
              <w:t>. Lienor protected by relying on NOC’s info.</w:t>
            </w:r>
          </w:p>
        </w:tc>
      </w:tr>
      <w:tr>
        <w:trPr/>
        <w:tc>
          <w:tcPr>
            <w:tcW w:w="4109" w:type="dxa"/>
            <w:tcBorders/>
            <w:vAlign w:val="center"/>
          </w:tcPr>
          <w:p>
            <w:pPr>
              <w:pStyle w:val="TableContents"/>
              <w:widowControl w:val="false"/>
              <w:suppressLineNumbers/>
              <w:bidi w:val="0"/>
              <w:jc w:val="start"/>
              <w:rPr/>
            </w:pPr>
            <w:r>
              <w:rPr>
                <w:rStyle w:val="Strong"/>
              </w:rPr>
              <w:t>MHB Constr. Services v. Waterway Shoppes</w:t>
            </w:r>
            <w:r>
              <w:rPr/>
              <w:t xml:space="preserve"> (Fla. 4th DCA 2011)</w:t>
            </w:r>
            <w:hyperlink r:id="rId149" w:anchor=":~:text=On%20appeal%2C%20the%20contractor%20argued,place%2C%20the%20Fourth%20DCA%20held" w:tgtFrame="_blank">
              <w:r>
                <w:rPr>
                  <w:rStyle w:val="Hyperlink"/>
                </w:rPr>
                <w:t>kpsds.com</w:t>
              </w:r>
            </w:hyperlink>
            <w:hyperlink r:id="rId150" w:anchor=":~:text=2,interest%20was%20a%20leasehold%20interest" w:tgtFrame="_blank">
              <w:r>
                <w:rPr>
                  <w:rStyle w:val="Hyperlink"/>
                </w:rPr>
                <w:t>caselaw.findlaw.com</w:t>
              </w:r>
            </w:hyperlink>
          </w:p>
        </w:tc>
        <w:tc>
          <w:tcPr>
            <w:tcW w:w="1399" w:type="dxa"/>
            <w:tcBorders/>
            <w:vAlign w:val="center"/>
          </w:tcPr>
          <w:p>
            <w:pPr>
              <w:pStyle w:val="TableContents"/>
              <w:widowControl w:val="false"/>
              <w:suppressLineNumbers/>
              <w:bidi w:val="0"/>
              <w:jc w:val="start"/>
              <w:rPr/>
            </w:pPr>
            <w:r>
              <w:rPr/>
              <w:t>Landlord recorded NOC for tenant’s work; contractor argued landlord NOC = consent to lien.</w:t>
            </w:r>
          </w:p>
        </w:tc>
        <w:tc>
          <w:tcPr>
            <w:tcW w:w="4825" w:type="dxa"/>
            <w:tcBorders/>
            <w:vAlign w:val="center"/>
          </w:tcPr>
          <w:p>
            <w:pPr>
              <w:pStyle w:val="TableContents"/>
              <w:widowControl w:val="false"/>
              <w:suppressLineNumbers/>
              <w:bidi w:val="0"/>
              <w:jc w:val="start"/>
              <w:rPr/>
            </w:pPr>
            <w:r>
              <w:rPr/>
              <w:t xml:space="preserve">Landlord’s </w:t>
            </w:r>
            <w:r>
              <w:rPr>
                <w:rStyle w:val="Strong"/>
              </w:rPr>
              <w:t>fee interest not lienable</w:t>
            </w:r>
            <w:r>
              <w:rPr/>
              <w:t xml:space="preserve"> due to §713.10 protections, despite NOC. NOC listing tenant (leasehold) complied with §713.13</w:t>
            </w:r>
            <w:hyperlink r:id="rId151" w:anchor=":~:text=2,interest%20was%20a%20leasehold%20interest" w:tgtFrame="_blank">
              <w:r>
                <w:rPr>
                  <w:rStyle w:val="Hyperlink"/>
                </w:rPr>
                <w:t>caselaw.findlaw.com</w:t>
              </w:r>
            </w:hyperlink>
            <w:r>
              <w:rPr/>
              <w:t xml:space="preserve"> and did not waive landlord’s disclaimer of liens</w:t>
            </w:r>
            <w:hyperlink r:id="rId152" w:anchor=":~:text=On%20appeal%2C%20the%20contractor%20argued,place%2C%20the%20Fourth%20DCA%20held" w:tgtFrame="_blank">
              <w:r>
                <w:rPr>
                  <w:rStyle w:val="Hyperlink"/>
                </w:rPr>
                <w:t>kpsds.com</w:t>
              </w:r>
            </w:hyperlink>
            <w:r>
              <w:rPr/>
              <w:t>.</w:t>
            </w:r>
          </w:p>
        </w:tc>
      </w:tr>
    </w:tbl>
    <w:p>
      <w:pPr>
        <w:pStyle w:val="BodyText"/>
        <w:bidi w:val="0"/>
        <w:jc w:val="start"/>
        <w:rPr/>
      </w:pPr>
      <w:r>
        <w:rPr>
          <w:rStyle w:val="Emphasis"/>
        </w:rPr>
        <w:t>(Note: The above cases all interpret Florida’s current lien law (Chapter 713, Part I) as it pertains to NOCs. Older cases from the 1970s–80s remain good law on these points and have been cited with approval in recent decisions</w:t>
      </w:r>
      <w:hyperlink r:id="rId153" w:anchor=":~:text=Appraiser%E2%80%99s%20office%2C%20identified%20himself%20as,title%20search%20to%20file%2036" w:tgtFrame="_blank">
        <w:r>
          <w:rPr>
            <w:rStyle w:val="Hyperlink"/>
            <w:i/>
            <w:i/>
            <w:iCs/>
          </w:rPr>
          <w:t>acis-api.flcourts.gov</w:t>
        </w:r>
      </w:hyperlink>
      <w:hyperlink r:id="rId154" w:anchor=":~:text=3,which%20the%20owner%20took%20title" w:tgtFrame="_blank">
        <w:r>
          <w:rPr>
            <w:rStyle w:val="Hyperlink"/>
            <w:i/>
            <w:i/>
            <w:iCs/>
          </w:rPr>
          <w:t>caselaw.findlaw.com</w:t>
        </w:r>
      </w:hyperlink>
      <w:r>
        <w:rPr>
          <w:rStyle w:val="Emphasis"/>
        </w:rPr>
        <w:t>. No superseded statutory provisions materially affecting NOCs are involved in these holdings.)</w:t>
      </w:r>
    </w:p>
    <w:p>
      <w:pPr>
        <w:pStyle w:val="Heading2"/>
        <w:bidi w:val="0"/>
        <w:jc w:val="start"/>
        <w:rPr/>
      </w:pPr>
      <w:r>
        <w:rPr/>
        <w:t>Trends in Judicial Interpretation of NOC Requirements</w:t>
      </w:r>
    </w:p>
    <w:p>
      <w:pPr>
        <w:pStyle w:val="BodyText"/>
        <w:bidi w:val="0"/>
        <w:jc w:val="start"/>
        <w:rPr/>
      </w:pPr>
      <w:r>
        <w:rPr/>
        <w:t xml:space="preserve">The case law reveals a clear </w:t>
      </w:r>
      <w:r>
        <w:rPr>
          <w:rStyle w:val="Strong"/>
        </w:rPr>
        <w:t>trend toward protecting diligent lienors and enforcing the purpose of the lien law</w:t>
      </w:r>
      <w:r>
        <w:rPr/>
        <w:t>, rather than rigidly voiding liens for every technical NOC defect. Several themes emerge:</w:t>
      </w:r>
    </w:p>
    <w:p>
      <w:pPr>
        <w:pStyle w:val="BodyText"/>
        <w:numPr>
          <w:ilvl w:val="0"/>
          <w:numId w:val="9"/>
        </w:numPr>
        <w:tabs>
          <w:tab w:val="clear" w:pos="709"/>
          <w:tab w:val="left" w:pos="709" w:leader="none"/>
        </w:tabs>
        <w:bidi w:val="0"/>
        <w:ind w:hanging="283" w:start="709"/>
        <w:jc w:val="start"/>
        <w:rPr/>
      </w:pPr>
      <w:r>
        <w:rPr>
          <w:rStyle w:val="Strong"/>
        </w:rPr>
        <w:t>Substantial Compliance vs. Strict Compliance:</w:t>
      </w:r>
      <w:r>
        <w:rPr/>
        <w:t xml:space="preserve"> While courts often recite that lien laws must be strictly construed</w:t>
      </w:r>
      <w:hyperlink r:id="rId155" w:anchor=":~:text=laws%20were%20enacted%20for%20the,substantially%20complied%20with%20the%20statutory" w:tgtFrame="_blank">
        <w:r>
          <w:rPr>
            <w:rStyle w:val="Hyperlink"/>
          </w:rPr>
          <w:t>caselaw.findlaw.com</w:t>
        </w:r>
      </w:hyperlink>
      <w:r>
        <w:rPr/>
        <w:t xml:space="preserve">, in practice Florida courts allow </w:t>
      </w:r>
      <w:r>
        <w:rPr>
          <w:rStyle w:val="Strong"/>
        </w:rPr>
        <w:t>substantial compliance</w:t>
      </w:r>
      <w:r>
        <w:rPr/>
        <w:t xml:space="preserve"> with the NOC requirements when the underlying purposes are met and no party is prejudiced. Especially in the context of NOCs, courts have been willing to forgive </w:t>
      </w:r>
      <w:r>
        <w:rPr>
          <w:rStyle w:val="Strong"/>
        </w:rPr>
        <w:t>minor defects</w:t>
      </w:r>
      <w:r>
        <w:rPr/>
        <w:t xml:space="preserve"> (missing signatures, slight inaccuracies) as long as the NOC effectively gives notice and information to lienors</w:t>
      </w:r>
      <w:hyperlink r:id="rId156" w:anchor=":~:text=,in%20the%20Notice%20of%20Commencement" w:tgtFrame="_blank">
        <w:r>
          <w:rPr>
            <w:rStyle w:val="Hyperlink"/>
          </w:rPr>
          <w:t>taylordaylaw.com</w:t>
        </w:r>
      </w:hyperlink>
      <w:hyperlink r:id="rId157" w:anchor=":~:text=We%20find%20Sasso%20instructive,an%20updated%20title%20search%20through" w:tgtFrame="_blank">
        <w:r>
          <w:rPr>
            <w:rStyle w:val="Hyperlink"/>
          </w:rPr>
          <w:t>caselaw.findlaw.com</w:t>
        </w:r>
      </w:hyperlink>
      <w:r>
        <w:rPr/>
        <w:t>. The flip side is that the party seeking to invalidate a lien must show real prejudice from the NOC error – merely pointing out a technical flaw is not enough if the lienor did everything else right and the objecting party could have protected itself</w:t>
      </w:r>
      <w:hyperlink r:id="rId158" w:anchor=":~:text=In%20reaching%20its%20conclusion%2C%20the,the%20notice%20of%20commencement%20where" w:tgtFrame="_blank">
        <w:r>
          <w:rPr>
            <w:rStyle w:val="Hyperlink"/>
          </w:rPr>
          <w:t>caselaw.findlaw.com</w:t>
        </w:r>
      </w:hyperlink>
      <w:hyperlink r:id="rId159" w:anchor=":~:text=the%20lienor%20to%20properly%20mail,4" w:tgtFrame="_blank">
        <w:r>
          <w:rPr>
            <w:rStyle w:val="Hyperlink"/>
          </w:rPr>
          <w:t>caselaw.findlaw.com</w:t>
        </w:r>
      </w:hyperlink>
      <w:r>
        <w:rPr/>
        <w:t xml:space="preserve">. The </w:t>
      </w:r>
      <w:r>
        <w:rPr>
          <w:rStyle w:val="Strong"/>
        </w:rPr>
        <w:t>modern trend</w:t>
      </w:r>
      <w:r>
        <w:rPr/>
        <w:t xml:space="preserve"> is epitomized by </w:t>
      </w:r>
      <w:r>
        <w:rPr>
          <w:rStyle w:val="Emphasis"/>
        </w:rPr>
        <w:t>Sasso</w:t>
      </w:r>
      <w:r>
        <w:rPr/>
        <w:t xml:space="preserve"> and </w:t>
      </w:r>
      <w:r>
        <w:rPr>
          <w:rStyle w:val="Emphasis"/>
        </w:rPr>
        <w:t>Edwin Taylor</w:t>
      </w:r>
      <w:r>
        <w:rPr/>
        <w:t>: a NOC that is “regular and complete in all respects” except for an owner’s oversight will still fulfill its role, and the courts will treat it as effective</w:t>
      </w:r>
      <w:hyperlink r:id="rId160" w:anchor=":~:text=to%20the%20void%20notice%20of,had%20no%20control%2C%20failed%20to" w:tgtFrame="_blank">
        <w:r>
          <w:rPr>
            <w:rStyle w:val="Hyperlink"/>
          </w:rPr>
          <w:t>caselaw.findlaw.com</w:t>
        </w:r>
      </w:hyperlink>
      <w:hyperlink r:id="rId161" w:anchor=":~:text=We%20find%20Sasso%20instructive,an%20updated%20title%20search%20through" w:tgtFrame="_blank">
        <w:r>
          <w:rPr>
            <w:rStyle w:val="Hyperlink"/>
          </w:rPr>
          <w:t>caselaw.findlaw.com</w:t>
        </w:r>
      </w:hyperlink>
      <w:r>
        <w:rPr/>
        <w:t>. This shift aligns with statutory tweaks that codify substantial compliance for lien notices (e.g. §713.06(2)(f) regarding NTO errors)</w:t>
      </w:r>
      <w:hyperlink r:id="rId162" w:anchor=":~:text=%28Fla,%282013" w:tgtFrame="_blank">
        <w:r>
          <w:rPr>
            <w:rStyle w:val="Hyperlink"/>
          </w:rPr>
          <w:t>caselaw.findlaw.com</w:t>
        </w:r>
      </w:hyperlink>
      <w:r>
        <w:rPr/>
        <w:t>, signalling judicial unwillingness to impose draconian results on lienors for owner errors.</w:t>
      </w:r>
    </w:p>
    <w:p>
      <w:pPr>
        <w:pStyle w:val="BodyText"/>
        <w:numPr>
          <w:ilvl w:val="0"/>
          <w:numId w:val="9"/>
        </w:numPr>
        <w:tabs>
          <w:tab w:val="clear" w:pos="709"/>
          <w:tab w:val="left" w:pos="709" w:leader="none"/>
        </w:tabs>
        <w:bidi w:val="0"/>
        <w:ind w:hanging="283" w:start="709"/>
        <w:jc w:val="start"/>
        <w:rPr/>
      </w:pPr>
      <w:r>
        <w:rPr>
          <w:rStyle w:val="Strong"/>
        </w:rPr>
        <w:t>Owner’s Burden and Lienor’s Reliance:</w:t>
      </w:r>
      <w:r>
        <w:rPr/>
        <w:t xml:space="preserve"> Florida courts uniformly place the </w:t>
      </w:r>
      <w:r>
        <w:rPr>
          <w:rStyle w:val="Strong"/>
        </w:rPr>
        <w:t>burden of NOC compliance on the owner (or its agent)</w:t>
      </w:r>
      <w:r>
        <w:rPr/>
        <w:t>, not on lienors</w:t>
      </w:r>
      <w:hyperlink r:id="rId163" w:anchor=":~:text=stead,to%20shift%20this%20risk%20to" w:tgtFrame="_blank">
        <w:r>
          <w:rPr>
            <w:rStyle w:val="Hyperlink"/>
          </w:rPr>
          <w:t>caselaw.findlaw.com</w:t>
        </w:r>
      </w:hyperlink>
      <w:hyperlink r:id="rId164" w:anchor=":~:text=,the%20lack%20of%20authority%20for" w:tgtFrame="_blank">
        <w:r>
          <w:rPr>
            <w:rStyle w:val="Hyperlink"/>
          </w:rPr>
          <w:t>caselaw.findlaw.com</w:t>
        </w:r>
      </w:hyperlink>
      <w:r>
        <w:rPr/>
        <w:t>. An owner who fails to record a proper NOC (or any NOC at all) will find the courts decidedly unsympathetic to arguments that a lienor didn’t know who to notify or got some detail wrong as a result</w:t>
      </w:r>
      <w:hyperlink r:id="rId165" w:anchor=":~:text=Appraiser%E2%80%99s%20office%2C%20identified%20himself%20as,title%20search%20to%20file%2036" w:tgtFrame="_blank">
        <w:r>
          <w:rPr>
            <w:rStyle w:val="Hyperlink"/>
          </w:rPr>
          <w:t>acis-api.flcourts.gov</w:t>
        </w:r>
      </w:hyperlink>
      <w:hyperlink r:id="rId166" w:anchor=":~:text=relied%20on%20the%20information%20contained,which%20the%20owner%20took%20title" w:tgtFrame="_blank">
        <w:r>
          <w:rPr>
            <w:rStyle w:val="Hyperlink"/>
          </w:rPr>
          <w:t>caselaw.findlaw.com</w:t>
        </w:r>
      </w:hyperlink>
      <w:r>
        <w:rPr/>
        <w:t xml:space="preserve">. The decisions in </w:t>
      </w:r>
      <w:r>
        <w:rPr>
          <w:rStyle w:val="Emphasis"/>
        </w:rPr>
        <w:t>Roof Structures</w:t>
      </w:r>
      <w:r>
        <w:rPr/>
        <w:t xml:space="preserve">, </w:t>
      </w:r>
      <w:r>
        <w:rPr>
          <w:rStyle w:val="Emphasis"/>
        </w:rPr>
        <w:t>S &amp; S Air</w:t>
      </w:r>
      <w:r>
        <w:rPr/>
        <w:t xml:space="preserve">, and </w:t>
      </w:r>
      <w:r>
        <w:rPr>
          <w:rStyle w:val="Emphasis"/>
        </w:rPr>
        <w:t>Symons</w:t>
      </w:r>
      <w:r>
        <w:rPr/>
        <w:t xml:space="preserve"> establish a form of </w:t>
      </w:r>
      <w:r>
        <w:rPr>
          <w:rStyle w:val="Strong"/>
        </w:rPr>
        <w:t>estoppel</w:t>
      </w:r>
      <w:r>
        <w:rPr/>
        <w:t xml:space="preserve"> against owners who are derelict in their NOC duty: such an owner cannot later use lack of notice or errors by the lienor (which stem from missing or bad NOC info) as a sword to defeat an otherwise valid lien</w:t>
      </w:r>
      <w:hyperlink r:id="rId167" w:anchor=":~:text=Appraiser%E2%80%99s%20office%2C%20identified%20himself%20as,title%20search%20to%20file%2036" w:tgtFrame="_blank">
        <w:r>
          <w:rPr>
            <w:rStyle w:val="Hyperlink"/>
          </w:rPr>
          <w:t>acis-api.flcourts.gov</w:t>
        </w:r>
      </w:hyperlink>
      <w:hyperlink r:id="rId168" w:anchor=":~:text=3,which%20the%20owner%20took%20title" w:tgtFrame="_blank">
        <w:r>
          <w:rPr>
            <w:rStyle w:val="Hyperlink"/>
          </w:rPr>
          <w:t>caselaw.findlaw.com</w:t>
        </w:r>
      </w:hyperlink>
      <w:r>
        <w:rPr/>
        <w:t xml:space="preserve">. In contrast, when a lienor fails to comply with </w:t>
      </w:r>
      <w:r>
        <w:rPr>
          <w:rStyle w:val="Emphasis"/>
        </w:rPr>
        <w:t>its own</w:t>
      </w:r>
      <w:r>
        <w:rPr/>
        <w:t xml:space="preserve"> obligations (like serving an NTO) and tries to excuse it by an NOC defect, courts are less forgiving – </w:t>
      </w:r>
      <w:r>
        <w:rPr>
          <w:rStyle w:val="Emphasis"/>
        </w:rPr>
        <w:t>Gulfside Properties Corp. v. Chapman</w:t>
      </w:r>
      <w:r>
        <w:rPr/>
        <w:t xml:space="preserve"> (Fla. 1st DCA 1999) illustrates that if a lienor makes </w:t>
      </w:r>
      <w:r>
        <w:rPr>
          <w:rStyle w:val="Strong"/>
        </w:rPr>
        <w:t>no good-faith effort</w:t>
      </w:r>
      <w:r>
        <w:rPr/>
        <w:t xml:space="preserve"> to meet the statutory requirements, a defective NOC will not save their lien</w:t>
      </w:r>
      <w:hyperlink r:id="rId169" w:anchor=":~:text=The%20materialman%20sought%20to%20deflect,713%20were%20met%2C%20which%20included" w:tgtFrame="_blank">
        <w:r>
          <w:rPr>
            <w:rStyle w:val="Hyperlink"/>
          </w:rPr>
          <w:t>caselaw.findlaw.com</w:t>
        </w:r>
      </w:hyperlink>
      <w:hyperlink r:id="rId170" w:anchor=":~:text=the%20party%20seeking%20to%20enforce,statutory%20requirements%20of%20a%20lien%E2%80%9D" w:tgtFrame="_blank">
        <w:r>
          <w:rPr>
            <w:rStyle w:val="Hyperlink"/>
          </w:rPr>
          <w:t>caselaw.findlaw.com</w:t>
        </w:r>
      </w:hyperlink>
      <w:r>
        <w:rPr/>
        <w:t>. The initial burden is on the lienor to show they complied or substantially complied with the lien laws; an owner’s mistake doesn’t automatically cure a lienor’s complete noncompliance</w:t>
      </w:r>
      <w:hyperlink r:id="rId171" w:anchor=":~:text=the%20party%20seeking%20to%20enforce,statutory%20requirements%20of%20a%20lien%E2%80%9D" w:tgtFrame="_blank">
        <w:r>
          <w:rPr>
            <w:rStyle w:val="Hyperlink"/>
          </w:rPr>
          <w:t>caselaw.findlaw.com</w:t>
        </w:r>
      </w:hyperlink>
      <w:r>
        <w:rPr/>
        <w:t xml:space="preserve">. Thus, the case law draws a line: </w:t>
      </w:r>
      <w:r>
        <w:rPr>
          <w:rStyle w:val="Strong"/>
        </w:rPr>
        <w:t>good-faith reliance is protected</w:t>
      </w:r>
      <w:r>
        <w:rPr/>
        <w:t xml:space="preserve">, but </w:t>
      </w:r>
      <w:r>
        <w:rPr>
          <w:rStyle w:val="Strong"/>
        </w:rPr>
        <w:t>laxity on the lienor’s part is not</w:t>
      </w:r>
      <w:r>
        <w:rPr/>
        <w:t>.</w:t>
      </w:r>
    </w:p>
    <w:p>
      <w:pPr>
        <w:pStyle w:val="BodyText"/>
        <w:numPr>
          <w:ilvl w:val="0"/>
          <w:numId w:val="9"/>
        </w:numPr>
        <w:tabs>
          <w:tab w:val="clear" w:pos="709"/>
          <w:tab w:val="left" w:pos="709" w:leader="none"/>
        </w:tabs>
        <w:bidi w:val="0"/>
        <w:ind w:hanging="283" w:start="709"/>
        <w:jc w:val="start"/>
        <w:rPr/>
      </w:pPr>
      <w:r>
        <w:rPr>
          <w:rStyle w:val="Strong"/>
        </w:rPr>
        <w:t>Equitable Considerations and No-Free-Ride for Third Parties:</w:t>
      </w:r>
      <w:r>
        <w:rPr/>
        <w:t xml:space="preserve"> A strong equitable undercurrent is evident. Courts are guided by the fundamental purpose described in </w:t>
      </w:r>
      <w:r>
        <w:rPr>
          <w:rStyle w:val="Emphasis"/>
        </w:rPr>
        <w:t>Crane Co. v. Fine</w:t>
      </w:r>
      <w:r>
        <w:rPr/>
        <w:t xml:space="preserve"> – to provide those improving property a fair chance to get paid</w:t>
      </w:r>
      <w:hyperlink r:id="rId172" w:anchor=":~:text=%E2%80%9C,The%20construction%20lien" w:tgtFrame="_blank">
        <w:r>
          <w:rPr>
            <w:rStyle w:val="Hyperlink"/>
          </w:rPr>
          <w:t>caselaw.findlaw.com</w:t>
        </w:r>
      </w:hyperlink>
      <w:r>
        <w:rPr/>
        <w:t xml:space="preserve">. They resist outcomes where an innocent lienor is blindsided by an owner’s or lender’s technicality. For example, both </w:t>
      </w:r>
      <w:r>
        <w:rPr>
          <w:rStyle w:val="Emphasis"/>
        </w:rPr>
        <w:t>Sasso</w:t>
      </w:r>
      <w:r>
        <w:rPr/>
        <w:t xml:space="preserve"> and </w:t>
      </w:r>
      <w:r>
        <w:rPr>
          <w:rStyle w:val="Emphasis"/>
        </w:rPr>
        <w:t>Edwin Taylor</w:t>
      </w:r>
      <w:r>
        <w:rPr/>
        <w:t xml:space="preserve"> stress that a </w:t>
      </w:r>
      <w:r>
        <w:rPr>
          <w:rStyle w:val="Strong"/>
        </w:rPr>
        <w:t>lender</w:t>
      </w:r>
      <w:r>
        <w:rPr/>
        <w:t xml:space="preserve"> who could have discovered an issue (via title search or insisting on NOC termination) should not gain a windfall from an owner’s mistake at the expense of a lienor who improved the property</w:t>
      </w:r>
      <w:hyperlink r:id="rId173" w:anchor=":~:text=In%20reaching%20its%20conclusion%2C%20the,the%20notice%20of%20commencement%20where" w:tgtFrame="_blank">
        <w:r>
          <w:rPr>
            <w:rStyle w:val="Hyperlink"/>
          </w:rPr>
          <w:t>caselaw.findlaw.com</w:t>
        </w:r>
      </w:hyperlink>
      <w:hyperlink r:id="rId174" w:anchor=":~:text=the%20lienor%20to%20properly%20mail,4" w:tgtFrame="_blank">
        <w:r>
          <w:rPr>
            <w:rStyle w:val="Hyperlink"/>
          </w:rPr>
          <w:t>caselaw.findlaw.com</w:t>
        </w:r>
      </w:hyperlink>
      <w:r>
        <w:rPr/>
        <w:t xml:space="preserve">. The </w:t>
      </w:r>
      <w:r>
        <w:rPr>
          <w:rStyle w:val="Strong"/>
        </w:rPr>
        <w:t>“most able to protect itself”</w:t>
      </w:r>
      <w:r>
        <w:rPr/>
        <w:t xml:space="preserve"> should bear the risk – often that is the owner or lender, rather than the unwitting subcontractor</w:t>
      </w:r>
      <w:hyperlink r:id="rId175" w:anchor=":~:text=In%20reaching%20its%20conclusion%2C%20the,the%20notice%20of%20commencement%20where" w:tgtFrame="_blank">
        <w:r>
          <w:rPr>
            <w:rStyle w:val="Hyperlink"/>
          </w:rPr>
          <w:t>caselaw.findlaw.com</w:t>
        </w:r>
      </w:hyperlink>
      <w:r>
        <w:rPr/>
        <w:t xml:space="preserve">. Consequently, Florida courts have curtailed attempts by banks or owners to use NOC technical noncompliance as a </w:t>
      </w:r>
      <w:r>
        <w:rPr>
          <w:rStyle w:val="Strong"/>
        </w:rPr>
        <w:t>hyper-technical escape hatch</w:t>
      </w:r>
      <w:r>
        <w:rPr/>
        <w:t xml:space="preserve"> from paying. The only scenario where NOC noncompliance decisively works against a lienor is when the lienor’s own neglect is the primary issue (</w:t>
      </w:r>
      <w:r>
        <w:rPr>
          <w:rStyle w:val="Emphasis"/>
        </w:rPr>
        <w:t>e.g.</w:t>
      </w:r>
      <w:r>
        <w:rPr/>
        <w:t xml:space="preserve">, failing to serve any notice to owner as in </w:t>
      </w:r>
      <w:r>
        <w:rPr>
          <w:rStyle w:val="Emphasis"/>
        </w:rPr>
        <w:t>Gulfside</w:t>
      </w:r>
      <w:r>
        <w:rPr/>
        <w:t>, where the NOC defect was merely a sideshow)</w:t>
      </w:r>
      <w:hyperlink r:id="rId176" w:anchor=":~:text=The%20materialman%20sought%20to%20deflect,713%20were%20met%2C%20which%20included" w:tgtFrame="_blank">
        <w:r>
          <w:rPr>
            <w:rStyle w:val="Hyperlink"/>
          </w:rPr>
          <w:t>caselaw.findlaw.com</w:t>
        </w:r>
      </w:hyperlink>
      <w:hyperlink r:id="rId177" w:anchor=":~:text=the%20party%20seeking%20to%20enforce,statutory%20requirements%20of%20a%20lien%E2%80%9D" w:tgtFrame="_blank">
        <w:r>
          <w:rPr>
            <w:rStyle w:val="Hyperlink"/>
          </w:rPr>
          <w:t>caselaw.findlaw.com</w:t>
        </w:r>
      </w:hyperlink>
      <w:r>
        <w:rPr/>
        <w:t>.</w:t>
      </w:r>
    </w:p>
    <w:p>
      <w:pPr>
        <w:pStyle w:val="BodyText"/>
        <w:numPr>
          <w:ilvl w:val="0"/>
          <w:numId w:val="9"/>
        </w:numPr>
        <w:tabs>
          <w:tab w:val="clear" w:pos="709"/>
          <w:tab w:val="left" w:pos="709" w:leader="none"/>
        </w:tabs>
        <w:bidi w:val="0"/>
        <w:ind w:hanging="283" w:start="709"/>
        <w:jc w:val="start"/>
        <w:rPr/>
      </w:pPr>
      <w:r>
        <w:rPr>
          <w:rStyle w:val="Strong"/>
        </w:rPr>
        <w:t>Current Law Alignment:</w:t>
      </w:r>
      <w:r>
        <w:rPr/>
        <w:t xml:space="preserve"> Notably, the courts’ interpretations have generally been consistent with the current statute’s text and intent. Section 713.13 was amended over time (for instance, the threshold dollar amount for requiring an NOC has increased to $5,000 for owner-occupied single-family jobs</w:t>
      </w:r>
      <w:hyperlink r:id="rId178" w:anchor=":~:text=,not%20apply%20to%20maintenance%20work" w:tgtFrame="_blank">
        <w:r>
          <w:rPr>
            <w:rStyle w:val="Hyperlink"/>
          </w:rPr>
          <w:t>floridabar.org</w:t>
        </w:r>
      </w:hyperlink>
      <w:r>
        <w:rPr/>
        <w:t xml:space="preserve">, and there’s a procedure for </w:t>
      </w:r>
      <w:r>
        <w:rPr>
          <w:rStyle w:val="Strong"/>
        </w:rPr>
        <w:t>amending NOCs</w:t>
      </w:r>
      <w:r>
        <w:rPr/>
        <w:t xml:space="preserve"> and </w:t>
      </w:r>
      <w:r>
        <w:rPr>
          <w:rStyle w:val="Strong"/>
        </w:rPr>
        <w:t>terminating NOCs early</w:t>
      </w:r>
      <w:r>
        <w:rPr/>
        <w:t xml:space="preserve"> in §713.13(5) and §713.132). However, none of the cited cases rely on outdated provisions – they interpret duties (owner signatory, info requirements, effect of noncompliance) that still exist in the statute today. The </w:t>
      </w:r>
      <w:r>
        <w:rPr>
          <w:rStyle w:val="Strong"/>
        </w:rPr>
        <w:t>legislature appears to approve of these decisions</w:t>
      </w:r>
      <w:r>
        <w:rPr/>
        <w:t xml:space="preserve">, as subsequent amendments did not override the judicial rulings. In fact, legislative staff analyses cite </w:t>
      </w:r>
      <w:r>
        <w:rPr>
          <w:rStyle w:val="Emphasis"/>
        </w:rPr>
        <w:t>Edwin Taylor</w:t>
      </w:r>
      <w:r>
        <w:rPr/>
        <w:t xml:space="preserve"> and </w:t>
      </w:r>
      <w:r>
        <w:rPr>
          <w:rStyle w:val="Emphasis"/>
        </w:rPr>
        <w:t>Sasso</w:t>
      </w:r>
      <w:r>
        <w:rPr/>
        <w:t xml:space="preserve"> approvingly when discussing NOC issues</w:t>
      </w:r>
      <w:hyperlink r:id="rId179" w:anchor=":~:text=19%20S,S" w:tgtFrame="_blank">
        <w:r>
          <w:rPr>
            <w:rStyle w:val="Hyperlink"/>
          </w:rPr>
          <w:t>flsenate.gov</w:t>
        </w:r>
      </w:hyperlink>
      <w:r>
        <w:rPr/>
        <w:t>. This suggests a stable understanding: the owner must get the NOC right, but minor lapses won’t defeat a lienor absent real harm, in line with the statute’s goals.</w:t>
      </w:r>
    </w:p>
    <w:p>
      <w:pPr>
        <w:pStyle w:val="BodyText"/>
        <w:bidi w:val="0"/>
        <w:jc w:val="start"/>
        <w:rPr/>
      </w:pPr>
      <w:r>
        <w:rPr/>
        <w:t xml:space="preserve">Overall, Florida courts have carved a pragmatic path: </w:t>
      </w:r>
      <w:r>
        <w:rPr>
          <w:rStyle w:val="Strong"/>
        </w:rPr>
        <w:t>ensure NOCs are done right whenever possible, but do not let minor NOC faults thwart meritorious lien claims</w:t>
      </w:r>
      <w:r>
        <w:rPr/>
        <w:t xml:space="preserve">. The judicial message to owners and lenders is clear – </w:t>
      </w:r>
      <w:r>
        <w:rPr>
          <w:rStyle w:val="Emphasis"/>
        </w:rPr>
        <w:t>take the NOC requirement seriously, or risk unintended consequences</w:t>
      </w:r>
      <w:r>
        <w:rPr/>
        <w:t xml:space="preserve">, whereas the message to contractors and subs is </w:t>
      </w:r>
      <w:r>
        <w:rPr>
          <w:rStyle w:val="Emphasis"/>
        </w:rPr>
        <w:t>do your part (serve notices, file timely liens) and the courts will not lightly strip away your rights due to someone else’s error</w:t>
      </w:r>
      <w:r>
        <w:rPr/>
        <w:t>.</w:t>
      </w:r>
    </w:p>
    <w:p>
      <w:pPr>
        <w:pStyle w:val="Heading2"/>
        <w:bidi w:val="0"/>
        <w:jc w:val="start"/>
        <w:rPr/>
      </w:pPr>
      <w:r>
        <w:rPr/>
        <w:t>Practical Recommendations for Compliance and Preserving Lien Rights</w:t>
      </w:r>
    </w:p>
    <w:p>
      <w:pPr>
        <w:pStyle w:val="BodyText"/>
        <w:bidi w:val="0"/>
        <w:jc w:val="start"/>
        <w:rPr/>
      </w:pPr>
      <w:r>
        <w:rPr>
          <w:rStyle w:val="Strong"/>
        </w:rPr>
        <w:t>For Property Owners (and Developers/Landlords):</w:t>
      </w:r>
    </w:p>
    <w:p>
      <w:pPr>
        <w:pStyle w:val="BodyText"/>
        <w:numPr>
          <w:ilvl w:val="0"/>
          <w:numId w:val="10"/>
        </w:numPr>
        <w:tabs>
          <w:tab w:val="clear" w:pos="709"/>
          <w:tab w:val="left" w:pos="709" w:leader="none"/>
        </w:tabs>
        <w:bidi w:val="0"/>
        <w:ind w:hanging="283" w:start="709"/>
        <w:jc w:val="start"/>
        <w:rPr/>
      </w:pPr>
      <w:r>
        <w:rPr>
          <w:rStyle w:val="Strong"/>
        </w:rPr>
        <w:t>Record the NOC Before Work Begins:</w:t>
      </w:r>
      <w:r>
        <w:rPr/>
        <w:t xml:space="preserve"> Always record a Notice of Commencement with the clerk </w:t>
      </w:r>
      <w:r>
        <w:rPr>
          <w:rStyle w:val="Strong"/>
        </w:rPr>
        <w:t>prior to the start of construction</w:t>
      </w:r>
      <w:r>
        <w:rPr/>
        <w:t xml:space="preserve"> (before the first inspection at the latest)</w:t>
      </w:r>
      <w:hyperlink r:id="rId180" w:anchor=":~:text=WARNING%20TO%20OWNER%3A%20ANY%20PAYMENTS,RECORDING%20YOUR%20NOTICE%20OF%20COMMENCEMENT" w:tgtFrame="_blank">
        <w:r>
          <w:rPr>
            <w:rStyle w:val="Hyperlink"/>
          </w:rPr>
          <w:t>syfert.com</w:t>
        </w:r>
      </w:hyperlink>
      <w:hyperlink r:id="rId181" w:anchor=":~:text=,notice%20in%20the%20clerk%E2%80%99s%20office" w:tgtFrame="_blank">
        <w:r>
          <w:rPr>
            <w:rStyle w:val="Hyperlink"/>
          </w:rPr>
          <w:t>syfert.com</w:t>
        </w:r>
      </w:hyperlink>
      <w:r>
        <w:rPr/>
        <w:t>. Florida law makes this step mandatory (with limited exceptions), and failing to do so can expose you to liens attaching out of the blue with no recorded “anchor” date</w:t>
      </w:r>
      <w:hyperlink r:id="rId182" w:anchor=":~:text=Nevertheless%2C%20the%20standard%20here%20is,notice%20of%20commencement%20been%20filed" w:tgtFrame="_blank">
        <w:r>
          <w:rPr>
            <w:rStyle w:val="Hyperlink"/>
          </w:rPr>
          <w:t>taylordaylaw.com</w:t>
        </w:r>
      </w:hyperlink>
      <w:r>
        <w:rPr/>
        <w:t>. If construction commences without an NOC, any later-filed lien will attach as of its recording date – meaning it might take priority over mortgages or transfers you record in the interim</w:t>
      </w:r>
      <w:hyperlink r:id="rId183" w:anchor=":~:text=Nevertheless%2C%20the%20standard%20here%20is,notice%20of%20commencement%20been%20filed" w:tgtFrame="_blank">
        <w:r>
          <w:rPr>
            <w:rStyle w:val="Hyperlink"/>
          </w:rPr>
          <w:t>taylordaylaw.com</w:t>
        </w:r>
      </w:hyperlink>
      <w:r>
        <w:rPr/>
        <w:t xml:space="preserve">. Additionally, not having an NOC means you might </w:t>
      </w:r>
      <w:r>
        <w:rPr>
          <w:rStyle w:val="Strong"/>
        </w:rPr>
        <w:t>pay the wrong party</w:t>
      </w:r>
      <w:r>
        <w:rPr/>
        <w:t xml:space="preserve"> or miss critical information; it also deprives you of certain defenses in case of a dispute</w:t>
      </w:r>
      <w:hyperlink r:id="rId184" w:anchor=":~:text=Appraiser%E2%80%99s%20office%2C%20identified%20himself%20as,title%20search%20to%20file%2036" w:tgtFrame="_blank">
        <w:r>
          <w:rPr>
            <w:rStyle w:val="Hyperlink"/>
          </w:rPr>
          <w:t>acis-api.flcourts.gov</w:t>
        </w:r>
      </w:hyperlink>
      <w:r>
        <w:rPr/>
        <w:t>. In short, treat the NOC as a first-day requirement (often, building permits won’t be issued until an NOC is filed and posted, under §713.135).</w:t>
      </w:r>
    </w:p>
    <w:p>
      <w:pPr>
        <w:pStyle w:val="BodyText"/>
        <w:numPr>
          <w:ilvl w:val="0"/>
          <w:numId w:val="10"/>
        </w:numPr>
        <w:tabs>
          <w:tab w:val="clear" w:pos="709"/>
          <w:tab w:val="left" w:pos="709" w:leader="none"/>
        </w:tabs>
        <w:bidi w:val="0"/>
        <w:ind w:hanging="283" w:start="709"/>
        <w:jc w:val="start"/>
        <w:rPr/>
      </w:pPr>
      <w:r>
        <w:rPr>
          <w:rStyle w:val="Strong"/>
        </w:rPr>
        <w:t>Fill Out the NOC Completely and Correctly:</w:t>
      </w:r>
      <w:r>
        <w:rPr/>
        <w:t xml:space="preserve"> Use the statutory form in §713.13(1)(d) and provide </w:t>
      </w:r>
      <w:r>
        <w:rPr>
          <w:rStyle w:val="Emphasis"/>
        </w:rPr>
        <w:t>all required information</w:t>
      </w:r>
      <w:r>
        <w:rPr/>
        <w:t xml:space="preserve">: correct legal description of the property, your full name (and anyone else with an ownership interest), the contractor’s name, lender’s name, surety/bond info (if any), etc. </w:t>
      </w:r>
      <w:r>
        <w:rPr>
          <w:rStyle w:val="Strong"/>
        </w:rPr>
        <w:t>Do not omit known data</w:t>
      </w:r>
      <w:r>
        <w:rPr/>
        <w:t>. An inaccurate NOC can lead to misdirected notices and jeopardize the smooth handling of lien waivers or claims</w:t>
      </w:r>
      <w:hyperlink r:id="rId185" w:anchor=":~:text=stead,to%20shift%20this%20risk%20to" w:tgtFrame="_blank">
        <w:r>
          <w:rPr>
            <w:rStyle w:val="Hyperlink"/>
          </w:rPr>
          <w:t>caselaw.findlaw.com</w:t>
        </w:r>
      </w:hyperlink>
      <w:hyperlink r:id="rId186" w:anchor=":~:text=,the%20lack%20of%20authority%20for" w:tgtFrame="_blank">
        <w:r>
          <w:rPr>
            <w:rStyle w:val="Hyperlink"/>
          </w:rPr>
          <w:t>caselaw.findlaw.com</w:t>
        </w:r>
      </w:hyperlink>
      <w:r>
        <w:rPr/>
        <w:t xml:space="preserve">. Double-check spelling of names and addresses. If a mistake is discovered after recording, file an </w:t>
      </w:r>
      <w:r>
        <w:rPr>
          <w:rStyle w:val="Strong"/>
        </w:rPr>
        <w:t>Amended NOC</w:t>
      </w:r>
      <w:r>
        <w:rPr/>
        <w:t xml:space="preserve"> (per §713.13(5)) referencing the original recording and correct the info. Serve copies of the amended NOC on the contractor and any lienors who have already sent Notices to Owner, as required by law, to ensure everyone is on the same page</w:t>
      </w:r>
      <w:hyperlink r:id="rId187" w:anchor=":~:text=8%20Such%20notice%20must%20be,interest%20in%20the%20property%3B%2010" w:tgtFrame="_blank">
        <w:r>
          <w:rPr>
            <w:rStyle w:val="Hyperlink"/>
          </w:rPr>
          <w:t>flsenate.gov</w:t>
        </w:r>
      </w:hyperlink>
      <w:hyperlink r:id="rId188" w:anchor=":~:text=o%20Persons%2C%20designated%20by%20the,12" w:tgtFrame="_blank">
        <w:r>
          <w:rPr>
            <w:rStyle w:val="Hyperlink"/>
          </w:rPr>
          <w:t>flsenate.gov</w:t>
        </w:r>
      </w:hyperlink>
      <w:r>
        <w:rPr/>
        <w:t xml:space="preserve">. Remember, as the owner you </w:t>
      </w:r>
      <w:r>
        <w:rPr>
          <w:rStyle w:val="Strong"/>
        </w:rPr>
        <w:t>carry the risk of errors</w:t>
      </w:r>
      <w:r>
        <w:rPr/>
        <w:t xml:space="preserve"> – a typo or wrong address won’t invalidate lienors’ claims, it will just become your problem to sort out later</w:t>
      </w:r>
      <w:hyperlink r:id="rId189" w:anchor=":~:text=stead,to%20shift%20this%20risk%20to" w:tgtFrame="_blank">
        <w:r>
          <w:rPr>
            <w:rStyle w:val="Hyperlink"/>
          </w:rPr>
          <w:t>caselaw.findlaw.com</w:t>
        </w:r>
      </w:hyperlink>
      <w:r>
        <w:rPr/>
        <w:t>. It is far better to get it right upfront.</w:t>
      </w:r>
    </w:p>
    <w:p>
      <w:pPr>
        <w:pStyle w:val="BodyText"/>
        <w:numPr>
          <w:ilvl w:val="0"/>
          <w:numId w:val="10"/>
        </w:numPr>
        <w:tabs>
          <w:tab w:val="clear" w:pos="709"/>
          <w:tab w:val="left" w:pos="709" w:leader="none"/>
        </w:tabs>
        <w:bidi w:val="0"/>
        <w:ind w:hanging="283" w:start="709"/>
        <w:jc w:val="start"/>
        <w:rPr/>
      </w:pPr>
      <w:r>
        <w:rPr>
          <w:rStyle w:val="Strong"/>
        </w:rPr>
        <w:t>Ensure the NOC is Properly Signed</w:t>
      </w:r>
      <w:r>
        <w:rPr/>
        <w:t>: Florida Statutes §713.13(1)(g) explicitly requires the owner’s signature on the NOC</w:t>
      </w:r>
      <w:hyperlink r:id="rId190" w:anchor=":~:text=The%20statute%20allows%20the%20owner,5th%20DCA%201988" w:tgtFrame="_blank">
        <w:r>
          <w:rPr>
            <w:rStyle w:val="Hyperlink"/>
          </w:rPr>
          <w:t>caselaw.findlaw.com</w:t>
        </w:r>
      </w:hyperlink>
      <w:r>
        <w:rPr/>
        <w:t xml:space="preserve">. </w:t>
      </w:r>
      <w:r>
        <w:rPr>
          <w:rStyle w:val="Emphasis"/>
        </w:rPr>
        <w:t>Do not delegate this lightly.</w:t>
      </w:r>
      <w:r>
        <w:rPr/>
        <w:t xml:space="preserve"> Although courts have upheld NOCs signed by someone else with authority (to avoid harming lienors)</w:t>
      </w:r>
      <w:hyperlink r:id="rId191" w:anchor=":~:text=Accordingly%2C%20we%20hold%20that%20a,lender%20on%20this%20basis%20was" w:tgtFrame="_blank">
        <w:r>
          <w:rPr>
            <w:rStyle w:val="Hyperlink"/>
          </w:rPr>
          <w:t>caselaw.findlaw.com</w:t>
        </w:r>
      </w:hyperlink>
      <w:r>
        <w:rPr/>
        <w:t xml:space="preserve">, it is risky and </w:t>
      </w:r>
      <w:r>
        <w:rPr>
          <w:rStyle w:val="Strong"/>
        </w:rPr>
        <w:t>not technically compliant</w:t>
      </w:r>
      <w:r>
        <w:rPr/>
        <w:t xml:space="preserve">. If you are an individual owner, sign it yourself (and have it notarized as required). If the property is owned by an entity (LLC, corporation), an authorized officer or manager should sign. Never have the contractor or a third party sign </w:t>
      </w:r>
      <w:r>
        <w:rPr>
          <w:rStyle w:val="Emphasis"/>
        </w:rPr>
        <w:t>in place of the owner</w:t>
      </w:r>
      <w:r>
        <w:rPr/>
        <w:t xml:space="preserve"> unless absolutely necessary – and even then, be prepared to later attest that they had your authority</w:t>
      </w:r>
      <w:hyperlink r:id="rId192" w:anchor=":~:text=that%20is%20required%20to%20satisfy,2d%20DCA" w:tgtFrame="_blank">
        <w:r>
          <w:rPr>
            <w:rStyle w:val="Hyperlink"/>
          </w:rPr>
          <w:t>taylordaylaw.com</w:t>
        </w:r>
      </w:hyperlink>
      <w:hyperlink r:id="rId193" w:anchor=":~:text=,complied%20with%20construction%20lien%20statute" w:tgtFrame="_blank">
        <w:r>
          <w:rPr>
            <w:rStyle w:val="Hyperlink"/>
          </w:rPr>
          <w:t>taylordaylaw.com</w:t>
        </w:r>
      </w:hyperlink>
      <w:r>
        <w:rPr/>
        <w:t xml:space="preserve">. An unsigned or improperly signed NOC could be challenged and at minimum will create factual disputes (as seen in </w:t>
      </w:r>
      <w:r>
        <w:rPr>
          <w:rStyle w:val="Emphasis"/>
        </w:rPr>
        <w:t>Edwin Taylor</w:t>
      </w:r>
      <w:r>
        <w:rPr/>
        <w:t xml:space="preserve"> and </w:t>
      </w:r>
      <w:r>
        <w:rPr>
          <w:rStyle w:val="Emphasis"/>
        </w:rPr>
        <w:t>Sasso</w:t>
      </w:r>
      <w:r>
        <w:rPr/>
        <w:t xml:space="preserve"> cases). </w:t>
      </w:r>
      <w:r>
        <w:rPr>
          <w:rStyle w:val="Strong"/>
        </w:rPr>
        <w:t>Bottom line:</w:t>
      </w:r>
      <w:r>
        <w:rPr/>
        <w:t xml:space="preserve"> sign the NOC to eliminate this point of contention.</w:t>
      </w:r>
    </w:p>
    <w:p>
      <w:pPr>
        <w:pStyle w:val="BodyText"/>
        <w:numPr>
          <w:ilvl w:val="0"/>
          <w:numId w:val="10"/>
        </w:numPr>
        <w:tabs>
          <w:tab w:val="clear" w:pos="709"/>
          <w:tab w:val="left" w:pos="709" w:leader="none"/>
        </w:tabs>
        <w:bidi w:val="0"/>
        <w:ind w:hanging="283" w:start="709"/>
        <w:jc w:val="start"/>
        <w:rPr/>
      </w:pPr>
      <w:r>
        <w:rPr>
          <w:rStyle w:val="Strong"/>
        </w:rPr>
        <w:t>Post the NOC at the Job Site:</w:t>
      </w:r>
      <w:r>
        <w:rPr/>
        <w:t xml:space="preserve"> After recording, post a certified copy (or a notarized statement of recording along with a copy of the NOC) at the project site in a conspicuous place</w:t>
      </w:r>
      <w:hyperlink r:id="rId194" w:anchor=":~:text=WARNING%20TO%20OWNER%3A%20ANY%20PAYMENTS,RECORDING%20YOUR%20NOTICE%20OF%20COMMENCEMENT" w:tgtFrame="_blank">
        <w:r>
          <w:rPr>
            <w:rStyle w:val="Hyperlink"/>
          </w:rPr>
          <w:t>syfert.com</w:t>
        </w:r>
      </w:hyperlink>
      <w:hyperlink r:id="rId195" w:anchor=":~:text=I%2C%20SECTION%20713,RECORDING%20YOUR%20NOTICE%20OF%20COMMENCEMENT" w:tgtFrame="_blank">
        <w:r>
          <w:rPr>
            <w:rStyle w:val="Hyperlink"/>
          </w:rPr>
          <w:t>syfert.com</w:t>
        </w:r>
      </w:hyperlink>
      <w:r>
        <w:rPr/>
        <w:t>. This is required by §713.13(1)(a) and helps all subcontractors and suppliers identify the project and obtain the NOC details even if they don’t immediately check county records. Failure to post doesn’t nullify the NOC, but it may mislead lienors or delay their notices. An unposted NOC could, for example, lead a lienor to think no NOC exists and rely on other info (increasing the chance of mistakes). It could also violate local building department rules (since inspectors look for the posted NOC). As an owner, make sure the contractor knows to maintain that posting throughout the job (post a new copy if the original is removed or weather-worn).</w:t>
      </w:r>
    </w:p>
    <w:p>
      <w:pPr>
        <w:pStyle w:val="BodyText"/>
        <w:numPr>
          <w:ilvl w:val="0"/>
          <w:numId w:val="10"/>
        </w:numPr>
        <w:tabs>
          <w:tab w:val="clear" w:pos="709"/>
          <w:tab w:val="left" w:pos="709" w:leader="none"/>
        </w:tabs>
        <w:bidi w:val="0"/>
        <w:ind w:hanging="283" w:start="709"/>
        <w:jc w:val="start"/>
        <w:rPr/>
      </w:pPr>
      <w:r>
        <w:rPr>
          <w:rStyle w:val="Strong"/>
        </w:rPr>
        <w:t>Mind the Effective Period (Expiration):</w:t>
      </w:r>
      <w:r>
        <w:rPr/>
        <w:t xml:space="preserve"> An NOC by default expires 1 year from the date of recording unless otherwise stated</w:t>
      </w:r>
      <w:hyperlink r:id="rId196" w:anchor=":~:text=9," w:tgtFrame="_blank">
        <w:r>
          <w:rPr>
            <w:rStyle w:val="Hyperlink"/>
          </w:rPr>
          <w:t>syfert.com</w:t>
        </w:r>
      </w:hyperlink>
      <w:r>
        <w:rPr/>
        <w:t xml:space="preserve">. For long projects, you </w:t>
      </w:r>
      <w:r>
        <w:rPr>
          <w:rStyle w:val="Strong"/>
        </w:rPr>
        <w:t>can and should state a longer duration</w:t>
      </w:r>
      <w:r>
        <w:rPr/>
        <w:t xml:space="preserve"> in the NOC (e.g., “effective for 18 months” or for a specific date)</w:t>
      </w:r>
      <w:hyperlink r:id="rId197" w:anchor=":~:text=,commencement%20are%20considered%20improper%20payments" w:tgtFrame="_blank">
        <w:r>
          <w:rPr>
            <w:rStyle w:val="Hyperlink"/>
          </w:rPr>
          <w:t>syfert.com</w:t>
        </w:r>
      </w:hyperlink>
      <w:r>
        <w:rPr/>
        <w:t>. If a project is delayed and will run beyond the NOC’s expiration, consider recording a new NOC or an extension before the original lapses. If the NOC expires and you continue making payments, those payments may be deemed “improper” (since lienors could arise whose priority is no longer anchored)</w:t>
      </w:r>
      <w:hyperlink r:id="rId198" w:anchor=":~:text=WARNING%20TO%20OWNER%3A%20ANY%20PAYMENTS,RECORDING%20YOUR%20NOTICE%20OF%20COMMENCEMENT" w:tgtFrame="_blank">
        <w:r>
          <w:rPr>
            <w:rStyle w:val="Hyperlink"/>
          </w:rPr>
          <w:t>syfert.com</w:t>
        </w:r>
      </w:hyperlink>
      <w:r>
        <w:rPr/>
        <w:t xml:space="preserve">. In fact, the statutory warning on the NOC form says any payment made by the owner after expiration of the NOC is </w:t>
      </w:r>
      <w:r>
        <w:rPr>
          <w:rStyle w:val="Emphasis"/>
        </w:rPr>
        <w:t>“considered improper”</w:t>
      </w:r>
      <w:r>
        <w:rPr/>
        <w:t xml:space="preserve"> and could result in paying twice</w:t>
      </w:r>
      <w:hyperlink r:id="rId199" w:anchor=":~:text=WARNING%20TO%20OWNER%3A%20ANY%20PAYMENTS,RECORDING%20YOUR%20NOTICE%20OF%20COMMENCEMENT" w:tgtFrame="_blank">
        <w:r>
          <w:rPr>
            <w:rStyle w:val="Hyperlink"/>
          </w:rPr>
          <w:t>syfert.com</w:t>
        </w:r>
      </w:hyperlink>
      <w:r>
        <w:rPr/>
        <w:t xml:space="preserve">. Cases like </w:t>
      </w:r>
      <w:r>
        <w:rPr>
          <w:rStyle w:val="Emphasis"/>
        </w:rPr>
        <w:t>Adamson v. First Federal</w:t>
      </w:r>
      <w:r>
        <w:rPr/>
        <w:t xml:space="preserve"> (Fla. 1st DCA 1988) illustrate that if a loan disburses after NOC expiration, intervening liens might gain priority, to the detriment of the owner or lender</w:t>
      </w:r>
      <w:hyperlink r:id="rId200" w:anchor=":~:text=19%20S,S" w:tgtFrame="_blank">
        <w:r>
          <w:rPr>
            <w:rStyle w:val="Hyperlink"/>
          </w:rPr>
          <w:t>flsenate.gov</w:t>
        </w:r>
      </w:hyperlink>
      <w:r>
        <w:rPr/>
        <w:t xml:space="preserve">. </w:t>
      </w:r>
      <w:r>
        <w:rPr>
          <w:rStyle w:val="Strong"/>
        </w:rPr>
        <w:t>Tip:</w:t>
      </w:r>
      <w:r>
        <w:rPr/>
        <w:t xml:space="preserve"> Calendar the NOC expiration and don’t let it quietly lapse if work is ongoing.</w:t>
      </w:r>
    </w:p>
    <w:p>
      <w:pPr>
        <w:pStyle w:val="BodyText"/>
        <w:numPr>
          <w:ilvl w:val="0"/>
          <w:numId w:val="10"/>
        </w:numPr>
        <w:tabs>
          <w:tab w:val="clear" w:pos="709"/>
          <w:tab w:val="left" w:pos="709" w:leader="none"/>
        </w:tabs>
        <w:bidi w:val="0"/>
        <w:ind w:hanging="283" w:start="709"/>
        <w:jc w:val="start"/>
        <w:rPr/>
      </w:pPr>
      <w:r>
        <w:rPr>
          <w:rStyle w:val="Strong"/>
        </w:rPr>
        <w:t>Attach the Payment Bond (if applicable):</w:t>
      </w:r>
      <w:r>
        <w:rPr/>
        <w:t xml:space="preserve"> If there is a payment bond for the project under §713.23, attach a copy of it to the NOC when recording</w:t>
      </w:r>
      <w:hyperlink r:id="rId201" w:anchor=":~:text=,limits%20for%20serving%20any%20required" w:tgtFrame="_blank">
        <w:r>
          <w:rPr>
            <w:rStyle w:val="Hyperlink"/>
          </w:rPr>
          <w:t>syfert.com</w:t>
        </w:r>
      </w:hyperlink>
      <w:r>
        <w:rPr/>
        <w:t xml:space="preserve">. Not doing so doesn’t invalidate the NOC, but it </w:t>
      </w:r>
      <w:r>
        <w:rPr>
          <w:rStyle w:val="Strong"/>
        </w:rPr>
        <w:t>negates the bond’s protection</w:t>
      </w:r>
      <w:r>
        <w:rPr/>
        <w:t xml:space="preserve"> for the owner</w:t>
      </w:r>
      <w:hyperlink r:id="rId202" w:anchor=":~:text=,limits%20for%20serving%20any%20required" w:tgtFrame="_blank">
        <w:r>
          <w:rPr>
            <w:rStyle w:val="Hyperlink"/>
          </w:rPr>
          <w:t>syfert.com</w:t>
        </w:r>
      </w:hyperlink>
      <w:r>
        <w:rPr/>
        <w:t>. (When a bond is properly attached and noticed, lienors must make claims on the bond instead of the property; if you fail to attach it, lienors can ignore the bond and file liens</w:t>
      </w:r>
      <w:hyperlink r:id="rId203" w:anchor=":~:text=,limits%20for%20serving%20any%20required" w:tgtFrame="_blank">
        <w:r>
          <w:rPr>
            <w:rStyle w:val="Hyperlink"/>
          </w:rPr>
          <w:t>syfert.com</w:t>
        </w:r>
      </w:hyperlink>
      <w:r>
        <w:rPr/>
        <w:t xml:space="preserve">.) Attaching the bond also informs all subs of its existence. In short, to preserve the </w:t>
      </w:r>
      <w:r>
        <w:rPr>
          <w:rStyle w:val="Strong"/>
        </w:rPr>
        <w:t>bond exemption</w:t>
      </w:r>
      <w:r>
        <w:rPr/>
        <w:t xml:space="preserve"> provided in §713.02(6), always record the bond with the NOC</w:t>
      </w:r>
      <w:hyperlink r:id="rId204" w:anchor=":~:text=,limits%20for%20serving%20any%20required" w:tgtFrame="_blank">
        <w:r>
          <w:rPr>
            <w:rStyle w:val="Hyperlink"/>
          </w:rPr>
          <w:t>syfert.com</w:t>
        </w:r>
      </w:hyperlink>
      <w:r>
        <w:rPr/>
        <w:t>.</w:t>
      </w:r>
    </w:p>
    <w:p>
      <w:pPr>
        <w:pStyle w:val="BodyText"/>
        <w:numPr>
          <w:ilvl w:val="0"/>
          <w:numId w:val="10"/>
        </w:numPr>
        <w:tabs>
          <w:tab w:val="clear" w:pos="709"/>
          <w:tab w:val="left" w:pos="709" w:leader="none"/>
        </w:tabs>
        <w:bidi w:val="0"/>
        <w:ind w:hanging="283" w:start="709"/>
        <w:jc w:val="start"/>
        <w:rPr/>
      </w:pPr>
      <w:r>
        <w:rPr>
          <w:rStyle w:val="Strong"/>
        </w:rPr>
        <w:t>Leases – Use NOC to Your Advantage:</w:t>
      </w:r>
      <w:r>
        <w:rPr/>
        <w:t xml:space="preserve"> If you’re a landlord allowing a tenant’s construction, record an NOC </w:t>
      </w:r>
      <w:r>
        <w:rPr>
          <w:rStyle w:val="Strong"/>
        </w:rPr>
        <w:t>naming the tenant as the owner (lessee) and describing the leasehold interest</w:t>
      </w:r>
      <w:hyperlink r:id="rId205" w:anchor=":~:text=2,interest%20was%20a%20leasehold%20interest" w:tgtFrame="_blank">
        <w:r>
          <w:rPr>
            <w:rStyle w:val="Hyperlink"/>
          </w:rPr>
          <w:t>caselaw.findlaw.com</w:t>
        </w:r>
      </w:hyperlink>
      <w:r>
        <w:rPr/>
        <w:t xml:space="preserve">. This complies with §713.13 and clarifies to lienors that your tenant is the contracting party. </w:t>
      </w:r>
      <w:r>
        <w:rPr>
          <w:rStyle w:val="Emphasis"/>
        </w:rPr>
        <w:t>Also</w:t>
      </w:r>
      <w:r>
        <w:rPr/>
        <w:t xml:space="preserve">, record a </w:t>
      </w:r>
      <w:r>
        <w:rPr>
          <w:rStyle w:val="Strong"/>
        </w:rPr>
        <w:t>Notice of Lien Prohibition</w:t>
      </w:r>
      <w:r>
        <w:rPr/>
        <w:t xml:space="preserve"> (§713.10) in the public records </w:t>
      </w:r>
      <w:r>
        <w:rPr>
          <w:rStyle w:val="Emphasis"/>
        </w:rPr>
        <w:t>before</w:t>
      </w:r>
      <w:r>
        <w:rPr/>
        <w:t xml:space="preserve"> the lease or NOC, stating that improvements by the tenant won’t attach to your interest</w:t>
      </w:r>
      <w:hyperlink r:id="rId206" w:anchor=":~:text=landlord%E2%80%99s%20fee%20simple%20interest%20in,landlord%2C%20and%20the%20contractor%20appealed" w:tgtFrame="_blank">
        <w:r>
          <w:rPr>
            <w:rStyle w:val="Hyperlink"/>
          </w:rPr>
          <w:t>kpsds.com</w:t>
        </w:r>
      </w:hyperlink>
      <w:r>
        <w:rPr/>
        <w:t>. (And include similar language in the lease agreement</w:t>
      </w:r>
      <w:hyperlink r:id="rId207" w:anchor=":~:text=1,a%20final%20release%20from%20MHB" w:tgtFrame="_blank">
        <w:r>
          <w:rPr>
            <w:rStyle w:val="Hyperlink"/>
          </w:rPr>
          <w:t>caselaw.findlaw.com</w:t>
        </w:r>
      </w:hyperlink>
      <w:r>
        <w:rPr/>
        <w:t xml:space="preserve">.) These steps, as shown in </w:t>
      </w:r>
      <w:r>
        <w:rPr>
          <w:rStyle w:val="Emphasis"/>
        </w:rPr>
        <w:t>MHB Construction</w:t>
      </w:r>
      <w:r>
        <w:rPr/>
        <w:t>, will protect you from most liens if the tenant’s contractor isn’t paid</w:t>
      </w:r>
      <w:hyperlink r:id="rId208" w:anchor=":~:text=construction%2C%E2%80%9D%20exposing%20it%20to%20the,10" w:tgtFrame="_blank">
        <w:r>
          <w:rPr>
            <w:rStyle w:val="Hyperlink"/>
          </w:rPr>
          <w:t>kpsds.com</w:t>
        </w:r>
      </w:hyperlink>
      <w:r>
        <w:rPr/>
        <w:t>. Conversely, not taking these steps could allow a contractor to argue that your property is lienable (for instance, if your lease required the improvements or you funded them significantly). In summary: use the NOC to properly identify roles, but rely on §713.10 for the actual protection of your fee interest.</w:t>
      </w:r>
    </w:p>
    <w:p>
      <w:pPr>
        <w:pStyle w:val="BodyText"/>
        <w:numPr>
          <w:ilvl w:val="0"/>
          <w:numId w:val="10"/>
        </w:numPr>
        <w:tabs>
          <w:tab w:val="clear" w:pos="709"/>
          <w:tab w:val="left" w:pos="709" w:leader="none"/>
        </w:tabs>
        <w:bidi w:val="0"/>
        <w:ind w:hanging="283" w:start="709"/>
        <w:jc w:val="start"/>
        <w:rPr/>
      </w:pPr>
      <w:r>
        <w:rPr>
          <w:rStyle w:val="Strong"/>
        </w:rPr>
        <w:t>Communicate and Coordinate with Lenders:</w:t>
      </w:r>
      <w:r>
        <w:rPr/>
        <w:t xml:space="preserve"> If a construction loan is involved, coordinate with the lender to avoid NOC mishaps. Typically, a lender will want the NOC recorded at closing (often they handle it). Ensure that either you or the lender actually follows through immediately. </w:t>
      </w:r>
      <w:r>
        <w:rPr>
          <w:rStyle w:val="Emphasis"/>
        </w:rPr>
        <w:t>Napolitano</w:t>
      </w:r>
      <w:r>
        <w:rPr/>
        <w:t xml:space="preserve"> reminds us that a lender who drops the ball may be on the hook, but as the owner, you still want to avoid the fallout. If you refinance or add a new mortgage mid-construction, </w:t>
      </w:r>
      <w:r>
        <w:rPr>
          <w:rStyle w:val="Strong"/>
        </w:rPr>
        <w:t>do not record the new mortgage until</w:t>
      </w:r>
      <w:r>
        <w:rPr/>
        <w:t xml:space="preserve"> either (a) any existing NOC is terminated (if the project really ended), or (b) at least concurrently record a new NOC. Recording a mortgage in the gap between an old NOC and a new one could give lienors a priority edge. In </w:t>
      </w:r>
      <w:r>
        <w:rPr>
          <w:rStyle w:val="Emphasis"/>
        </w:rPr>
        <w:t>Edwin Taylor</w:t>
      </w:r>
      <w:r>
        <w:rPr/>
        <w:t>, the lender could have protected itself by requiring the earlier NOC to be terminated before funding – consider that strategy if you’re stepping into a project mid-stream</w:t>
      </w:r>
      <w:hyperlink r:id="rId209" w:anchor=":~:text=the%20lienor%20to%20properly%20mail,4" w:tgtFrame="_blank">
        <w:r>
          <w:rPr>
            <w:rStyle w:val="Hyperlink"/>
          </w:rPr>
          <w:t>caselaw.findlaw.com</w:t>
        </w:r>
      </w:hyperlink>
      <w:r>
        <w:rPr/>
        <w:t>.</w:t>
      </w:r>
    </w:p>
    <w:p>
      <w:pPr>
        <w:pStyle w:val="BodyText"/>
        <w:bidi w:val="0"/>
        <w:jc w:val="start"/>
        <w:rPr/>
      </w:pPr>
      <w:r>
        <w:rPr>
          <w:rStyle w:val="Strong"/>
        </w:rPr>
        <w:t>For Contractors, Subcontractors, and Suppliers:</w:t>
      </w:r>
    </w:p>
    <w:p>
      <w:pPr>
        <w:pStyle w:val="BodyText"/>
        <w:numPr>
          <w:ilvl w:val="0"/>
          <w:numId w:val="11"/>
        </w:numPr>
        <w:tabs>
          <w:tab w:val="clear" w:pos="709"/>
          <w:tab w:val="left" w:pos="709" w:leader="none"/>
        </w:tabs>
        <w:bidi w:val="0"/>
        <w:ind w:hanging="283" w:start="709"/>
        <w:jc w:val="start"/>
        <w:rPr/>
      </w:pPr>
      <w:r>
        <w:rPr>
          <w:rStyle w:val="Strong"/>
        </w:rPr>
        <w:t>Obtain and Review the NOC:</w:t>
      </w:r>
      <w:r>
        <w:rPr/>
        <w:t xml:space="preserve"> At the project’s start, </w:t>
      </w:r>
      <w:r>
        <w:rPr>
          <w:rStyle w:val="Strong"/>
        </w:rPr>
        <w:t>insist on receiving a copy of the recorded NOC</w:t>
      </w:r>
      <w:r>
        <w:rPr/>
        <w:t xml:space="preserve">. Many savvy subcontractors won’t even start work until there’s a posted NOC on-site or a copy from the owner. The NOC gives you the </w:t>
      </w:r>
      <w:r>
        <w:rPr>
          <w:rStyle w:val="Emphasis"/>
        </w:rPr>
        <w:t>legal names and addresses</w:t>
      </w:r>
      <w:r>
        <w:rPr/>
        <w:t xml:space="preserve"> you need for your Notices to Owner and eventual Claim of Lien</w:t>
      </w:r>
      <w:hyperlink r:id="rId210" w:anchor=":~:text=owner%20by%20providing%20a%20trigger,is%20to%20receive%20copies%20of" w:tgtFrame="_blank">
        <w:r>
          <w:rPr>
            <w:rStyle w:val="Hyperlink"/>
          </w:rPr>
          <w:t>caselaw.findlaw.com</w:t>
        </w:r>
      </w:hyperlink>
      <w:r>
        <w:rPr/>
        <w:t xml:space="preserve">. As soon as you get the NOC, verify a few things: is the property description accurate and does it match where you’re working? Who is listed as owner – is it the party who hired your customer, or someone else (e.g., a landlord or a different entity)? Any surprises here should prompt questions. For instance, if you contracted with a tenant, and the NOC shows the landlord as owner but also a “lien prohibition” note, you know to be cautious (perhaps consult an attorney about your lien rights). </w:t>
      </w:r>
      <w:r>
        <w:rPr>
          <w:rStyle w:val="Strong"/>
        </w:rPr>
        <w:t>If no NOC is provided or visible</w:t>
      </w:r>
      <w:r>
        <w:rPr/>
        <w:t>, check the public records yourself. If indeed no NOC was recorded, be aware that the clock for your Notice to Owner is still ticking (it’s 45 days from first work, irrespective of NOC). You will need to rely on other sources (building permit info, property appraiser) for owner details. Document your search efforts – should a dispute arise, courts will look favorably on a lienor who tried diligently to get the right info</w:t>
      </w:r>
      <w:hyperlink r:id="rId211" w:anchor=":~:text=Appraiser%E2%80%99s%20office%2C%20identified%20himself%20as,title%20search%20to%20file%2036" w:tgtFrame="_blank">
        <w:r>
          <w:rPr>
            <w:rStyle w:val="Hyperlink"/>
          </w:rPr>
          <w:t>acis-api.flcourts.gov</w:t>
        </w:r>
      </w:hyperlink>
      <w:hyperlink r:id="rId212" w:anchor=":~:text=relied%20on%20the%20information%20contained,which%20the%20owner%20took%20title" w:tgtFrame="_blank">
        <w:r>
          <w:rPr>
            <w:rStyle w:val="Hyperlink"/>
          </w:rPr>
          <w:t>caselaw.findlaw.com</w:t>
        </w:r>
      </w:hyperlink>
      <w:r>
        <w:rPr/>
        <w:t>.</w:t>
      </w:r>
    </w:p>
    <w:p>
      <w:pPr>
        <w:pStyle w:val="BodyText"/>
        <w:numPr>
          <w:ilvl w:val="0"/>
          <w:numId w:val="11"/>
        </w:numPr>
        <w:tabs>
          <w:tab w:val="clear" w:pos="709"/>
          <w:tab w:val="left" w:pos="709" w:leader="none"/>
        </w:tabs>
        <w:bidi w:val="0"/>
        <w:ind w:hanging="283" w:start="709"/>
        <w:jc w:val="start"/>
        <w:rPr/>
      </w:pPr>
      <w:r>
        <w:rPr>
          <w:rStyle w:val="Strong"/>
        </w:rPr>
        <w:t>Serve Notices to Owner Timely and Correctly:</w:t>
      </w:r>
      <w:r>
        <w:rPr/>
        <w:t xml:space="preserve"> NOC or no NOC, as a subcontractor or supplier, </w:t>
      </w:r>
      <w:r>
        <w:rPr>
          <w:rStyle w:val="Strong"/>
        </w:rPr>
        <w:t>you must serve a Notice to Owner (NTO)</w:t>
      </w:r>
      <w:r>
        <w:rPr/>
        <w:t xml:space="preserve"> within 45 days of first furnishing labor/materials (the sooner the better) per §713.06(2)(a). If an NOC exists, use the exact </w:t>
      </w:r>
      <w:r>
        <w:rPr>
          <w:rStyle w:val="Strong"/>
        </w:rPr>
        <w:t>name and address listed for the owner</w:t>
      </w:r>
      <w:r>
        <w:rPr/>
        <w:t xml:space="preserve"> (and any designated alternate) when sending your NTO</w:t>
      </w:r>
      <w:hyperlink r:id="rId213" w:anchor=":~:text=owner%20by%20providing%20a%20trigger,is%20to%20receive%20copies%20of" w:tgtFrame="_blank">
        <w:r>
          <w:rPr>
            <w:rStyle w:val="Hyperlink"/>
          </w:rPr>
          <w:t>caselaw.findlaw.com</w:t>
        </w:r>
      </w:hyperlink>
      <w:hyperlink r:id="rId214" w:anchor=":~:text=3,which%20the%20owner%20took%20title" w:tgtFrame="_blank">
        <w:r>
          <w:rPr>
            <w:rStyle w:val="Hyperlink"/>
          </w:rPr>
          <w:t>caselaw.findlaw.com</w:t>
        </w:r>
      </w:hyperlink>
      <w:r>
        <w:rPr/>
        <w:t>. Florida courts will hold the owner to that information – if the address is wrong in the NOC but you used it, the owner is estopped from claiming lack of notice</w:t>
      </w:r>
      <w:hyperlink r:id="rId215" w:anchor=":~:text=3,which%20the%20owner%20took%20title" w:tgtFrame="_blank">
        <w:r>
          <w:rPr>
            <w:rStyle w:val="Hyperlink"/>
          </w:rPr>
          <w:t>caselaw.findlaw.com</w:t>
        </w:r>
      </w:hyperlink>
      <w:r>
        <w:rPr/>
        <w:t>. If no NOC, send the NTO to the owner’s address as shown on the latest deed or tax rolls</w:t>
      </w:r>
      <w:hyperlink r:id="rId216" w:anchor=":~:text=relied%20on%20the%20information%20contained,which%20the%20owner%20took%20title" w:tgtFrame="_blank">
        <w:r>
          <w:rPr>
            <w:rStyle w:val="Hyperlink"/>
          </w:rPr>
          <w:t>caselaw.findlaw.com</w:t>
        </w:r>
      </w:hyperlink>
      <w:r>
        <w:rPr/>
        <w:t xml:space="preserve">. Keep proof of mailing (certified mail receipts, etc.). The </w:t>
      </w:r>
      <w:r>
        <w:rPr>
          <w:rStyle w:val="Strong"/>
        </w:rPr>
        <w:t>common mistakes</w:t>
      </w:r>
      <w:r>
        <w:rPr/>
        <w:t xml:space="preserve"> to avoid here are: (a) failing to send an NTO at all (which is fatal to your lien except for direct contractors), or (b) sending it to a </w:t>
      </w:r>
      <w:r>
        <w:rPr>
          <w:rStyle w:val="Strong"/>
        </w:rPr>
        <w:t>completely incorrect party or place</w:t>
      </w:r>
      <w:r>
        <w:rPr/>
        <w:t xml:space="preserve"> when correct info was available. Minor errors in the NTO (spelling, etc.) won’t invalidate it if delivered correctly and the owner isn’t misled, according to §713.06(2)(f) and cases like </w:t>
      </w:r>
      <w:r>
        <w:rPr>
          <w:rStyle w:val="Emphasis"/>
        </w:rPr>
        <w:t>Trump Endeavor 12 LLC v. Fernich, Inc.</w:t>
      </w:r>
      <w:r>
        <w:rPr/>
        <w:t>, 216 So.3d 704 (Fla. 3d DCA 2017)</w:t>
      </w:r>
      <w:hyperlink r:id="rId217" w:anchor=":~:text=%28Fla,%282013" w:tgtFrame="_blank">
        <w:r>
          <w:rPr>
            <w:rStyle w:val="Hyperlink"/>
          </w:rPr>
          <w:t>caselaw.findlaw.com</w:t>
        </w:r>
      </w:hyperlink>
      <w:r>
        <w:rPr/>
        <w:t>. But sending it to “123 Wrong Street” because you didn’t check the NOC or records is not excusable. In short, use the NOC as your guide; if none, use public records diligently – this preserves your lien rights even if the owner tries to claim technical foul.</w:t>
      </w:r>
    </w:p>
    <w:p>
      <w:pPr>
        <w:pStyle w:val="BodyText"/>
        <w:numPr>
          <w:ilvl w:val="0"/>
          <w:numId w:val="11"/>
        </w:numPr>
        <w:tabs>
          <w:tab w:val="clear" w:pos="709"/>
          <w:tab w:val="left" w:pos="709" w:leader="none"/>
        </w:tabs>
        <w:bidi w:val="0"/>
        <w:ind w:hanging="283" w:start="709"/>
        <w:jc w:val="start"/>
        <w:rPr/>
      </w:pPr>
      <w:r>
        <w:rPr>
          <w:rStyle w:val="Strong"/>
        </w:rPr>
        <w:t>Monitor NOC Expiration and Payments:</w:t>
      </w:r>
      <w:r>
        <w:rPr/>
        <w:t xml:space="preserve"> If the project lasts close to a year or more, be mindful of the NOC’s expiration. An owner may need to extend it; if they don’t, any payments they make after expiration might be deemed improper. This matters to you because if an owner unknowingly makes an improper payment (say, pays the contractor after NOC expired), and that money doesn’t trickle down to you, you still have lien rights and the owner may end up paying twice</w:t>
      </w:r>
      <w:hyperlink r:id="rId218" w:anchor=":~:text=WARNING%20TO%20OWNER%3A%20ANY%20PAYMENTS,RECORDING%20YOUR%20NOTICE%20OF%20COMMENCEMENT" w:tgtFrame="_blank">
        <w:r>
          <w:rPr>
            <w:rStyle w:val="Hyperlink"/>
          </w:rPr>
          <w:t>syfert.com</w:t>
        </w:r>
      </w:hyperlink>
      <w:r>
        <w:rPr/>
        <w:t>. While this is the owner’s problem in one sense, it can complicate your collection. A practical tip: if you notice the NOC on file is about to expire and you’re still not paid in full, send a polite reminder to the owner and contractor. This might spur them to issue joint checks or handle payouts more cautiously, knowing the “proper payment” safeguards are fading. It also signals that you’re sophisticated and aware of your rights.</w:t>
      </w:r>
    </w:p>
    <w:p>
      <w:pPr>
        <w:pStyle w:val="BodyText"/>
        <w:numPr>
          <w:ilvl w:val="0"/>
          <w:numId w:val="11"/>
        </w:numPr>
        <w:tabs>
          <w:tab w:val="clear" w:pos="709"/>
          <w:tab w:val="left" w:pos="709" w:leader="none"/>
        </w:tabs>
        <w:bidi w:val="0"/>
        <w:ind w:hanging="283" w:start="709"/>
        <w:jc w:val="start"/>
        <w:rPr/>
      </w:pPr>
      <w:r>
        <w:rPr>
          <w:rStyle w:val="Strong"/>
        </w:rPr>
        <w:t>Leverage NOC Information:</w:t>
      </w:r>
      <w:r>
        <w:rPr/>
        <w:t xml:space="preserve"> The NOC can alert you to useful things: </w:t>
      </w:r>
      <w:r>
        <w:rPr>
          <w:rStyle w:val="Strong"/>
        </w:rPr>
        <w:t>Is there a payment bond?</w:t>
      </w:r>
      <w:r>
        <w:rPr/>
        <w:t xml:space="preserve"> If yes, a copy should be attached</w:t>
      </w:r>
      <w:hyperlink r:id="rId219" w:anchor=":~:text=,limits%20for%20serving%20any%20required" w:tgtFrame="_blank">
        <w:r>
          <w:rPr>
            <w:rStyle w:val="Hyperlink"/>
          </w:rPr>
          <w:t>syfert.com</w:t>
        </w:r>
      </w:hyperlink>
      <w:r>
        <w:rPr/>
        <w:t xml:space="preserve">. If a bond is present, you’ll need to send a Notice of Nonpayment and perhaps claim against the bond instead of a lien. </w:t>
      </w:r>
      <w:r>
        <w:rPr>
          <w:rStyle w:val="Strong"/>
        </w:rPr>
        <w:t>Who is the lender?</w:t>
      </w:r>
      <w:r>
        <w:rPr/>
        <w:t xml:space="preserve"> The NOC lists any construction lender – knowing the lender means you can send them a copy of your NTO as well (not required by law, but often prudent). Lenders will pressure the owner/contractor to resolve your claim to avoid liens that could prime their mortgage. Also, if progress payments stall, you might reach out to the lender (draw requests often require proof of downstream payments). All this info comes from the NOC, so treat it as a roadmap for collection strategy</w:t>
      </w:r>
      <w:hyperlink r:id="rId220" w:anchor=":~:text=owner%20by%20providing%20a%20trigger,is%20to%20receive%20copies%20of" w:tgtFrame="_blank">
        <w:r>
          <w:rPr>
            <w:rStyle w:val="Hyperlink"/>
          </w:rPr>
          <w:t>caselaw.findlaw.com</w:t>
        </w:r>
      </w:hyperlink>
      <w:r>
        <w:rPr/>
        <w:t>.</w:t>
      </w:r>
    </w:p>
    <w:p>
      <w:pPr>
        <w:pStyle w:val="BodyText"/>
        <w:numPr>
          <w:ilvl w:val="0"/>
          <w:numId w:val="11"/>
        </w:numPr>
        <w:tabs>
          <w:tab w:val="clear" w:pos="709"/>
          <w:tab w:val="left" w:pos="709" w:leader="none"/>
        </w:tabs>
        <w:bidi w:val="0"/>
        <w:ind w:hanging="283" w:start="709"/>
        <w:jc w:val="start"/>
        <w:rPr/>
      </w:pPr>
      <w:r>
        <w:rPr>
          <w:rStyle w:val="Strong"/>
        </w:rPr>
        <w:t>Substantial Compliance and Good Faith:</w:t>
      </w:r>
      <w:r>
        <w:rPr/>
        <w:t xml:space="preserve"> If you ever find yourself in a grey area – for example, you discover the NOC had a typo in the owner’s name after you already sent the NTO to that name – don’t panic. Florida law, as shown above, protects lienors who make </w:t>
      </w:r>
      <w:r>
        <w:rPr>
          <w:rStyle w:val="Strong"/>
        </w:rPr>
        <w:t>good-faith efforts</w:t>
      </w:r>
      <w:r>
        <w:rPr/>
        <w:t>. The courts have explicitly said they won’t punish a lienor for an owner’s mistake that caused detrimental reliance</w:t>
      </w:r>
      <w:hyperlink r:id="rId221" w:anchor=":~:text=Appraiser%E2%80%99s%20office%2C%20identified%20himself%20as,title%20search%20to%20file%2036" w:tgtFrame="_blank">
        <w:r>
          <w:rPr>
            <w:rStyle w:val="Hyperlink"/>
          </w:rPr>
          <w:t>acis-api.flcourts.gov</w:t>
        </w:r>
      </w:hyperlink>
      <w:hyperlink r:id="rId222" w:anchor=":~:text=3,which%20the%20owner%20took%20title" w:tgtFrame="_blank">
        <w:r>
          <w:rPr>
            <w:rStyle w:val="Hyperlink"/>
          </w:rPr>
          <w:t>caselaw.findlaw.com</w:t>
        </w:r>
      </w:hyperlink>
      <w:r>
        <w:rPr/>
        <w:t xml:space="preserve">. The key is to be </w:t>
      </w:r>
      <w:r>
        <w:rPr>
          <w:rStyle w:val="Strong"/>
        </w:rPr>
        <w:t>able to show your good faith</w:t>
      </w:r>
      <w:r>
        <w:rPr/>
        <w:t>. Document everything: when you checked for an NOC, where you sent notices, any returned mail, conversations with the contractor or owner about correct addresses, etc. This evidence can be the difference between a judge finding you “substantially complied” versus not. Conversely, avoid bad-faith moves – e.g., don’t intentionally send notice to a wrong address to play games. That would undercut you. Florida’s lien law has some flexibility, but it assumes lienors are trying to follow the rules, not flout them.</w:t>
      </w:r>
    </w:p>
    <w:p>
      <w:pPr>
        <w:pStyle w:val="BodyText"/>
        <w:numPr>
          <w:ilvl w:val="0"/>
          <w:numId w:val="11"/>
        </w:numPr>
        <w:tabs>
          <w:tab w:val="clear" w:pos="709"/>
          <w:tab w:val="left" w:pos="709" w:leader="none"/>
        </w:tabs>
        <w:bidi w:val="0"/>
        <w:ind w:hanging="283" w:start="709"/>
        <w:jc w:val="start"/>
        <w:rPr/>
      </w:pPr>
      <w:r>
        <w:rPr>
          <w:rStyle w:val="Strong"/>
        </w:rPr>
        <w:t>Stay Alert to NOC Changes:</w:t>
      </w:r>
      <w:r>
        <w:rPr/>
        <w:t xml:space="preserve"> An owner can file an </w:t>
      </w:r>
      <w:r>
        <w:rPr>
          <w:rStyle w:val="Strong"/>
        </w:rPr>
        <w:t>Amended NOC</w:t>
      </w:r>
      <w:r>
        <w:rPr/>
        <w:t xml:space="preserve"> or a </w:t>
      </w:r>
      <w:r>
        <w:rPr>
          <w:rStyle w:val="Strong"/>
        </w:rPr>
        <w:t>Notice of Termination</w:t>
      </w:r>
      <w:r>
        <w:rPr/>
        <w:t xml:space="preserve"> of NOC. If you see one recorded or receive one, read it carefully. An amended NOC might change the designated person to receive notices or other info. A Notice of Termination, if valid, can cut off the relation-back effect 30 days after recording, so any liens recorded after that date attach based on actual recording date, not the original NOC date (see §713.132). If you get a Notice of Termination and you’re unpaid, you may need to record your Claim of Lien </w:t>
      </w:r>
      <w:r>
        <w:rPr>
          <w:rStyle w:val="Strong"/>
        </w:rPr>
        <w:t>sooner than later</w:t>
      </w:r>
      <w:r>
        <w:rPr/>
        <w:t xml:space="preserve"> (before the termination’s effective date) to preserve the earlier priority</w:t>
      </w:r>
      <w:hyperlink r:id="rId223" w:anchor=":~:text=1%20A%20lien%20is%20a,S" w:tgtFrame="_blank">
        <w:r>
          <w:rPr>
            <w:rStyle w:val="Hyperlink"/>
          </w:rPr>
          <w:t>flsenate.gov</w:t>
        </w:r>
      </w:hyperlink>
      <w:hyperlink r:id="rId224" w:anchor=":~:text=Inc,direct%20contracts%20for%20%242500%20or" w:tgtFrame="_blank">
        <w:r>
          <w:rPr>
            <w:rStyle w:val="Hyperlink"/>
          </w:rPr>
          <w:t>flsenate.gov</w:t>
        </w:r>
      </w:hyperlink>
      <w:r>
        <w:rPr/>
        <w:t>. Owners can’t terminate an NOC early unless certain conditions are met (like all lienors being paid or consent)</w:t>
      </w:r>
      <w:hyperlink r:id="rId225" w:anchor=":~:text=10%20o%20Surety11%20on%20a,12" w:tgtFrame="_blank">
        <w:r>
          <w:rPr>
            <w:rStyle w:val="Hyperlink"/>
          </w:rPr>
          <w:t>flsenate.gov</w:t>
        </w:r>
      </w:hyperlink>
      <w:r>
        <w:rPr/>
        <w:t>, but if they do and it’s facially valid, act accordingly and investigate if it was proper.</w:t>
      </w:r>
    </w:p>
    <w:p>
      <w:pPr>
        <w:pStyle w:val="BodyText"/>
        <w:bidi w:val="0"/>
        <w:jc w:val="start"/>
        <w:rPr/>
      </w:pPr>
      <w:r>
        <w:rPr/>
        <w:t xml:space="preserve">By adhering to these recommendations, owners can </w:t>
      </w:r>
      <w:r>
        <w:rPr>
          <w:rStyle w:val="Strong"/>
        </w:rPr>
        <w:t>avoid common pitfalls</w:t>
      </w:r>
      <w:r>
        <w:rPr/>
        <w:t xml:space="preserve"> that lead to litigation over NOC compliance, and contractors/lienors can better </w:t>
      </w:r>
      <w:r>
        <w:rPr>
          <w:rStyle w:val="Strong"/>
        </w:rPr>
        <w:t>protect their right to get paid</w:t>
      </w:r>
      <w:r>
        <w:rPr/>
        <w:t xml:space="preserve">. The Florida courts have shown they will enforce the spirit of the law – rewarding those who follow the proper steps and not allowing opportunistic avoidance of obligations. Ultimately, a properly handled Notice of Commencement (from both the owner’s and contractor’s standpoint) sets the stage for a smoother construction project, where everyone knows the procedural ground rules and their rights are preserved under Chapter 713. Compliance may require some extra up-front attention, but as the cases above demonstrate, the cost of non-compliance (or even perceived non-compliance) can be far higher in the end. </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Unicode MS"/>
      <w:b/>
      <w:bCs/>
      <w:sz w:val="28"/>
      <w:szCs w:val="28"/>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floridabar.org/the-florida-bar-journal/statutes-affecting-florida-construction/" TargetMode="External"/><Relationship Id="rId3" Type="http://schemas.openxmlformats.org/officeDocument/2006/relationships/hyperlink" Target="https://caselaw.findlaw.com/court/fl-district-court-of-appeal/2071581.html" TargetMode="External"/><Relationship Id="rId4" Type="http://schemas.openxmlformats.org/officeDocument/2006/relationships/hyperlink" Target="https://www.taylordaylaw.com/2024/10/notices-of-commencement-for-florida-construction-jobs/" TargetMode="External"/><Relationship Id="rId5" Type="http://schemas.openxmlformats.org/officeDocument/2006/relationships/hyperlink" Target="https://www.flsenate.gov/Session/Bill/2023/797/Analyses/h0797a.CJS.PDF" TargetMode="External"/><Relationship Id="rId6" Type="http://schemas.openxmlformats.org/officeDocument/2006/relationships/hyperlink" Target="https://www.floridabar.org/the-florida-bar-journal/statutes-affecting-florida-construction/" TargetMode="External"/><Relationship Id="rId7" Type="http://schemas.openxmlformats.org/officeDocument/2006/relationships/hyperlink" Target="https://caselaw.findlaw.com/court/fl-district-court-of-appeal/2071581.html" TargetMode="External"/><Relationship Id="rId8" Type="http://schemas.openxmlformats.org/officeDocument/2006/relationships/hyperlink" Target="https://www.taylordaylaw.com/2024/10/notices-of-commencement-for-florida-construction-jobs/" TargetMode="External"/><Relationship Id="rId9" Type="http://schemas.openxmlformats.org/officeDocument/2006/relationships/hyperlink" Target="https://www.taylordaylaw.com/2024/10/notices-of-commencement-for-florida-construction-jobs/" TargetMode="External"/><Relationship Id="rId10" Type="http://schemas.openxmlformats.org/officeDocument/2006/relationships/hyperlink" Target="https://caselaw.findlaw.com/court/fl-district-court-of-appeal/2071581.html" TargetMode="External"/><Relationship Id="rId11" Type="http://schemas.openxmlformats.org/officeDocument/2006/relationships/hyperlink" Target="https://caselaw.findlaw.com/court/fl-district-court-of-appeal/2071581.html" TargetMode="External"/><Relationship Id="rId12" Type="http://schemas.openxmlformats.org/officeDocument/2006/relationships/hyperlink" Target="https://caselaw.findlaw.com/court/fl-district-court-of-appeal/2071581.html" TargetMode="External"/><Relationship Id="rId13" Type="http://schemas.openxmlformats.org/officeDocument/2006/relationships/hyperlink" Target="https://caselaw.findlaw.com/court/fl-district-court-of-appeal/2071581.html" TargetMode="External"/><Relationship Id="rId14" Type="http://schemas.openxmlformats.org/officeDocument/2006/relationships/hyperlink" Target="https://www.taylordaylaw.com/2024/10/notices-of-commencement-for-florida-construction-jobs/" TargetMode="External"/><Relationship Id="rId15" Type="http://schemas.openxmlformats.org/officeDocument/2006/relationships/hyperlink" Target="https://caselaw.findlaw.com/court/fl-district-court-of-appeal/2071581.html" TargetMode="External"/><Relationship Id="rId16" Type="http://schemas.openxmlformats.org/officeDocument/2006/relationships/hyperlink" Target="https://caselaw.findlaw.com/court/fl-district-court-of-appeal/2071581.html" TargetMode="External"/><Relationship Id="rId17" Type="http://schemas.openxmlformats.org/officeDocument/2006/relationships/hyperlink" Target="https://caselaw.findlaw.com/court/fl-district-court-of-appeal/2071581.html" TargetMode="External"/><Relationship Id="rId18" Type="http://schemas.openxmlformats.org/officeDocument/2006/relationships/hyperlink" Target="https://caselaw.findlaw.com/court/fl-district-court-of-appeal/2071581.html" TargetMode="External"/><Relationship Id="rId19" Type="http://schemas.openxmlformats.org/officeDocument/2006/relationships/hyperlink" Target="https://caselaw.findlaw.com/court/fl-district-court-of-appeal/2071581.html" TargetMode="External"/><Relationship Id="rId20" Type="http://schemas.openxmlformats.org/officeDocument/2006/relationships/hyperlink" Target="https://caselaw.findlaw.com/court/fl-district-court-of-appeal/2071581.html" TargetMode="External"/><Relationship Id="rId21" Type="http://schemas.openxmlformats.org/officeDocument/2006/relationships/hyperlink" Target="https://caselaw.findlaw.com/court/fl-district-court-of-appeal/2071581.html" TargetMode="External"/><Relationship Id="rId22" Type="http://schemas.openxmlformats.org/officeDocument/2006/relationships/hyperlink" Target="https://caselaw.findlaw.com/court/fl-district-court-of-appeal/2071581.html" TargetMode="External"/><Relationship Id="rId23" Type="http://schemas.openxmlformats.org/officeDocument/2006/relationships/hyperlink" Target="https://caselaw.findlaw.com/court/fl-district-court-of-appeal/2071581.html" TargetMode="External"/><Relationship Id="rId24" Type="http://schemas.openxmlformats.org/officeDocument/2006/relationships/hyperlink" Target="https://caselaw.findlaw.com/court/fl-district-court-of-appeal/2071581.html" TargetMode="External"/><Relationship Id="rId25" Type="http://schemas.openxmlformats.org/officeDocument/2006/relationships/hyperlink" Target="https://caselaw.findlaw.com/court/fl-district-court-of-appeal/2071581.html" TargetMode="External"/><Relationship Id="rId26" Type="http://schemas.openxmlformats.org/officeDocument/2006/relationships/hyperlink" Target="https://caselaw.findlaw.com/court/fl-district-court-of-appeal/2071581.html" TargetMode="External"/><Relationship Id="rId27" Type="http://schemas.openxmlformats.org/officeDocument/2006/relationships/hyperlink" Target="https://caselaw.findlaw.com/court/fl-district-court-of-appeal/2071581.html" TargetMode="External"/><Relationship Id="rId28" Type="http://schemas.openxmlformats.org/officeDocument/2006/relationships/hyperlink" Target="https://caselaw.findlaw.com/court/fl-district-court-of-appeal/2071581.html" TargetMode="External"/><Relationship Id="rId29" Type="http://schemas.openxmlformats.org/officeDocument/2006/relationships/hyperlink" Target="https://caselaw.findlaw.com/court/fl-district-court-of-appeal/2071581.html" TargetMode="External"/><Relationship Id="rId30" Type="http://schemas.openxmlformats.org/officeDocument/2006/relationships/hyperlink" Target="https://caselaw.findlaw.com/court/fl-district-court-of-appeal/2071581.html" TargetMode="External"/><Relationship Id="rId31" Type="http://schemas.openxmlformats.org/officeDocument/2006/relationships/hyperlink" Target="https://caselaw.findlaw.com/court/fl-district-court-of-appeal/2071581.html" TargetMode="External"/><Relationship Id="rId32" Type="http://schemas.openxmlformats.org/officeDocument/2006/relationships/hyperlink" Target="https://caselaw.findlaw.com/court/fl-district-court-of-appeal/2071581.html" TargetMode="External"/><Relationship Id="rId33" Type="http://schemas.openxmlformats.org/officeDocument/2006/relationships/hyperlink" Target="https://caselaw.findlaw.com/court/fl-district-court-of-appeal/2071581.html" TargetMode="External"/><Relationship Id="rId34" Type="http://schemas.openxmlformats.org/officeDocument/2006/relationships/hyperlink" Target="https://caselaw.findlaw.com/court/fl-district-court-of-appeal/2071581.html" TargetMode="External"/><Relationship Id="rId35" Type="http://schemas.openxmlformats.org/officeDocument/2006/relationships/hyperlink" Target="https://caselaw.findlaw.com/court/fl-district-court-of-appeal/2071581.html" TargetMode="External"/><Relationship Id="rId36" Type="http://schemas.openxmlformats.org/officeDocument/2006/relationships/hyperlink" Target="https://caselaw.findlaw.com/court/fl-district-court-of-appeal/2071581.html" TargetMode="External"/><Relationship Id="rId37" Type="http://schemas.openxmlformats.org/officeDocument/2006/relationships/hyperlink" Target="https://caselaw.findlaw.com/court/fl-district-court-of-appeal/2071581.html" TargetMode="External"/><Relationship Id="rId38" Type="http://schemas.openxmlformats.org/officeDocument/2006/relationships/hyperlink" Target="https://caselaw.findlaw.com/court/fl-district-court-of-appeal/2071581.html" TargetMode="External"/><Relationship Id="rId39" Type="http://schemas.openxmlformats.org/officeDocument/2006/relationships/hyperlink" Target="https://caselaw.findlaw.com/court/fl-district-court-of-appeal/2071581.html" TargetMode="External"/><Relationship Id="rId40" Type="http://schemas.openxmlformats.org/officeDocument/2006/relationships/hyperlink" Target="https://caselaw.findlaw.com/court/fl-district-court-of-appeal/2071581.html" TargetMode="External"/><Relationship Id="rId41" Type="http://schemas.openxmlformats.org/officeDocument/2006/relationships/hyperlink" Target="https://caselaw.findlaw.com/court/fl-district-court-of-appeal/2071581.html" TargetMode="External"/><Relationship Id="rId42" Type="http://schemas.openxmlformats.org/officeDocument/2006/relationships/hyperlink" Target="https://caselaw.findlaw.com/court/fl-district-court-of-appeal/2071581.html" TargetMode="External"/><Relationship Id="rId43" Type="http://schemas.openxmlformats.org/officeDocument/2006/relationships/hyperlink" Target="https://caselaw.findlaw.com/court/fl-district-court-of-appeal/2071581.html" TargetMode="External"/><Relationship Id="rId44" Type="http://schemas.openxmlformats.org/officeDocument/2006/relationships/hyperlink" Target="https://caselaw.findlaw.com/court/fl-district-court-of-appeal/2071581.html" TargetMode="External"/><Relationship Id="rId45" Type="http://schemas.openxmlformats.org/officeDocument/2006/relationships/hyperlink" Target="https://caselaw.findlaw.com/court/fl-district-court-of-appeal/2071581.html" TargetMode="External"/><Relationship Id="rId46" Type="http://schemas.openxmlformats.org/officeDocument/2006/relationships/hyperlink" Target="https://caselaw.findlaw.com/fl-district-court-of-appeal/1586479.html" TargetMode="External"/><Relationship Id="rId47" Type="http://schemas.openxmlformats.org/officeDocument/2006/relationships/hyperlink" Target="https://caselaw.findlaw.com/court/fl-district-court-of-appeal/2071581.html" TargetMode="External"/><Relationship Id="rId48" Type="http://schemas.openxmlformats.org/officeDocument/2006/relationships/hyperlink" Target="https://caselaw.findlaw.com/court/fl-district-court-of-appeal/2071581.html" TargetMode="External"/><Relationship Id="rId49" Type="http://schemas.openxmlformats.org/officeDocument/2006/relationships/hyperlink" Target="https://caselaw.findlaw.com/court/fl-district-court-of-appeal/2071581.html" TargetMode="External"/><Relationship Id="rId50" Type="http://schemas.openxmlformats.org/officeDocument/2006/relationships/hyperlink" Target="https://caselaw.findlaw.com/court/fl-district-court-of-appeal/2071581.html" TargetMode="External"/><Relationship Id="rId51" Type="http://schemas.openxmlformats.org/officeDocument/2006/relationships/hyperlink" Target="https://caselaw.findlaw.com/court/fl-district-court-of-appeal/2071581.html" TargetMode="External"/><Relationship Id="rId52" Type="http://schemas.openxmlformats.org/officeDocument/2006/relationships/hyperlink" Target="https://caselaw.findlaw.com/court/fl-district-court-of-appeal/2071581.html" TargetMode="External"/><Relationship Id="rId53" Type="http://schemas.openxmlformats.org/officeDocument/2006/relationships/hyperlink" Target="https://caselaw.findlaw.com/court/fl-district-court-of-appeal/2071581.html" TargetMode="External"/><Relationship Id="rId54" Type="http://schemas.openxmlformats.org/officeDocument/2006/relationships/hyperlink" Target="https://caselaw.findlaw.com/court/fl-district-court-of-appeal/2071581.html" TargetMode="External"/><Relationship Id="rId55" Type="http://schemas.openxmlformats.org/officeDocument/2006/relationships/hyperlink" Target="https://caselaw.findlaw.com/court/fl-district-court-of-appeal/2071581.html" TargetMode="External"/><Relationship Id="rId56" Type="http://schemas.openxmlformats.org/officeDocument/2006/relationships/hyperlink" Target="https://caselaw.findlaw.com/court/fl-district-court-of-appeal/2071581.html" TargetMode="External"/><Relationship Id="rId57" Type="http://schemas.openxmlformats.org/officeDocument/2006/relationships/hyperlink" Target="https://caselaw.findlaw.com/court/fl-district-court-of-appeal/2071581.html" TargetMode="External"/><Relationship Id="rId58" Type="http://schemas.openxmlformats.org/officeDocument/2006/relationships/hyperlink" Target="https://caselaw.findlaw.com/court/fl-district-court-of-appeal/2071581.html" TargetMode="External"/><Relationship Id="rId59" Type="http://schemas.openxmlformats.org/officeDocument/2006/relationships/hyperlink" Target="https://caselaw.findlaw.com/court/fl-district-court-of-appeal/2071581.html" TargetMode="External"/><Relationship Id="rId60" Type="http://schemas.openxmlformats.org/officeDocument/2006/relationships/hyperlink" Target="https://caselaw.findlaw.com/court/fl-district-court-of-appeal/2071581.html" TargetMode="External"/><Relationship Id="rId61" Type="http://schemas.openxmlformats.org/officeDocument/2006/relationships/hyperlink" Target="https://caselaw.findlaw.com/court/fl-district-court-of-appeal/2071581.html" TargetMode="External"/><Relationship Id="rId62" Type="http://schemas.openxmlformats.org/officeDocument/2006/relationships/hyperlink" Target="https://caselaw.findlaw.com/court/fl-district-court-of-appeal/2071581.html" TargetMode="External"/><Relationship Id="rId63" Type="http://schemas.openxmlformats.org/officeDocument/2006/relationships/hyperlink" Target="https://www.taylordaylaw.com/2024/10/notices-of-commencement-for-florida-construction-jobs/" TargetMode="External"/><Relationship Id="rId64" Type="http://schemas.openxmlformats.org/officeDocument/2006/relationships/hyperlink" Target="https://caselaw.findlaw.com/court/fl-district-court-of-appeal/2071581.html" TargetMode="External"/><Relationship Id="rId65" Type="http://schemas.openxmlformats.org/officeDocument/2006/relationships/hyperlink" Target="https://caselaw.findlaw.com/court/fl-district-court-of-appeal/2071581.html" TargetMode="External"/><Relationship Id="rId66" Type="http://schemas.openxmlformats.org/officeDocument/2006/relationships/hyperlink" Target="https://caselaw.findlaw.com/court/fl-district-court-of-appeal/2071581.html" TargetMode="External"/><Relationship Id="rId67" Type="http://schemas.openxmlformats.org/officeDocument/2006/relationships/hyperlink" Target="https://caselaw.findlaw.com/court/fl-district-court-of-appeal/2071581.html" TargetMode="External"/><Relationship Id="rId68" Type="http://schemas.openxmlformats.org/officeDocument/2006/relationships/hyperlink" Target="https://caselaw.findlaw.com/court/fl-district-court-of-appeal/2071581.html" TargetMode="External"/><Relationship Id="rId69" Type="http://schemas.openxmlformats.org/officeDocument/2006/relationships/hyperlink" Target="https://caselaw.findlaw.com/court/fl-district-court-of-appeal/2071581.html" TargetMode="External"/><Relationship Id="rId70" Type="http://schemas.openxmlformats.org/officeDocument/2006/relationships/hyperlink" Target="https://caselaw.findlaw.com/court/fl-district-court-of-appeal/2071581.html" TargetMode="External"/><Relationship Id="rId71" Type="http://schemas.openxmlformats.org/officeDocument/2006/relationships/hyperlink" Target="https://caselaw.findlaw.com/court/fl-district-court-of-appeal/2071581.html" TargetMode="External"/><Relationship Id="rId72" Type="http://schemas.openxmlformats.org/officeDocument/2006/relationships/hyperlink" Target="https://caselaw.findlaw.com/court/fl-district-court-of-appeal/2071581.html" TargetMode="External"/><Relationship Id="rId73" Type="http://schemas.openxmlformats.org/officeDocument/2006/relationships/hyperlink" Target="https://caselaw.findlaw.com/court/fl-district-court-of-appeal/2071581.html" TargetMode="External"/><Relationship Id="rId74" Type="http://schemas.openxmlformats.org/officeDocument/2006/relationships/hyperlink" Target="https://descrybe.ai/case-details/c7637516" TargetMode="External"/><Relationship Id="rId75" Type="http://schemas.openxmlformats.org/officeDocument/2006/relationships/hyperlink" Target="https://caselaw.findlaw.com/court/fl-district-court-of-appeal/2071581.html" TargetMode="External"/><Relationship Id="rId76" Type="http://schemas.openxmlformats.org/officeDocument/2006/relationships/hyperlink" Target="https://www.jimersonfirm.com/blog/2021/02/top-five-construction-lien-law/" TargetMode="External"/><Relationship Id="rId77" Type="http://schemas.openxmlformats.org/officeDocument/2006/relationships/hyperlink" Target="https://www.courtlistener.com/opinion/7637516/napolitano-v-security-first-federal-savings-loan-assn/" TargetMode="External"/><Relationship Id="rId78" Type="http://schemas.openxmlformats.org/officeDocument/2006/relationships/hyperlink" Target="https://caselaw.findlaw.com/court/fl-district-court-of-appeal/2071581.html" TargetMode="External"/><Relationship Id="rId79" Type="http://schemas.openxmlformats.org/officeDocument/2006/relationships/hyperlink" Target="https://caselaw.findlaw.com/court/fl-district-court-of-appeal/2071581.html" TargetMode="External"/><Relationship Id="rId80" Type="http://schemas.openxmlformats.org/officeDocument/2006/relationships/hyperlink" Target="https://acis-api.flcourts.gov/courts/8f454fb9-4c7f-43df-856b-ab373e71c27f/cms/case/86ec4c23-2d4f-483b-a90f-e8d1c0dd327b/docketentrydocuments/2eebded0-ac17-44f6-b7b0-e4970dae5111" TargetMode="External"/><Relationship Id="rId81" Type="http://schemas.openxmlformats.org/officeDocument/2006/relationships/hyperlink" Target="https://acis-api.flcourts.gov/courts/8f454fb9-4c7f-43df-856b-ab373e71c27f/cms/case/86ec4c23-2d4f-483b-a90f-e8d1c0dd327b/docketentrydocuments/2eebded0-ac17-44f6-b7b0-e4970dae5111" TargetMode="External"/><Relationship Id="rId82" Type="http://schemas.openxmlformats.org/officeDocument/2006/relationships/hyperlink" Target="https://acis-api.flcourts.gov/courts/8f454fb9-4c7f-43df-856b-ab373e71c27f/cms/case/86ec4c23-2d4f-483b-a90f-e8d1c0dd327b/docketentrydocuments/2eebded0-ac17-44f6-b7b0-e4970dae5111" TargetMode="External"/><Relationship Id="rId83" Type="http://schemas.openxmlformats.org/officeDocument/2006/relationships/hyperlink" Target="https://acis-api.flcourts.gov/courts/8f454fb9-4c7f-43df-856b-ab373e71c27f/cms/case/86ec4c23-2d4f-483b-a90f-e8d1c0dd327b/docketentrydocuments/2eebded0-ac17-44f6-b7b0-e4970dae5111" TargetMode="External"/><Relationship Id="rId84" Type="http://schemas.openxmlformats.org/officeDocument/2006/relationships/hyperlink" Target="https://caselaw.findlaw.com/court/fl-district-court-of-appeal/2071581.html" TargetMode="External"/><Relationship Id="rId85" Type="http://schemas.openxmlformats.org/officeDocument/2006/relationships/hyperlink" Target="https://acis-api.flcourts.gov/courts/8f454fb9-4c7f-43df-856b-ab373e71c27f/cms/case/86ec4c23-2d4f-483b-a90f-e8d1c0dd327b/docketentrydocuments/2eebded0-ac17-44f6-b7b0-e4970dae5111" TargetMode="External"/><Relationship Id="rId86" Type="http://schemas.openxmlformats.org/officeDocument/2006/relationships/hyperlink" Target="https://acis-api.flcourts.gov/courts/8f454fb9-4c7f-43df-856b-ab373e71c27f/cms/case/86ec4c23-2d4f-483b-a90f-e8d1c0dd327b/docketentrydocuments/2eebded0-ac17-44f6-b7b0-e4970dae5111" TargetMode="External"/><Relationship Id="rId87" Type="http://schemas.openxmlformats.org/officeDocument/2006/relationships/hyperlink" Target="https://caselaw.findlaw.com/court/fl-district-court-of-appeal/2071581.html" TargetMode="External"/><Relationship Id="rId88" Type="http://schemas.openxmlformats.org/officeDocument/2006/relationships/hyperlink" Target="https://acis-api.flcourts.gov/courts/8f454fb9-4c7f-43df-856b-ab373e71c27f/cms/case/86ec4c23-2d4f-483b-a90f-e8d1c0dd327b/docketentrydocuments/2eebded0-ac17-44f6-b7b0-e4970dae5111" TargetMode="External"/><Relationship Id="rId89" Type="http://schemas.openxmlformats.org/officeDocument/2006/relationships/hyperlink" Target="https://caselaw.findlaw.com/court/fl-district-court-of-appeal/2071581.html" TargetMode="External"/><Relationship Id="rId90" Type="http://schemas.openxmlformats.org/officeDocument/2006/relationships/hyperlink" Target="https://caselaw.findlaw.com/court/fl-district-court-of-appeal/2071581.html" TargetMode="External"/><Relationship Id="rId91" Type="http://schemas.openxmlformats.org/officeDocument/2006/relationships/hyperlink" Target="https://caselaw.findlaw.com/court/fl-district-court-of-appeal/2071581.html" TargetMode="External"/><Relationship Id="rId92" Type="http://schemas.openxmlformats.org/officeDocument/2006/relationships/hyperlink" Target="https://caselaw.findlaw.com/court/fl-district-court-of-appeal/2071581.html" TargetMode="External"/><Relationship Id="rId93" Type="http://schemas.openxmlformats.org/officeDocument/2006/relationships/hyperlink" Target="https://caselaw.findlaw.com/court/fl-district-court-of-appeal/2071581.html" TargetMode="External"/><Relationship Id="rId94" Type="http://schemas.openxmlformats.org/officeDocument/2006/relationships/hyperlink" Target="https://caselaw.findlaw.com/court/fl-district-court-of-appeal/2071581.html" TargetMode="External"/><Relationship Id="rId95" Type="http://schemas.openxmlformats.org/officeDocument/2006/relationships/hyperlink" Target="https://caselaw.findlaw.com/court/fl-district-court-of-appeal/2071581.html" TargetMode="External"/><Relationship Id="rId96" Type="http://schemas.openxmlformats.org/officeDocument/2006/relationships/hyperlink" Target="https://caselaw.findlaw.com/court/fl-district-court-of-appeal/2071581.html" TargetMode="External"/><Relationship Id="rId97" Type="http://schemas.openxmlformats.org/officeDocument/2006/relationships/hyperlink" Target="https://caselaw.findlaw.com/court/fl-district-court-of-appeal/2071581.html" TargetMode="External"/><Relationship Id="rId98" Type="http://schemas.openxmlformats.org/officeDocument/2006/relationships/hyperlink" Target="https://caselaw.findlaw.com/court/fl-district-court-of-appeal/2071581.html" TargetMode="External"/><Relationship Id="rId99" Type="http://schemas.openxmlformats.org/officeDocument/2006/relationships/hyperlink" Target="https://kpsds.com/construction-law/does-landlords-filing-of-notice-of-commencement-give-contractor-hired-by-tenant-the-right-to-lien-landlords-property" TargetMode="External"/><Relationship Id="rId100" Type="http://schemas.openxmlformats.org/officeDocument/2006/relationships/hyperlink" Target="https://kpsds.com/construction-law/does-landlords-filing-of-notice-of-commencement-give-contractor-hired-by-tenant-the-right-to-lien-landlords-property" TargetMode="External"/><Relationship Id="rId101" Type="http://schemas.openxmlformats.org/officeDocument/2006/relationships/hyperlink" Target="https://kpsds.com/construction-law/does-landlords-filing-of-notice-of-commencement-give-contractor-hired-by-tenant-the-right-to-lien-landlords-property" TargetMode="External"/><Relationship Id="rId102" Type="http://schemas.openxmlformats.org/officeDocument/2006/relationships/hyperlink" Target="https://kpsds.com/construction-law/does-landlords-filing-of-notice-of-commencement-give-contractor-hired-by-tenant-the-right-to-lien-landlords-property" TargetMode="External"/><Relationship Id="rId103" Type="http://schemas.openxmlformats.org/officeDocument/2006/relationships/hyperlink" Target="https://kpsds.com/construction-law/does-landlords-filing-of-notice-of-commencement-give-contractor-hired-by-tenant-the-right-to-lien-landlords-property" TargetMode="External"/><Relationship Id="rId104" Type="http://schemas.openxmlformats.org/officeDocument/2006/relationships/hyperlink" Target="https://kpsds.com/construction-law/does-landlords-filing-of-notice-of-commencement-give-contractor-hired-by-tenant-the-right-to-lien-landlords-property" TargetMode="External"/><Relationship Id="rId105" Type="http://schemas.openxmlformats.org/officeDocument/2006/relationships/hyperlink" Target="https://kpsds.com/construction-law/does-landlords-filing-of-notice-of-commencement-give-contractor-hired-by-tenant-the-right-to-lien-landlords-property" TargetMode="External"/><Relationship Id="rId106" Type="http://schemas.openxmlformats.org/officeDocument/2006/relationships/hyperlink" Target="https://kpsds.com/construction-law/does-landlords-filing-of-notice-of-commencement-give-contractor-hired-by-tenant-the-right-to-lien-landlords-property" TargetMode="External"/><Relationship Id="rId107" Type="http://schemas.openxmlformats.org/officeDocument/2006/relationships/hyperlink" Target="https://kpsds.com/construction-law/does-landlords-filing-of-notice-of-commencement-give-contractor-hired-by-tenant-the-right-to-lien-landlords-property" TargetMode="External"/><Relationship Id="rId108" Type="http://schemas.openxmlformats.org/officeDocument/2006/relationships/hyperlink" Target="https://caselaw.findlaw.com/fl-district-court-of-appeal/1586479.html" TargetMode="External"/><Relationship Id="rId109" Type="http://schemas.openxmlformats.org/officeDocument/2006/relationships/hyperlink" Target="https://caselaw.findlaw.com/fl-district-court-of-appeal/1586479.html" TargetMode="External"/><Relationship Id="rId110" Type="http://schemas.openxmlformats.org/officeDocument/2006/relationships/hyperlink" Target="https://caselaw.findlaw.com/fl-district-court-of-appeal/1586479.html" TargetMode="External"/><Relationship Id="rId111" Type="http://schemas.openxmlformats.org/officeDocument/2006/relationships/hyperlink" Target="https://caselaw.findlaw.com/fl-district-court-of-appeal/1586479.html" TargetMode="External"/><Relationship Id="rId112" Type="http://schemas.openxmlformats.org/officeDocument/2006/relationships/hyperlink" Target="https://caselaw.findlaw.com/fl-district-court-of-appeal/1586479.html" TargetMode="External"/><Relationship Id="rId113" Type="http://schemas.openxmlformats.org/officeDocument/2006/relationships/hyperlink" Target="https://caselaw.findlaw.com/fl-district-court-of-appeal/1586479.html" TargetMode="External"/><Relationship Id="rId114" Type="http://schemas.openxmlformats.org/officeDocument/2006/relationships/hyperlink" Target="https://caselaw.findlaw.com/fl-district-court-of-appeal/1586479.html" TargetMode="External"/><Relationship Id="rId115" Type="http://schemas.openxmlformats.org/officeDocument/2006/relationships/hyperlink" Target="https://caselaw.findlaw.com/fl-district-court-of-appeal/1586479.html" TargetMode="External"/><Relationship Id="rId116" Type="http://schemas.openxmlformats.org/officeDocument/2006/relationships/hyperlink" Target="https://caselaw.findlaw.com/fl-district-court-of-appeal/1586479.html" TargetMode="External"/><Relationship Id="rId117" Type="http://schemas.openxmlformats.org/officeDocument/2006/relationships/hyperlink" Target="https://caselaw.findlaw.com/fl-district-court-of-appeal/1586479.html" TargetMode="External"/><Relationship Id="rId118" Type="http://schemas.openxmlformats.org/officeDocument/2006/relationships/hyperlink" Target="https://caselaw.findlaw.com/fl-district-court-of-appeal/1586479.html" TargetMode="External"/><Relationship Id="rId119" Type="http://schemas.openxmlformats.org/officeDocument/2006/relationships/hyperlink" Target="https://caselaw.findlaw.com/fl-district-court-of-appeal/1586479.html" TargetMode="External"/><Relationship Id="rId120" Type="http://schemas.openxmlformats.org/officeDocument/2006/relationships/hyperlink" Target="https://caselaw.findlaw.com/fl-district-court-of-appeal/1586479.html" TargetMode="External"/><Relationship Id="rId121" Type="http://schemas.openxmlformats.org/officeDocument/2006/relationships/hyperlink" Target="https://kpsds.com/construction-law/does-landlords-filing-of-notice-of-commencement-give-contractor-hired-by-tenant-the-right-to-lien-landlords-property" TargetMode="External"/><Relationship Id="rId122" Type="http://schemas.openxmlformats.org/officeDocument/2006/relationships/hyperlink" Target="https://caselaw.findlaw.com/fl-district-court-of-appeal/1586479.html" TargetMode="External"/><Relationship Id="rId123" Type="http://schemas.openxmlformats.org/officeDocument/2006/relationships/hyperlink" Target="https://caselaw.findlaw.com/fl-district-court-of-appeal/1586479.html" TargetMode="External"/><Relationship Id="rId124" Type="http://schemas.openxmlformats.org/officeDocument/2006/relationships/hyperlink" Target="https://caselaw.findlaw.com/fl-district-court-of-appeal/1586479.html" TargetMode="External"/><Relationship Id="rId125" Type="http://schemas.openxmlformats.org/officeDocument/2006/relationships/hyperlink" Target="https://caselaw.findlaw.com/fl-district-court-of-appeal/1586479.html" TargetMode="External"/><Relationship Id="rId126" Type="http://schemas.openxmlformats.org/officeDocument/2006/relationships/hyperlink" Target="https://caselaw.findlaw.com/fl-district-court-of-appeal/1586479.html" TargetMode="External"/><Relationship Id="rId127" Type="http://schemas.openxmlformats.org/officeDocument/2006/relationships/hyperlink" Target="https://caselaw.findlaw.com/fl-district-court-of-appeal/1586479.html" TargetMode="External"/><Relationship Id="rId128" Type="http://schemas.openxmlformats.org/officeDocument/2006/relationships/hyperlink" Target="https://kpsds.com/construction-law/does-landlords-filing-of-notice-of-commencement-give-contractor-hired-by-tenant-the-right-to-lien-landlords-property" TargetMode="External"/><Relationship Id="rId129" Type="http://schemas.openxmlformats.org/officeDocument/2006/relationships/hyperlink" Target="https://caselaw.findlaw.com/fl-district-court-of-appeal/1586479.html" TargetMode="External"/><Relationship Id="rId130" Type="http://schemas.openxmlformats.org/officeDocument/2006/relationships/hyperlink" Target="https://caselaw.findlaw.com/court/fl-district-court-of-appeal/2071581.html" TargetMode="External"/><Relationship Id="rId131" Type="http://schemas.openxmlformats.org/officeDocument/2006/relationships/hyperlink" Target="https://caselaw.findlaw.com/court/fl-district-court-of-appeal/2071581.html" TargetMode="External"/><Relationship Id="rId132" Type="http://schemas.openxmlformats.org/officeDocument/2006/relationships/hyperlink" Target="https://caselaw.findlaw.com/court/fl-district-court-of-appeal/2071581.html" TargetMode="External"/><Relationship Id="rId133" Type="http://schemas.openxmlformats.org/officeDocument/2006/relationships/hyperlink" Target="https://caselaw.findlaw.com/court/fl-district-court-of-appeal/2071581.html" TargetMode="External"/><Relationship Id="rId134" Type="http://schemas.openxmlformats.org/officeDocument/2006/relationships/hyperlink" Target="https://caselaw.findlaw.com/court/fl-district-court-of-appeal/2071581.html" TargetMode="External"/><Relationship Id="rId135" Type="http://schemas.openxmlformats.org/officeDocument/2006/relationships/hyperlink" Target="https://caselaw.findlaw.com/court/fl-district-court-of-appeal/2071581.html" TargetMode="External"/><Relationship Id="rId136" Type="http://schemas.openxmlformats.org/officeDocument/2006/relationships/hyperlink" Target="https://caselaw.findlaw.com/court/fl-district-court-of-appeal/2071581.html" TargetMode="External"/><Relationship Id="rId137" Type="http://schemas.openxmlformats.org/officeDocument/2006/relationships/hyperlink" Target="https://caselaw.findlaw.com/court/fl-district-court-of-appeal/2071581.html" TargetMode="External"/><Relationship Id="rId138" Type="http://schemas.openxmlformats.org/officeDocument/2006/relationships/hyperlink" Target="https://caselaw.findlaw.com/court/fl-district-court-of-appeal/2071581.html" TargetMode="External"/><Relationship Id="rId139" Type="http://schemas.openxmlformats.org/officeDocument/2006/relationships/hyperlink" Target="https://caselaw.findlaw.com/court/fl-district-court-of-appeal/2071581.html" TargetMode="External"/><Relationship Id="rId140" Type="http://schemas.openxmlformats.org/officeDocument/2006/relationships/hyperlink" Target="https://caselaw.findlaw.com/court/fl-district-court-of-appeal/2071581.html" TargetMode="External"/><Relationship Id="rId141" Type="http://schemas.openxmlformats.org/officeDocument/2006/relationships/hyperlink" Target="https://caselaw.findlaw.com/court/fl-district-court-of-appeal/2071581.html" TargetMode="External"/><Relationship Id="rId142" Type="http://schemas.openxmlformats.org/officeDocument/2006/relationships/hyperlink" Target="https://caselaw.findlaw.com/court/fl-district-court-of-appeal/2071581.html" TargetMode="External"/><Relationship Id="rId143" Type="http://schemas.openxmlformats.org/officeDocument/2006/relationships/hyperlink" Target="https://acis-api.flcourts.gov/courts/8f454fb9-4c7f-43df-856b-ab373e71c27f/cms/case/86ec4c23-2d4f-483b-a90f-e8d1c0dd327b/docketentrydocuments/2eebded0-ac17-44f6-b7b0-e4970dae5111" TargetMode="External"/><Relationship Id="rId144" Type="http://schemas.openxmlformats.org/officeDocument/2006/relationships/hyperlink" Target="https://acis-api.flcourts.gov/courts/8f454fb9-4c7f-43df-856b-ab373e71c27f/cms/case/86ec4c23-2d4f-483b-a90f-e8d1c0dd327b/docketentrydocuments/2eebded0-ac17-44f6-b7b0-e4970dae5111" TargetMode="External"/><Relationship Id="rId145" Type="http://schemas.openxmlformats.org/officeDocument/2006/relationships/hyperlink" Target="https://caselaw.findlaw.com/court/fl-district-court-of-appeal/2071581.html" TargetMode="External"/><Relationship Id="rId146" Type="http://schemas.openxmlformats.org/officeDocument/2006/relationships/hyperlink" Target="https://caselaw.findlaw.com/court/fl-district-court-of-appeal/2071581.html" TargetMode="External"/><Relationship Id="rId147" Type="http://schemas.openxmlformats.org/officeDocument/2006/relationships/hyperlink" Target="https://caselaw.findlaw.com/court/fl-district-court-of-appeal/2071581.html" TargetMode="External"/><Relationship Id="rId148" Type="http://schemas.openxmlformats.org/officeDocument/2006/relationships/hyperlink" Target="https://caselaw.findlaw.com/court/fl-district-court-of-appeal/2071581.html" TargetMode="External"/><Relationship Id="rId149" Type="http://schemas.openxmlformats.org/officeDocument/2006/relationships/hyperlink" Target="https://kpsds.com/construction-law/does-landlords-filing-of-notice-of-commencement-give-contractor-hired-by-tenant-the-right-to-lien-landlords-property" TargetMode="External"/><Relationship Id="rId150" Type="http://schemas.openxmlformats.org/officeDocument/2006/relationships/hyperlink" Target="https://caselaw.findlaw.com/fl-district-court-of-appeal/1586479.html" TargetMode="External"/><Relationship Id="rId151" Type="http://schemas.openxmlformats.org/officeDocument/2006/relationships/hyperlink" Target="https://caselaw.findlaw.com/fl-district-court-of-appeal/1586479.html" TargetMode="External"/><Relationship Id="rId152" Type="http://schemas.openxmlformats.org/officeDocument/2006/relationships/hyperlink" Target="https://kpsds.com/construction-law/does-landlords-filing-of-notice-of-commencement-give-contractor-hired-by-tenant-the-right-to-lien-landlords-property" TargetMode="External"/><Relationship Id="rId153" Type="http://schemas.openxmlformats.org/officeDocument/2006/relationships/hyperlink" Target="https://acis-api.flcourts.gov/courts/8f454fb9-4c7f-43df-856b-ab373e71c27f/cms/case/86ec4c23-2d4f-483b-a90f-e8d1c0dd327b/docketentrydocuments/2eebded0-ac17-44f6-b7b0-e4970dae5111" TargetMode="External"/><Relationship Id="rId154" Type="http://schemas.openxmlformats.org/officeDocument/2006/relationships/hyperlink" Target="https://caselaw.findlaw.com/court/fl-district-court-of-appeal/2071581.html" TargetMode="External"/><Relationship Id="rId155" Type="http://schemas.openxmlformats.org/officeDocument/2006/relationships/hyperlink" Target="https://caselaw.findlaw.com/court/fl-district-court-of-appeal/2071581.html" TargetMode="External"/><Relationship Id="rId156" Type="http://schemas.openxmlformats.org/officeDocument/2006/relationships/hyperlink" Target="https://www.taylordaylaw.com/2024/10/notices-of-commencement-for-florida-construction-jobs/" TargetMode="External"/><Relationship Id="rId157" Type="http://schemas.openxmlformats.org/officeDocument/2006/relationships/hyperlink" Target="https://caselaw.findlaw.com/court/fl-district-court-of-appeal/2071581.html" TargetMode="External"/><Relationship Id="rId158" Type="http://schemas.openxmlformats.org/officeDocument/2006/relationships/hyperlink" Target="https://caselaw.findlaw.com/court/fl-district-court-of-appeal/2071581.html" TargetMode="External"/><Relationship Id="rId159" Type="http://schemas.openxmlformats.org/officeDocument/2006/relationships/hyperlink" Target="https://caselaw.findlaw.com/court/fl-district-court-of-appeal/2071581.html" TargetMode="External"/><Relationship Id="rId160" Type="http://schemas.openxmlformats.org/officeDocument/2006/relationships/hyperlink" Target="https://caselaw.findlaw.com/court/fl-district-court-of-appeal/2071581.html" TargetMode="External"/><Relationship Id="rId161" Type="http://schemas.openxmlformats.org/officeDocument/2006/relationships/hyperlink" Target="https://caselaw.findlaw.com/court/fl-district-court-of-appeal/2071581.html" TargetMode="External"/><Relationship Id="rId162" Type="http://schemas.openxmlformats.org/officeDocument/2006/relationships/hyperlink" Target="https://caselaw.findlaw.com/court/fl-district-court-of-appeal/2071581.html" TargetMode="External"/><Relationship Id="rId163" Type="http://schemas.openxmlformats.org/officeDocument/2006/relationships/hyperlink" Target="https://caselaw.findlaw.com/court/fl-district-court-of-appeal/2071581.html" TargetMode="External"/><Relationship Id="rId164" Type="http://schemas.openxmlformats.org/officeDocument/2006/relationships/hyperlink" Target="https://caselaw.findlaw.com/court/fl-district-court-of-appeal/2071581.html" TargetMode="External"/><Relationship Id="rId165" Type="http://schemas.openxmlformats.org/officeDocument/2006/relationships/hyperlink" Target="https://acis-api.flcourts.gov/courts/8f454fb9-4c7f-43df-856b-ab373e71c27f/cms/case/86ec4c23-2d4f-483b-a90f-e8d1c0dd327b/docketentrydocuments/2eebded0-ac17-44f6-b7b0-e4970dae5111" TargetMode="External"/><Relationship Id="rId166" Type="http://schemas.openxmlformats.org/officeDocument/2006/relationships/hyperlink" Target="https://caselaw.findlaw.com/court/fl-district-court-of-appeal/2071581.html" TargetMode="External"/><Relationship Id="rId167" Type="http://schemas.openxmlformats.org/officeDocument/2006/relationships/hyperlink" Target="https://acis-api.flcourts.gov/courts/8f454fb9-4c7f-43df-856b-ab373e71c27f/cms/case/86ec4c23-2d4f-483b-a90f-e8d1c0dd327b/docketentrydocuments/2eebded0-ac17-44f6-b7b0-e4970dae5111" TargetMode="External"/><Relationship Id="rId168" Type="http://schemas.openxmlformats.org/officeDocument/2006/relationships/hyperlink" Target="https://caselaw.findlaw.com/court/fl-district-court-of-appeal/2071581.html" TargetMode="External"/><Relationship Id="rId169" Type="http://schemas.openxmlformats.org/officeDocument/2006/relationships/hyperlink" Target="https://caselaw.findlaw.com/court/fl-district-court-of-appeal/2071581.html" TargetMode="External"/><Relationship Id="rId170" Type="http://schemas.openxmlformats.org/officeDocument/2006/relationships/hyperlink" Target="https://caselaw.findlaw.com/court/fl-district-court-of-appeal/2071581.html" TargetMode="External"/><Relationship Id="rId171" Type="http://schemas.openxmlformats.org/officeDocument/2006/relationships/hyperlink" Target="https://caselaw.findlaw.com/court/fl-district-court-of-appeal/2071581.html" TargetMode="External"/><Relationship Id="rId172" Type="http://schemas.openxmlformats.org/officeDocument/2006/relationships/hyperlink" Target="https://caselaw.findlaw.com/court/fl-district-court-of-appeal/2071581.html" TargetMode="External"/><Relationship Id="rId173" Type="http://schemas.openxmlformats.org/officeDocument/2006/relationships/hyperlink" Target="https://caselaw.findlaw.com/court/fl-district-court-of-appeal/2071581.html" TargetMode="External"/><Relationship Id="rId174" Type="http://schemas.openxmlformats.org/officeDocument/2006/relationships/hyperlink" Target="https://caselaw.findlaw.com/court/fl-district-court-of-appeal/2071581.html" TargetMode="External"/><Relationship Id="rId175" Type="http://schemas.openxmlformats.org/officeDocument/2006/relationships/hyperlink" Target="https://caselaw.findlaw.com/court/fl-district-court-of-appeal/2071581.html" TargetMode="External"/><Relationship Id="rId176" Type="http://schemas.openxmlformats.org/officeDocument/2006/relationships/hyperlink" Target="https://caselaw.findlaw.com/court/fl-district-court-of-appeal/2071581.html" TargetMode="External"/><Relationship Id="rId177" Type="http://schemas.openxmlformats.org/officeDocument/2006/relationships/hyperlink" Target="https://caselaw.findlaw.com/court/fl-district-court-of-appeal/2071581.html" TargetMode="External"/><Relationship Id="rId178" Type="http://schemas.openxmlformats.org/officeDocument/2006/relationships/hyperlink" Target="https://www.floridabar.org/the-florida-bar-journal/statutes-affecting-florida-construction/" TargetMode="External"/><Relationship Id="rId179" Type="http://schemas.openxmlformats.org/officeDocument/2006/relationships/hyperlink" Target="https://www.flsenate.gov/Session/Bill/2023/797/Analyses/h0797a.CJS.PDF" TargetMode="External"/><Relationship Id="rId180" Type="http://schemas.openxmlformats.org/officeDocument/2006/relationships/hyperlink" Target="https://syfert.com/florida/statutes/0713.13.html" TargetMode="External"/><Relationship Id="rId181" Type="http://schemas.openxmlformats.org/officeDocument/2006/relationships/hyperlink" Target="https://syfert.com/florida/statutes/0713.13.html" TargetMode="External"/><Relationship Id="rId182" Type="http://schemas.openxmlformats.org/officeDocument/2006/relationships/hyperlink" Target="https://www.taylordaylaw.com/2024/10/notices-of-commencement-for-florida-construction-jobs/" TargetMode="External"/><Relationship Id="rId183" Type="http://schemas.openxmlformats.org/officeDocument/2006/relationships/hyperlink" Target="https://www.taylordaylaw.com/2024/10/notices-of-commencement-for-florida-construction-jobs/" TargetMode="External"/><Relationship Id="rId184" Type="http://schemas.openxmlformats.org/officeDocument/2006/relationships/hyperlink" Target="https://acis-api.flcourts.gov/courts/8f454fb9-4c7f-43df-856b-ab373e71c27f/cms/case/86ec4c23-2d4f-483b-a90f-e8d1c0dd327b/docketentrydocuments/2eebded0-ac17-44f6-b7b0-e4970dae5111" TargetMode="External"/><Relationship Id="rId185" Type="http://schemas.openxmlformats.org/officeDocument/2006/relationships/hyperlink" Target="https://caselaw.findlaw.com/court/fl-district-court-of-appeal/2071581.html" TargetMode="External"/><Relationship Id="rId186" Type="http://schemas.openxmlformats.org/officeDocument/2006/relationships/hyperlink" Target="https://caselaw.findlaw.com/court/fl-district-court-of-appeal/2071581.html" TargetMode="External"/><Relationship Id="rId187" Type="http://schemas.openxmlformats.org/officeDocument/2006/relationships/hyperlink" Target="https://www.flsenate.gov/Session/Bill/2023/797/Analyses/h0797a.CJS.PDF" TargetMode="External"/><Relationship Id="rId188" Type="http://schemas.openxmlformats.org/officeDocument/2006/relationships/hyperlink" Target="https://www.flsenate.gov/Session/Bill/2023/797/Analyses/h0797a.CJS.PDF" TargetMode="External"/><Relationship Id="rId189" Type="http://schemas.openxmlformats.org/officeDocument/2006/relationships/hyperlink" Target="https://caselaw.findlaw.com/court/fl-district-court-of-appeal/2071581.html" TargetMode="External"/><Relationship Id="rId190" Type="http://schemas.openxmlformats.org/officeDocument/2006/relationships/hyperlink" Target="https://caselaw.findlaw.com/court/fl-district-court-of-appeal/2071581.html" TargetMode="External"/><Relationship Id="rId191" Type="http://schemas.openxmlformats.org/officeDocument/2006/relationships/hyperlink" Target="https://caselaw.findlaw.com/court/fl-district-court-of-appeal/2071581.html" TargetMode="External"/><Relationship Id="rId192" Type="http://schemas.openxmlformats.org/officeDocument/2006/relationships/hyperlink" Target="https://www.taylordaylaw.com/2024/10/notices-of-commencement-for-florida-construction-jobs/" TargetMode="External"/><Relationship Id="rId193" Type="http://schemas.openxmlformats.org/officeDocument/2006/relationships/hyperlink" Target="https://www.taylordaylaw.com/2024/10/notices-of-commencement-for-florida-construction-jobs/" TargetMode="External"/><Relationship Id="rId194" Type="http://schemas.openxmlformats.org/officeDocument/2006/relationships/hyperlink" Target="https://syfert.com/florida/statutes/0713.13.html" TargetMode="External"/><Relationship Id="rId195" Type="http://schemas.openxmlformats.org/officeDocument/2006/relationships/hyperlink" Target="https://syfert.com/florida/statutes/0713.13.html" TargetMode="External"/><Relationship Id="rId196" Type="http://schemas.openxmlformats.org/officeDocument/2006/relationships/hyperlink" Target="https://syfert.com/florida/statutes/0713.13.html" TargetMode="External"/><Relationship Id="rId197" Type="http://schemas.openxmlformats.org/officeDocument/2006/relationships/hyperlink" Target="https://syfert.com/florida/statutes/0713.13.html" TargetMode="External"/><Relationship Id="rId198" Type="http://schemas.openxmlformats.org/officeDocument/2006/relationships/hyperlink" Target="https://syfert.com/florida/statutes/0713.13.html" TargetMode="External"/><Relationship Id="rId199" Type="http://schemas.openxmlformats.org/officeDocument/2006/relationships/hyperlink" Target="https://syfert.com/florida/statutes/0713.13.html" TargetMode="External"/><Relationship Id="rId200" Type="http://schemas.openxmlformats.org/officeDocument/2006/relationships/hyperlink" Target="https://www.flsenate.gov/Session/Bill/2023/797/Analyses/h0797a.CJS.PDF" TargetMode="External"/><Relationship Id="rId201" Type="http://schemas.openxmlformats.org/officeDocument/2006/relationships/hyperlink" Target="https://syfert.com/florida/statutes/0713.13.html" TargetMode="External"/><Relationship Id="rId202" Type="http://schemas.openxmlformats.org/officeDocument/2006/relationships/hyperlink" Target="https://syfert.com/florida/statutes/0713.13.html" TargetMode="External"/><Relationship Id="rId203" Type="http://schemas.openxmlformats.org/officeDocument/2006/relationships/hyperlink" Target="https://syfert.com/florida/statutes/0713.13.html" TargetMode="External"/><Relationship Id="rId204" Type="http://schemas.openxmlformats.org/officeDocument/2006/relationships/hyperlink" Target="https://syfert.com/florida/statutes/0713.13.html" TargetMode="External"/><Relationship Id="rId205" Type="http://schemas.openxmlformats.org/officeDocument/2006/relationships/hyperlink" Target="https://caselaw.findlaw.com/fl-district-court-of-appeal/1586479.html" TargetMode="External"/><Relationship Id="rId206" Type="http://schemas.openxmlformats.org/officeDocument/2006/relationships/hyperlink" Target="https://kpsds.com/construction-law/does-landlords-filing-of-notice-of-commencement-give-contractor-hired-by-tenant-the-right-to-lien-landlords-property" TargetMode="External"/><Relationship Id="rId207" Type="http://schemas.openxmlformats.org/officeDocument/2006/relationships/hyperlink" Target="https://caselaw.findlaw.com/fl-district-court-of-appeal/1586479.html" TargetMode="External"/><Relationship Id="rId208" Type="http://schemas.openxmlformats.org/officeDocument/2006/relationships/hyperlink" Target="https://kpsds.com/construction-law/does-landlords-filing-of-notice-of-commencement-give-contractor-hired-by-tenant-the-right-to-lien-landlords-property" TargetMode="External"/><Relationship Id="rId209" Type="http://schemas.openxmlformats.org/officeDocument/2006/relationships/hyperlink" Target="https://caselaw.findlaw.com/court/fl-district-court-of-appeal/2071581.html" TargetMode="External"/><Relationship Id="rId210" Type="http://schemas.openxmlformats.org/officeDocument/2006/relationships/hyperlink" Target="https://caselaw.findlaw.com/court/fl-district-court-of-appeal/2071581.html" TargetMode="External"/><Relationship Id="rId211" Type="http://schemas.openxmlformats.org/officeDocument/2006/relationships/hyperlink" Target="https://acis-api.flcourts.gov/courts/8f454fb9-4c7f-43df-856b-ab373e71c27f/cms/case/86ec4c23-2d4f-483b-a90f-e8d1c0dd327b/docketentrydocuments/2eebded0-ac17-44f6-b7b0-e4970dae5111" TargetMode="External"/><Relationship Id="rId212" Type="http://schemas.openxmlformats.org/officeDocument/2006/relationships/hyperlink" Target="https://caselaw.findlaw.com/court/fl-district-court-of-appeal/2071581.html" TargetMode="External"/><Relationship Id="rId213" Type="http://schemas.openxmlformats.org/officeDocument/2006/relationships/hyperlink" Target="https://caselaw.findlaw.com/court/fl-district-court-of-appeal/2071581.html" TargetMode="External"/><Relationship Id="rId214" Type="http://schemas.openxmlformats.org/officeDocument/2006/relationships/hyperlink" Target="https://caselaw.findlaw.com/court/fl-district-court-of-appeal/2071581.html" TargetMode="External"/><Relationship Id="rId215" Type="http://schemas.openxmlformats.org/officeDocument/2006/relationships/hyperlink" Target="https://caselaw.findlaw.com/court/fl-district-court-of-appeal/2071581.html" TargetMode="External"/><Relationship Id="rId216" Type="http://schemas.openxmlformats.org/officeDocument/2006/relationships/hyperlink" Target="https://caselaw.findlaw.com/court/fl-district-court-of-appeal/2071581.html" TargetMode="External"/><Relationship Id="rId217" Type="http://schemas.openxmlformats.org/officeDocument/2006/relationships/hyperlink" Target="https://caselaw.findlaw.com/court/fl-district-court-of-appeal/2071581.html" TargetMode="External"/><Relationship Id="rId218" Type="http://schemas.openxmlformats.org/officeDocument/2006/relationships/hyperlink" Target="https://syfert.com/florida/statutes/0713.13.html" TargetMode="External"/><Relationship Id="rId219" Type="http://schemas.openxmlformats.org/officeDocument/2006/relationships/hyperlink" Target="https://syfert.com/florida/statutes/0713.13.html" TargetMode="External"/><Relationship Id="rId220" Type="http://schemas.openxmlformats.org/officeDocument/2006/relationships/hyperlink" Target="https://caselaw.findlaw.com/court/fl-district-court-of-appeal/2071581.html" TargetMode="External"/><Relationship Id="rId221" Type="http://schemas.openxmlformats.org/officeDocument/2006/relationships/hyperlink" Target="https://acis-api.flcourts.gov/courts/8f454fb9-4c7f-43df-856b-ab373e71c27f/cms/case/86ec4c23-2d4f-483b-a90f-e8d1c0dd327b/docketentrydocuments/2eebded0-ac17-44f6-b7b0-e4970dae5111" TargetMode="External"/><Relationship Id="rId222" Type="http://schemas.openxmlformats.org/officeDocument/2006/relationships/hyperlink" Target="https://caselaw.findlaw.com/court/fl-district-court-of-appeal/2071581.html" TargetMode="External"/><Relationship Id="rId223" Type="http://schemas.openxmlformats.org/officeDocument/2006/relationships/hyperlink" Target="https://www.flsenate.gov/Session/Bill/2023/797/Analyses/h0797a.CJS.PDF" TargetMode="External"/><Relationship Id="rId224" Type="http://schemas.openxmlformats.org/officeDocument/2006/relationships/hyperlink" Target="https://www.flsenate.gov/Session/Bill/2023/797/Analyses/h0797a.CJS.PDF" TargetMode="External"/><Relationship Id="rId225" Type="http://schemas.openxmlformats.org/officeDocument/2006/relationships/hyperlink" Target="https://www.flsenate.gov/Session/Bill/2023/797/Analyses/h0797a.CJS.PDF" TargetMode="External"/><Relationship Id="rId226" Type="http://schemas.openxmlformats.org/officeDocument/2006/relationships/numbering" Target="numbering.xml"/><Relationship Id="rId227" Type="http://schemas.openxmlformats.org/officeDocument/2006/relationships/fontTable" Target="fontTable.xml"/><Relationship Id="rId228" Type="http://schemas.openxmlformats.org/officeDocument/2006/relationships/settings" Target="settings.xml"/><Relationship Id="rId2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LibreOffice/25.2.6.2$Windows_X86_64 LibreOffice_project/729c5bfe710f5eb71ed3bbde9e06a6065e9c6c5d</Application>
  <AppVersion>15.0000</AppVersion>
  <Pages>17</Pages>
  <Words>8255</Words>
  <Characters>46006</Characters>
  <CharactersWithSpaces>54139</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2025-11-30T21:35:10Z</dcterms:created>
  <dc:creator/>
  <dc:description/>
  <dc:language>en-US</dc:language>
  <cp:lastModifiedBy/>
  <dcterms:modified xsi:type="dcterms:W3CDTF">2025-11-30T21:41:35Z</dcterms:modified>
  <cp:revision>1</cp:revision>
  <dc:subject/>
  <dc:title/>
</cp:coreProperties>
</file>