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Florida’s Notice of Contest of Lien – Judicial Interpretation &amp; Pitfalls</w:t>
      </w:r>
    </w:p>
    <w:p>
      <w:pPr>
        <w:pStyle w:val="Heading2"/>
        <w:bidi w:val="0"/>
        <w:jc w:val="start"/>
        <w:rPr/>
      </w:pPr>
      <w:r>
        <w:rPr/>
        <w:t>Timeliness &amp; the 60-Day Foreclosure Trigger</w:t>
      </w:r>
    </w:p>
    <w:p>
      <w:pPr>
        <w:pStyle w:val="BodyText"/>
        <w:bidi w:val="0"/>
        <w:jc w:val="start"/>
        <w:rPr/>
      </w:pPr>
      <w:r>
        <w:rPr/>
        <w:t>Florida’s Construction Lien Law generally gives a lienor one year to file a foreclosure lawsuit on a recorded lien</w:t>
      </w:r>
      <w:hyperlink r:id="rId2" w:anchor=":~:text=An%20owner%20may%20%E2%80%9Cshorten%E2%80%9D%20the,The%20statute%20provides" w:tgtFrame="_blank">
        <w:r>
          <w:rPr>
            <w:rStyle w:val="Hyperlink"/>
          </w:rPr>
          <w:t>caselaw.findlaw.com</w:t>
        </w:r>
      </w:hyperlink>
      <w:r>
        <w:rPr/>
        <w:t xml:space="preserve">. A properly recorded </w:t>
      </w:r>
      <w:r>
        <w:rPr>
          <w:rStyle w:val="Strong"/>
        </w:rPr>
        <w:t>Notice of Contest of Lien</w:t>
      </w:r>
      <w:r>
        <w:rPr/>
        <w:t xml:space="preserve">, however, shortens that deadline to </w:t>
      </w:r>
      <w:r>
        <w:rPr>
          <w:rStyle w:val="Strong"/>
        </w:rPr>
        <w:t>60 days from service</w:t>
      </w:r>
      <w:r>
        <w:rPr/>
        <w:t xml:space="preserve"> of the notice</w:t>
      </w:r>
      <w:hyperlink r:id="rId3" w:anchor=":~:text=The%20lien%20of%20any%20lienor,notice%20shall%20be%20extinguished%20automatically" w:tgtFrame="_blank">
        <w:r>
          <w:rPr>
            <w:rStyle w:val="Hyperlink"/>
          </w:rPr>
          <w:t>caselaw.findlaw.com</w:t>
        </w:r>
      </w:hyperlink>
      <w:r>
        <w:rPr/>
        <w:t xml:space="preserve">. Courts strictly enforce this 60-day limitations period. If the lienor fails to </w:t>
      </w:r>
      <w:r>
        <w:rPr>
          <w:rStyle w:val="Strong"/>
        </w:rPr>
        <w:t>“institute a suit to enforce [the] lien within 60 days”</w:t>
      </w:r>
      <w:r>
        <w:rPr/>
        <w:t xml:space="preserve">, the lien </w:t>
      </w:r>
      <w:r>
        <w:rPr>
          <w:rStyle w:val="Strong"/>
        </w:rPr>
        <w:t>“shall be extinguished automatically”</w:t>
      </w:r>
      <w:r>
        <w:rPr/>
        <w:t xml:space="preserve"> by operation of law</w:t>
      </w:r>
      <w:hyperlink r:id="rId4" w:anchor=":~:text=to%20enforce%20a%20lien%20not,without%20intervention%20of%20the%20court%E2%80%9D" w:tgtFrame="_blank">
        <w:r>
          <w:rPr>
            <w:rStyle w:val="Hyperlink"/>
          </w:rPr>
          <w:t>caselaw.findlaw.com</w:t>
        </w:r>
      </w:hyperlink>
      <w:r>
        <w:rPr/>
        <w:t>. In other words, on the 60th day the lien is discharged without any court order needed</w:t>
      </w:r>
      <w:hyperlink r:id="rId5" w:anchor=":~:text=v,without%20intervention%20of%20the%20court%E2%80%9D" w:tgtFrame="_blank">
        <w:r>
          <w:rPr>
            <w:rStyle w:val="Hyperlink"/>
          </w:rPr>
          <w:t>caselaw.findlaw.com</w:t>
        </w:r>
      </w:hyperlink>
      <w:r>
        <w:rPr/>
        <w:t>.</w:t>
      </w:r>
    </w:p>
    <w:p>
      <w:pPr>
        <w:pStyle w:val="BodyText"/>
        <w:bidi w:val="0"/>
        <w:jc w:val="start"/>
        <w:rPr/>
      </w:pPr>
      <w:r>
        <w:rPr/>
        <w:t xml:space="preserve">Florida courts have been emphatic that </w:t>
      </w:r>
      <w:r>
        <w:rPr>
          <w:rStyle w:val="Strong"/>
        </w:rPr>
        <w:t>“when the Florida lien law says ‘60 days,’ it means 60 days.”</w:t>
      </w:r>
      <w:r>
        <w:rPr/>
        <w:t xml:space="preserve"> No extensions or equitable exceptions will save an untimely lien foreclosure. For example, in </w:t>
      </w:r>
      <w:r>
        <w:rPr>
          <w:rStyle w:val="Emphasis"/>
        </w:rPr>
        <w:t>Rabil v. Seaside Builders</w:t>
      </w:r>
      <w:r>
        <w:rPr/>
        <w:t>, a contractor did not sue the bond surety within 60 days after the owners contested the lien, and thus “the lien was automatically extinguished by operation of law” on day 60</w:t>
      </w:r>
      <w:hyperlink r:id="rId6" w:anchor=":~:text=The%20legislature%20has%20provided%20a,LLC%2C%2084" w:tgtFrame="_blank">
        <w:r>
          <w:rPr>
            <w:rStyle w:val="Hyperlink"/>
          </w:rPr>
          <w:t>caselaw.findlaw.com</w:t>
        </w:r>
      </w:hyperlink>
      <w:r>
        <w:rPr/>
        <w:t>. The clerk of court was obligated to release the lien transfer bond in that case, confirming that expiration of the 60 days terminates the lien rights as a matter of law</w:t>
      </w:r>
      <w:hyperlink r:id="rId7" w:anchor=":~:text=The%20legislature%20has%20provided%20a,LLC%2C%2084" w:tgtFrame="_blank">
        <w:r>
          <w:rPr>
            <w:rStyle w:val="Hyperlink"/>
          </w:rPr>
          <w:t>caselaw.findlaw.com</w:t>
        </w:r>
      </w:hyperlink>
      <w:r>
        <w:rPr/>
        <w:t xml:space="preserve">. Florida’s lien deadlines are considered part of the lien right itself – if the time elapses, the lien right </w:t>
      </w:r>
      <w:r>
        <w:rPr>
          <w:rStyle w:val="Strong"/>
        </w:rPr>
        <w:t>“becomes extinguished and is gone forever”</w:t>
      </w:r>
      <w:hyperlink r:id="rId8" w:anchor=":~:text=the%20transfer%20results%20in%20the,%E2%80%9D" w:tgtFrame="_blank">
        <w:r>
          <w:rPr>
            <w:rStyle w:val="Hyperlink"/>
          </w:rPr>
          <w:t>caselaw.findlaw.com</w:t>
        </w:r>
      </w:hyperlink>
      <w:r>
        <w:rPr/>
        <w:t>. This strict approach serves the statutory purpose of giving owners, buyers, and lenders certainty that lien claims will be resolved or expire by a date certain</w:t>
      </w:r>
      <w:hyperlink r:id="rId9" w:anchor=":~:text=,is%20of%20course%20allowable%2C%20but" w:tgtFrame="_blank">
        <w:r>
          <w:rPr>
            <w:rStyle w:val="Hyperlink"/>
          </w:rPr>
          <w:t>caselaw.findlaw.com</w:t>
        </w:r>
      </w:hyperlink>
      <w:hyperlink r:id="rId10" w:anchor=":~:text=,file%20the%20lien%20or%20suit" w:tgtFrame="_blank">
        <w:r>
          <w:rPr>
            <w:rStyle w:val="Hyperlink"/>
          </w:rPr>
          <w:t>linkedin.com</w:t>
        </w:r>
      </w:hyperlink>
      <w:r>
        <w:rPr/>
        <w:t>.</w:t>
      </w:r>
    </w:p>
    <w:p>
      <w:pPr>
        <w:pStyle w:val="BodyText"/>
        <w:bidi w:val="0"/>
        <w:jc w:val="start"/>
        <w:rPr/>
      </w:pPr>
      <w:r>
        <w:rPr>
          <w:rStyle w:val="Strong"/>
        </w:rPr>
        <w:t>Computing the 60 days:</w:t>
      </w:r>
      <w:r>
        <w:rPr/>
        <w:t xml:space="preserve"> The 60-day clock starts on the day </w:t>
      </w:r>
      <w:r>
        <w:rPr>
          <w:rStyle w:val="Strong"/>
        </w:rPr>
        <w:t>after</w:t>
      </w:r>
      <w:r>
        <w:rPr/>
        <w:t xml:space="preserve"> the Notice of Contest is served on the lienor (the service date is excluded) and includes the last day of the period</w:t>
      </w:r>
      <w:hyperlink r:id="rId11" w:anchor=":~:text=lien%20requiring%20the%20lien%20claimant,referenced%20the%20rule%20of%20procedure" w:tgtFrame="_blank">
        <w:r>
          <w:rPr>
            <w:rStyle w:val="Hyperlink"/>
          </w:rPr>
          <w:t>floridabar.org</w:t>
        </w:r>
      </w:hyperlink>
      <w:r>
        <w:rPr/>
        <w:t>. Courts apply the “uniform rule” of time computation, as the Fifth DCA noted, meaning if an owner serves a contest on July 1, the 60 days begin July 2 and end on August 30 (unless day 60 falls on a weekend or holiday, in which case Florida’s general procedural rule may allow filing on the next business day)</w:t>
      </w:r>
      <w:hyperlink r:id="rId12" w:anchor=":~:text=lien%20requiring%20the%20lien%20claimant,referenced%20the%20rule%20of%20procedure" w:tgtFrame="_blank">
        <w:r>
          <w:rPr>
            <w:rStyle w:val="Hyperlink"/>
          </w:rPr>
          <w:t>floridabar.org</w:t>
        </w:r>
      </w:hyperlink>
      <w:r>
        <w:rPr/>
        <w:t xml:space="preserve">. Lienors must carefully track this deadline. In </w:t>
      </w:r>
      <w:r>
        <w:rPr>
          <w:rStyle w:val="Emphasis"/>
        </w:rPr>
        <w:t>Lehmann Development Corp. v. Nirenblatt</w:t>
      </w:r>
      <w:r>
        <w:rPr/>
        <w:t>, the court allowed a one-year lien deadline to roll to Monday when day 365 fell on a Sunday, applying the civil procedure rule for time computation</w:t>
      </w:r>
      <w:hyperlink r:id="rId13" w:anchor=":~:text=In%20Lehmann%20Development%20Corporation%20v,of%20an%20action%20on%20the" w:tgtFrame="_blank">
        <w:r>
          <w:rPr>
            <w:rStyle w:val="Hyperlink"/>
          </w:rPr>
          <w:t>floridabar.org</w:t>
        </w:r>
      </w:hyperlink>
      <w:hyperlink r:id="rId14" w:anchor=":~:text=fell%20on%20a%20Sunday%20so,timely%20filing%20the%20following%20Monday" w:tgtFrame="_blank">
        <w:r>
          <w:rPr>
            <w:rStyle w:val="Hyperlink"/>
          </w:rPr>
          <w:t>floridabar.org</w:t>
        </w:r>
      </w:hyperlink>
      <w:r>
        <w:rPr/>
        <w:t xml:space="preserve">. However, because a Notice of Contest triggers a </w:t>
      </w:r>
      <w:r>
        <w:rPr>
          <w:rStyle w:val="Strong"/>
        </w:rPr>
        <w:t>“special statutory proceeding”</w:t>
      </w:r>
      <w:r>
        <w:rPr/>
        <w:t>, lienors should not assume any grace period beyond the strict 60 days</w:t>
      </w:r>
      <w:hyperlink r:id="rId15" w:anchor=":~:text=The%20horns%20of%20the%20dilemma,In%20fact%2C%20absent%20a%20specific" w:tgtFrame="_blank">
        <w:r>
          <w:rPr>
            <w:rStyle w:val="Hyperlink"/>
          </w:rPr>
          <w:t>floridabar.org</w:t>
        </w:r>
      </w:hyperlink>
      <w:hyperlink r:id="rId16" w:anchor=":~:text=Rules%20of%20Civil%20Procedure%20do," w:tgtFrame="_blank">
        <w:r>
          <w:rPr>
            <w:rStyle w:val="Hyperlink"/>
          </w:rPr>
          <w:t>floridabar.org</w:t>
        </w:r>
      </w:hyperlink>
      <w:r>
        <w:rPr/>
        <w:t xml:space="preserve">. The safest course is to act well </w:t>
      </w:r>
      <w:r>
        <w:rPr>
          <w:rStyle w:val="Strong"/>
        </w:rPr>
        <w:t>before</w:t>
      </w:r>
      <w:r>
        <w:rPr/>
        <w:t xml:space="preserve"> the deadline to avoid any dispute</w:t>
      </w:r>
      <w:hyperlink r:id="rId17" w:anchor=":~:text=The%20safest%20practice%2C%20of%20course%2C,tested%20on%20a%20substantive%20basis" w:tgtFrame="_blank">
        <w:r>
          <w:rPr>
            <w:rStyle w:val="Hyperlink"/>
          </w:rPr>
          <w:t>floridabar.org</w:t>
        </w:r>
      </w:hyperlink>
      <w:r>
        <w:rPr/>
        <w:t>.</w:t>
      </w:r>
    </w:p>
    <w:p>
      <w:pPr>
        <w:pStyle w:val="BodyText"/>
        <w:bidi w:val="0"/>
        <w:jc w:val="start"/>
        <w:rPr/>
      </w:pPr>
      <w:r>
        <w:rPr>
          <w:rStyle w:val="Strong"/>
        </w:rPr>
        <w:t>Strict foreclosure cutoff:</w:t>
      </w:r>
      <w:r>
        <w:rPr/>
        <w:t xml:space="preserve"> Once an owner records a Notice of Contest, the lienor must not only file the foreclosure lawsuit in 60 days but also meet any other pre-suit conditions within that same period. Courts have held that all statutory prerequisites to foreclosure remain applicable on the shortened timeline. For instance, a contractor is normally required to serve a </w:t>
      </w:r>
      <w:r>
        <w:rPr>
          <w:rStyle w:val="Strong"/>
        </w:rPr>
        <w:t>contractor’s final payment affidavit</w:t>
      </w:r>
      <w:r>
        <w:rPr/>
        <w:t xml:space="preserve"> at least 5 days before filing suit (per §713.06(3)(d)). In </w:t>
      </w:r>
      <w:r>
        <w:rPr>
          <w:rStyle w:val="Emphasis"/>
        </w:rPr>
        <w:t>Pierson D. Construction, Inc. v. Yudell</w:t>
      </w:r>
      <w:r>
        <w:rPr/>
        <w:t xml:space="preserve">, the owner recorded a Notice of Contest and the contractor did file the lien foreclosure suit within 60 days. However, the contractor did </w:t>
      </w:r>
      <w:r>
        <w:rPr>
          <w:rStyle w:val="Strong"/>
        </w:rPr>
        <w:t>not</w:t>
      </w:r>
      <w:r>
        <w:rPr/>
        <w:t xml:space="preserve"> furnish the final payment affidavit until after the 60-day window had run. The Fourth DCA affirmed dismissal of the lien foreclosure, ruling that the final affidavit must be served within the same 60-day period triggered by the Notice of Contest</w:t>
      </w:r>
      <w:hyperlink r:id="rId18" w:anchor=":~:text=On%20December%205%2C%202000%2C%20the,court%20later%20dismissed%20the%20case" w:tgtFrame="_blank">
        <w:r>
          <w:rPr>
            <w:rStyle w:val="Hyperlink"/>
          </w:rPr>
          <w:t>caselaw.findlaw.com</w:t>
        </w:r>
      </w:hyperlink>
      <w:hyperlink r:id="rId19" w:anchor=":~:text=Pierson%20contends%20that%20its%20suit,2000%20filing%20of%20the%20lawsuit" w:tgtFrame="_blank">
        <w:r>
          <w:rPr>
            <w:rStyle w:val="Hyperlink"/>
          </w:rPr>
          <w:t>caselaw.findlaw.com</w:t>
        </w:r>
      </w:hyperlink>
      <w:r>
        <w:rPr/>
        <w:t xml:space="preserve">. In short, a lienor cannot commence an action in time but finish the required steps later – </w:t>
      </w:r>
      <w:r>
        <w:rPr>
          <w:rStyle w:val="Strong"/>
        </w:rPr>
        <w:t>everything</w:t>
      </w:r>
      <w:r>
        <w:rPr/>
        <w:t xml:space="preserve"> needed to perfect the foreclosure must occur before the 60 days expire</w:t>
      </w:r>
      <w:hyperlink r:id="rId20" w:anchor=":~:text=Pierson%20contends%20that%20its%20suit,2000%20filing%20of%20the%20lawsuit" w:tgtFrame="_blank">
        <w:r>
          <w:rPr>
            <w:rStyle w:val="Hyperlink"/>
          </w:rPr>
          <w:t>caselaw.findlaw.com</w:t>
        </w:r>
      </w:hyperlink>
      <w:r>
        <w:rPr/>
        <w:t xml:space="preserve">. Even an amended pleading filed after 60 days will not save the lien. Florida’s Supreme Court long ago made clear that a lienor cannot evade the deadline by amending or re-filing the lien or lawsuit; such changes </w:t>
      </w:r>
      <w:r>
        <w:rPr>
          <w:rStyle w:val="Strong"/>
        </w:rPr>
        <w:t>“do not toll the statutory times”</w:t>
      </w:r>
      <w:r>
        <w:rPr/>
        <w:t xml:space="preserve"> for enforcement</w:t>
      </w:r>
      <w:hyperlink r:id="rId21" w:anchor=":~:text=others%20who%20rely%20on%20the,file%20the%20lien%20or%20suit" w:tgtFrame="_blank">
        <w:r>
          <w:rPr>
            <w:rStyle w:val="Hyperlink"/>
          </w:rPr>
          <w:t>caselaw.findlaw.com</w:t>
        </w:r>
      </w:hyperlink>
      <w:hyperlink r:id="rId22" w:anchor=":~:text=This%20exact%20scenario%20was%20addressed,Contest%20of%20Lien%20is%20recorded" w:tgtFrame="_blank">
        <w:r>
          <w:rPr>
            <w:rStyle w:val="Hyperlink"/>
          </w:rPr>
          <w:t>floridaconstructionlegalupdates.com</w:t>
        </w:r>
      </w:hyperlink>
      <w:r>
        <w:rPr/>
        <w:t xml:space="preserve">. Thus, a lienor has only one bite at the apple within the fixed period. As the Supreme Court explained in </w:t>
      </w:r>
      <w:r>
        <w:rPr>
          <w:rStyle w:val="Emphasis"/>
        </w:rPr>
        <w:t>Jack Stilson &amp; Co. v. Caloosa Bayview Corp.</w:t>
      </w:r>
      <w:r>
        <w:rPr/>
        <w:t>, allowing serial amendments after a Notice of Contest would destroy the certainty the statute requires – a lienor could otherwise “file over and over ad infinitum… and thereby defeat the purpose of the statute for a speedy conclusion”</w:t>
      </w:r>
      <w:hyperlink r:id="rId23" w:anchor=":~:text=in%20section%20713.22%20%282%29.,Palmer%20at%20510" w:tgtFrame="_blank">
        <w:r>
          <w:rPr>
            <w:rStyle w:val="Hyperlink"/>
          </w:rPr>
          <w:t>case-law.vlex.com</w:t>
        </w:r>
      </w:hyperlink>
      <w:r>
        <w:rPr/>
        <w:t>.</w:t>
      </w:r>
    </w:p>
    <w:p>
      <w:pPr>
        <w:pStyle w:val="BodyText"/>
        <w:bidi w:val="0"/>
        <w:jc w:val="start"/>
        <w:rPr/>
      </w:pPr>
      <w:r>
        <w:rPr>
          <w:rStyle w:val="Strong"/>
        </w:rPr>
        <w:t>Common timing pitfalls:</w:t>
      </w:r>
      <w:r>
        <w:rPr/>
        <w:t xml:space="preserve"> A review of the case law shows lienors (or their attorneys) occasionally miscalculate or mishandle the 60-day deadline, often with fatal results. Some assume that filing any lawsuit (even if incomplete) will preserve the lien, or that a pending foreclosure suit can be amended at leisure. This is a mistake. In </w:t>
      </w:r>
      <w:r>
        <w:rPr>
          <w:rStyle w:val="Emphasis"/>
        </w:rPr>
        <w:t>Hiller v. Phoenix</w:t>
      </w:r>
      <w:r>
        <w:rPr/>
        <w:t>, Phoenix sued the owner timely, but after the lien was transferred to a bond and contested, Phoenix waited more than 60 days to add the surety. The Second DCA held the lien rights were lost, strictly applying the 60-day limit despite the already-filed suit</w:t>
      </w:r>
      <w:hyperlink r:id="rId24" w:anchor=":~:text=the%20real%20property%20lien,Jomar%20Properties" w:tgtFrame="_blank">
        <w:r>
          <w:rPr>
            <w:rStyle w:val="Hyperlink"/>
          </w:rPr>
          <w:t>linkedin.com</w:t>
        </w:r>
      </w:hyperlink>
      <w:hyperlink r:id="rId25" w:anchor=":~:text=,file%20the%20lien%20or%20suit" w:tgtFrame="_blank">
        <w:r>
          <w:rPr>
            <w:rStyle w:val="Hyperlink"/>
          </w:rPr>
          <w:t>linkedin.com</w:t>
        </w:r>
      </w:hyperlink>
      <w:r>
        <w:rPr/>
        <w:t xml:space="preserve">. Lienors have also tried to argue that an amended claim of lien resets or extends the deadline. This too is incorrect – an </w:t>
      </w:r>
      <w:r>
        <w:rPr>
          <w:rStyle w:val="Strong"/>
        </w:rPr>
        <w:t>amended lien</w:t>
      </w:r>
      <w:r>
        <w:rPr/>
        <w:t xml:space="preserve"> recorded after a Notice of Contest does </w:t>
      </w:r>
      <w:r>
        <w:rPr>
          <w:rStyle w:val="Strong"/>
        </w:rPr>
        <w:t>not</w:t>
      </w:r>
      <w:r>
        <w:rPr/>
        <w:t xml:space="preserve"> restart the clock</w:t>
      </w:r>
      <w:hyperlink r:id="rId26" w:anchor=":~:text=This%20exact%20scenario%20was%20addressed,Contest%20of%20Lien%20is%20recorded" w:tgtFrame="_blank">
        <w:r>
          <w:rPr>
            <w:rStyle w:val="Hyperlink"/>
          </w:rPr>
          <w:t>floridaconstructionlegalupdates.com</w:t>
        </w:r>
      </w:hyperlink>
      <w:r>
        <w:rPr/>
        <w:t xml:space="preserve">. The foreclosure action must still be filed (or amended to include the new lien amount) within the original 60 days from the contest notice. The upshot is that courts show </w:t>
      </w:r>
      <w:r>
        <w:rPr>
          <w:rStyle w:val="Strong"/>
        </w:rPr>
        <w:t>zero tolerance</w:t>
      </w:r>
      <w:r>
        <w:rPr/>
        <w:t xml:space="preserve"> for late filings. A lienor who misses the 60-day window (even by a day) or who forecloses without completing required pre-suit steps will find the lien </w:t>
      </w:r>
      <w:r>
        <w:rPr>
          <w:rStyle w:val="Strong"/>
        </w:rPr>
        <w:t>automatically void</w:t>
      </w:r>
      <w:hyperlink r:id="rId27" w:anchor=":~:text=The%20legislature%20has%20provided%20a,LLC%2C%2084" w:tgtFrame="_blank">
        <w:r>
          <w:rPr>
            <w:rStyle w:val="Hyperlink"/>
          </w:rPr>
          <w:t>caselaw.findlaw.com</w:t>
        </w:r>
      </w:hyperlink>
      <w:r>
        <w:rPr/>
        <w:t>. The lienor can still pursue a breach of contract claim against the responsible party, but the powerful leverage of the construction lien is forfeited</w:t>
      </w:r>
      <w:hyperlink r:id="rId28" w:anchor=":~:text=lien%20lapsed%20when%20the%20lienor,3d%20DCA%201991" w:tgtFrame="_blank">
        <w:r>
          <w:rPr>
            <w:rStyle w:val="Hyperlink"/>
          </w:rPr>
          <w:t>caselaw.findlaw.com</w:t>
        </w:r>
      </w:hyperlink>
      <w:hyperlink r:id="rId29" w:anchor=":~:text=timely%20commencing%20an%20action%20against,purpose%20behind%20the%20special%20statutory" w:tgtFrame="_blank">
        <w:r>
          <w:rPr>
            <w:rStyle w:val="Hyperlink"/>
          </w:rPr>
          <w:t>caselaw.findlaw.com</w:t>
        </w:r>
      </w:hyperlink>
      <w:r>
        <w:rPr/>
        <w:t>.</w:t>
      </w:r>
    </w:p>
    <w:p>
      <w:pPr>
        <w:pStyle w:val="Heading2"/>
        <w:bidi w:val="0"/>
        <w:jc w:val="start"/>
        <w:rPr/>
      </w:pPr>
      <w:r>
        <w:rPr/>
        <w:t>Statutory-Form Compliance &amp; Common Drafting Defects</w:t>
      </w:r>
    </w:p>
    <w:p>
      <w:pPr>
        <w:pStyle w:val="BodyText"/>
        <w:bidi w:val="0"/>
        <w:jc w:val="start"/>
        <w:rPr/>
      </w:pPr>
      <w:r>
        <w:rPr>
          <w:rStyle w:val="Strong"/>
        </w:rPr>
        <w:t>Form of the Notice:</w:t>
      </w:r>
      <w:r>
        <w:rPr/>
        <w:t xml:space="preserve"> The Notice of Contest of Lien is a creature of statute, and Florida law provides a specific template for its content. Section 713.22(2) prescribes that the notice identify the lien (often by referring to the recorded lien’s book and page or instrument number) and state, in substance, that the lien will be extinguished unless suit is filed within 60 days</w:t>
      </w:r>
      <w:hyperlink r:id="rId30" w:anchor=":~:text=,service%2C%20the%20clerk%20shall%20serve" w:tgtFrame="_blank">
        <w:r>
          <w:rPr>
            <w:rStyle w:val="Hyperlink"/>
          </w:rPr>
          <w:t>jimersonfirm.com</w:t>
        </w:r>
      </w:hyperlink>
      <w:r>
        <w:rPr/>
        <w:t>. It must be recorded with the clerk of court for the county where the property is located, and the clerk in turn will serve a copy on the lienor (as described in the next section)</w:t>
      </w:r>
      <w:hyperlink r:id="rId31" w:anchor=":~:text=,services%20as%20provided%20by%20law" w:tgtFrame="_blank">
        <w:r>
          <w:rPr>
            <w:rStyle w:val="Hyperlink"/>
          </w:rPr>
          <w:t>jimersonfirm.com</w:t>
        </w:r>
      </w:hyperlink>
      <w:r>
        <w:rPr/>
        <w:t>. In practice, most clerks have a form document that owners or their attorneys can fill out and record. It typically includes the lienor’s name and address, the property description or parcel information, the recording details of the lien, and the statutory warning about the 60-day deadline.</w:t>
      </w:r>
    </w:p>
    <w:p>
      <w:pPr>
        <w:pStyle w:val="BodyText"/>
        <w:bidi w:val="0"/>
        <w:jc w:val="start"/>
        <w:rPr/>
      </w:pPr>
      <w:r>
        <w:rPr/>
        <w:t xml:space="preserve">Because the Notice of Contest is part of a </w:t>
      </w:r>
      <w:r>
        <w:rPr>
          <w:rStyle w:val="Strong"/>
        </w:rPr>
        <w:t>“special statutory proceeding,”</w:t>
      </w:r>
      <w:r>
        <w:rPr/>
        <w:t xml:space="preserve"> courts require </w:t>
      </w:r>
      <w:r>
        <w:rPr>
          <w:rStyle w:val="Strong"/>
        </w:rPr>
        <w:t>strict compliance</w:t>
      </w:r>
      <w:r>
        <w:rPr/>
        <w:t xml:space="preserve"> with the statutory form and content</w:t>
      </w:r>
      <w:hyperlink r:id="rId32" w:anchor=":~:text=in%20section%20713.22%20%282%29.,Palmer%20at%20510" w:tgtFrame="_blank">
        <w:r>
          <w:rPr>
            <w:rStyle w:val="Hyperlink"/>
          </w:rPr>
          <w:t>case-law.vlex.com</w:t>
        </w:r>
      </w:hyperlink>
      <w:hyperlink r:id="rId33" w:anchor=":~:text=%E2%80%9C,Bergeron" w:tgtFrame="_blank">
        <w:r>
          <w:rPr>
            <w:rStyle w:val="Hyperlink"/>
          </w:rPr>
          <w:t>caselaw.findlaw.com</w:t>
        </w:r>
      </w:hyperlink>
      <w:r>
        <w:rPr/>
        <w:t xml:space="preserve">. Florida courts do not tolerate material deviations or omissions in any lien law documents, and the Notice of Contest is no exception. In </w:t>
      </w:r>
      <w:r>
        <w:rPr>
          <w:rStyle w:val="Emphasis"/>
        </w:rPr>
        <w:t>Foy v. Mangum</w:t>
      </w:r>
      <w:r>
        <w:rPr/>
        <w:t xml:space="preserve">, the Fifth DCA reiterated that the requirements of the mechanic’s lien statute </w:t>
      </w:r>
      <w:r>
        <w:rPr>
          <w:rStyle w:val="Strong"/>
        </w:rPr>
        <w:t>“must be strictly construed. Strict compliance is an indispensable prerequisite for one seeking affirmative relief under the statute.”</w:t>
      </w:r>
      <w:hyperlink r:id="rId34" w:anchor=":~:text=in%20section%20713.22%20%282%29.,Palmer%20at%20510" w:tgtFrame="_blank">
        <w:r>
          <w:rPr>
            <w:rStyle w:val="Hyperlink"/>
          </w:rPr>
          <w:t>case-law.vlex.com</w:t>
        </w:r>
      </w:hyperlink>
      <w:r>
        <w:rPr/>
        <w:t xml:space="preserve">. Although that case dealt with a lien timing issue, the principle applies across Chapter 713 filings – a notice that fails to conform to the statute could be deemed ineffective. For example, if an owner uses the wrong form or omits key information (such as the official record book/page of the lien or the lienor’s name and address), a lienor could later argue that the 60-day clock never started due to a defective notice. Likewise, recording the notice in the wrong county or against an incorrect property would not actually contest the intended lien. There appear to be no reported appellate cases where a Notice of Contest was invalidated for minor technical defects, likely because most owners use the statutory language. But given the courts’ strict construction, </w:t>
      </w:r>
      <w:r>
        <w:rPr>
          <w:rStyle w:val="Strong"/>
        </w:rPr>
        <w:t>any</w:t>
      </w:r>
      <w:r>
        <w:rPr/>
        <w:t xml:space="preserve"> deviation from the statute’s form or procedure is at the owner’s peril.</w:t>
      </w:r>
    </w:p>
    <w:p>
      <w:pPr>
        <w:pStyle w:val="BodyText"/>
        <w:bidi w:val="0"/>
        <w:jc w:val="start"/>
        <w:rPr/>
      </w:pPr>
      <w:r>
        <w:rPr>
          <w:rStyle w:val="Strong"/>
        </w:rPr>
        <w:t>Recurring owner errors:</w:t>
      </w:r>
      <w:r>
        <w:rPr/>
        <w:t xml:space="preserve"> Practitioners note a few pitfalls that have arisen in trial courts or could easily occur. One is using the wrong document entirely – for instance, an owner (or inexperienced attorney) might mistakenly record a </w:t>
      </w:r>
      <w:r>
        <w:rPr>
          <w:rStyle w:val="Strong"/>
        </w:rPr>
        <w:t>“Notice to Owner/Contractor”</w:t>
      </w:r>
      <w:r>
        <w:rPr/>
        <w:t xml:space="preserve"> form (which is a different pre-lien notice used by lienors) instead of a Notice of Contest of Lien. Such a misfiling would not trigger §713.22(2)’s effects, as it is not the statutory contest notice. Another error is failing to properly </w:t>
      </w:r>
      <w:r>
        <w:rPr>
          <w:rStyle w:val="Strong"/>
        </w:rPr>
        <w:t>identify the lien</w:t>
      </w:r>
      <w:r>
        <w:rPr/>
        <w:t xml:space="preserve"> being contested. If multiple liens are recorded on the property, the notice should clearly reference which lien (by lienor name and recording number) it is contesting. Using an incorrect name for the lienor or wrong recording number could nullify the notice or cause confusion. Similarly, not </w:t>
      </w:r>
      <w:r>
        <w:rPr>
          <w:rStyle w:val="Strong"/>
        </w:rPr>
        <w:t>signing and notarizing</w:t>
      </w:r>
      <w:r>
        <w:rPr/>
        <w:t xml:space="preserve"> the notice (as required for recordable instruments) will prevent it from being recorded or given legal effect. While these mistakes are avoidable, they occur on occasion. Florida law provides no grace for substantial errors – an incorrectly drafted or recorded notice might be deemed a legal nullity, leaving the one-year lien period intact. Owners should therefore double-check that the recorded notice contains all information exactly as the statute and clerk require.</w:t>
      </w:r>
    </w:p>
    <w:p>
      <w:pPr>
        <w:pStyle w:val="BodyText"/>
        <w:bidi w:val="0"/>
        <w:jc w:val="start"/>
        <w:rPr/>
      </w:pPr>
      <w:r>
        <w:rPr>
          <w:rStyle w:val="Strong"/>
        </w:rPr>
        <w:t>No “harmless error” doctrine:</w:t>
      </w:r>
      <w:r>
        <w:rPr/>
        <w:t xml:space="preserve"> Florida courts generally refuse to excuse even minor technical defects in lien law compliance. The rationale is that lien rights are statutory privileges in derogation of common law, so parties must strictly adhere to statutory mandates</w:t>
      </w:r>
      <w:hyperlink r:id="rId35" w:anchor=":~:text=in%20section%20713.22%20%282%29.,Palmer%20at%20510" w:tgtFrame="_blank">
        <w:r>
          <w:rPr>
            <w:rStyle w:val="Hyperlink"/>
          </w:rPr>
          <w:t>case-law.vlex.com</w:t>
        </w:r>
      </w:hyperlink>
      <w:r>
        <w:rPr/>
        <w:t xml:space="preserve">. For instance, in the lien context, a slight mistake in a Notice to Owner or a Claim of Lien can invalidate the lien. We see a similar philosophy with Notices of Contest. In </w:t>
      </w:r>
      <w:r>
        <w:rPr>
          <w:rStyle w:val="Emphasis"/>
        </w:rPr>
        <w:t>Palmer Electric Services, Inc. v. Filler</w:t>
      </w:r>
      <w:r>
        <w:rPr/>
        <w:t xml:space="preserve">, the Second DCA rejected a lien claim for failure to meet the statutory prescription, emphasizing that courts are </w:t>
      </w:r>
      <w:r>
        <w:rPr>
          <w:rStyle w:val="Strong"/>
        </w:rPr>
        <w:t>not</w:t>
      </w:r>
      <w:r>
        <w:rPr/>
        <w:t xml:space="preserve"> free to overlook noncompliance</w:t>
      </w:r>
      <w:hyperlink r:id="rId36" w:anchor=":~:text=protect%20the%20owner,Palmer%20at%20510" w:tgtFrame="_blank">
        <w:r>
          <w:rPr>
            <w:rStyle w:val="Hyperlink"/>
          </w:rPr>
          <w:t>case-law.vlex.com</w:t>
        </w:r>
      </w:hyperlink>
      <w:r>
        <w:rPr/>
        <w:t xml:space="preserve">. Thus, an owner who attempts to contest a lien must ensure the notice is </w:t>
      </w:r>
      <w:r>
        <w:rPr>
          <w:rStyle w:val="Strong"/>
        </w:rPr>
        <w:t>perfectly drafted and filed</w:t>
      </w:r>
      <w:r>
        <w:rPr/>
        <w:t xml:space="preserve">. There is no reported case of a court forgiving a flawed notice of contest on the theory that the lienor “understood” it or wasn’t prejudiced. On the contrary, the burden is on the owner to follow the statute to the letter. As one court put it, </w:t>
      </w:r>
      <w:r>
        <w:rPr>
          <w:rStyle w:val="Strong"/>
        </w:rPr>
        <w:t>“the statutory requirements for enforcing mechanic’s liens against property must be strictly construed”</w:t>
      </w:r>
      <w:r>
        <w:rPr/>
        <w:t xml:space="preserve"> in favor of the property owner’s protection</w:t>
      </w:r>
      <w:hyperlink r:id="rId37" w:anchor=":~:text=in%20section%20713.22%20%282%29.,Palmer%20at%20510" w:tgtFrame="_blank">
        <w:r>
          <w:rPr>
            <w:rStyle w:val="Hyperlink"/>
          </w:rPr>
          <w:t>case-law.vlex.com</w:t>
        </w:r>
      </w:hyperlink>
      <w:r>
        <w:rPr/>
        <w:t xml:space="preserve"> – but that protection only applies when the owner also strictly complies with the statute’s prescribed method.</w:t>
      </w:r>
    </w:p>
    <w:p>
      <w:pPr>
        <w:pStyle w:val="BodyText"/>
        <w:bidi w:val="0"/>
        <w:jc w:val="start"/>
        <w:rPr/>
      </w:pPr>
      <w:r>
        <w:rPr>
          <w:rStyle w:val="Strong"/>
        </w:rPr>
        <w:t>Practical pointers for owners:</w:t>
      </w:r>
      <w:r>
        <w:rPr/>
        <w:t xml:space="preserve"> Common drafting oversights include omitting the </w:t>
      </w:r>
      <w:r>
        <w:rPr>
          <w:rStyle w:val="Strong"/>
        </w:rPr>
        <w:t>official record reference</w:t>
      </w:r>
      <w:r>
        <w:rPr/>
        <w:t xml:space="preserve"> for the lien or using an outdated legal description of the property. Always use the exact information from the recorded Claim of Lien (names, recording numbers, property details) on the Notice of Contest. Ensure the notice uses the statutory wording about the lien being extinguished after 60 days; the safest approach is to use the form provided by the clerk or statute. Have the notice signed by the property owner (or its authorized agent/attorney) and properly notarized before recording. Finally, pay the clerk’s service fee and follow up to confirm that the clerk sends out the notice to the lienor. As discussed below, the clerk’s certified mailing is what starts the 60-day countdown</w:t>
      </w:r>
      <w:hyperlink r:id="rId38" w:anchor=":~:text=,services%20as%20provided%20by%20law" w:tgtFrame="_blank">
        <w:r>
          <w:rPr>
            <w:rStyle w:val="Hyperlink"/>
          </w:rPr>
          <w:t>jimersonfirm.com</w:t>
        </w:r>
      </w:hyperlink>
      <w:r>
        <w:rPr/>
        <w:t>, so a notice that is recorded but never served on the lienor due to an administrative mistake might not achieve its purpose. In summary, small mistakes in form or recording can completely undermine a Notice of Contest, so owners (and their attorneys) should treat the preparation of this notice with the same exacting care as any court pleading – because courts will.</w:t>
      </w:r>
    </w:p>
    <w:p>
      <w:pPr>
        <w:pStyle w:val="Heading2"/>
        <w:bidi w:val="0"/>
        <w:jc w:val="start"/>
        <w:rPr/>
      </w:pPr>
      <w:r>
        <w:rPr/>
        <w:t>Service Requirements &amp; Due-Process Challenges</w:t>
      </w:r>
    </w:p>
    <w:p>
      <w:pPr>
        <w:pStyle w:val="BodyText"/>
        <w:bidi w:val="0"/>
        <w:jc w:val="start"/>
        <w:rPr/>
      </w:pPr>
      <w:r>
        <w:rPr/>
        <w:t xml:space="preserve">Recording the Notice of Contest is only half the battle – it must be </w:t>
      </w:r>
      <w:r>
        <w:rPr>
          <w:rStyle w:val="Strong"/>
        </w:rPr>
        <w:t>served on the lienor</w:t>
      </w:r>
      <w:r>
        <w:rPr/>
        <w:t xml:space="preserve"> in accordance with the statute to effectively shorten the lien. Florida Statutes §713.22(2) directs that upon recording the notice, </w:t>
      </w:r>
      <w:r>
        <w:rPr>
          <w:rStyle w:val="Strong"/>
        </w:rPr>
        <w:t>“[t]he clerk shall serve, in accordance with s. 713.18, a copy of the notice of contest on the lienor at the address shown in the claim of lien… and shall certify to such service and the date of service on the face of the notice and record the notice.”</w:t>
      </w:r>
      <w:hyperlink r:id="rId39" w:anchor=":~:text=,services%20as%20provided%20by%20law" w:tgtFrame="_blank">
        <w:r>
          <w:rPr>
            <w:rStyle w:val="Hyperlink"/>
          </w:rPr>
          <w:t>jimersonfirm.com</w:t>
        </w:r>
      </w:hyperlink>
      <w:r>
        <w:rPr/>
        <w:t xml:space="preserve"> In practice, this means the clerk’s office will send a certified copy of the notice (often by certified mail, return receipt requested) to the lienor’s address as given on the lien document. The clerk then stamps the recorded notice with a certificate indicating when and how it was served. This clerk-issued certificate and service date are crucial: the 60-day period runs from that certified </w:t>
      </w:r>
      <w:r>
        <w:rPr>
          <w:rStyle w:val="Strong"/>
        </w:rPr>
        <w:t>date of service</w:t>
      </w:r>
      <w:hyperlink r:id="rId40" w:anchor=":~:text=,service%2C%20the%20clerk%20shall%20serve" w:tgtFrame="_blank">
        <w:r>
          <w:rPr>
            <w:rStyle w:val="Hyperlink"/>
          </w:rPr>
          <w:t>jimersonfirm.com</w:t>
        </w:r>
      </w:hyperlink>
      <w:r>
        <w:rPr/>
        <w:t>. If the lienor is not properly served, the clock does not start.</w:t>
      </w:r>
    </w:p>
    <w:p>
      <w:pPr>
        <w:pStyle w:val="BodyText"/>
        <w:bidi w:val="0"/>
        <w:jc w:val="start"/>
        <w:rPr/>
      </w:pPr>
      <w:r>
        <w:rPr/>
        <w:t xml:space="preserve">Florida courts have held that </w:t>
      </w:r>
      <w:r>
        <w:rPr>
          <w:rStyle w:val="Strong"/>
        </w:rPr>
        <w:t>as long as the clerk follows the statutory service procedure, due process is satisfied</w:t>
      </w:r>
      <w:r>
        <w:rPr/>
        <w:t xml:space="preserve">. Notably, the statute does </w:t>
      </w:r>
      <w:r>
        <w:rPr>
          <w:rStyle w:val="Emphasis"/>
        </w:rPr>
        <w:t>not</w:t>
      </w:r>
      <w:r>
        <w:rPr/>
        <w:t xml:space="preserve"> require that the owner or clerk serve the lienor’s attorney, if any – only the lienor at the address in the claim of lien</w:t>
      </w:r>
      <w:hyperlink r:id="rId41" w:anchor=":~:text=The%20homeowners%20maintain%20that%2C%20when,See%20id" w:tgtFrame="_blank">
        <w:r>
          <w:rPr>
            <w:rStyle w:val="Hyperlink"/>
          </w:rPr>
          <w:t>caselaw.findlaw.com</w:t>
        </w:r>
      </w:hyperlink>
      <w:hyperlink r:id="rId42" w:anchor=":~:text=No%20one%20disputes%20the%20homeowners,We%20reject%20those%20arguments" w:tgtFrame="_blank">
        <w:r>
          <w:rPr>
            <w:rStyle w:val="Hyperlink"/>
          </w:rPr>
          <w:t>caselaw.findlaw.com</w:t>
        </w:r>
      </w:hyperlink>
      <w:r>
        <w:rPr/>
        <w:t xml:space="preserve">. In </w:t>
      </w:r>
      <w:r>
        <w:rPr>
          <w:rStyle w:val="Emphasis"/>
        </w:rPr>
        <w:t>Rabil</w:t>
      </w:r>
      <w:r>
        <w:rPr/>
        <w:t>, the contractor’s attorney argued it was unfair that he was not separately notified of the contest since the case was in litigation, and that the notice form did not explicitly warn the contractor about needing to sue the bond surety</w:t>
      </w:r>
      <w:hyperlink r:id="rId43" w:anchor=":~:text=homeowners%27%20failure%20to%20send%20copies,this%20order%2C%20the%20homeowners%20appeal" w:tgtFrame="_blank">
        <w:r>
          <w:rPr>
            <w:rStyle w:val="Hyperlink"/>
          </w:rPr>
          <w:t>caselaw.findlaw.com</w:t>
        </w:r>
      </w:hyperlink>
      <w:hyperlink r:id="rId44" w:anchor=":~:text=No%20one%20disputes%20the%20homeowners,We%20reject%20those%20arguments" w:tgtFrame="_blank">
        <w:r>
          <w:rPr>
            <w:rStyle w:val="Hyperlink"/>
          </w:rPr>
          <w:t>caselaw.findlaw.com</w:t>
        </w:r>
      </w:hyperlink>
      <w:r>
        <w:rPr/>
        <w:t xml:space="preserve">. The Fourth DCA squarely rejected these due process challenges. The court noted that the owners </w:t>
      </w:r>
      <w:r>
        <w:rPr>
          <w:rStyle w:val="Strong"/>
        </w:rPr>
        <w:t>“followed the statutory scheme. They posted a lien transfer bond and recorded a notice of contest of the lien. The clerk properly noticed the contractor [at the lien’s address]. Because the contractor did not file suit against the surety within sixty days, the lien was automatically extinguished by operation of law.”</w:t>
      </w:r>
      <w:hyperlink r:id="rId45" w:anchor=":~:text=those%20arguments" w:tgtFrame="_blank">
        <w:r>
          <w:rPr>
            <w:rStyle w:val="Hyperlink"/>
          </w:rPr>
          <w:t>caselaw.findlaw.com</w:t>
        </w:r>
      </w:hyperlink>
      <w:r>
        <w:rPr/>
        <w:t xml:space="preserve"> The statutory method of mailing to the lienor’s address was deemed sufficient notice, even if the lienor’s counsel or corporate officers weren’t personally served</w:t>
      </w:r>
      <w:hyperlink r:id="rId46" w:anchor=":~:text=which%20it%20did" w:tgtFrame="_blank">
        <w:r>
          <w:rPr>
            <w:rStyle w:val="Hyperlink"/>
          </w:rPr>
          <w:t>caselaw.findlaw.com</w:t>
        </w:r>
      </w:hyperlink>
      <w:r>
        <w:rPr/>
        <w:t>. In short, Chapter 713 spells out exactly how notice must be given, and compliance with those steps meets any due process requirement</w:t>
      </w:r>
      <w:hyperlink r:id="rId47" w:anchor=":~:text=No%20one%20disputes%20the%20homeowners,We%20reject%20those%20arguments" w:tgtFrame="_blank">
        <w:r>
          <w:rPr>
            <w:rStyle w:val="Hyperlink"/>
          </w:rPr>
          <w:t>caselaw.findlaw.com</w:t>
        </w:r>
      </w:hyperlink>
      <w:r>
        <w:rPr/>
        <w:t xml:space="preserve">. The courts have emphasized that they </w:t>
      </w:r>
      <w:r>
        <w:rPr>
          <w:rStyle w:val="Strong"/>
        </w:rPr>
        <w:t>“must strictly construe”</w:t>
      </w:r>
      <w:r>
        <w:rPr/>
        <w:t xml:space="preserve"> the statute and cannot add extra notice requirements beyond what the legislature provided</w:t>
      </w:r>
      <w:hyperlink r:id="rId48" w:anchor=":~:text=No%20one%20disputes%20the%20homeowners,We%20reject%20those%20arguments" w:tgtFrame="_blank">
        <w:r>
          <w:rPr>
            <w:rStyle w:val="Hyperlink"/>
          </w:rPr>
          <w:t>caselaw.findlaw.com</w:t>
        </w:r>
      </w:hyperlink>
      <w:r>
        <w:rPr/>
        <w:t>.</w:t>
      </w:r>
    </w:p>
    <w:p>
      <w:pPr>
        <w:pStyle w:val="BodyText"/>
        <w:bidi w:val="0"/>
        <w:jc w:val="start"/>
        <w:rPr/>
      </w:pPr>
      <w:r>
        <w:rPr>
          <w:rStyle w:val="Strong"/>
        </w:rPr>
        <w:t>Service pitfalls:</w:t>
      </w:r>
      <w:r>
        <w:rPr/>
        <w:t xml:space="preserve"> The common issues here usually arise from either the lienor’s failure to receive/accept the mailed notice or the owner’s failure to ensure the clerk had the correct lienor address. In </w:t>
      </w:r>
      <w:r>
        <w:rPr>
          <w:rStyle w:val="Emphasis"/>
        </w:rPr>
        <w:t>Rabil</w:t>
      </w:r>
      <w:r>
        <w:rPr/>
        <w:t>, the contractor claimed that although the notice was mailed, it was signed for by a secretary and never made it to management or counsel before the 60 days ran</w:t>
      </w:r>
      <w:hyperlink r:id="rId49" w:anchor=":~:text=which%20it%20did" w:tgtFrame="_blank">
        <w:r>
          <w:rPr>
            <w:rStyle w:val="Hyperlink"/>
          </w:rPr>
          <w:t>caselaw.findlaw.com</w:t>
        </w:r>
      </w:hyperlink>
      <w:r>
        <w:rPr/>
        <w:t xml:space="preserve">. The court was unmoved: the statute requires service on the lienor (not necessarily actual knowledge by a particular person), and the risk of internal mishandling lies with the lienor. Similarly, if a lienor changes address or goes out of business after recording the lien, service to the last address of record is still effective – lienors are responsible for keeping their address updated in any recorded lien amendments or satisfactions. Owners should, however, exercise caution if they know the lienor’s listed address is incorrect (e.g. a typo on the lien). While not legally required, an owner in such a case might choose to send a courtesy copy of the notice to any other known address or to the lienor’s attorney to avoid later claims of non-receipt. The statute doesn’t mandate this, but it can provide practical protection. Indeed, the trial judge in </w:t>
      </w:r>
      <w:r>
        <w:rPr>
          <w:rStyle w:val="Emphasis"/>
        </w:rPr>
        <w:t>Rabil</w:t>
      </w:r>
      <w:r>
        <w:rPr/>
        <w:t xml:space="preserve"> was concerned the owners hadn’t sent copies directly to the contractor’s lawyer</w:t>
      </w:r>
      <w:hyperlink r:id="rId50" w:anchor=":~:text=At%20the%20hearing%20on%20the,this%20order%2C%20the%20homeowners%20appeal" w:tgtFrame="_blank">
        <w:r>
          <w:rPr>
            <w:rStyle w:val="Hyperlink"/>
          </w:rPr>
          <w:t>caselaw.findlaw.com</w:t>
        </w:r>
      </w:hyperlink>
      <w:r>
        <w:rPr/>
        <w:t>, though the appellate court made clear no such service is required</w:t>
      </w:r>
      <w:hyperlink r:id="rId51" w:anchor=":~:text=No%20one%20disputes%20the%20homeowners,We%20reject%20those%20arguments" w:tgtFrame="_blank">
        <w:r>
          <w:rPr>
            <w:rStyle w:val="Hyperlink"/>
          </w:rPr>
          <w:t>caselaw.findlaw.com</w:t>
        </w:r>
      </w:hyperlink>
      <w:r>
        <w:rPr/>
        <w:t xml:space="preserve">. The lesson is that </w:t>
      </w:r>
      <w:r>
        <w:rPr>
          <w:rStyle w:val="Strong"/>
        </w:rPr>
        <w:t>the clerk’s certified mail to the lienor’s address is the critical service</w:t>
      </w:r>
      <w:r>
        <w:rPr/>
        <w:t xml:space="preserve"> – owners must ensure the clerk does it, and lienors must monitor their mail.</w:t>
      </w:r>
    </w:p>
    <w:p>
      <w:pPr>
        <w:pStyle w:val="BodyText"/>
        <w:bidi w:val="0"/>
        <w:jc w:val="start"/>
        <w:rPr/>
      </w:pPr>
      <w:r>
        <w:rPr/>
        <w:t xml:space="preserve">From a due process standpoint, Florida courts have upheld §713.22(2) against constitutional attack. The procedure of mailing a notice and cutting off lien rights in 60 days is viewed as a legislative balance between lienors’ rights and owners’ property rights. The lienor has already received notice (often via a Notice to Owner or other prelien steps) and had an opportunity to secure their lien; the contest simply accelerates the enforcement requirement. In </w:t>
      </w:r>
      <w:r>
        <w:rPr>
          <w:rStyle w:val="Emphasis"/>
        </w:rPr>
        <w:t>Rabil</w:t>
      </w:r>
      <w:r>
        <w:rPr/>
        <w:t>, the contractor argued the statute was unconstitutional because it did not require informing the lienor of the need to sue the surety or involve the court in discharging the lien</w:t>
      </w:r>
      <w:hyperlink r:id="rId52" w:anchor=":~:text=No%20one%20disputes%20the%20homeowners,We%20reject%20those%20arguments" w:tgtFrame="_blank">
        <w:r>
          <w:rPr>
            <w:rStyle w:val="Hyperlink"/>
          </w:rPr>
          <w:t>caselaw.findlaw.com</w:t>
        </w:r>
      </w:hyperlink>
      <w:r>
        <w:rPr/>
        <w:t>. The Fourth DCA dismissed this, citing longstanding precedent that lien laws are strictly statutory and create no rights beyond those given on paper</w:t>
      </w:r>
      <w:hyperlink r:id="rId53" w:anchor=":~:text=that%20the%20lienor%20be%20informed,We%20reject%20those%20arguments" w:tgtFrame="_blank">
        <w:r>
          <w:rPr>
            <w:rStyle w:val="Hyperlink"/>
          </w:rPr>
          <w:t>caselaw.findlaw.com</w:t>
        </w:r>
      </w:hyperlink>
      <w:r>
        <w:rPr/>
        <w:t xml:space="preserve">. So long as the statutory notice was sent, the lienor’s failure to act is on them. Other courts have noted that a lienor who loses a lien for want of timely action is </w:t>
      </w:r>
      <w:r>
        <w:rPr>
          <w:rStyle w:val="Strong"/>
        </w:rPr>
        <w:t>“not left without a remedy”</w:t>
      </w:r>
      <w:r>
        <w:rPr/>
        <w:t xml:space="preserve"> – they can still sue in contract, but </w:t>
      </w:r>
      <w:r>
        <w:rPr>
          <w:rStyle w:val="Strong"/>
        </w:rPr>
        <w:t>“may no longer encumber [the owner’s] property”</w:t>
      </w:r>
      <w:r>
        <w:rPr/>
        <w:t xml:space="preserve"> after the statutory time lapses</w:t>
      </w:r>
      <w:hyperlink r:id="rId54" w:anchor=":~:text=lien%20lapsed%20when%20the%20lienor,3d%20DCA%201991" w:tgtFrame="_blank">
        <w:r>
          <w:rPr>
            <w:rStyle w:val="Hyperlink"/>
          </w:rPr>
          <w:t>caselaw.findlaw.com</w:t>
        </w:r>
      </w:hyperlink>
      <w:r>
        <w:rPr/>
        <w:t>. This underscores that the Notice of Contest procedure is considered fair: it doesn’t erase the debt, only the lien, and it gives the lienor a clear chance (60 days) to assert their claim in court. In practice, then, an owner need not fear that a minor service technicality will unravel a contest notice, as long as the clerk did what the statute says. Conversely, a lienor cannot evade the 60-day deadline by claiming “I didn’t actually see the notice” if the record shows it was sent correctly. Due process is satisfied by adherence to the statute’s service provisions, and courts will enforce the consequences strictly</w:t>
      </w:r>
      <w:hyperlink r:id="rId55" w:anchor=":~:text=The%20legislature%20has%20provided%20a,LLC%2C%2084" w:tgtFrame="_blank">
        <w:r>
          <w:rPr>
            <w:rStyle w:val="Hyperlink"/>
          </w:rPr>
          <w:t>caselaw.findlaw.com</w:t>
        </w:r>
      </w:hyperlink>
      <w:r>
        <w:rPr/>
        <w:t>.</w:t>
      </w:r>
    </w:p>
    <w:p>
      <w:pPr>
        <w:pStyle w:val="BodyText"/>
        <w:bidi w:val="0"/>
        <w:jc w:val="start"/>
        <w:rPr/>
      </w:pPr>
      <w:r>
        <w:rPr>
          <w:rStyle w:val="Strong"/>
        </w:rPr>
        <w:t>Ensuring proper service:</w:t>
      </w:r>
      <w:r>
        <w:rPr/>
        <w:t xml:space="preserve"> For owners and their counsel, a key step after recording a Notice of Contest is to </w:t>
      </w:r>
      <w:r>
        <w:rPr>
          <w:rStyle w:val="Strong"/>
        </w:rPr>
        <w:t>verify the clerk’s service</w:t>
      </w:r>
      <w:r>
        <w:rPr/>
        <w:t>. Obtain the certified mail tracking or a copy of the clerk’s certificate of service to confirm when and where it went. If the clerk errs (e.g. mails to a wrong address or delays sending), be prepared to argue the 60 days should count from actual service date or to re-serve if possible. Fortunately, such clerk errors are rare. Lienors, for their part, should treat any received notice with utmost urgency – even if it comes to an unexpected address or looks unfamiliar. The notice might not spell out every implication (for instance, it may not explicitly mention a bond or list all steps to enforce), but courts expect lienors to know the law or seek counsel immediately upon receiving a contest notice</w:t>
      </w:r>
      <w:hyperlink r:id="rId56" w:anchor=":~:text=As%20an%20example%20of%20the,appeal%2C%20the%20Fourth%20District%20reversed" w:tgtFrame="_blank">
        <w:r>
          <w:rPr>
            <w:rStyle w:val="Hyperlink"/>
          </w:rPr>
          <w:t>floridaconstructionlegalupdates.com</w:t>
        </w:r>
      </w:hyperlink>
      <w:hyperlink r:id="rId57" w:anchor=":~:text=If%2C%20as%20was%20the%20case,lien%20and%20or%20bond%20rights" w:tgtFrame="_blank">
        <w:r>
          <w:rPr>
            <w:rStyle w:val="Hyperlink"/>
          </w:rPr>
          <w:t>jimersonfirm.com</w:t>
        </w:r>
      </w:hyperlink>
      <w:r>
        <w:rPr/>
        <w:t>. The bottom line is that the statutory mailing is both necessary and sufficient: everyone involved should focus on that mailing and the ticking clock it starts.</w:t>
      </w:r>
    </w:p>
    <w:p>
      <w:pPr>
        <w:pStyle w:val="Heading2"/>
        <w:bidi w:val="0"/>
        <w:jc w:val="start"/>
        <w:rPr/>
      </w:pPr>
      <w:r>
        <w:rPr/>
        <w:t>Interaction with Show-Cause Proceedings and Transfer-to-Bond</w:t>
      </w:r>
    </w:p>
    <w:p>
      <w:pPr>
        <w:pStyle w:val="BodyText"/>
        <w:bidi w:val="0"/>
        <w:jc w:val="start"/>
        <w:rPr/>
      </w:pPr>
      <w:r>
        <w:rPr/>
        <w:t xml:space="preserve">Florida law gives owners </w:t>
      </w:r>
      <w:r>
        <w:rPr>
          <w:rStyle w:val="Emphasis"/>
        </w:rPr>
        <w:t>multiple tools</w:t>
      </w:r>
      <w:r>
        <w:rPr/>
        <w:t xml:space="preserve"> to hasten the resolution of a lien, and the Notice of Contest is one of them. Two other related mechanisms are often discussed in tandem: the </w:t>
      </w:r>
      <w:r>
        <w:rPr>
          <w:rStyle w:val="Strong"/>
        </w:rPr>
        <w:t>show-cause procedure</w:t>
      </w:r>
      <w:r>
        <w:rPr/>
        <w:t xml:space="preserve"> under §713.21(4) and the </w:t>
      </w:r>
      <w:r>
        <w:rPr>
          <w:rStyle w:val="Strong"/>
        </w:rPr>
        <w:t>transfer of lien to a security/bond</w:t>
      </w:r>
      <w:r>
        <w:rPr/>
        <w:t xml:space="preserve"> under §713.24. Courts have addressed how the Notice of Contest interacts with these procedures.</w:t>
      </w:r>
    </w:p>
    <w:p>
      <w:pPr>
        <w:pStyle w:val="BodyText"/>
        <w:bidi w:val="0"/>
        <w:jc w:val="start"/>
        <w:rPr/>
      </w:pPr>
      <w:r>
        <w:rPr>
          <w:rStyle w:val="Strong"/>
        </w:rPr>
        <w:t>Contest vs. Show Cause:</w:t>
      </w:r>
      <w:r>
        <w:rPr/>
        <w:t xml:space="preserve"> Section 713.21(4) allows an owner to file a motion (in court) requiring a lienor to </w:t>
      </w:r>
      <w:r>
        <w:rPr>
          <w:rStyle w:val="Strong"/>
        </w:rPr>
        <w:t>show cause within 20 days</w:t>
      </w:r>
      <w:r>
        <w:rPr/>
        <w:t xml:space="preserve"> why the lien should not be enforced or else be discharged. This is essentially a fast-track judicial summons to prompt a foreclosure suit. It is an alternative to the Notice of Contest, which is a non-judicial, clerk-driven process giving 60 days. An owner may choose either route (but typically not both at the same time). In either case, the lienor must act by the deadline or lose the lien. Case law indicates that the 20-day show-cause period is even more </w:t>
      </w:r>
      <w:r>
        <w:rPr>
          <w:rStyle w:val="Strong"/>
        </w:rPr>
        <w:t>“unyielding”</w:t>
      </w:r>
      <w:r>
        <w:rPr/>
        <w:t xml:space="preserve"> than the 60-day contest period, since it’s shorter and court-supervised</w:t>
      </w:r>
      <w:hyperlink r:id="rId58" w:anchor=":~:text=statutory%20proceedings," w:tgtFrame="_blank">
        <w:r>
          <w:rPr>
            <w:rStyle w:val="Hyperlink"/>
          </w:rPr>
          <w:t>floridabar.org</w:t>
        </w:r>
      </w:hyperlink>
      <w:hyperlink r:id="rId59" w:anchor=":~:text=Very%20recently%2C%20the%20Fourth%20District,%E2%80%9D" w:tgtFrame="_blank">
        <w:r>
          <w:rPr>
            <w:rStyle w:val="Hyperlink"/>
          </w:rPr>
          <w:t>floridabar.org</w:t>
        </w:r>
      </w:hyperlink>
      <w:r>
        <w:rPr/>
        <w:t xml:space="preserve">. Courts treat show-cause proceedings as special and </w:t>
      </w:r>
      <w:r>
        <w:rPr>
          <w:rStyle w:val="Strong"/>
        </w:rPr>
        <w:t>strictly enforce the 20-day limit</w:t>
      </w:r>
      <w:r>
        <w:rPr/>
        <w:t>, without extensions for things like obtaining counsel or procedural motions</w:t>
      </w:r>
      <w:hyperlink r:id="rId60" w:anchor=":~:text=In%20a%20series%20of%20rulings%2C,to%20discharge%20the%20lien%2C%20stating" w:tgtFrame="_blank">
        <w:r>
          <w:rPr>
            <w:rStyle w:val="Hyperlink"/>
          </w:rPr>
          <w:t>floridabar.org</w:t>
        </w:r>
      </w:hyperlink>
      <w:hyperlink r:id="rId61" w:anchor=":~:text=In%20Matrix%2C%20the%20lienor%20was,%E2%80%9D" w:tgtFrame="_blank">
        <w:r>
          <w:rPr>
            <w:rStyle w:val="Hyperlink"/>
          </w:rPr>
          <w:t>floridabar.org</w:t>
        </w:r>
      </w:hyperlink>
      <w:r>
        <w:rPr/>
        <w:t xml:space="preserve">. For example, in </w:t>
      </w:r>
      <w:r>
        <w:rPr>
          <w:rStyle w:val="Emphasis"/>
        </w:rPr>
        <w:t>Matrix Construction Corp. v. Mecca Construction</w:t>
      </w:r>
      <w:r>
        <w:rPr/>
        <w:t>, a lienor sought more time to get new counsel during a show-cause, but the Third DCA held no enlargement of time was permitted – the lien was discharged when the 20 days ran with no action</w:t>
      </w:r>
      <w:hyperlink r:id="rId62" w:anchor=":~:text=In%20a%20series%20of%20rulings%2C,to%20discharge%20the%20lien%2C%20stating" w:tgtFrame="_blank">
        <w:r>
          <w:rPr>
            <w:rStyle w:val="Hyperlink"/>
          </w:rPr>
          <w:t>floridabar.org</w:t>
        </w:r>
      </w:hyperlink>
      <w:hyperlink r:id="rId63" w:anchor=":~:text=In%20Matrix%2C%20the%20lienor%20was,itself%20unless%20the%20rules%20provide" w:tgtFrame="_blank">
        <w:r>
          <w:rPr>
            <w:rStyle w:val="Hyperlink"/>
          </w:rPr>
          <w:t>floridabar.org</w:t>
        </w:r>
      </w:hyperlink>
      <w:r>
        <w:rPr/>
        <w:t>. The rules of civil procedure explicitly yield to the statute’s strict timeline in such special proceedings</w:t>
      </w:r>
      <w:hyperlink r:id="rId64" w:anchor=":~:text=The%20procedures%20of%20the%20above,established%20by%20the%20legislature%20and" w:tgtFrame="_blank">
        <w:r>
          <w:rPr>
            <w:rStyle w:val="Hyperlink"/>
          </w:rPr>
          <w:t>floridabar.org</w:t>
        </w:r>
      </w:hyperlink>
      <w:hyperlink r:id="rId65" w:anchor=":~:text=statutory%20proceedings," w:tgtFrame="_blank">
        <w:r>
          <w:rPr>
            <w:rStyle w:val="Hyperlink"/>
          </w:rPr>
          <w:t>floridabar.org</w:t>
        </w:r>
      </w:hyperlink>
      <w:r>
        <w:rPr/>
        <w:t xml:space="preserve">. Thus, whether an owner gives a lienor 20 days (via show cause) or 60 days (via contest), the courts will hold the lienor to those deadlines rigidly. The two procedures can work in sequence: if an owner first contests a lien (60 days) and the lienor timely files suit, the owner might still later use a show-cause motion within that suit to push the case to conclusion if it’s languishing. However, once a lienor has filed the foreclosure action, a §713.21(4) show-cause order is generally unnecessary, as the matter will proceed as a normal lawsuit (subject to standard litigation timelines or any court management). In any event, both tools share the purpose of expediting lien enforcement, and courts have repeatedly affirmed that both must be applied as written, </w:t>
      </w:r>
      <w:r>
        <w:rPr>
          <w:rStyle w:val="Strong"/>
        </w:rPr>
        <w:t>“not subject to the ordinary exercise of judicial discretion”</w:t>
      </w:r>
      <w:r>
        <w:rPr/>
        <w:t xml:space="preserve"> to extend times</w:t>
      </w:r>
      <w:hyperlink r:id="rId66" w:anchor=":~:text=certain%20other%20groups%2C%20the%20special," w:tgtFrame="_blank">
        <w:r>
          <w:rPr>
            <w:rStyle w:val="Hyperlink"/>
          </w:rPr>
          <w:t>floridabar.org</w:t>
        </w:r>
      </w:hyperlink>
      <w:hyperlink r:id="rId67" w:anchor=":~:text=subject%20to%20the%20ordinary%20exercise," w:tgtFrame="_blank">
        <w:r>
          <w:rPr>
            <w:rStyle w:val="Hyperlink"/>
          </w:rPr>
          <w:t>floridabar.org</w:t>
        </w:r>
      </w:hyperlink>
      <w:r>
        <w:rPr/>
        <w:t>.</w:t>
      </w:r>
    </w:p>
    <w:p>
      <w:pPr>
        <w:pStyle w:val="BodyText"/>
        <w:bidi w:val="0"/>
        <w:jc w:val="start"/>
        <w:rPr/>
      </w:pPr>
      <w:r>
        <w:rPr>
          <w:rStyle w:val="Strong"/>
        </w:rPr>
        <w:t>Transfer to bond &amp; contest:</w:t>
      </w:r>
      <w:r>
        <w:rPr/>
        <w:t xml:space="preserve"> Many of the modern cases involve liens that have been </w:t>
      </w:r>
      <w:r>
        <w:rPr>
          <w:rStyle w:val="Strong"/>
        </w:rPr>
        <w:t>transferred to a bond or other security</w:t>
      </w:r>
      <w:r>
        <w:rPr/>
        <w:t>. Under §713.24, an owner (or contractor or other interested party) can transfer a lien from the real property to a replacement security (usually a surety bond or cash deposit) by filing the bond with the clerk. The lien then attaches to the bond, and the property is freed of the lien</w:t>
      </w:r>
      <w:hyperlink r:id="rId68" w:anchor=":~:text=transferred%20,subsection%20continues%3A%20If%20a%20proceeding" w:tgtFrame="_blank">
        <w:r>
          <w:rPr>
            <w:rStyle w:val="Hyperlink"/>
          </w:rPr>
          <w:t>law.justia.com</w:t>
        </w:r>
      </w:hyperlink>
      <w:hyperlink r:id="rId69" w:anchor=":~:text=713.24%284%29%20provides%20that%20where%20,Construing%20these%20two" w:tgtFrame="_blank">
        <w:r>
          <w:rPr>
            <w:rStyle w:val="Hyperlink"/>
          </w:rPr>
          <w:t>law.justia.com</w:t>
        </w:r>
      </w:hyperlink>
      <w:r>
        <w:rPr/>
        <w:t xml:space="preserve">. Importantly, if a lien is transferred </w:t>
      </w:r>
      <w:r>
        <w:rPr>
          <w:rStyle w:val="Emphasis"/>
        </w:rPr>
        <w:t>after</w:t>
      </w:r>
      <w:r>
        <w:rPr/>
        <w:t xml:space="preserve"> a foreclosure lawsuit has been filed, §713.24(4) provides that the lienor has one year from the transfer to sue on the bond </w:t>
      </w:r>
      <w:r>
        <w:rPr>
          <w:rStyle w:val="Strong"/>
        </w:rPr>
        <w:t>“unless otherwise shortened by operation of law.”</w:t>
      </w:r>
      <w:hyperlink r:id="rId70" w:anchor=":~:text=713.24%284%29%20provides%20that%20where%20,Construing%20these%20two" w:tgtFrame="_blank">
        <w:r>
          <w:rPr>
            <w:rStyle w:val="Hyperlink"/>
          </w:rPr>
          <w:t>law.justia.com</w:t>
        </w:r>
      </w:hyperlink>
      <w:r>
        <w:rPr/>
        <w:t>. The phrase “unless otherwise shortened by operation of law” directly incorporates the Notice of Contest procedure</w:t>
      </w:r>
      <w:hyperlink r:id="rId71" w:anchor=":~:text=statutes%20together%2C%20this%20court%20has,shall%20be%20extinguished" w:tgtFrame="_blank">
        <w:r>
          <w:rPr>
            <w:rStyle w:val="Hyperlink"/>
          </w:rPr>
          <w:t>law.justia.com</w:t>
        </w:r>
      </w:hyperlink>
      <w:r>
        <w:rPr/>
        <w:t xml:space="preserve">. In other words, an owner who bonds off a lien can </w:t>
      </w:r>
      <w:r>
        <w:rPr>
          <w:rStyle w:val="Strong"/>
        </w:rPr>
        <w:t>also record a Notice of Contest of Lien to shorten the time to sue on that bond to 60 days</w:t>
      </w:r>
      <w:r>
        <w:rPr/>
        <w:t>, just as if it were still a lien against the property</w:t>
      </w:r>
      <w:hyperlink r:id="rId72" w:anchor=":~:text=time,3d%20at%20275" w:tgtFrame="_blank">
        <w:r>
          <w:rPr>
            <w:rStyle w:val="Hyperlink"/>
          </w:rPr>
          <w:t>law.justia.com</w:t>
        </w:r>
      </w:hyperlink>
      <w:hyperlink r:id="rId73" w:anchor=":~:text=section%20713,the%20right%20to%20make%20a" w:tgtFrame="_blank">
        <w:r>
          <w:rPr>
            <w:rStyle w:val="Hyperlink"/>
          </w:rPr>
          <w:t>law.justia.com</w:t>
        </w:r>
      </w:hyperlink>
      <w:r>
        <w:rPr/>
        <w:t xml:space="preserve">. The Second DCA in </w:t>
      </w:r>
      <w:r>
        <w:rPr>
          <w:rStyle w:val="Emphasis"/>
        </w:rPr>
        <w:t>Hiller v. Phoenix</w:t>
      </w:r>
      <w:r>
        <w:rPr/>
        <w:t xml:space="preserve"> confirmed this interplay, holding that a notice of contest under §713.22(2) </w:t>
      </w:r>
      <w:r>
        <w:rPr>
          <w:rStyle w:val="Strong"/>
        </w:rPr>
        <w:t>“allows the owner to shorten the time period to commence an action on the security by filing a notice of contest,”</w:t>
      </w:r>
      <w:r>
        <w:rPr/>
        <w:t xml:space="preserve"> notwithstanding the transfer to bond</w:t>
      </w:r>
      <w:hyperlink r:id="rId74" w:anchor=":~:text=statutes%20together%2C%20this%20court%20has,shall%20be%20extinguished" w:tgtFrame="_blank">
        <w:r>
          <w:rPr>
            <w:rStyle w:val="Hyperlink"/>
          </w:rPr>
          <w:t>law.justia.com</w:t>
        </w:r>
      </w:hyperlink>
      <w:hyperlink r:id="rId75" w:anchor=":~:text=period%20to%20commence%20an%20action,3d%20935%2C%20937%20%28Fla" w:tgtFrame="_blank">
        <w:r>
          <w:rPr>
            <w:rStyle w:val="Hyperlink"/>
          </w:rPr>
          <w:t>law.justia.com</w:t>
        </w:r>
      </w:hyperlink>
      <w:r>
        <w:rPr/>
        <w:t xml:space="preserve">. Likewise, the Fourth DCA in </w:t>
      </w:r>
      <w:r>
        <w:rPr>
          <w:rStyle w:val="Emphasis"/>
        </w:rPr>
        <w:t>Rabil</w:t>
      </w:r>
      <w:r>
        <w:rPr/>
        <w:t xml:space="preserve"> noted that the homeowners posted a transfer bond </w:t>
      </w:r>
      <w:r>
        <w:rPr>
          <w:rStyle w:val="Emphasis"/>
        </w:rPr>
        <w:t>and</w:t>
      </w:r>
      <w:r>
        <w:rPr/>
        <w:t xml:space="preserve"> recorded a notice of contest, and because the contractor did not sue the surety in time, </w:t>
      </w:r>
      <w:r>
        <w:rPr>
          <w:rStyle w:val="Strong"/>
        </w:rPr>
        <w:t>“the lien was automatically extinguished by operation of law.”</w:t>
      </w:r>
      <w:hyperlink r:id="rId76" w:anchor=":~:text=has%20,lien%20was%20automatically%20extinguished%20by" w:tgtFrame="_blank">
        <w:r>
          <w:rPr>
            <w:rStyle w:val="Hyperlink"/>
          </w:rPr>
          <w:t>law.justia.com</w:t>
        </w:r>
      </w:hyperlink>
      <w:r>
        <w:rPr/>
        <w:t>. The procedural result is that the clerk must return or release the bond if requested, since no timely action was brought against it</w:t>
      </w:r>
      <w:hyperlink r:id="rId77" w:anchor=":~:text=transferred%20,subsection%20continues%3A%20If%20a%20proceeding" w:tgtFrame="_blank">
        <w:r>
          <w:rPr>
            <w:rStyle w:val="Hyperlink"/>
          </w:rPr>
          <w:t>law.justia.com</w:t>
        </w:r>
      </w:hyperlink>
      <w:hyperlink r:id="rId78" w:anchor=":~:text=The%20legislature%20has%20provided%20a,LLC%2C%2084" w:tgtFrame="_blank">
        <w:r>
          <w:rPr>
            <w:rStyle w:val="Hyperlink"/>
          </w:rPr>
          <w:t>caselaw.findlaw.com</w:t>
        </w:r>
      </w:hyperlink>
      <w:r>
        <w:rPr/>
        <w:t>.</w:t>
      </w:r>
    </w:p>
    <w:p>
      <w:pPr>
        <w:pStyle w:val="BodyText"/>
        <w:bidi w:val="0"/>
        <w:jc w:val="start"/>
        <w:rPr/>
      </w:pPr>
      <w:r>
        <w:rPr/>
        <w:t xml:space="preserve">Several cases illustrate how this works in practice. In </w:t>
      </w:r>
      <w:r>
        <w:rPr>
          <w:rStyle w:val="Emphasis"/>
        </w:rPr>
        <w:t>Cool Guys, LLC v. Jomar Properties</w:t>
      </w:r>
      <w:r>
        <w:rPr/>
        <w:t xml:space="preserve"> (2012), a lien was transferred to a bond during pending foreclosure litigation. The Fourth DCA held that §713.24(4) </w:t>
      </w:r>
      <w:r>
        <w:rPr>
          <w:rStyle w:val="Strong"/>
        </w:rPr>
        <w:t>“unambiguously”</w:t>
      </w:r>
      <w:r>
        <w:rPr/>
        <w:t xml:space="preserve"> requires the lienor to still sue the surety within 60 days if a contest is recorded, even though a suit against the owner was already ongoing</w:t>
      </w:r>
      <w:hyperlink r:id="rId79" w:anchor=":~:text=It%20is%20undisputed%20that%20Phoenix,include%20the%20requirement%20that%20an" w:tgtFrame="_blank">
        <w:r>
          <w:rPr>
            <w:rStyle w:val="Hyperlink"/>
          </w:rPr>
          <w:t>caselaw.findlaw.com</w:t>
        </w:r>
      </w:hyperlink>
      <w:r>
        <w:rPr/>
        <w:t>. A pre-existing lawsuit does not excuse compliance with the shortened deadline – the lienor must take the additional step of bringing the bond into the action (or filing a new action on the bond) within that period</w:t>
      </w:r>
      <w:hyperlink r:id="rId80" w:anchor=":~:text=It%20is%20undisputed%20that%20Phoenix,include%20the%20requirement%20that%20an" w:tgtFrame="_blank">
        <w:r>
          <w:rPr>
            <w:rStyle w:val="Hyperlink"/>
          </w:rPr>
          <w:t>caselaw.findlaw.com</w:t>
        </w:r>
      </w:hyperlink>
      <w:r>
        <w:rPr/>
        <w:t xml:space="preserve">. In </w:t>
      </w:r>
      <w:r>
        <w:rPr>
          <w:rStyle w:val="Emphasis"/>
        </w:rPr>
        <w:t>Hiller</w:t>
      </w:r>
      <w:r>
        <w:rPr/>
        <w:t>, the lienor’s argument that its prior lawsuit should count indefinitely was rejected, especially given the legislature’s 2005 amendment to §713.24(4) adding the very language that mandates a timely action against the bond</w:t>
      </w:r>
      <w:hyperlink r:id="rId81" w:anchor=":~:text=Cool%20Guys%2C%20LLC%2C%2084%20So,%E2%80%9D" w:tgtFrame="_blank">
        <w:r>
          <w:rPr>
            <w:rStyle w:val="Hyperlink"/>
          </w:rPr>
          <w:t>caselaw.findlaw.com</w:t>
        </w:r>
      </w:hyperlink>
      <w:r>
        <w:rPr/>
        <w:t>. The Second DCA noted that the trial court’s reliance on an older Supreme Court case (</w:t>
      </w:r>
      <w:r>
        <w:rPr>
          <w:rStyle w:val="Emphasis"/>
        </w:rPr>
        <w:t>Davis Water &amp; Waste</w:t>
      </w:r>
      <w:r>
        <w:rPr/>
        <w:t>, 1979) was misplaced, since the statute had changed to eliminate any “open-ended” ability to join the surety late</w:t>
      </w:r>
      <w:hyperlink r:id="rId82" w:anchor=":~:text=Cool%20Guys%2C%20LLC%2C%2084%20So,%E2%80%9D" w:tgtFrame="_blank">
        <w:r>
          <w:rPr>
            <w:rStyle w:val="Hyperlink"/>
          </w:rPr>
          <w:t>caselaw.findlaw.com</w:t>
        </w:r>
      </w:hyperlink>
      <w:hyperlink r:id="rId83" w:anchor=":~:text=,is%20of%20course%20allowable%2C%20but" w:tgtFrame="_blank">
        <w:r>
          <w:rPr>
            <w:rStyle w:val="Hyperlink"/>
          </w:rPr>
          <w:t>caselaw.findlaw.com</w:t>
        </w:r>
      </w:hyperlink>
      <w:r>
        <w:rPr/>
        <w:t xml:space="preserve">. In fact, Florida courts had decades earlier reached a similar conclusion under the prior statute: in </w:t>
      </w:r>
      <w:r>
        <w:rPr>
          <w:rStyle w:val="Emphasis"/>
        </w:rPr>
        <w:t>Vic Tanny of Fla., Inc. v. Fred McGilvray, Inc.</w:t>
      </w:r>
      <w:r>
        <w:rPr/>
        <w:t xml:space="preserve"> (1977), the Third DCA reversed a judgment of foreclosure because the lienor sued the owner but failed to add the bond surety within the then-allowed 60 days after a contest, causing the lien to lapse</w:t>
      </w:r>
      <w:hyperlink r:id="rId84" w:anchor=":~:text=Jack%20Stilson%20%26%20Co,transferred%20security%20in%20order%20to" w:tgtFrame="_blank">
        <w:r>
          <w:rPr>
            <w:rStyle w:val="Hyperlink"/>
          </w:rPr>
          <w:t>caselaw.findlaw.com</w:t>
        </w:r>
      </w:hyperlink>
      <w:r>
        <w:rPr/>
        <w:t xml:space="preserve">. This consistency in case law underscores that a lien transfer bond does </w:t>
      </w:r>
      <w:r>
        <w:rPr>
          <w:rStyle w:val="Strong"/>
        </w:rPr>
        <w:t>not</w:t>
      </w:r>
      <w:r>
        <w:rPr/>
        <w:t xml:space="preserve"> protect the lienor from the effects of a Notice of Contest; the lienor must be equally vigilant to sue on the bond in 60 days or lose the claim</w:t>
      </w:r>
      <w:hyperlink r:id="rId85" w:anchor=":~:text=%28,Hall%20thereafter%20filed%20its" w:tgtFrame="_blank">
        <w:r>
          <w:rPr>
            <w:rStyle w:val="Hyperlink"/>
          </w:rPr>
          <w:t>law.justia.com</w:t>
        </w:r>
      </w:hyperlink>
      <w:hyperlink r:id="rId86" w:anchor=":~:text=Lien%20to%20the%20bond%20and,transfer%20their%20lien%20during%20this" w:tgtFrame="_blank">
        <w:r>
          <w:rPr>
            <w:rStyle w:val="Hyperlink"/>
          </w:rPr>
          <w:t>law.justia.com</w:t>
        </w:r>
      </w:hyperlink>
      <w:r>
        <w:rPr/>
        <w:t>.</w:t>
      </w:r>
    </w:p>
    <w:p>
      <w:pPr>
        <w:pStyle w:val="BodyText"/>
        <w:bidi w:val="0"/>
        <w:jc w:val="start"/>
        <w:rPr/>
      </w:pPr>
      <w:r>
        <w:rPr>
          <w:rStyle w:val="Strong"/>
        </w:rPr>
        <w:t>Strategic use of remedies:</w:t>
      </w:r>
      <w:r>
        <w:rPr/>
        <w:t xml:space="preserve"> Owners often employ a combination of methods to dispose of liens. Posting a </w:t>
      </w:r>
      <w:r>
        <w:rPr>
          <w:rStyle w:val="Strong"/>
        </w:rPr>
        <w:t>transfer bond</w:t>
      </w:r>
      <w:r>
        <w:rPr/>
        <w:t xml:space="preserve"> is a popular tactic because it immediately clears the title of the property (useful for sales or refinancing)</w:t>
      </w:r>
      <w:hyperlink r:id="rId87" w:anchor=":~:text=unjust%20enrichment" w:tgtFrame="_blank">
        <w:r>
          <w:rPr>
            <w:rStyle w:val="Hyperlink"/>
          </w:rPr>
          <w:t>caselaw.findlaw.com</w:t>
        </w:r>
      </w:hyperlink>
      <w:hyperlink r:id="rId88" w:anchor=":~:text=After%20Phoenix%20commenced%20the%20action,filed%20a%20motion%20for%20leave" w:tgtFrame="_blank">
        <w:r>
          <w:rPr>
            <w:rStyle w:val="Hyperlink"/>
          </w:rPr>
          <w:t>caselaw.findlaw.com</w:t>
        </w:r>
      </w:hyperlink>
      <w:r>
        <w:rPr/>
        <w:t>. But transferring alone doesn’t hurry the lawsuit; that’s where the Notice of Contest comes in. By recording a contest notice right after transferring the lien to bond, the owner forces the lienor to advance its case quickly against the bond. If the lienor is dilatory, the bond will be released in 60 days and the owner (or surety) won’t have to deal with the claim at all</w:t>
      </w:r>
      <w:hyperlink r:id="rId89" w:anchor=":~:text=The%20legislature%20has%20provided%20a,LLC%2C%2084" w:tgtFrame="_blank">
        <w:r>
          <w:rPr>
            <w:rStyle w:val="Hyperlink"/>
          </w:rPr>
          <w:t>caselaw.findlaw.com</w:t>
        </w:r>
      </w:hyperlink>
      <w:r>
        <w:rPr/>
        <w:t xml:space="preserve">. Essentially, the owner can </w:t>
      </w:r>
      <w:r>
        <w:rPr>
          <w:rStyle w:val="Strong"/>
        </w:rPr>
        <w:t>stack</w:t>
      </w:r>
      <w:r>
        <w:rPr/>
        <w:t xml:space="preserve"> the benefits: the property is free of the lien (thanks to the bond) and the bond itself will evaporate in short order if the lienor doesn’t act. In </w:t>
      </w:r>
      <w:r>
        <w:rPr>
          <w:rStyle w:val="Emphasis"/>
        </w:rPr>
        <w:t>Jon M. Hall Co. v. Canoe Creek</w:t>
      </w:r>
      <w:r>
        <w:rPr/>
        <w:t xml:space="preserve"> (2024), this sequence happened twice – the owner bonded off an original lien and contested it, then the contractor filed an amended (increased) lien which the owner also bonded off and contested during the litigation</w:t>
      </w:r>
      <w:hyperlink r:id="rId90" w:anchor=":~:text=all%20work%20under%20the%20contract%3B,Hall%27s" w:tgtFrame="_blank">
        <w:r>
          <w:rPr>
            <w:rStyle w:val="Hyperlink"/>
          </w:rPr>
          <w:t>law.justia.com</w:t>
        </w:r>
      </w:hyperlink>
      <w:hyperlink r:id="rId91" w:anchor=":~:text=contest%20of%20Hall%27s%20Original%20Claim,Canoe%20Creek%20moved%20for%20partial" w:tgtFrame="_blank">
        <w:r>
          <w:rPr>
            <w:rStyle w:val="Hyperlink"/>
          </w:rPr>
          <w:t>law.justia.com</w:t>
        </w:r>
      </w:hyperlink>
      <w:r>
        <w:rPr/>
        <w:t>. The contractor failed to sue the surety in time for either bond. The Second DCA (on certiorari review) upheld the trial court’s ruling that the lien was extinguished, finding no error in the application of §§ 713.22 and 713.24</w:t>
      </w:r>
      <w:hyperlink r:id="rId92" w:anchor=":~:text=,to%20provide%20construction%20and%20other" w:tgtFrame="_blank">
        <w:r>
          <w:rPr>
            <w:rStyle w:val="Hyperlink"/>
          </w:rPr>
          <w:t>law.justia.com</w:t>
        </w:r>
      </w:hyperlink>
      <w:hyperlink r:id="rId93" w:anchor=":~:text=demonstrated%20any%20departure%2C%20we%20deny,following%20month%2C%20on%20May%2017" w:tgtFrame="_blank">
        <w:r>
          <w:rPr>
            <w:rStyle w:val="Hyperlink"/>
          </w:rPr>
          <w:t>law.justia.com</w:t>
        </w:r>
      </w:hyperlink>
      <w:r>
        <w:rPr/>
        <w:t>. The court explicitly wrote to “discuss [the] contention that the trial court misconstrued sections 713.22 and 713.24” and concluded the statutes were applied correctly</w:t>
      </w:r>
      <w:hyperlink r:id="rId94" w:anchor=":~:text=demonstrated%20any%20departure%2C%20we%20deny,following%20month%2C%20on%20May%2017" w:tgtFrame="_blank">
        <w:r>
          <w:rPr>
            <w:rStyle w:val="Hyperlink"/>
          </w:rPr>
          <w:t>law.justia.com</w:t>
        </w:r>
      </w:hyperlink>
      <w:hyperlink r:id="rId95" w:anchor=":~:text=Canoe%20Creek%20was%20untimely,enforce%20any%20claim%20of%20lien" w:tgtFrame="_blank">
        <w:r>
          <w:rPr>
            <w:rStyle w:val="Hyperlink"/>
          </w:rPr>
          <w:t>law.justia.com</w:t>
        </w:r>
      </w:hyperlink>
      <w:r>
        <w:rPr/>
        <w:t xml:space="preserve">. The clear message: </w:t>
      </w:r>
      <w:r>
        <w:rPr>
          <w:rStyle w:val="Strong"/>
        </w:rPr>
        <w:t>owners may simultaneously use §713.24 and §713.22(2)</w:t>
      </w:r>
      <w:r>
        <w:rPr/>
        <w:t>, and lienors must pursue the substituted security just as rapidly as they would a normal lien foreclosure</w:t>
      </w:r>
      <w:hyperlink r:id="rId96" w:anchor=":~:text=notice%20of%20contest%20of%20the,in%20Hiller%2C%20Canoe%20Creek%20transferred" w:tgtFrame="_blank">
        <w:r>
          <w:rPr>
            <w:rStyle w:val="Hyperlink"/>
          </w:rPr>
          <w:t>law.justia.com</w:t>
        </w:r>
      </w:hyperlink>
      <w:hyperlink r:id="rId97" w:anchor=":~:text=or%20claim%20against%20a%20bond,in%20Hiller%2C%20Canoe%20Creek%20transferred" w:tgtFrame="_blank">
        <w:r>
          <w:rPr>
            <w:rStyle w:val="Hyperlink"/>
          </w:rPr>
          <w:t>law.justia.com</w:t>
        </w:r>
      </w:hyperlink>
      <w:r>
        <w:rPr/>
        <w:t>. Failing that, the lienor forfeits both the lien on the property and the claim against the bond</w:t>
      </w:r>
      <w:hyperlink r:id="rId98" w:anchor=":~:text=notice%20of%20contest%20of%20the,in%20Hiller%2C%20Canoe%20Creek%20transferred" w:tgtFrame="_blank">
        <w:r>
          <w:rPr>
            <w:rStyle w:val="Hyperlink"/>
          </w:rPr>
          <w:t>law.justia.com</w:t>
        </w:r>
      </w:hyperlink>
      <w:hyperlink r:id="rId99" w:anchor=":~:text=Hall%27s%20failure%20to%20seek%20to,why%20the%20statutory%20language%20as" w:tgtFrame="_blank">
        <w:r>
          <w:rPr>
            <w:rStyle w:val="Hyperlink"/>
          </w:rPr>
          <w:t>law.justia.com</w:t>
        </w:r>
      </w:hyperlink>
      <w:r>
        <w:rPr/>
        <w:t>.</w:t>
      </w:r>
    </w:p>
    <w:p>
      <w:pPr>
        <w:pStyle w:val="BodyText"/>
        <w:bidi w:val="0"/>
        <w:jc w:val="start"/>
        <w:rPr/>
      </w:pPr>
      <w:r>
        <w:rPr/>
        <w:t xml:space="preserve">One nuance is that if a lienor files suit </w:t>
      </w:r>
      <w:r>
        <w:rPr>
          <w:rStyle w:val="Emphasis"/>
        </w:rPr>
        <w:t>before</w:t>
      </w:r>
      <w:r>
        <w:rPr/>
        <w:t xml:space="preserve"> the lien is transferred to bond (as is often the case), and then the owner contests the lien post-transfer, the lienor should </w:t>
      </w:r>
      <w:r>
        <w:rPr>
          <w:rStyle w:val="Strong"/>
        </w:rPr>
        <w:t>amend the pending complaint</w:t>
      </w:r>
      <w:r>
        <w:rPr/>
        <w:t xml:space="preserve"> to add a count against the bond (and name the surety) within the 60 days</w:t>
      </w:r>
      <w:hyperlink r:id="rId100" w:anchor=":~:text=Phoenix%20did%20not%20immediately%20move,At%20the%20hearing%20on" w:tgtFrame="_blank">
        <w:r>
          <w:rPr>
            <w:rStyle w:val="Hyperlink"/>
          </w:rPr>
          <w:t>linkedin.com</w:t>
        </w:r>
      </w:hyperlink>
      <w:hyperlink r:id="rId101" w:anchor=":~:text=against%20the%20surety%20within%2060,amended%20the%20Florida%20Statute%20concerning" w:tgtFrame="_blank">
        <w:r>
          <w:rPr>
            <w:rStyle w:val="Hyperlink"/>
          </w:rPr>
          <w:t>linkedin.com</w:t>
        </w:r>
      </w:hyperlink>
      <w:r>
        <w:rPr/>
        <w:t>. Filing a brand new lawsuit is not necessary if one is already pending; an amendment will suffice as long as it is done timely and properly. However, a late amendment (after 60 days) will be futile – courts have held it cannot relate back to avoid the deadline</w:t>
      </w:r>
      <w:hyperlink r:id="rId102" w:anchor=":~:text=Phoenix%20did%20not%20immediately%20move,At%20the%20hearing%20on" w:tgtFrame="_blank">
        <w:r>
          <w:rPr>
            <w:rStyle w:val="Hyperlink"/>
          </w:rPr>
          <w:t>linkedin.com</w:t>
        </w:r>
      </w:hyperlink>
      <w:hyperlink r:id="rId103" w:anchor=":~:text=against%20the%20surety%20within%2060,amended%20the%20Florida%20Statute%20concerning" w:tgtFrame="_blank">
        <w:r>
          <w:rPr>
            <w:rStyle w:val="Hyperlink"/>
          </w:rPr>
          <w:t>linkedin.com</w:t>
        </w:r>
      </w:hyperlink>
      <w:r>
        <w:rPr/>
        <w:t xml:space="preserve">. The lienor in </w:t>
      </w:r>
      <w:r>
        <w:rPr>
          <w:rStyle w:val="Emphasis"/>
        </w:rPr>
        <w:t>Hiller</w:t>
      </w:r>
      <w:r>
        <w:rPr/>
        <w:t xml:space="preserve"> learned this the hard way: its post-deadline motion to supplement the complaint was ultimately moot because the bond had vanished by operation of law</w:t>
      </w:r>
      <w:hyperlink r:id="rId104" w:anchor=":~:text=During%20a%20hearing%20on%20these,Davis%20Water%20%26%20Waste" w:tgtFrame="_blank">
        <w:r>
          <w:rPr>
            <w:rStyle w:val="Hyperlink"/>
          </w:rPr>
          <w:t>caselaw.findlaw.com</w:t>
        </w:r>
      </w:hyperlink>
      <w:hyperlink r:id="rId105" w:anchor=":~:text=bond%20would%20extinguish%20automatically%20by,motion%20for%20return%20of%20the" w:tgtFrame="_blank">
        <w:r>
          <w:rPr>
            <w:rStyle w:val="Hyperlink"/>
          </w:rPr>
          <w:t>caselaw.findlaw.com</w:t>
        </w:r>
      </w:hyperlink>
      <w:r>
        <w:rPr/>
        <w:t>. Similarly, if multiple liens or amended liens are involved, each transfer and contest will impose its own 60-day fuse for enforcement against the respective security</w:t>
      </w:r>
      <w:hyperlink r:id="rId106" w:anchor=":~:text=against%20the%20surety%20within%20sixty,Claim%20of%20Lien%20to%20bond" w:tgtFrame="_blank">
        <w:r>
          <w:rPr>
            <w:rStyle w:val="Hyperlink"/>
          </w:rPr>
          <w:t>law.justia.com</w:t>
        </w:r>
      </w:hyperlink>
      <w:hyperlink r:id="rId107" w:anchor=":~:text=Claim%20of%20Lien,Amended%20Claim%20of%20Lien%2C%20asserting" w:tgtFrame="_blank">
        <w:r>
          <w:rPr>
            <w:rStyle w:val="Hyperlink"/>
          </w:rPr>
          <w:t>law.justia.com</w:t>
        </w:r>
      </w:hyperlink>
      <w:r>
        <w:rPr/>
        <w:t xml:space="preserve">. Owners should be mindful to contest </w:t>
      </w:r>
      <w:r>
        <w:rPr>
          <w:rStyle w:val="Strong"/>
        </w:rPr>
        <w:t>each lien or significant amendment</w:t>
      </w:r>
      <w:r>
        <w:rPr/>
        <w:t xml:space="preserve"> to avoid any argument that a new one-year period applies. But per </w:t>
      </w:r>
      <w:r>
        <w:rPr>
          <w:rStyle w:val="Emphasis"/>
        </w:rPr>
        <w:t>Jack Stilson</w:t>
      </w:r>
      <w:r>
        <w:rPr/>
        <w:t>, an amended lien doesn’t extend the time – a single Notice of Contest can accelerate all related lien claims by that lienor on the project</w:t>
      </w:r>
      <w:hyperlink r:id="rId108" w:anchor=":~:text=This%20exact%20scenario%20was%20addressed,Contest%20of%20Lien%20is%20recorded" w:tgtFrame="_blank">
        <w:r>
          <w:rPr>
            <w:rStyle w:val="Hyperlink"/>
          </w:rPr>
          <w:t>floridaconstructionlegalupdates.com</w:t>
        </w:r>
      </w:hyperlink>
      <w:r>
        <w:rPr/>
        <w:t>.</w:t>
      </w:r>
    </w:p>
    <w:p>
      <w:pPr>
        <w:pStyle w:val="BodyText"/>
        <w:bidi w:val="0"/>
        <w:jc w:val="start"/>
        <w:rPr/>
      </w:pPr>
      <w:r>
        <w:rPr/>
        <w:t xml:space="preserve">In sum, Florida courts have harmonized the lien-contest statute and the bond-transfer statute to give owners a powerful one-two punch. The case law (from </w:t>
      </w:r>
      <w:r>
        <w:rPr>
          <w:rStyle w:val="Emphasis"/>
        </w:rPr>
        <w:t>Vic Tanny</w:t>
      </w:r>
      <w:r>
        <w:rPr/>
        <w:t xml:space="preserve"> in 1977 up through </w:t>
      </w:r>
      <w:r>
        <w:rPr>
          <w:rStyle w:val="Emphasis"/>
        </w:rPr>
        <w:t>Hall</w:t>
      </w:r>
      <w:r>
        <w:rPr/>
        <w:t xml:space="preserve"> in 2024) consistently holds that if a lien is transferred during an enforcement proceeding, the owner can </w:t>
      </w:r>
      <w:r>
        <w:rPr>
          <w:rStyle w:val="Strong"/>
        </w:rPr>
        <w:t>“shorten the time…to commence an action to enforce any…claim against a bond”</w:t>
      </w:r>
      <w:r>
        <w:rPr/>
        <w:t xml:space="preserve"> to 60 days via a contest notice</w:t>
      </w:r>
      <w:hyperlink r:id="rId109" w:anchor=":~:text=section%20713,3d%20935%2C%20937%20%28Fla" w:tgtFrame="_blank">
        <w:r>
          <w:rPr>
            <w:rStyle w:val="Hyperlink"/>
          </w:rPr>
          <w:t>law.justia.com</w:t>
        </w:r>
      </w:hyperlink>
      <w:hyperlink r:id="rId110" w:anchor=":~:text=bond%20during%20litigation%2C%20and%20the,contractor%20did%20not%20file%20suit" w:tgtFrame="_blank">
        <w:r>
          <w:rPr>
            <w:rStyle w:val="Hyperlink"/>
          </w:rPr>
          <w:t>law.justia.com</w:t>
        </w:r>
      </w:hyperlink>
      <w:r>
        <w:rPr/>
        <w:t xml:space="preserve">. If the lienor fails to meet that deadline, </w:t>
      </w:r>
      <w:r>
        <w:rPr>
          <w:rStyle w:val="Strong"/>
        </w:rPr>
        <w:t>the security is released and the lien claim is dead</w:t>
      </w:r>
      <w:hyperlink r:id="rId111" w:anchor=":~:text=The%20legislature%20has%20provided%20a,LLC%2C%2084" w:tgtFrame="_blank">
        <w:r>
          <w:rPr>
            <w:rStyle w:val="Hyperlink"/>
          </w:rPr>
          <w:t>caselaw.findlaw.com</w:t>
        </w:r>
      </w:hyperlink>
      <w:r>
        <w:rPr/>
        <w:t>. The judiciary’s only role is enforcing these outcomes; courts will not intervene to give lenience because the statutes are considered self-executing in this regard</w:t>
      </w:r>
      <w:hyperlink r:id="rId112" w:anchor=":~:text=filing%20an%20action%20against%20a,Inc" w:tgtFrame="_blank">
        <w:r>
          <w:rPr>
            <w:rStyle w:val="Hyperlink"/>
          </w:rPr>
          <w:t>caselaw.findlaw.com</w:t>
        </w:r>
      </w:hyperlink>
      <w:hyperlink r:id="rId113" w:anchor=":~:text=the%20transfer%20results%20in%20the,%E2%80%9D" w:tgtFrame="_blank">
        <w:r>
          <w:rPr>
            <w:rStyle w:val="Hyperlink"/>
          </w:rPr>
          <w:t>caselaw.findlaw.com</w:t>
        </w:r>
      </w:hyperlink>
      <w:r>
        <w:rPr/>
        <w:t xml:space="preserve">. Whether via a 20-day show-cause order or a 60-day contest of lien, the theme is the same: Chapter 713’s special procedures are intended to </w:t>
      </w:r>
      <w:r>
        <w:rPr>
          <w:rStyle w:val="Strong"/>
        </w:rPr>
        <w:t>speedily discharge liens</w:t>
      </w:r>
      <w:r>
        <w:rPr/>
        <w:t xml:space="preserve"> if lienors do not timely bring them to court</w:t>
      </w:r>
      <w:hyperlink r:id="rId114" w:anchor=":~:text=proceeding%2C%20namely%20that%20owners%20and,%E2%80%9D" w:tgtFrame="_blank">
        <w:r>
          <w:rPr>
            <w:rStyle w:val="Hyperlink"/>
          </w:rPr>
          <w:t>caselaw.findlaw.com</w:t>
        </w:r>
      </w:hyperlink>
      <w:hyperlink r:id="rId115" w:anchor=":~:text=certain%20other%20groups%2C%20the%20special," w:tgtFrame="_blank">
        <w:r>
          <w:rPr>
            <w:rStyle w:val="Hyperlink"/>
          </w:rPr>
          <w:t>floridabar.org</w:t>
        </w:r>
      </w:hyperlink>
      <w:r>
        <w:rPr/>
        <w:t xml:space="preserve">. As one court observed, </w:t>
      </w:r>
      <w:r>
        <w:rPr>
          <w:rStyle w:val="Strong"/>
        </w:rPr>
        <w:t>“a fundamental purpose”</w:t>
      </w:r>
      <w:r>
        <w:rPr/>
        <w:t xml:space="preserve"> of these provisions is the </w:t>
      </w:r>
      <w:r>
        <w:rPr>
          <w:rStyle w:val="Strong"/>
        </w:rPr>
        <w:t>“speedy determination of mechanic’s lien claims.”</w:t>
      </w:r>
      <w:hyperlink r:id="rId116" w:anchor=":~:text=proceeding%2C%20namely%20that%20owners%20and,%E2%80%9D" w:tgtFrame="_blank">
        <w:r>
          <w:rPr>
            <w:rStyle w:val="Hyperlink"/>
          </w:rPr>
          <w:t>caselaw.findlaw.com</w:t>
        </w:r>
      </w:hyperlink>
      <w:r>
        <w:rPr/>
        <w:t xml:space="preserve"> Owners can freely choose the method best suited to their needs (administrative contest vs. judicial show-cause vs. bonding off), and even combine them, to achieve a prompt resolution. Lienors, consequently, must be prepared to prosecute their claims on very short notice or risk losing the security for their claim.</w:t>
      </w:r>
    </w:p>
    <w:p>
      <w:pPr>
        <w:pStyle w:val="Heading2"/>
        <w:bidi w:val="0"/>
        <w:jc w:val="start"/>
        <w:rPr/>
      </w:pPr>
      <w:r>
        <w:rPr/>
        <w:t>Practical Guidance for Owners, Lienors, and Lenders</w:t>
      </w:r>
    </w:p>
    <w:p>
      <w:pPr>
        <w:pStyle w:val="BodyText"/>
        <w:bidi w:val="0"/>
        <w:jc w:val="start"/>
        <w:rPr/>
      </w:pPr>
      <w:r>
        <w:rPr/>
        <w:t xml:space="preserve">Florida’s case law on Notices of Contest of Lien reveals a clear trend: </w:t>
      </w:r>
      <w:r>
        <w:rPr>
          <w:rStyle w:val="Strong"/>
        </w:rPr>
        <w:t>courts strictly enforce the statute’s technical requirements and deadlines</w:t>
      </w:r>
      <w:r>
        <w:rPr/>
        <w:t xml:space="preserve"> to the letter. Both owners and lienors can take away valuable lessons and preventative strategies from these decisions:</w:t>
      </w:r>
    </w:p>
    <w:p>
      <w:pPr>
        <w:pStyle w:val="BodyText"/>
        <w:numPr>
          <w:ilvl w:val="0"/>
          <w:numId w:val="1"/>
        </w:numPr>
        <w:tabs>
          <w:tab w:val="clear" w:pos="709"/>
          <w:tab w:val="left" w:pos="709" w:leader="none"/>
        </w:tabs>
        <w:bidi w:val="0"/>
        <w:ind w:hanging="283" w:start="709"/>
        <w:jc w:val="start"/>
        <w:rPr/>
      </w:pPr>
      <w:r>
        <w:rPr>
          <w:rStyle w:val="Strong"/>
        </w:rPr>
        <w:t>Owners/Developers:</w:t>
      </w:r>
      <w:r>
        <w:rPr/>
        <w:t xml:space="preserve"> A Notice of Contest of Lien is a </w:t>
      </w:r>
      <w:r>
        <w:rPr>
          <w:rStyle w:val="Strong"/>
        </w:rPr>
        <w:t>powerful and often decisive tool</w:t>
      </w:r>
      <w:r>
        <w:rPr/>
        <w:t xml:space="preserve"> to remove clouded title. To use it effectively, owners should ensure absolute compliance with §713.22(2)’s procedure. This means using the correct statutory form (or the clerk’s form), accurately identifying the lien and property, and recording the notice in the proper county. Double-check that the lienor’s name and address on the notice match the lien. Pay the clerk’s service fee and verify the </w:t>
      </w:r>
      <w:r>
        <w:rPr>
          <w:rStyle w:val="Strong"/>
        </w:rPr>
        <w:t>certificate of service</w:t>
      </w:r>
      <w:r>
        <w:rPr/>
        <w:t>—the 60-day clock doesn’t start until the lienor is served</w:t>
      </w:r>
      <w:hyperlink r:id="rId117" w:anchor=":~:text=,services%20as%20provided%20by%20law" w:tgtFrame="_blank">
        <w:r>
          <w:rPr>
            <w:rStyle w:val="Hyperlink"/>
          </w:rPr>
          <w:t>jimersonfirm.com</w:t>
        </w:r>
      </w:hyperlink>
      <w:r>
        <w:rPr/>
        <w:t xml:space="preserve">. It’s wise to calendar the deadline a few days earlier than 60 days out, so that if the lienor </w:t>
      </w:r>
      <w:r>
        <w:rPr>
          <w:rStyle w:val="Emphasis"/>
        </w:rPr>
        <w:t>does</w:t>
      </w:r>
      <w:r>
        <w:rPr/>
        <w:t xml:space="preserve"> file a last-minute suit, you can immediately confirm whether they met the deadline. If the lienor fails to act by day 60, the lien is extinguished without further ado</w:t>
      </w:r>
      <w:hyperlink r:id="rId118" w:anchor=":~:text=to%20enforce%20a%20lien%20not,without%20intervention%20of%20the%20court%E2%80%9D" w:tgtFrame="_blank">
        <w:r>
          <w:rPr>
            <w:rStyle w:val="Hyperlink"/>
          </w:rPr>
          <w:t>caselaw.findlaw.com</w:t>
        </w:r>
      </w:hyperlink>
      <w:r>
        <w:rPr/>
        <w:t xml:space="preserve">. In that event, an owner should be prepared to obtain a discharge of lien or an order releasing any transfer bond from the court, if the lienor refuses to acknowledge the lien’s death. Owners who prevail in having a lien extinguished are generally entitled to recover their attorneys’ fees under the Lien Law (as prevailing parties under §713.29), so there is an added deterrent against lienors trying to prolong an invalid lien claim. In short, owners should not hesitate to invoke a Notice of Contest for stale or suspect liens – </w:t>
      </w:r>
      <w:r>
        <w:rPr>
          <w:rStyle w:val="Strong"/>
        </w:rPr>
        <w:t>but must do so meticulously</w:t>
      </w:r>
      <w:r>
        <w:rPr/>
        <w:t>. Minor mistakes (wrong form, recording error, etc.) can nullify the effort. When in doubt, consulting an experienced construction lawyer or the clerk’s office for the proper form is advisable before recording.</w:t>
      </w:r>
    </w:p>
    <w:p>
      <w:pPr>
        <w:pStyle w:val="BodyText"/>
        <w:numPr>
          <w:ilvl w:val="0"/>
          <w:numId w:val="1"/>
        </w:numPr>
        <w:tabs>
          <w:tab w:val="clear" w:pos="709"/>
          <w:tab w:val="left" w:pos="709" w:leader="none"/>
        </w:tabs>
        <w:bidi w:val="0"/>
        <w:ind w:hanging="283" w:start="709"/>
        <w:jc w:val="start"/>
        <w:rPr/>
      </w:pPr>
      <w:r>
        <w:rPr>
          <w:rStyle w:val="Strong"/>
        </w:rPr>
        <w:t>Contractors/Lienors:</w:t>
      </w:r>
      <w:r>
        <w:rPr/>
        <w:t xml:space="preserve"> From the lienor’s perspective, the moment a Notice of Contest arrives (or is even suspected – e.g., you receive a clerk’s certified mail), </w:t>
      </w:r>
      <w:r>
        <w:rPr>
          <w:rStyle w:val="Strong"/>
        </w:rPr>
        <w:t>immediate action</w:t>
      </w:r>
      <w:r>
        <w:rPr/>
        <w:t xml:space="preserve"> is required. Do </w:t>
      </w:r>
      <w:r>
        <w:rPr>
          <w:rStyle w:val="Strong"/>
        </w:rPr>
        <w:t>not</w:t>
      </w:r>
      <w:r>
        <w:rPr/>
        <w:t xml:space="preserve"> ignore or set aside the notice, even if you think it’s defective or believe your ongoing lawsuit covers it</w:t>
      </w:r>
      <w:hyperlink r:id="rId119" w:anchor=":~:text=Contest%20of%20Lien%2C%20do%20NOT,Lien%20based%20on%20its%20utility" w:tgtFrame="_blank">
        <w:r>
          <w:rPr>
            <w:rStyle w:val="Hyperlink"/>
          </w:rPr>
          <w:t>floridaconstructionlegalupdates.com</w:t>
        </w:r>
      </w:hyperlink>
      <w:hyperlink r:id="rId120" w:anchor=":~:text=If%2C%20as%20was%20the%20case,lien%20and%20or%20bond%20rights" w:tgtFrame="_blank">
        <w:r>
          <w:rPr>
            <w:rStyle w:val="Hyperlink"/>
          </w:rPr>
          <w:t>jimersonfirm.com</w:t>
        </w:r>
      </w:hyperlink>
      <w:r>
        <w:rPr/>
        <w:t xml:space="preserve">. The safest course is to assume the clock is ticking and calculate the 60-day deadline. Contact your attorney right away; if you don’t have one, this is the time to get one. If you have already filed a foreclosure action, discuss with counsel whether you need to </w:t>
      </w:r>
      <w:r>
        <w:rPr>
          <w:rStyle w:val="Strong"/>
        </w:rPr>
        <w:t>amend the complaint</w:t>
      </w:r>
      <w:r>
        <w:rPr/>
        <w:t xml:space="preserve"> to add parties (like a bond surety) or add counts (for the bond) within the 60 days</w:t>
      </w:r>
      <w:hyperlink r:id="rId121" w:anchor=":~:text=Phoenix%20did%20not%20immediately%20move,At%20the%20hearing%20on" w:tgtFrame="_blank">
        <w:r>
          <w:rPr>
            <w:rStyle w:val="Hyperlink"/>
          </w:rPr>
          <w:t>linkedin.com</w:t>
        </w:r>
      </w:hyperlink>
      <w:hyperlink r:id="rId122" w:anchor=":~:text=against%20the%20surety%20within%2060,amended%20the%20Florida%20Statute%20concerning" w:tgtFrame="_blank">
        <w:r>
          <w:rPr>
            <w:rStyle w:val="Hyperlink"/>
          </w:rPr>
          <w:t>linkedin.com</w:t>
        </w:r>
      </w:hyperlink>
      <w:r>
        <w:rPr/>
        <w:t>. Do not rely on any “relation back” argument to save a late amendment – Florida courts have rejected that approach</w:t>
      </w:r>
      <w:hyperlink r:id="rId123" w:anchor=":~:text=It%20is%20undisputed%20that%20Phoenix,include%20the%20requirement%20that%20an" w:tgtFrame="_blank">
        <w:r>
          <w:rPr>
            <w:rStyle w:val="Hyperlink"/>
          </w:rPr>
          <w:t>caselaw.findlaw.com</w:t>
        </w:r>
      </w:hyperlink>
      <w:hyperlink r:id="rId124" w:anchor=":~:text=others%20who%20rely%20on%20the,file%20the%20lien%20or%20suit" w:tgtFrame="_blank">
        <w:r>
          <w:rPr>
            <w:rStyle w:val="Hyperlink"/>
          </w:rPr>
          <w:t>caselaw.findlaw.com</w:t>
        </w:r>
      </w:hyperlink>
      <w:r>
        <w:rPr/>
        <w:t xml:space="preserve">. If you have </w:t>
      </w:r>
      <w:r>
        <w:rPr>
          <w:rStyle w:val="Emphasis"/>
        </w:rPr>
        <w:t>not</w:t>
      </w:r>
      <w:r>
        <w:rPr/>
        <w:t xml:space="preserve"> filed suit yet, you should aim to file well before the 60th day, not at the last minute. This leaves room to correct any issues (such as a missing contractor’s affidavit or wrong venue) that could otherwise doom your case. Remember that if you’re a contractor, you must also serve the owner a </w:t>
      </w:r>
      <w:r>
        <w:rPr>
          <w:rStyle w:val="Strong"/>
        </w:rPr>
        <w:t>final payment affidavit</w:t>
      </w:r>
      <w:r>
        <w:rPr/>
        <w:t xml:space="preserve"> at least 5 days before filing the foreclosure complaint, and that too must happen within the 60-day window</w:t>
      </w:r>
      <w:hyperlink r:id="rId125" w:anchor=":~:text=On%20December%205%2C%202000%2C%20the,court%20later%20dismissed%20the%20case" w:tgtFrame="_blank">
        <w:r>
          <w:rPr>
            <w:rStyle w:val="Hyperlink"/>
          </w:rPr>
          <w:t>caselaw.findlaw.com</w:t>
        </w:r>
      </w:hyperlink>
      <w:hyperlink r:id="rId126" w:anchor=":~:text=Pierson%20contends%20that%20its%20suit,2000%20filing%20of%20the%20lawsuit" w:tgtFrame="_blank">
        <w:r>
          <w:rPr>
            <w:rStyle w:val="Hyperlink"/>
          </w:rPr>
          <w:t>caselaw.findlaw.com</w:t>
        </w:r>
      </w:hyperlink>
      <w:r>
        <w:rPr/>
        <w:t xml:space="preserve">. Failure to do so can extinguish your lien even if the lawsuit itself was timely. Also, be aware that </w:t>
      </w:r>
      <w:r>
        <w:rPr>
          <w:rStyle w:val="Strong"/>
        </w:rPr>
        <w:t>amending your lien for more money will not extend your time</w:t>
      </w:r>
      <w:r>
        <w:rPr/>
        <w:t xml:space="preserve"> if a contest has been filed</w:t>
      </w:r>
      <w:hyperlink r:id="rId127" w:anchor=":~:text=This%20exact%20scenario%20was%20addressed,Contest%20of%20Lien%20is%20recorded" w:tgtFrame="_blank">
        <w:r>
          <w:rPr>
            <w:rStyle w:val="Hyperlink"/>
          </w:rPr>
          <w:t>floridaconstructionlegalupdates.com</w:t>
        </w:r>
      </w:hyperlink>
      <w:r>
        <w:rPr/>
        <w:t xml:space="preserve">. The 60 days runs from the date of service of the notice on your original lien, and an amendment won’t reset the clock. In summary, lienors should diarize all deadlines and err on the side of </w:t>
      </w:r>
      <w:r>
        <w:rPr>
          <w:rStyle w:val="Strong"/>
        </w:rPr>
        <w:t>over-compliance</w:t>
      </w:r>
      <w:r>
        <w:rPr/>
        <w:t xml:space="preserve"> – file suit early, join all necessary parties, and make sure every precondition is met. This strict approach is necessary because Florida courts have shown no leniency for those who miss deadlines or omit required steps</w:t>
      </w:r>
      <w:hyperlink r:id="rId128" w:anchor=":~:text=The%20legislature%20has%20provided%20a,LLC%2C%2084" w:tgtFrame="_blank">
        <w:r>
          <w:rPr>
            <w:rStyle w:val="Hyperlink"/>
          </w:rPr>
          <w:t>caselaw.findlaw.com</w:t>
        </w:r>
      </w:hyperlink>
      <w:hyperlink r:id="rId129" w:anchor=":~:text=%E2%80%9C,Bergeron" w:tgtFrame="_blank">
        <w:r>
          <w:rPr>
            <w:rStyle w:val="Hyperlink"/>
          </w:rPr>
          <w:t>caselaw.findlaw.com</w:t>
        </w:r>
      </w:hyperlink>
      <w:r>
        <w:rPr/>
        <w:t xml:space="preserve">. Finally, always keep your </w:t>
      </w:r>
      <w:r>
        <w:rPr>
          <w:rStyle w:val="Strong"/>
        </w:rPr>
        <w:t>address updated</w:t>
      </w:r>
      <w:r>
        <w:rPr/>
        <w:t xml:space="preserve"> on any recorded lien documents. If you move or have a different mailing address than what was on the lien, record an amendment or at least ensure forwarding of mail, so that a Notice of Contest will reach you or someone who will alert you. Many lienors have lost rights simply because the notice went to an unattended mailbox or a company agent who didn’t forward it in time</w:t>
      </w:r>
      <w:hyperlink r:id="rId130" w:anchor=":~:text=which%20it%20did" w:tgtFrame="_blank">
        <w:r>
          <w:rPr>
            <w:rStyle w:val="Hyperlink"/>
          </w:rPr>
          <w:t>caselaw.findlaw.com</w:t>
        </w:r>
      </w:hyperlink>
      <w:r>
        <w:rPr/>
        <w:t>.</w:t>
      </w:r>
    </w:p>
    <w:p>
      <w:pPr>
        <w:pStyle w:val="BodyText"/>
        <w:numPr>
          <w:ilvl w:val="0"/>
          <w:numId w:val="1"/>
        </w:numPr>
        <w:tabs>
          <w:tab w:val="clear" w:pos="709"/>
          <w:tab w:val="left" w:pos="709" w:leader="none"/>
        </w:tabs>
        <w:bidi w:val="0"/>
        <w:ind w:hanging="283" w:start="709"/>
        <w:jc w:val="start"/>
        <w:rPr/>
      </w:pPr>
      <w:r>
        <w:rPr>
          <w:rStyle w:val="Strong"/>
        </w:rPr>
        <w:t>Lenders &amp; Title Interests:</w:t>
      </w:r>
      <w:r>
        <w:rPr/>
        <w:t xml:space="preserve"> The 60-day contest mechanism is also important for construction lenders, title insurers, and property buyers. A recorded Notice of Contest puts third parties on notice that a lien’s lifespan has been truncated. For example, a lender considering a refinance or a buyer under contract should check the public records for any Notices of Contest, as they indicate that a lien may expire sooner than the normal one year. If 60 days have passed since service of a contest and no lawsuit was filed, the lien is </w:t>
      </w:r>
      <w:r>
        <w:rPr>
          <w:rStyle w:val="Emphasis"/>
        </w:rPr>
        <w:t>dead</w:t>
      </w:r>
      <w:r>
        <w:rPr/>
        <w:t xml:space="preserve"> by operation of law</w:t>
      </w:r>
      <w:hyperlink r:id="rId131" w:anchor=":~:text=The%20legislature%20has%20provided%20a,LLC%2C%2084" w:tgtFrame="_blank">
        <w:r>
          <w:rPr>
            <w:rStyle w:val="Hyperlink"/>
          </w:rPr>
          <w:t>caselaw.findlaw.com</w:t>
        </w:r>
      </w:hyperlink>
      <w:r>
        <w:rPr/>
        <w:t xml:space="preserve"> – though it’s prudent to obtain a formal discharge or court order to clear the record. Conversely, if a foreclosure action is filed within the 60 days, the lien remains alive (attached either to the property or a bond) and the title stakeholders should monitor that litigation. The overarching purpose of the contest provision is to give certainty to when lien claims end, which benefits lenders and buyers who need clear title</w:t>
      </w:r>
      <w:hyperlink r:id="rId132" w:anchor=":~:text=,is%20of%20course%20allowable%2C%20but" w:tgtFrame="_blank">
        <w:r>
          <w:rPr>
            <w:rStyle w:val="Hyperlink"/>
          </w:rPr>
          <w:t>caselaw.findlaw.com</w:t>
        </w:r>
      </w:hyperlink>
      <w:hyperlink r:id="rId133" w:anchor=":~:text=,file%20the%20lien%20or%20suit" w:tgtFrame="_blank">
        <w:r>
          <w:rPr>
            <w:rStyle w:val="Hyperlink"/>
          </w:rPr>
          <w:t>linkedin.com</w:t>
        </w:r>
      </w:hyperlink>
      <w:r>
        <w:rPr/>
        <w:t xml:space="preserve">. Construction lenders can encourage their borrower clients (property owners) to use the Notice of Contest to eliminate lingering liens that aren’t being foreclosed, thereby improving the project’s title status. Additionally, if a lender or subsequent purchaser finds an old lien that the owner neglected to contest, they themselves (as parties with interest in the property) may be able to record a Notice of Contest to start the 60-day clock (the statute allows </w:t>
      </w:r>
      <w:r>
        <w:rPr>
          <w:rStyle w:val="Strong"/>
        </w:rPr>
        <w:t>“an owner or the owner’s agent or attorney”</w:t>
      </w:r>
      <w:r>
        <w:rPr/>
        <w:t xml:space="preserve"> to record the notice, and an argument could be made for an owner’s successor or other interested party to do so)</w:t>
      </w:r>
      <w:hyperlink r:id="rId134" w:anchor=":~:text=,service%2C%20the%20clerk%20shall%20serve" w:tgtFrame="_blank">
        <w:r>
          <w:rPr>
            <w:rStyle w:val="Hyperlink"/>
          </w:rPr>
          <w:t>jimersonfirm.com</w:t>
        </w:r>
      </w:hyperlink>
      <w:r>
        <w:rPr/>
        <w:t>. All parties relying on title should be aware that once a contest is recorded, the lien’s expiration date is no longer a year from recording but only 60 days from service. This certainty is why Florida’s lien law is attractive to investors – it prevents old liens from stagnating indefinitely</w:t>
      </w:r>
      <w:hyperlink r:id="rId135" w:anchor=":~:text=,is%20of%20course%20allowable%2C%20but" w:tgtFrame="_blank">
        <w:r>
          <w:rPr>
            <w:rStyle w:val="Hyperlink"/>
          </w:rPr>
          <w:t>caselaw.findlaw.com</w:t>
        </w:r>
      </w:hyperlink>
      <w:r>
        <w:rPr/>
        <w:t>.</w:t>
      </w:r>
    </w:p>
    <w:p>
      <w:pPr>
        <w:pStyle w:val="BodyText"/>
        <w:bidi w:val="0"/>
        <w:jc w:val="start"/>
        <w:rPr/>
      </w:pPr>
      <w:r>
        <w:rPr/>
        <w:t xml:space="preserve">In conclusion, Florida courts have consistently reinforced that </w:t>
      </w:r>
      <w:r>
        <w:rPr>
          <w:rStyle w:val="Strong"/>
        </w:rPr>
        <w:t>strict compliance and diligence are paramount</w:t>
      </w:r>
      <w:r>
        <w:rPr/>
        <w:t xml:space="preserve"> under the lien contest framework. As one court aptly noted, </w:t>
      </w:r>
      <w:r>
        <w:rPr>
          <w:rStyle w:val="Strong"/>
        </w:rPr>
        <w:t>“owners and lienors alike should strictly comply with all deadlines under Florida’s lien law. Otherwise, they may be left without the lien law’s protections.”</w:t>
      </w:r>
      <w:hyperlink r:id="rId136" w:anchor=":~:text=bond%20within%2060%20days%20of,without%20the%20lien%20law%E2%80%99s%20protections" w:tgtFrame="_blank">
        <w:r>
          <w:rPr>
            <w:rStyle w:val="Hyperlink"/>
          </w:rPr>
          <w:t>linkedin.com</w:t>
        </w:r>
      </w:hyperlink>
      <w:r>
        <w:rPr/>
        <w:t xml:space="preserve"> Each decision on Notices of Contest underscores a simple practice tip: when in doubt, follow the statute to the letter and act sooner rather than later. Owners should use the contest mechanism confidently but carefully to purge unenforced liens, and lienors must treat any contest notice as an urgent call to action. By heeding the lessons from these cases – meticulous drafting, proper service, and unwavering adherence to deadlines – parties can avoid the common missteps that lead to lost lien rights or protracted legal battles. In the world of construction liens, an old adage holds true: </w:t>
      </w:r>
      <w:r>
        <w:rPr>
          <w:rStyle w:val="Strong"/>
        </w:rPr>
        <w:t>“Time is of the essence.”</w:t>
      </w:r>
      <w:r>
        <w:rPr/>
        <w:t xml:space="preserve"> Florida’s courts will enforce that literally, so all stakeholders are well-advised to plan and act accordingly</w:t>
      </w:r>
      <w:hyperlink r:id="rId137" w:anchor=":~:text=The%20safest%20practice%2C%20of%20course%2C,tested%20on%20a%20substantive%20basis" w:tgtFrame="_blank">
        <w:r>
          <w:rPr>
            <w:rStyle w:val="Hyperlink"/>
          </w:rPr>
          <w:t>floridabar.org</w:t>
        </w:r>
      </w:hyperlink>
      <w:hyperlink r:id="rId138" w:anchor=":~:text=certain%20other%20groups%2C%20the%20special," w:tgtFrame="_blank">
        <w:r>
          <w:rPr>
            <w:rStyle w:val="Hyperlink"/>
          </w:rPr>
          <w:t>floridabar.org</w:t>
        </w:r>
      </w:hyperlink>
      <w:r>
        <w:rPr/>
        <w:t>.</w:t>
      </w:r>
    </w:p>
    <w:p>
      <w:pPr>
        <w:pStyle w:val="BodyText"/>
        <w:bidi w:val="0"/>
        <w:jc w:val="start"/>
        <w:rPr/>
      </w:pPr>
      <w:r>
        <w:rPr>
          <w:rStyle w:val="Strong"/>
        </w:rPr>
        <w:t>Sources:</w:t>
      </w:r>
      <w:r>
        <w:rPr/>
        <w:t xml:space="preserve"> Florida Statutes §713.22(2); </w:t>
      </w:r>
      <w:r>
        <w:rPr>
          <w:rStyle w:val="Emphasis"/>
        </w:rPr>
        <w:t>Jack Stilson &amp; Co. v. Caloosa Bayview Corp.</w:t>
      </w:r>
      <w:r>
        <w:rPr/>
        <w:t xml:space="preserve">, 278 So.2d 282 (Fla. 1973); </w:t>
      </w:r>
      <w:r>
        <w:rPr>
          <w:rStyle w:val="Emphasis"/>
        </w:rPr>
        <w:t>Foy v. Mangum</w:t>
      </w:r>
      <w:r>
        <w:rPr/>
        <w:t>, 528 So.2d 1331 (Fla. 5th DCA 1988)</w:t>
      </w:r>
      <w:hyperlink r:id="rId139" w:anchor=":~:text=in%20section%20713.22%20%282%29.,Palmer%20at%20510" w:tgtFrame="_blank">
        <w:r>
          <w:rPr>
            <w:rStyle w:val="Hyperlink"/>
          </w:rPr>
          <w:t>case-law.vlex.com</w:t>
        </w:r>
      </w:hyperlink>
      <w:r>
        <w:rPr/>
        <w:t xml:space="preserve">; </w:t>
      </w:r>
      <w:r>
        <w:rPr>
          <w:rStyle w:val="Emphasis"/>
        </w:rPr>
        <w:t>Palmer Elec. Servs., Inc. v. Filler</w:t>
      </w:r>
      <w:r>
        <w:rPr/>
        <w:t>, 482 So.2d 509 (Fla. 2d DCA 1986)</w:t>
      </w:r>
      <w:hyperlink r:id="rId140" w:anchor=":~:text=protect%20the%20owner,Palmer%20at%20510" w:tgtFrame="_blank">
        <w:r>
          <w:rPr>
            <w:rStyle w:val="Hyperlink"/>
          </w:rPr>
          <w:t>case-law.vlex.com</w:t>
        </w:r>
      </w:hyperlink>
      <w:r>
        <w:rPr/>
        <w:t xml:space="preserve">; </w:t>
      </w:r>
      <w:r>
        <w:rPr>
          <w:rStyle w:val="Emphasis"/>
        </w:rPr>
        <w:t>Home Electric of Dade Cty. v. Gonas</w:t>
      </w:r>
      <w:r>
        <w:rPr/>
        <w:t>, 547 So.2d 109 (Fla. 1989)</w:t>
      </w:r>
      <w:hyperlink r:id="rId141" w:anchor=":~:text=%E2%80%9C,Bergeron" w:tgtFrame="_blank">
        <w:r>
          <w:rPr>
            <w:rStyle w:val="Hyperlink"/>
          </w:rPr>
          <w:t>caselaw.findlaw.com</w:t>
        </w:r>
      </w:hyperlink>
      <w:r>
        <w:rPr/>
        <w:t xml:space="preserve">; </w:t>
      </w:r>
      <w:r>
        <w:rPr>
          <w:rStyle w:val="Emphasis"/>
        </w:rPr>
        <w:t>Pierson D. Constr., Inc. v. Yudell</w:t>
      </w:r>
      <w:r>
        <w:rPr/>
        <w:t>, 863 So.2d 413 (Fla. 4th DCA 2003)</w:t>
      </w:r>
      <w:hyperlink r:id="rId142" w:anchor=":~:text=Pierson%20contends%20that%20its%20suit,2000%20filing%20of%20the%20lawsuit" w:tgtFrame="_blank">
        <w:r>
          <w:rPr>
            <w:rStyle w:val="Hyperlink"/>
          </w:rPr>
          <w:t>caselaw.findlaw.com</w:t>
        </w:r>
      </w:hyperlink>
      <w:hyperlink r:id="rId143" w:anchor=":~:text=WHERE%20AN%20OWNER%20FILES%20A,22%282" w:tgtFrame="_blank">
        <w:r>
          <w:rPr>
            <w:rStyle w:val="Hyperlink"/>
          </w:rPr>
          <w:t>caselaw.findlaw.com</w:t>
        </w:r>
      </w:hyperlink>
      <w:r>
        <w:rPr/>
        <w:t xml:space="preserve">; </w:t>
      </w:r>
      <w:r>
        <w:rPr>
          <w:rStyle w:val="Emphasis"/>
        </w:rPr>
        <w:t>Site-Prep, Inc. v. TAI</w:t>
      </w:r>
      <w:r>
        <w:rPr/>
        <w:t>, 472 So.2d 766 (Fla. 5th DCA 1985)</w:t>
      </w:r>
      <w:hyperlink r:id="rId144" w:anchor=":~:text=lien%20requiring%20the%20lien%20claimant,referenced%20the%20rule%20of%20procedure" w:tgtFrame="_blank">
        <w:r>
          <w:rPr>
            <w:rStyle w:val="Hyperlink"/>
          </w:rPr>
          <w:t>floridabar.org</w:t>
        </w:r>
      </w:hyperlink>
      <w:r>
        <w:rPr/>
        <w:t xml:space="preserve">; </w:t>
      </w:r>
      <w:r>
        <w:rPr>
          <w:rStyle w:val="Emphasis"/>
        </w:rPr>
        <w:t>Matrix Constr. Corp. v. Mecca Constr., Inc.</w:t>
      </w:r>
      <w:r>
        <w:rPr/>
        <w:t>, 578 So.2d 388 (Fla. 3d DCA 1991)</w:t>
      </w:r>
      <w:hyperlink r:id="rId145" w:anchor=":~:text=In%20a%20series%20of%20rulings%2C,to%20discharge%20the%20lien%2C%20stating" w:tgtFrame="_blank">
        <w:r>
          <w:rPr>
            <w:rStyle w:val="Hyperlink"/>
          </w:rPr>
          <w:t>floridabar.org</w:t>
        </w:r>
      </w:hyperlink>
      <w:r>
        <w:rPr/>
        <w:t xml:space="preserve">; </w:t>
      </w:r>
      <w:r>
        <w:rPr>
          <w:rStyle w:val="Emphasis"/>
        </w:rPr>
        <w:t>Dracon Constr., Inc. v. Facility Constr. Mgmt., Inc.</w:t>
      </w:r>
      <w:r>
        <w:rPr/>
        <w:t>, 828 So.2d 1069 (Fla. 4th DCA 2002)</w:t>
      </w:r>
      <w:hyperlink r:id="rId146" w:anchor=":~:text=Very%20recently%2C%20the%20Fourth%20District,%E2%80%9D" w:tgtFrame="_blank">
        <w:r>
          <w:rPr>
            <w:rStyle w:val="Hyperlink"/>
          </w:rPr>
          <w:t>floridabar.org</w:t>
        </w:r>
      </w:hyperlink>
      <w:r>
        <w:rPr/>
        <w:t xml:space="preserve">; </w:t>
      </w:r>
      <w:r>
        <w:rPr>
          <w:rStyle w:val="Emphasis"/>
        </w:rPr>
        <w:t>Rabil v. Seaside Builders, LLC</w:t>
      </w:r>
      <w:r>
        <w:rPr/>
        <w:t>, 226 So.3d 935 (Fla. 4th DCA 2017)</w:t>
      </w:r>
      <w:hyperlink r:id="rId147" w:anchor=":~:text=No%20one%20disputes%20the%20homeowners,We%20reject%20those%20arguments" w:tgtFrame="_blank">
        <w:r>
          <w:rPr>
            <w:rStyle w:val="Hyperlink"/>
          </w:rPr>
          <w:t>caselaw.findlaw.com</w:t>
        </w:r>
      </w:hyperlink>
      <w:hyperlink r:id="rId148" w:anchor=":~:text=The%20legislature%20has%20provided%20a,LLC%2C%2084" w:tgtFrame="_blank">
        <w:r>
          <w:rPr>
            <w:rStyle w:val="Hyperlink"/>
          </w:rPr>
          <w:t>caselaw.findlaw.com</w:t>
        </w:r>
      </w:hyperlink>
      <w:r>
        <w:rPr/>
        <w:t xml:space="preserve">; </w:t>
      </w:r>
      <w:r>
        <w:rPr>
          <w:rStyle w:val="Emphasis"/>
        </w:rPr>
        <w:t>Cool Guys, LLC v. Jomar Props., LLC</w:t>
      </w:r>
      <w:r>
        <w:rPr/>
        <w:t>, 84 So.3d 1076 (Fla. 4th DCA 2012)</w:t>
      </w:r>
      <w:hyperlink r:id="rId149" w:anchor=":~:text=It%20is%20undisputed%20that%20Phoenix,include%20the%20requirement%20that%20an" w:tgtFrame="_blank">
        <w:r>
          <w:rPr>
            <w:rStyle w:val="Hyperlink"/>
          </w:rPr>
          <w:t>caselaw.findlaw.com</w:t>
        </w:r>
      </w:hyperlink>
      <w:r>
        <w:rPr/>
        <w:t xml:space="preserve">; </w:t>
      </w:r>
      <w:r>
        <w:rPr>
          <w:rStyle w:val="Emphasis"/>
        </w:rPr>
        <w:t>Georgia Hiller v. Phoenix Assocs. of S. Fla., Inc.</w:t>
      </w:r>
      <w:r>
        <w:rPr/>
        <w:t>, 189 So.3d 272 (Fla. 2d DCA 2016)</w:t>
      </w:r>
      <w:hyperlink r:id="rId150" w:anchor=":~:text=Jack%20Stilson%20%26%20Co,because%20nothing%20prevented%20Phoenix%20from" w:tgtFrame="_blank">
        <w:r>
          <w:rPr>
            <w:rStyle w:val="Hyperlink"/>
          </w:rPr>
          <w:t>caselaw.findlaw.com</w:t>
        </w:r>
      </w:hyperlink>
      <w:hyperlink r:id="rId151" w:anchor=":~:text=the%20transfer%20results%20in%20the,%E2%80%9D" w:tgtFrame="_blank">
        <w:r>
          <w:rPr>
            <w:rStyle w:val="Hyperlink"/>
          </w:rPr>
          <w:t>caselaw.findlaw.com</w:t>
        </w:r>
      </w:hyperlink>
      <w:r>
        <w:rPr/>
        <w:t xml:space="preserve">; </w:t>
      </w:r>
      <w:r>
        <w:rPr>
          <w:rStyle w:val="Emphasis"/>
        </w:rPr>
        <w:t>Jon M. Hall Co. v. Canoe Creek Inv., LLC</w:t>
      </w:r>
      <w:r>
        <w:rPr/>
        <w:t>, — So.3d —, 2024 WL 2216612 (Fla. 2d DCA Apr. 12, 2024)</w:t>
      </w:r>
      <w:hyperlink r:id="rId152" w:anchor=":~:text=section%20713,3d%20935%2C%20937%20%28Fla" w:tgtFrame="_blank">
        <w:r>
          <w:rPr>
            <w:rStyle w:val="Hyperlink"/>
          </w:rPr>
          <w:t>law.justia.com</w:t>
        </w:r>
      </w:hyperlink>
      <w:hyperlink r:id="rId153" w:anchor=":~:text=notice%20of%20contest%20of%20the,in%20Hiller%2C%20Canoe%20Creek%20transferred" w:tgtFrame="_blank">
        <w:r>
          <w:rPr>
            <w:rStyle w:val="Hyperlink"/>
          </w:rPr>
          <w:t>law.justia.com</w:t>
        </w:r>
      </w:hyperlink>
      <w:r>
        <w:rPr/>
        <w:t xml:space="preserve">; Fla. Bar Journal, Hollander, </w:t>
      </w:r>
      <w:r>
        <w:rPr>
          <w:rStyle w:val="Strong"/>
        </w:rPr>
        <w:t>“Special Statutory Proceedings for the Discharge of Construction Liens,”</w:t>
      </w:r>
      <w:r>
        <w:rPr/>
        <w:t xml:space="preserve"> 79 Fla. Bar. J. 20 (Feb. 2005)</w:t>
      </w:r>
      <w:hyperlink r:id="rId154" w:anchor=":~:text=The%20safest%20practice%2C%20of%20course%2C,tested%20on%20a%20substantive%20basis" w:tgtFrame="_blank">
        <w:r>
          <w:rPr>
            <w:rStyle w:val="Hyperlink"/>
          </w:rPr>
          <w:t>floridabar.org</w:t>
        </w:r>
      </w:hyperlink>
      <w:hyperlink r:id="rId155" w:anchor=":~:text=subject%20to%20the%20ordinary%20exercise," w:tgtFrame="_blank">
        <w:r>
          <w:rPr>
            <w:rStyle w:val="Hyperlink"/>
          </w:rPr>
          <w:t>floridabar.org</w:t>
        </w:r>
      </w:hyperlink>
      <w:r>
        <w:rPr/>
        <w: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Unicode MS"/>
      <w:b/>
      <w:bCs/>
      <w:sz w:val="36"/>
      <w:szCs w:val="36"/>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aselaw.findlaw.com/fl-district-court-of-appeal/1460985.html" TargetMode="External"/><Relationship Id="rId3" Type="http://schemas.openxmlformats.org/officeDocument/2006/relationships/hyperlink" Target="https://caselaw.findlaw.com/fl-district-court-of-appeal/1460985.html" TargetMode="External"/><Relationship Id="rId4" Type="http://schemas.openxmlformats.org/officeDocument/2006/relationships/hyperlink" Target="https://caselaw.findlaw.com/fl-district-court-of-appeal/1460985.html" TargetMode="External"/><Relationship Id="rId5" Type="http://schemas.openxmlformats.org/officeDocument/2006/relationships/hyperlink" Target="https://caselaw.findlaw.com/fl-district-court-of-appeal/1460985.html" TargetMode="External"/><Relationship Id="rId6" Type="http://schemas.openxmlformats.org/officeDocument/2006/relationships/hyperlink" Target="https://caselaw.findlaw.com/fl-district-court-of-appeal/1872693.html" TargetMode="External"/><Relationship Id="rId7" Type="http://schemas.openxmlformats.org/officeDocument/2006/relationships/hyperlink" Target="https://caselaw.findlaw.com/fl-district-court-of-appeal/1872693.html" TargetMode="External"/><Relationship Id="rId8" Type="http://schemas.openxmlformats.org/officeDocument/2006/relationships/hyperlink" Target="https://caselaw.findlaw.com/court/fl-district-court-of-appeal/1731298.html" TargetMode="External"/><Relationship Id="rId9" Type="http://schemas.openxmlformats.org/officeDocument/2006/relationships/hyperlink" Target="https://caselaw.findlaw.com/court/fl-district-court-of-appeal/1731298.html" TargetMode="External"/><Relationship Id="rId10" Type="http://schemas.openxmlformats.org/officeDocument/2006/relationships/hyperlink" Target="https://www.linkedin.com/pulse/sixty-days-means-court-reiterates-construction-lien-law-thomas-wert" TargetMode="External"/><Relationship Id="rId11" Type="http://schemas.openxmlformats.org/officeDocument/2006/relationships/hyperlink" Target="https://www.floridabar.org/the-florida-bar-journal/special-statutory-proceedings-for-the-discharge-of-construction-liens/" TargetMode="External"/><Relationship Id="rId12" Type="http://schemas.openxmlformats.org/officeDocument/2006/relationships/hyperlink" Target="https://www.floridabar.org/the-florida-bar-journal/special-statutory-proceedings-for-the-discharge-of-construction-liens/" TargetMode="External"/><Relationship Id="rId13" Type="http://schemas.openxmlformats.org/officeDocument/2006/relationships/hyperlink" Target="https://www.floridabar.org/the-florida-bar-journal/special-statutory-proceedings-for-the-discharge-of-construction-liens/" TargetMode="External"/><Relationship Id="rId14" Type="http://schemas.openxmlformats.org/officeDocument/2006/relationships/hyperlink" Target="https://www.floridabar.org/the-florida-bar-journal/special-statutory-proceedings-for-the-discharge-of-construction-liens/" TargetMode="External"/><Relationship Id="rId15" Type="http://schemas.openxmlformats.org/officeDocument/2006/relationships/hyperlink" Target="https://www.floridabar.org/the-florida-bar-journal/special-statutory-proceedings-for-the-discharge-of-construction-liens/" TargetMode="External"/><Relationship Id="rId16" Type="http://schemas.openxmlformats.org/officeDocument/2006/relationships/hyperlink" Target="https://www.floridabar.org/the-florida-bar-journal/special-statutory-proceedings-for-the-discharge-of-construction-liens/" TargetMode="External"/><Relationship Id="rId17" Type="http://schemas.openxmlformats.org/officeDocument/2006/relationships/hyperlink" Target="https://www.floridabar.org/the-florida-bar-journal/special-statutory-proceedings-for-the-discharge-of-construction-liens/" TargetMode="External"/><Relationship Id="rId18" Type="http://schemas.openxmlformats.org/officeDocument/2006/relationships/hyperlink" Target="https://caselaw.findlaw.com/fl-district-court-of-appeal/1460985.html" TargetMode="External"/><Relationship Id="rId19" Type="http://schemas.openxmlformats.org/officeDocument/2006/relationships/hyperlink" Target="https://caselaw.findlaw.com/fl-district-court-of-appeal/1460985.html" TargetMode="External"/><Relationship Id="rId20" Type="http://schemas.openxmlformats.org/officeDocument/2006/relationships/hyperlink" Target="https://caselaw.findlaw.com/fl-district-court-of-appeal/1460985.html" TargetMode="External"/><Relationship Id="rId21" Type="http://schemas.openxmlformats.org/officeDocument/2006/relationships/hyperlink" Target="https://caselaw.findlaw.com/court/fl-district-court-of-appeal/1731298.html" TargetMode="External"/><Relationship Id="rId22" Type="http://schemas.openxmlformats.org/officeDocument/2006/relationships/hyperlink" Target="https://www.floridaconstructionlegalupdates.com/an-amended-lien-does-not-delay-the-60-day-window-to-foreclose-a-lien-when-a-notice-of-contest-of-lien-is-recorded/" TargetMode="External"/><Relationship Id="rId23" Type="http://schemas.openxmlformats.org/officeDocument/2006/relationships/hyperlink" Target="https://case-law.vlex.com/vid/foy-v-mangum-no-885480257" TargetMode="External"/><Relationship Id="rId24" Type="http://schemas.openxmlformats.org/officeDocument/2006/relationships/hyperlink" Target="https://www.linkedin.com/pulse/sixty-days-means-court-reiterates-construction-lien-law-thomas-wert" TargetMode="External"/><Relationship Id="rId25" Type="http://schemas.openxmlformats.org/officeDocument/2006/relationships/hyperlink" Target="https://www.linkedin.com/pulse/sixty-days-means-court-reiterates-construction-lien-law-thomas-wert" TargetMode="External"/><Relationship Id="rId26" Type="http://schemas.openxmlformats.org/officeDocument/2006/relationships/hyperlink" Target="https://www.floridaconstructionlegalupdates.com/an-amended-lien-does-not-delay-the-60-day-window-to-foreclose-a-lien-when-a-notice-of-contest-of-lien-is-recorded/" TargetMode="External"/><Relationship Id="rId27" Type="http://schemas.openxmlformats.org/officeDocument/2006/relationships/hyperlink" Target="https://caselaw.findlaw.com/fl-district-court-of-appeal/1872693.html" TargetMode="External"/><Relationship Id="rId28" Type="http://schemas.openxmlformats.org/officeDocument/2006/relationships/hyperlink" Target="https://caselaw.findlaw.com/court/fl-district-court-of-appeal/1731298.html" TargetMode="External"/><Relationship Id="rId29" Type="http://schemas.openxmlformats.org/officeDocument/2006/relationships/hyperlink" Target="https://caselaw.findlaw.com/court/fl-district-court-of-appeal/1731298.html" TargetMode="External"/><Relationship Id="rId30" Type="http://schemas.openxmlformats.org/officeDocument/2006/relationships/hyperlink" Target="https://www.jimersonfirm.com/blog/2024/06/contesting-construction-lien-claims-contractors-beware-of-the-notice-of-contest-of-lien-during-litigation/" TargetMode="External"/><Relationship Id="rId31" Type="http://schemas.openxmlformats.org/officeDocument/2006/relationships/hyperlink" Target="https://www.jimersonfirm.com/blog/2024/06/contesting-construction-lien-claims-contractors-beware-of-the-notice-of-contest-of-lien-during-litigation/" TargetMode="External"/><Relationship Id="rId32" Type="http://schemas.openxmlformats.org/officeDocument/2006/relationships/hyperlink" Target="https://case-law.vlex.com/vid/foy-v-mangum-no-885480257" TargetMode="External"/><Relationship Id="rId33" Type="http://schemas.openxmlformats.org/officeDocument/2006/relationships/hyperlink" Target="https://caselaw.findlaw.com/court/fl-district-court-of-appeal/1731298.html" TargetMode="External"/><Relationship Id="rId34" Type="http://schemas.openxmlformats.org/officeDocument/2006/relationships/hyperlink" Target="https://case-law.vlex.com/vid/foy-v-mangum-no-885480257" TargetMode="External"/><Relationship Id="rId35" Type="http://schemas.openxmlformats.org/officeDocument/2006/relationships/hyperlink" Target="https://case-law.vlex.com/vid/foy-v-mangum-no-885480257" TargetMode="External"/><Relationship Id="rId36" Type="http://schemas.openxmlformats.org/officeDocument/2006/relationships/hyperlink" Target="https://case-law.vlex.com/vid/foy-v-mangum-no-885480257" TargetMode="External"/><Relationship Id="rId37" Type="http://schemas.openxmlformats.org/officeDocument/2006/relationships/hyperlink" Target="https://case-law.vlex.com/vid/foy-v-mangum-no-885480257" TargetMode="External"/><Relationship Id="rId38" Type="http://schemas.openxmlformats.org/officeDocument/2006/relationships/hyperlink" Target="https://www.jimersonfirm.com/blog/2024/06/contesting-construction-lien-claims-contractors-beware-of-the-notice-of-contest-of-lien-during-litigation/" TargetMode="External"/><Relationship Id="rId39" Type="http://schemas.openxmlformats.org/officeDocument/2006/relationships/hyperlink" Target="https://www.jimersonfirm.com/blog/2024/06/contesting-construction-lien-claims-contractors-beware-of-the-notice-of-contest-of-lien-during-litigation/" TargetMode="External"/><Relationship Id="rId40" Type="http://schemas.openxmlformats.org/officeDocument/2006/relationships/hyperlink" Target="https://www.jimersonfirm.com/blog/2024/06/contesting-construction-lien-claims-contractors-beware-of-the-notice-of-contest-of-lien-during-litigation/" TargetMode="External"/><Relationship Id="rId41" Type="http://schemas.openxmlformats.org/officeDocument/2006/relationships/hyperlink" Target="https://caselaw.findlaw.com/fl-district-court-of-appeal/1872693.html" TargetMode="External"/><Relationship Id="rId42" Type="http://schemas.openxmlformats.org/officeDocument/2006/relationships/hyperlink" Target="https://caselaw.findlaw.com/fl-district-court-of-appeal/1872693.html" TargetMode="External"/><Relationship Id="rId43" Type="http://schemas.openxmlformats.org/officeDocument/2006/relationships/hyperlink" Target="https://caselaw.findlaw.com/fl-district-court-of-appeal/1872693.html" TargetMode="External"/><Relationship Id="rId44" Type="http://schemas.openxmlformats.org/officeDocument/2006/relationships/hyperlink" Target="https://caselaw.findlaw.com/fl-district-court-of-appeal/1872693.html" TargetMode="External"/><Relationship Id="rId45" Type="http://schemas.openxmlformats.org/officeDocument/2006/relationships/hyperlink" Target="https://caselaw.findlaw.com/fl-district-court-of-appeal/1872693.html" TargetMode="External"/><Relationship Id="rId46" Type="http://schemas.openxmlformats.org/officeDocument/2006/relationships/hyperlink" Target="https://caselaw.findlaw.com/fl-district-court-of-appeal/1872693.html" TargetMode="External"/><Relationship Id="rId47" Type="http://schemas.openxmlformats.org/officeDocument/2006/relationships/hyperlink" Target="https://caselaw.findlaw.com/fl-district-court-of-appeal/1872693.html" TargetMode="External"/><Relationship Id="rId48" Type="http://schemas.openxmlformats.org/officeDocument/2006/relationships/hyperlink" Target="https://caselaw.findlaw.com/fl-district-court-of-appeal/1872693.html" TargetMode="External"/><Relationship Id="rId49" Type="http://schemas.openxmlformats.org/officeDocument/2006/relationships/hyperlink" Target="https://caselaw.findlaw.com/fl-district-court-of-appeal/1872693.html" TargetMode="External"/><Relationship Id="rId50" Type="http://schemas.openxmlformats.org/officeDocument/2006/relationships/hyperlink" Target="https://caselaw.findlaw.com/fl-district-court-of-appeal/1872693.html" TargetMode="External"/><Relationship Id="rId51" Type="http://schemas.openxmlformats.org/officeDocument/2006/relationships/hyperlink" Target="https://caselaw.findlaw.com/fl-district-court-of-appeal/1872693.html" TargetMode="External"/><Relationship Id="rId52" Type="http://schemas.openxmlformats.org/officeDocument/2006/relationships/hyperlink" Target="https://caselaw.findlaw.com/fl-district-court-of-appeal/1872693.html" TargetMode="External"/><Relationship Id="rId53" Type="http://schemas.openxmlformats.org/officeDocument/2006/relationships/hyperlink" Target="https://caselaw.findlaw.com/fl-district-court-of-appeal/1872693.html" TargetMode="External"/><Relationship Id="rId54" Type="http://schemas.openxmlformats.org/officeDocument/2006/relationships/hyperlink" Target="https://caselaw.findlaw.com/court/fl-district-court-of-appeal/1731298.html" TargetMode="External"/><Relationship Id="rId55" Type="http://schemas.openxmlformats.org/officeDocument/2006/relationships/hyperlink" Target="https://caselaw.findlaw.com/fl-district-court-of-appeal/1872693.html" TargetMode="External"/><Relationship Id="rId56" Type="http://schemas.openxmlformats.org/officeDocument/2006/relationships/hyperlink" Target="https://www.floridaconstructionlegalupdates.com/notice-of-contest-of-lien-is-a-powerful-tool/" TargetMode="External"/><Relationship Id="rId57" Type="http://schemas.openxmlformats.org/officeDocument/2006/relationships/hyperlink" Target="https://www.jimersonfirm.com/blog/2024/06/contesting-construction-lien-claims-contractors-beware-of-the-notice-of-contest-of-lien-during-litigation/" TargetMode="External"/><Relationship Id="rId58" Type="http://schemas.openxmlformats.org/officeDocument/2006/relationships/hyperlink" Target="https://www.floridabar.org/the-florida-bar-journal/special-statutory-proceedings-for-the-discharge-of-construction-liens/" TargetMode="External"/><Relationship Id="rId59" Type="http://schemas.openxmlformats.org/officeDocument/2006/relationships/hyperlink" Target="https://www.floridabar.org/the-florida-bar-journal/special-statutory-proceedings-for-the-discharge-of-construction-liens/" TargetMode="External"/><Relationship Id="rId60" Type="http://schemas.openxmlformats.org/officeDocument/2006/relationships/hyperlink" Target="https://www.floridabar.org/the-florida-bar-journal/special-statutory-proceedings-for-the-discharge-of-construction-liens/" TargetMode="External"/><Relationship Id="rId61" Type="http://schemas.openxmlformats.org/officeDocument/2006/relationships/hyperlink" Target="https://www.floridabar.org/the-florida-bar-journal/special-statutory-proceedings-for-the-discharge-of-construction-liens/" TargetMode="External"/><Relationship Id="rId62" Type="http://schemas.openxmlformats.org/officeDocument/2006/relationships/hyperlink" Target="https://www.floridabar.org/the-florida-bar-journal/special-statutory-proceedings-for-the-discharge-of-construction-liens/" TargetMode="External"/><Relationship Id="rId63" Type="http://schemas.openxmlformats.org/officeDocument/2006/relationships/hyperlink" Target="https://www.floridabar.org/the-florida-bar-journal/special-statutory-proceedings-for-the-discharge-of-construction-liens/" TargetMode="External"/><Relationship Id="rId64" Type="http://schemas.openxmlformats.org/officeDocument/2006/relationships/hyperlink" Target="https://www.floridabar.org/the-florida-bar-journal/special-statutory-proceedings-for-the-discharge-of-construction-liens/" TargetMode="External"/><Relationship Id="rId65" Type="http://schemas.openxmlformats.org/officeDocument/2006/relationships/hyperlink" Target="https://www.floridabar.org/the-florida-bar-journal/special-statutory-proceedings-for-the-discharge-of-construction-liens/" TargetMode="External"/><Relationship Id="rId66" Type="http://schemas.openxmlformats.org/officeDocument/2006/relationships/hyperlink" Target="https://www.floridabar.org/the-florida-bar-journal/special-statutory-proceedings-for-the-discharge-of-construction-liens/" TargetMode="External"/><Relationship Id="rId67" Type="http://schemas.openxmlformats.org/officeDocument/2006/relationships/hyperlink" Target="https://www.floridabar.org/the-florida-bar-journal/special-statutory-proceedings-for-the-discharge-of-construction-liens/" TargetMode="External"/><Relationship Id="rId68" Type="http://schemas.openxmlformats.org/officeDocument/2006/relationships/hyperlink" Target="https://law.justia.com/cases/florida/second-district-court-of-appeal/2024/23-1368.html" TargetMode="External"/><Relationship Id="rId69" Type="http://schemas.openxmlformats.org/officeDocument/2006/relationships/hyperlink" Target="https://law.justia.com/cases/florida/second-district-court-of-appeal/2024/23-1368.html" TargetMode="External"/><Relationship Id="rId70" Type="http://schemas.openxmlformats.org/officeDocument/2006/relationships/hyperlink" Target="https://law.justia.com/cases/florida/second-district-court-of-appeal/2024/23-1368.html" TargetMode="External"/><Relationship Id="rId71" Type="http://schemas.openxmlformats.org/officeDocument/2006/relationships/hyperlink" Target="https://law.justia.com/cases/florida/second-district-court-of-appeal/2024/23-1368.html" TargetMode="External"/><Relationship Id="rId72" Type="http://schemas.openxmlformats.org/officeDocument/2006/relationships/hyperlink" Target="https://law.justia.com/cases/florida/second-district-court-of-appeal/2024/23-1368.html" TargetMode="External"/><Relationship Id="rId73" Type="http://schemas.openxmlformats.org/officeDocument/2006/relationships/hyperlink" Target="https://law.justia.com/cases/florida/second-district-court-of-appeal/2024/23-1368.html" TargetMode="External"/><Relationship Id="rId74" Type="http://schemas.openxmlformats.org/officeDocument/2006/relationships/hyperlink" Target="https://law.justia.com/cases/florida/second-district-court-of-appeal/2024/23-1368.html" TargetMode="External"/><Relationship Id="rId75" Type="http://schemas.openxmlformats.org/officeDocument/2006/relationships/hyperlink" Target="https://law.justia.com/cases/florida/second-district-court-of-appeal/2024/23-1368.html" TargetMode="External"/><Relationship Id="rId76" Type="http://schemas.openxmlformats.org/officeDocument/2006/relationships/hyperlink" Target="https://law.justia.com/cases/florida/second-district-court-of-appeal/2024/23-1368.html" TargetMode="External"/><Relationship Id="rId77" Type="http://schemas.openxmlformats.org/officeDocument/2006/relationships/hyperlink" Target="https://law.justia.com/cases/florida/second-district-court-of-appeal/2024/23-1368.html" TargetMode="External"/><Relationship Id="rId78" Type="http://schemas.openxmlformats.org/officeDocument/2006/relationships/hyperlink" Target="https://caselaw.findlaw.com/fl-district-court-of-appeal/1872693.html" TargetMode="External"/><Relationship Id="rId79" Type="http://schemas.openxmlformats.org/officeDocument/2006/relationships/hyperlink" Target="https://caselaw.findlaw.com/court/fl-district-court-of-appeal/1731298.html" TargetMode="External"/><Relationship Id="rId80" Type="http://schemas.openxmlformats.org/officeDocument/2006/relationships/hyperlink" Target="https://caselaw.findlaw.com/court/fl-district-court-of-appeal/1731298.html" TargetMode="External"/><Relationship Id="rId81" Type="http://schemas.openxmlformats.org/officeDocument/2006/relationships/hyperlink" Target="https://caselaw.findlaw.com/court/fl-district-court-of-appeal/1731298.html" TargetMode="External"/><Relationship Id="rId82" Type="http://schemas.openxmlformats.org/officeDocument/2006/relationships/hyperlink" Target="https://caselaw.findlaw.com/court/fl-district-court-of-appeal/1731298.html" TargetMode="External"/><Relationship Id="rId83" Type="http://schemas.openxmlformats.org/officeDocument/2006/relationships/hyperlink" Target="https://caselaw.findlaw.com/court/fl-district-court-of-appeal/1731298.html" TargetMode="External"/><Relationship Id="rId84" Type="http://schemas.openxmlformats.org/officeDocument/2006/relationships/hyperlink" Target="https://caselaw.findlaw.com/court/fl-district-court-of-appeal/1731298.html" TargetMode="External"/><Relationship Id="rId85" Type="http://schemas.openxmlformats.org/officeDocument/2006/relationships/hyperlink" Target="https://law.justia.com/cases/florida/second-district-court-of-appeal/2024/23-1368.html" TargetMode="External"/><Relationship Id="rId86" Type="http://schemas.openxmlformats.org/officeDocument/2006/relationships/hyperlink" Target="https://law.justia.com/cases/florida/second-district-court-of-appeal/2024/23-1368.html" TargetMode="External"/><Relationship Id="rId87" Type="http://schemas.openxmlformats.org/officeDocument/2006/relationships/hyperlink" Target="https://caselaw.findlaw.com/court/fl-district-court-of-appeal/1731298.html" TargetMode="External"/><Relationship Id="rId88" Type="http://schemas.openxmlformats.org/officeDocument/2006/relationships/hyperlink" Target="https://caselaw.findlaw.com/court/fl-district-court-of-appeal/1731298.html" TargetMode="External"/><Relationship Id="rId89" Type="http://schemas.openxmlformats.org/officeDocument/2006/relationships/hyperlink" Target="https://caselaw.findlaw.com/fl-district-court-of-appeal/1872693.html" TargetMode="External"/><Relationship Id="rId90" Type="http://schemas.openxmlformats.org/officeDocument/2006/relationships/hyperlink" Target="https://law.justia.com/cases/florida/second-district-court-of-appeal/2024/23-1368.html" TargetMode="External"/><Relationship Id="rId91" Type="http://schemas.openxmlformats.org/officeDocument/2006/relationships/hyperlink" Target="https://law.justia.com/cases/florida/second-district-court-of-appeal/2024/23-1368.html" TargetMode="External"/><Relationship Id="rId92" Type="http://schemas.openxmlformats.org/officeDocument/2006/relationships/hyperlink" Target="https://law.justia.com/cases/florida/second-district-court-of-appeal/2024/23-1368.html" TargetMode="External"/><Relationship Id="rId93" Type="http://schemas.openxmlformats.org/officeDocument/2006/relationships/hyperlink" Target="https://law.justia.com/cases/florida/second-district-court-of-appeal/2024/23-1368.html" TargetMode="External"/><Relationship Id="rId94" Type="http://schemas.openxmlformats.org/officeDocument/2006/relationships/hyperlink" Target="https://law.justia.com/cases/florida/second-district-court-of-appeal/2024/23-1368.html" TargetMode="External"/><Relationship Id="rId95" Type="http://schemas.openxmlformats.org/officeDocument/2006/relationships/hyperlink" Target="https://law.justia.com/cases/florida/second-district-court-of-appeal/2024/23-1368.html" TargetMode="External"/><Relationship Id="rId96" Type="http://schemas.openxmlformats.org/officeDocument/2006/relationships/hyperlink" Target="https://law.justia.com/cases/florida/second-district-court-of-appeal/2024/23-1368.html" TargetMode="External"/><Relationship Id="rId97" Type="http://schemas.openxmlformats.org/officeDocument/2006/relationships/hyperlink" Target="https://law.justia.com/cases/florida/second-district-court-of-appeal/2024/23-1368.html" TargetMode="External"/><Relationship Id="rId98" Type="http://schemas.openxmlformats.org/officeDocument/2006/relationships/hyperlink" Target="https://law.justia.com/cases/florida/second-district-court-of-appeal/2024/23-1368.html" TargetMode="External"/><Relationship Id="rId99" Type="http://schemas.openxmlformats.org/officeDocument/2006/relationships/hyperlink" Target="https://law.justia.com/cases/florida/second-district-court-of-appeal/2024/23-1368.html" TargetMode="External"/><Relationship Id="rId100" Type="http://schemas.openxmlformats.org/officeDocument/2006/relationships/hyperlink" Target="https://www.linkedin.com/pulse/sixty-days-means-court-reiterates-construction-lien-law-thomas-wert" TargetMode="External"/><Relationship Id="rId101" Type="http://schemas.openxmlformats.org/officeDocument/2006/relationships/hyperlink" Target="https://www.linkedin.com/pulse/sixty-days-means-court-reiterates-construction-lien-law-thomas-wert" TargetMode="External"/><Relationship Id="rId102" Type="http://schemas.openxmlformats.org/officeDocument/2006/relationships/hyperlink" Target="https://www.linkedin.com/pulse/sixty-days-means-court-reiterates-construction-lien-law-thomas-wert" TargetMode="External"/><Relationship Id="rId103" Type="http://schemas.openxmlformats.org/officeDocument/2006/relationships/hyperlink" Target="https://www.linkedin.com/pulse/sixty-days-means-court-reiterates-construction-lien-law-thomas-wert" TargetMode="External"/><Relationship Id="rId104" Type="http://schemas.openxmlformats.org/officeDocument/2006/relationships/hyperlink" Target="https://caselaw.findlaw.com/court/fl-district-court-of-appeal/1731298.html" TargetMode="External"/><Relationship Id="rId105" Type="http://schemas.openxmlformats.org/officeDocument/2006/relationships/hyperlink" Target="https://caselaw.findlaw.com/court/fl-district-court-of-appeal/1731298.html" TargetMode="External"/><Relationship Id="rId106" Type="http://schemas.openxmlformats.org/officeDocument/2006/relationships/hyperlink" Target="https://law.justia.com/cases/florida/second-district-court-of-appeal/2024/23-1368.html" TargetMode="External"/><Relationship Id="rId107" Type="http://schemas.openxmlformats.org/officeDocument/2006/relationships/hyperlink" Target="https://law.justia.com/cases/florida/second-district-court-of-appeal/2024/23-1368.html" TargetMode="External"/><Relationship Id="rId108" Type="http://schemas.openxmlformats.org/officeDocument/2006/relationships/hyperlink" Target="https://www.floridaconstructionlegalupdates.com/an-amended-lien-does-not-delay-the-60-day-window-to-foreclose-a-lien-when-a-notice-of-contest-of-lien-is-recorded/" TargetMode="External"/><Relationship Id="rId109" Type="http://schemas.openxmlformats.org/officeDocument/2006/relationships/hyperlink" Target="https://law.justia.com/cases/florida/second-district-court-of-appeal/2024/23-1368.html" TargetMode="External"/><Relationship Id="rId110" Type="http://schemas.openxmlformats.org/officeDocument/2006/relationships/hyperlink" Target="https://law.justia.com/cases/florida/second-district-court-of-appeal/2024/23-1368.html" TargetMode="External"/><Relationship Id="rId111" Type="http://schemas.openxmlformats.org/officeDocument/2006/relationships/hyperlink" Target="https://caselaw.findlaw.com/fl-district-court-of-appeal/1872693.html" TargetMode="External"/><Relationship Id="rId112" Type="http://schemas.openxmlformats.org/officeDocument/2006/relationships/hyperlink" Target="https://caselaw.findlaw.com/court/fl-district-court-of-appeal/1731298.html" TargetMode="External"/><Relationship Id="rId113" Type="http://schemas.openxmlformats.org/officeDocument/2006/relationships/hyperlink" Target="https://caselaw.findlaw.com/court/fl-district-court-of-appeal/1731298.html" TargetMode="External"/><Relationship Id="rId114" Type="http://schemas.openxmlformats.org/officeDocument/2006/relationships/hyperlink" Target="https://caselaw.findlaw.com/court/fl-district-court-of-appeal/1731298.html" TargetMode="External"/><Relationship Id="rId115" Type="http://schemas.openxmlformats.org/officeDocument/2006/relationships/hyperlink" Target="https://www.floridabar.org/the-florida-bar-journal/special-statutory-proceedings-for-the-discharge-of-construction-liens/" TargetMode="External"/><Relationship Id="rId116" Type="http://schemas.openxmlformats.org/officeDocument/2006/relationships/hyperlink" Target="https://caselaw.findlaw.com/court/fl-district-court-of-appeal/1731298.html" TargetMode="External"/><Relationship Id="rId117" Type="http://schemas.openxmlformats.org/officeDocument/2006/relationships/hyperlink" Target="https://www.jimersonfirm.com/blog/2024/06/contesting-construction-lien-claims-contractors-beware-of-the-notice-of-contest-of-lien-during-litigation/" TargetMode="External"/><Relationship Id="rId118" Type="http://schemas.openxmlformats.org/officeDocument/2006/relationships/hyperlink" Target="https://caselaw.findlaw.com/fl-district-court-of-appeal/1460985.html" TargetMode="External"/><Relationship Id="rId119" Type="http://schemas.openxmlformats.org/officeDocument/2006/relationships/hyperlink" Target="https://www.floridaconstructionlegalupdates.com/notice-of-contest-of-lien-is-a-powerful-tool/" TargetMode="External"/><Relationship Id="rId120" Type="http://schemas.openxmlformats.org/officeDocument/2006/relationships/hyperlink" Target="https://www.jimersonfirm.com/blog/2024/06/contesting-construction-lien-claims-contractors-beware-of-the-notice-of-contest-of-lien-during-litigation/" TargetMode="External"/><Relationship Id="rId121" Type="http://schemas.openxmlformats.org/officeDocument/2006/relationships/hyperlink" Target="https://www.linkedin.com/pulse/sixty-days-means-court-reiterates-construction-lien-law-thomas-wert" TargetMode="External"/><Relationship Id="rId122" Type="http://schemas.openxmlformats.org/officeDocument/2006/relationships/hyperlink" Target="https://www.linkedin.com/pulse/sixty-days-means-court-reiterates-construction-lien-law-thomas-wert" TargetMode="External"/><Relationship Id="rId123" Type="http://schemas.openxmlformats.org/officeDocument/2006/relationships/hyperlink" Target="https://caselaw.findlaw.com/court/fl-district-court-of-appeal/1731298.html" TargetMode="External"/><Relationship Id="rId124" Type="http://schemas.openxmlformats.org/officeDocument/2006/relationships/hyperlink" Target="https://caselaw.findlaw.com/court/fl-district-court-of-appeal/1731298.html" TargetMode="External"/><Relationship Id="rId125" Type="http://schemas.openxmlformats.org/officeDocument/2006/relationships/hyperlink" Target="https://caselaw.findlaw.com/fl-district-court-of-appeal/1460985.html" TargetMode="External"/><Relationship Id="rId126" Type="http://schemas.openxmlformats.org/officeDocument/2006/relationships/hyperlink" Target="https://caselaw.findlaw.com/fl-district-court-of-appeal/1460985.html" TargetMode="External"/><Relationship Id="rId127" Type="http://schemas.openxmlformats.org/officeDocument/2006/relationships/hyperlink" Target="https://www.floridaconstructionlegalupdates.com/an-amended-lien-does-not-delay-the-60-day-window-to-foreclose-a-lien-when-a-notice-of-contest-of-lien-is-recorded/" TargetMode="External"/><Relationship Id="rId128" Type="http://schemas.openxmlformats.org/officeDocument/2006/relationships/hyperlink" Target="https://caselaw.findlaw.com/fl-district-court-of-appeal/1872693.html" TargetMode="External"/><Relationship Id="rId129" Type="http://schemas.openxmlformats.org/officeDocument/2006/relationships/hyperlink" Target="https://caselaw.findlaw.com/court/fl-district-court-of-appeal/1731298.html" TargetMode="External"/><Relationship Id="rId130" Type="http://schemas.openxmlformats.org/officeDocument/2006/relationships/hyperlink" Target="https://caselaw.findlaw.com/fl-district-court-of-appeal/1872693.html" TargetMode="External"/><Relationship Id="rId131" Type="http://schemas.openxmlformats.org/officeDocument/2006/relationships/hyperlink" Target="https://caselaw.findlaw.com/fl-district-court-of-appeal/1872693.html" TargetMode="External"/><Relationship Id="rId132" Type="http://schemas.openxmlformats.org/officeDocument/2006/relationships/hyperlink" Target="https://caselaw.findlaw.com/court/fl-district-court-of-appeal/1731298.html" TargetMode="External"/><Relationship Id="rId133" Type="http://schemas.openxmlformats.org/officeDocument/2006/relationships/hyperlink" Target="https://www.linkedin.com/pulse/sixty-days-means-court-reiterates-construction-lien-law-thomas-wert" TargetMode="External"/><Relationship Id="rId134" Type="http://schemas.openxmlformats.org/officeDocument/2006/relationships/hyperlink" Target="https://www.jimersonfirm.com/blog/2024/06/contesting-construction-lien-claims-contractors-beware-of-the-notice-of-contest-of-lien-during-litigation/" TargetMode="External"/><Relationship Id="rId135" Type="http://schemas.openxmlformats.org/officeDocument/2006/relationships/hyperlink" Target="https://caselaw.findlaw.com/court/fl-district-court-of-appeal/1731298.html" TargetMode="External"/><Relationship Id="rId136" Type="http://schemas.openxmlformats.org/officeDocument/2006/relationships/hyperlink" Target="https://www.linkedin.com/pulse/sixty-days-means-court-reiterates-construction-lien-law-thomas-wert" TargetMode="External"/><Relationship Id="rId137" Type="http://schemas.openxmlformats.org/officeDocument/2006/relationships/hyperlink" Target="https://www.floridabar.org/the-florida-bar-journal/special-statutory-proceedings-for-the-discharge-of-construction-liens/" TargetMode="External"/><Relationship Id="rId138" Type="http://schemas.openxmlformats.org/officeDocument/2006/relationships/hyperlink" Target="https://www.floridabar.org/the-florida-bar-journal/special-statutory-proceedings-for-the-discharge-of-construction-liens/" TargetMode="External"/><Relationship Id="rId139" Type="http://schemas.openxmlformats.org/officeDocument/2006/relationships/hyperlink" Target="https://case-law.vlex.com/vid/foy-v-mangum-no-885480257" TargetMode="External"/><Relationship Id="rId140" Type="http://schemas.openxmlformats.org/officeDocument/2006/relationships/hyperlink" Target="https://case-law.vlex.com/vid/foy-v-mangum-no-885480257" TargetMode="External"/><Relationship Id="rId141" Type="http://schemas.openxmlformats.org/officeDocument/2006/relationships/hyperlink" Target="https://caselaw.findlaw.com/court/fl-district-court-of-appeal/1731298.html" TargetMode="External"/><Relationship Id="rId142" Type="http://schemas.openxmlformats.org/officeDocument/2006/relationships/hyperlink" Target="https://caselaw.findlaw.com/fl-district-court-of-appeal/1460985.html" TargetMode="External"/><Relationship Id="rId143" Type="http://schemas.openxmlformats.org/officeDocument/2006/relationships/hyperlink" Target="https://caselaw.findlaw.com/fl-district-court-of-appeal/1460985.html" TargetMode="External"/><Relationship Id="rId144" Type="http://schemas.openxmlformats.org/officeDocument/2006/relationships/hyperlink" Target="https://www.floridabar.org/the-florida-bar-journal/special-statutory-proceedings-for-the-discharge-of-construction-liens/" TargetMode="External"/><Relationship Id="rId145" Type="http://schemas.openxmlformats.org/officeDocument/2006/relationships/hyperlink" Target="https://www.floridabar.org/the-florida-bar-journal/special-statutory-proceedings-for-the-discharge-of-construction-liens/" TargetMode="External"/><Relationship Id="rId146" Type="http://schemas.openxmlformats.org/officeDocument/2006/relationships/hyperlink" Target="https://www.floridabar.org/the-florida-bar-journal/special-statutory-proceedings-for-the-discharge-of-construction-liens/" TargetMode="External"/><Relationship Id="rId147" Type="http://schemas.openxmlformats.org/officeDocument/2006/relationships/hyperlink" Target="https://caselaw.findlaw.com/fl-district-court-of-appeal/1872693.html" TargetMode="External"/><Relationship Id="rId148" Type="http://schemas.openxmlformats.org/officeDocument/2006/relationships/hyperlink" Target="https://caselaw.findlaw.com/fl-district-court-of-appeal/1872693.html" TargetMode="External"/><Relationship Id="rId149" Type="http://schemas.openxmlformats.org/officeDocument/2006/relationships/hyperlink" Target="https://caselaw.findlaw.com/court/fl-district-court-of-appeal/1731298.html" TargetMode="External"/><Relationship Id="rId150" Type="http://schemas.openxmlformats.org/officeDocument/2006/relationships/hyperlink" Target="https://caselaw.findlaw.com/court/fl-district-court-of-appeal/1731298.html" TargetMode="External"/><Relationship Id="rId151" Type="http://schemas.openxmlformats.org/officeDocument/2006/relationships/hyperlink" Target="https://caselaw.findlaw.com/court/fl-district-court-of-appeal/1731298.html" TargetMode="External"/><Relationship Id="rId152" Type="http://schemas.openxmlformats.org/officeDocument/2006/relationships/hyperlink" Target="https://law.justia.com/cases/florida/second-district-court-of-appeal/2024/23-1368.html" TargetMode="External"/><Relationship Id="rId153" Type="http://schemas.openxmlformats.org/officeDocument/2006/relationships/hyperlink" Target="https://law.justia.com/cases/florida/second-district-court-of-appeal/2024/23-1368.html" TargetMode="External"/><Relationship Id="rId154" Type="http://schemas.openxmlformats.org/officeDocument/2006/relationships/hyperlink" Target="https://www.floridabar.org/the-florida-bar-journal/special-statutory-proceedings-for-the-discharge-of-construction-liens/" TargetMode="External"/><Relationship Id="rId155" Type="http://schemas.openxmlformats.org/officeDocument/2006/relationships/hyperlink" Target="https://www.floridabar.org/the-florida-bar-journal/special-statutory-proceedings-for-the-discharge-of-construction-liens/" TargetMode="External"/><Relationship Id="rId156" Type="http://schemas.openxmlformats.org/officeDocument/2006/relationships/numbering" Target="numbering.xml"/><Relationship Id="rId157" Type="http://schemas.openxmlformats.org/officeDocument/2006/relationships/fontTable" Target="fontTable.xml"/><Relationship Id="rId158" Type="http://schemas.openxmlformats.org/officeDocument/2006/relationships/settings" Target="settings.xml"/><Relationship Id="rId15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LibreOffice/25.2.6.2$Windows_X86_64 LibreOffice_project/729c5bfe710f5eb71ed3bbde9e06a6065e9c6c5d</Application>
  <AppVersion>15.0000</AppVersion>
  <Pages>11</Pages>
  <Words>6001</Words>
  <Characters>32782</Characters>
  <CharactersWithSpaces>38775</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2025-11-30T21:55:33Z</dcterms:created>
  <dc:creator/>
  <dc:description/>
  <dc:language>en-US</dc:language>
  <cp:lastModifiedBy/>
  <dcterms:modified xsi:type="dcterms:W3CDTF">2025-11-30T21:56:22Z</dcterms:modified>
  <cp:revision>1</cp:revision>
  <dc:subject/>
  <dc:title/>
</cp:coreProperties>
</file>