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 Construction Lien Release and Cancellation: Case Law Analysis</w:t>
      </w:r>
    </w:p>
    <w:p>
      <w:pPr>
        <w:pStyle w:val="Heading2"/>
        <w:bidi w:val="0"/>
        <w:jc w:val="start"/>
        <w:rPr/>
      </w:pPr>
      <w:r>
        <w:rPr/>
        <w:t>Statutory Overview: §§ 713.20 and 713.21, Florida Statutes</w:t>
      </w:r>
    </w:p>
    <w:p>
      <w:pPr>
        <w:pStyle w:val="BodyText"/>
        <w:bidi w:val="0"/>
        <w:jc w:val="start"/>
        <w:rPr/>
      </w:pPr>
      <w:r>
        <w:rPr/>
        <w:t xml:space="preserve">Florida’s Construction Lien Law (Part I of Chapter 713) provides specific rules for waiving, releasing, and discharging construction liens on private projects. </w:t>
      </w:r>
      <w:r>
        <w:rPr>
          <w:rStyle w:val="Strong"/>
        </w:rPr>
        <w:t>Section 713.20</w:t>
      </w:r>
      <w:r>
        <w:rPr/>
        <w:t xml:space="preserve"> governs </w:t>
      </w:r>
      <w:r>
        <w:rPr>
          <w:rStyle w:val="Strong"/>
        </w:rPr>
        <w:t>waiver and release of liens</w:t>
      </w:r>
      <w:r>
        <w:rPr/>
        <w:t xml:space="preserve">, prohibiting advance waivers of lien rights and providing statutory </w:t>
      </w:r>
      <w:r>
        <w:rPr>
          <w:rStyle w:val="Strong"/>
        </w:rPr>
        <w:t>forms</w:t>
      </w:r>
      <w:r>
        <w:rPr/>
        <w:t xml:space="preserve"> for partial (progress) and final lien releases</w:t>
      </w:r>
      <w:hyperlink r:id="rId2" w:anchor=":~:text=,made%20in%20advance%20is%20unenforceable" w:tgtFrame="_blank">
        <w:r>
          <w:rPr>
            <w:rStyle w:val="Hyperlink"/>
          </w:rPr>
          <w:t>syfert.com</w:t>
        </w:r>
      </w:hyperlink>
      <w:hyperlink r:id="rId3" w:anchor=":~:text=WAIVER%20AND%20RELEASE%20OF%20LIEN,UPON%20PROGRESS%20PAYMENT" w:tgtFrame="_blank">
        <w:r>
          <w:rPr>
            <w:rStyle w:val="Hyperlink"/>
          </w:rPr>
          <w:t>syfert.com</w:t>
        </w:r>
      </w:hyperlink>
      <w:r>
        <w:rPr/>
        <w:t>. A lienor cannot be forced to use a non-statutory waiver form, and any contractual clause requiring a different form is unenforceable</w:t>
      </w:r>
      <w:hyperlink r:id="rId4" w:anchor=":~:text=A%3A%20Many%20general%20contractors%20and,Once" w:tgtFrame="_blank">
        <w:r>
          <w:rPr>
            <w:rStyle w:val="Hyperlink"/>
          </w:rPr>
          <w:t>jimersonfirm.com</w:t>
        </w:r>
      </w:hyperlink>
      <w:r>
        <w:rPr/>
        <w:t xml:space="preserve">. However, if a lienor </w:t>
      </w:r>
      <w:r>
        <w:rPr>
          <w:rStyle w:val="Strong"/>
        </w:rPr>
        <w:t>chooses</w:t>
      </w:r>
      <w:r>
        <w:rPr/>
        <w:t xml:space="preserve"> to sign a broader release, Florida law will enforce it according to its terms</w:t>
      </w:r>
      <w:hyperlink r:id="rId5" w:anchor=":~:text=admonition%20is%20circumvented%20by%20incorporating,70" w:tgtFrame="_blank">
        <w:r>
          <w:rPr>
            <w:rStyle w:val="Hyperlink"/>
          </w:rPr>
          <w:t>floridabar.org</w:t>
        </w:r>
      </w:hyperlink>
      <w:hyperlink r:id="rId6" w:anchor=":~:text=additional%20work%20performed%20but%20not,70" w:tgtFrame="_blank">
        <w:r>
          <w:rPr>
            <w:rStyle w:val="Hyperlink"/>
          </w:rPr>
          <w:t>floridabar.org</w:t>
        </w:r>
      </w:hyperlink>
      <w:r>
        <w:rPr/>
        <w:t xml:space="preserve">. </w:t>
      </w:r>
      <w:r>
        <w:rPr>
          <w:rStyle w:val="Strong"/>
        </w:rPr>
        <w:t>Section 713.21</w:t>
      </w:r>
      <w:r>
        <w:rPr/>
        <w:t xml:space="preserve"> addresses </w:t>
      </w:r>
      <w:r>
        <w:rPr>
          <w:rStyle w:val="Strong"/>
        </w:rPr>
        <w:t>discharge (cancellation) of liens</w:t>
      </w:r>
      <w:r>
        <w:rPr/>
        <w:t>, listing the exclusive methods to remove a lien: (1) recording a satisfaction, (2) recording a release by the lienor, (3) lapse of time (failure to foreclose within statutory deadlines), (4) a court’s order in an expedited “show-cause” proceeding, or (5) a final judgment in a lien foreclosure suit</w:t>
      </w:r>
      <w:hyperlink r:id="rId7" w:anchor=":~:text=Discharge%20or%20cancellation%20of%20a,21" w:tgtFrame="_blank">
        <w:r>
          <w:rPr>
            <w:rStyle w:val="Hyperlink"/>
          </w:rPr>
          <w:t>tabbaafirm.com</w:t>
        </w:r>
      </w:hyperlink>
      <w:hyperlink r:id="rId8" w:anchor=":~:text=,time%20prescribed%20in%20this%20part" w:tgtFrame="_blank">
        <w:r>
          <w:rPr>
            <w:rStyle w:val="Hyperlink"/>
          </w:rPr>
          <w:t>tabbaafirm.com</w:t>
        </w:r>
      </w:hyperlink>
      <w:r>
        <w:rPr/>
        <w:t xml:space="preserve">. Both statutes are strictly construed, and parties must </w:t>
      </w:r>
      <w:r>
        <w:rPr>
          <w:rStyle w:val="Strong"/>
        </w:rPr>
        <w:t>strictly comply</w:t>
      </w:r>
      <w:r>
        <w:rPr/>
        <w:t xml:space="preserve"> with their requirements for a lien to be enforceable</w:t>
      </w:r>
      <w:hyperlink r:id="rId9" w:anchor=":~:text=The%20lien%20law%E2%80%99s%20strictest%20application,to%20a%20project%20to%20ascertain" w:tgtFrame="_blank">
        <w:r>
          <w:rPr>
            <w:rStyle w:val="Hyperlink"/>
          </w:rPr>
          <w:t>floridabar.org</w:t>
        </w:r>
      </w:hyperlink>
      <w:hyperlink r:id="rId10" w:anchor=":~:text=attached%20to%20it,of%20the%2090%20day%20period" w:tgtFrame="_blank">
        <w:r>
          <w:rPr>
            <w:rStyle w:val="Hyperlink"/>
          </w:rPr>
          <w:t>floridabar.org</w:t>
        </w:r>
      </w:hyperlink>
      <w:r>
        <w:rPr/>
        <w:t>. Below we examine key Florida cases interpreting these provisions, common errors by lienors and owners, and practical implications for lien enforceability, cancellation, and reinstatement.</w:t>
      </w:r>
    </w:p>
    <w:p>
      <w:pPr>
        <w:pStyle w:val="Heading2"/>
        <w:bidi w:val="0"/>
        <w:jc w:val="start"/>
        <w:rPr/>
      </w:pPr>
      <w:r>
        <w:rPr/>
        <w:t>Notable Case Law on Lien Releases and Cancellations</w:t>
      </w:r>
    </w:p>
    <w:p>
      <w:pPr>
        <w:pStyle w:val="Heading3"/>
        <w:bidi w:val="0"/>
        <w:jc w:val="start"/>
        <w:rPr/>
      </w:pPr>
      <w:r>
        <w:rPr/>
        <w:t>Calixte v. Coastal Building Contractors, LLC (Fla. 4th DCA 2024)</w:t>
      </w:r>
    </w:p>
    <w:p>
      <w:pPr>
        <w:pStyle w:val="BodyText"/>
        <w:numPr>
          <w:ilvl w:val="0"/>
          <w:numId w:val="1"/>
        </w:numPr>
        <w:tabs>
          <w:tab w:val="clear" w:pos="709"/>
          <w:tab w:val="left" w:pos="709" w:leader="none"/>
        </w:tabs>
        <w:bidi w:val="0"/>
        <w:ind w:hanging="283" w:start="709"/>
        <w:jc w:val="start"/>
        <w:rPr/>
      </w:pPr>
      <w:r>
        <w:rPr>
          <w:rStyle w:val="Strong"/>
        </w:rPr>
        <w:t>Parties:</w:t>
      </w:r>
      <w:r>
        <w:rPr/>
        <w:t xml:space="preserve"> Homeowners (Calixte and Drouillard) vs. Subcontractor (Coastal Building Contractors).</w:t>
      </w:r>
    </w:p>
    <w:p>
      <w:pPr>
        <w:pStyle w:val="BodyText"/>
        <w:numPr>
          <w:ilvl w:val="0"/>
          <w:numId w:val="1"/>
        </w:numPr>
        <w:tabs>
          <w:tab w:val="clear" w:pos="709"/>
          <w:tab w:val="left" w:pos="709" w:leader="none"/>
        </w:tabs>
        <w:bidi w:val="0"/>
        <w:ind w:hanging="283" w:start="709"/>
        <w:jc w:val="start"/>
        <w:rPr/>
      </w:pPr>
      <w:r>
        <w:rPr>
          <w:rStyle w:val="Strong"/>
        </w:rPr>
        <w:t>Issue:</w:t>
      </w:r>
      <w:r>
        <w:rPr/>
        <w:t xml:space="preserve"> Whether an owner can use the </w:t>
      </w:r>
      <w:r>
        <w:rPr>
          <w:rStyle w:val="Strong"/>
        </w:rPr>
        <w:t>§ 713.21(4)</w:t>
      </w:r>
      <w:r>
        <w:rPr/>
        <w:t xml:space="preserve"> “order to show cause” procedure to cancel a lien that the owner alleges was </w:t>
      </w:r>
      <w:r>
        <w:rPr>
          <w:rStyle w:val="Strong"/>
        </w:rPr>
        <w:t>not properly perfected</w:t>
      </w:r>
      <w:r>
        <w:rPr/>
        <w:t xml:space="preserve"> (subcontractor failed to serve the required Notice to Owner).</w:t>
      </w:r>
    </w:p>
    <w:p>
      <w:pPr>
        <w:pStyle w:val="BodyText"/>
        <w:numPr>
          <w:ilvl w:val="0"/>
          <w:numId w:val="1"/>
        </w:numPr>
        <w:tabs>
          <w:tab w:val="clear" w:pos="709"/>
          <w:tab w:val="left" w:pos="709" w:leader="none"/>
        </w:tabs>
        <w:bidi w:val="0"/>
        <w:ind w:hanging="283" w:start="709"/>
        <w:jc w:val="start"/>
        <w:rPr/>
      </w:pPr>
      <w:r>
        <w:rPr>
          <w:rStyle w:val="Strong"/>
        </w:rPr>
        <w:t>Facts:</w:t>
      </w:r>
      <w:r>
        <w:rPr/>
        <w:t xml:space="preserve"> Coastal (a subcontractor) recorded a lien for unpaid work. The owners sued to </w:t>
      </w:r>
      <w:r>
        <w:rPr>
          <w:rStyle w:val="Strong"/>
        </w:rPr>
        <w:t>discharge the lien under § 713.21(4)</w:t>
      </w:r>
      <w:r>
        <w:rPr/>
        <w:t>, alleging Coastal never served a Notice to Owner (a prerequisite under § 713.06 for subs), so the lien was invalid</w:t>
      </w:r>
      <w:hyperlink r:id="rId11" w:anchor=":~:text=In%20Calixte%20v,21%20is" w:tgtFrame="_blank">
        <w:r>
          <w:rPr>
            <w:rStyle w:val="Hyperlink"/>
          </w:rPr>
          <w:t>floridaconstructionlegalupdates.com</w:t>
        </w:r>
      </w:hyperlink>
      <w:hyperlink r:id="rId12" w:anchor=":~:text=under%20Florida%20Statute%20s,4%29%20through%20the" w:tgtFrame="_blank">
        <w:r>
          <w:rPr>
            <w:rStyle w:val="Hyperlink"/>
          </w:rPr>
          <w:t>floridaconstructionlegalupdates.com</w:t>
        </w:r>
      </w:hyperlink>
      <w:r>
        <w:rPr/>
        <w:t>. The clerk issued a show-cause summons, but Coastal did not foreclose within 20 days. Instead, Coastal moved to quash the summons, arguing the statute’s prefatory language allows show-cause only for a “</w:t>
      </w:r>
      <w:r>
        <w:rPr>
          <w:rStyle w:val="Emphasis"/>
        </w:rPr>
        <w:t>lien properly perfected</w:t>
      </w:r>
      <w:r>
        <w:rPr/>
        <w:t>” – and the owners’ own complaint said the lien was not perfected</w:t>
      </w:r>
      <w:hyperlink r:id="rId13" w:anchor=":~:text=In%20Calixte%20v,21%20is" w:tgtFrame="_blank">
        <w:r>
          <w:rPr>
            <w:rStyle w:val="Hyperlink"/>
          </w:rPr>
          <w:t>floridaconstructionlegalupdates.com</w:t>
        </w:r>
      </w:hyperlink>
      <w:hyperlink r:id="rId14" w:anchor=":~:text=lien%20was%20not%20properly%20perfected%2C,2" w:tgtFrame="_blank">
        <w:r>
          <w:rPr>
            <w:rStyle w:val="Hyperlink"/>
          </w:rPr>
          <w:t>floridaconstructionlegalupdates.com</w:t>
        </w:r>
      </w:hyperlink>
      <w:r>
        <w:rPr/>
        <w:t>.</w:t>
      </w:r>
    </w:p>
    <w:p>
      <w:pPr>
        <w:pStyle w:val="BodyText"/>
        <w:numPr>
          <w:ilvl w:val="0"/>
          <w:numId w:val="1"/>
        </w:numPr>
        <w:tabs>
          <w:tab w:val="clear" w:pos="709"/>
          <w:tab w:val="left" w:pos="709" w:leader="none"/>
        </w:tabs>
        <w:bidi w:val="0"/>
        <w:ind w:hanging="283" w:start="709"/>
        <w:jc w:val="start"/>
        <w:rPr/>
      </w:pPr>
      <w:r>
        <w:rPr>
          <w:rStyle w:val="Strong"/>
        </w:rPr>
        <w:t>Outcome:</w:t>
      </w:r>
      <w:r>
        <w:rPr/>
        <w:t xml:space="preserve"> The Fourth DCA agreed with the subcontractor and </w:t>
      </w:r>
      <w:r>
        <w:rPr>
          <w:rStyle w:val="Strong"/>
        </w:rPr>
        <w:t>refused to cancel the lien</w:t>
      </w:r>
      <w:r>
        <w:rPr/>
        <w:t xml:space="preserve"> under § 713.21(4)</w:t>
      </w:r>
      <w:hyperlink r:id="rId15" w:anchor=":~:text=Calixte%20v,to%20respond%20to%20the%20Complaint" w:tgtFrame="_blank">
        <w:r>
          <w:rPr>
            <w:rStyle w:val="Hyperlink"/>
          </w:rPr>
          <w:t>hammerngavel.com</w:t>
        </w:r>
      </w:hyperlink>
      <w:hyperlink r:id="rId16" w:anchor=":~:text=The%20court%20concluded%20by%20denying,the%20petition%2C%20stating%20that" w:tgtFrame="_blank">
        <w:r>
          <w:rPr>
            <w:rStyle w:val="Hyperlink"/>
          </w:rPr>
          <w:t>hammerngavel.com</w:t>
        </w:r>
      </w:hyperlink>
      <w:r>
        <w:rPr/>
        <w:t>. Because the owners’ complaint asserted the lien was never perfected (due to no Notice to Owner), the court held the special show-cause procedure was not available: “As the complaint…alleged [the subcontractor] had failed to perfect its lien… and therefore had no lien rights, [the owners] could not avail themselves of the special statutory procedure authorized by section 713.21(4)”</w:t>
      </w:r>
      <w:hyperlink r:id="rId17" w:anchor=":~:text=The%20court%20concluded%20by%20denying,the%20petition%2C%20stating%20that" w:tgtFrame="_blank">
        <w:r>
          <w:rPr>
            <w:rStyle w:val="Hyperlink"/>
          </w:rPr>
          <w:t>hammerngavel.com</w:t>
        </w:r>
      </w:hyperlink>
      <w:r>
        <w:rPr/>
        <w:t>. The trial court properly vacated the show-cause summons.</w:t>
      </w:r>
    </w:p>
    <w:p>
      <w:pPr>
        <w:pStyle w:val="BodyText"/>
        <w:numPr>
          <w:ilvl w:val="0"/>
          <w:numId w:val="1"/>
        </w:numPr>
        <w:tabs>
          <w:tab w:val="clear" w:pos="709"/>
          <w:tab w:val="left" w:pos="709" w:leader="none"/>
        </w:tabs>
        <w:bidi w:val="0"/>
        <w:ind w:hanging="283" w:start="709"/>
        <w:jc w:val="start"/>
        <w:rPr/>
      </w:pPr>
      <w:r>
        <w:rPr>
          <w:rStyle w:val="Strong"/>
        </w:rPr>
        <w:t>Judicial Reasoning:</w:t>
      </w:r>
      <w:r>
        <w:rPr/>
        <w:t xml:space="preserve"> Section 713.21 begins, “A lien </w:t>
      </w:r>
      <w:r>
        <w:rPr>
          <w:rStyle w:val="Strong"/>
        </w:rPr>
        <w:t>properly perfected</w:t>
      </w:r>
      <w:r>
        <w:rPr/>
        <w:t xml:space="preserve"> under this chapter may be discharged by any of the following methods….” The court emphasized this plain language and noted that for subcontractors, serving a Notice to Owner is </w:t>
      </w:r>
      <w:r>
        <w:rPr>
          <w:rStyle w:val="Strong"/>
        </w:rPr>
        <w:t>essential to perfecting lien rights</w:t>
      </w:r>
      <w:hyperlink r:id="rId18" w:anchor=":~:text=The%20court%20also%20noted%20that,%E2%80%9D" w:tgtFrame="_blank">
        <w:r>
          <w:rPr>
            <w:rStyle w:val="Hyperlink"/>
          </w:rPr>
          <w:t>hammerngavel.com</w:t>
        </w:r>
      </w:hyperlink>
      <w:hyperlink r:id="rId19" w:anchor=":~:text=lien%20rights%2C%20,proper%20remedy%20under%20such%20circumstances" w:tgtFrame="_blank">
        <w:r>
          <w:rPr>
            <w:rStyle w:val="Hyperlink"/>
          </w:rPr>
          <w:t>hammerngavel.com</w:t>
        </w:r>
      </w:hyperlink>
      <w:r>
        <w:rPr/>
        <w:t>. If the lien is alleged to be invalid from the start, the statute’s text literally excludes it from the show-cause process</w:t>
      </w:r>
      <w:hyperlink r:id="rId20" w:anchor=":~:text=By%20its%20plain%20language%2C%20section,the%20warnings%20contained%20in%20section" w:tgtFrame="_blank">
        <w:r>
          <w:rPr>
            <w:rStyle w:val="Hyperlink"/>
          </w:rPr>
          <w:t>caselaw.findlaw.com</w:t>
        </w:r>
      </w:hyperlink>
      <w:hyperlink r:id="rId21" w:anchor=":~:text=satisfied%2C%20the%20lien%20claimant%20has,his%20or%20her%20lien%20rights" w:tgtFrame="_blank">
        <w:r>
          <w:rPr>
            <w:rStyle w:val="Hyperlink"/>
          </w:rPr>
          <w:t>caselaw.findlaw.com</w:t>
        </w:r>
      </w:hyperlink>
      <w:r>
        <w:rPr/>
        <w:t xml:space="preserve">. The Fourth DCA cited earlier precedents holding that </w:t>
      </w:r>
      <w:r>
        <w:rPr>
          <w:rStyle w:val="Strong"/>
        </w:rPr>
        <w:t>mandamus</w:t>
      </w:r>
      <w:r>
        <w:rPr/>
        <w:t xml:space="preserve"> will lie to compel discharge of a lien when the statute’s conditions are met</w:t>
      </w:r>
      <w:hyperlink r:id="rId22" w:anchor=":~:text=Mandamus%20lies%20to%20compel%20a,4th%20DCA%201980" w:tgtFrame="_blank">
        <w:r>
          <w:rPr>
            <w:rStyle w:val="Hyperlink"/>
          </w:rPr>
          <w:t>caselaw.findlaw.com</w:t>
        </w:r>
      </w:hyperlink>
      <w:r>
        <w:rPr/>
        <w:t>, but here those conditions were not met since the lien was not “properly perfected.”</w:t>
      </w:r>
    </w:p>
    <w:p>
      <w:pPr>
        <w:pStyle w:val="BodyText"/>
        <w:numPr>
          <w:ilvl w:val="0"/>
          <w:numId w:val="1"/>
        </w:numPr>
        <w:tabs>
          <w:tab w:val="clear" w:pos="709"/>
          <w:tab w:val="left" w:pos="709" w:leader="none"/>
        </w:tabs>
        <w:bidi w:val="0"/>
        <w:ind w:hanging="283" w:start="709"/>
        <w:jc w:val="start"/>
        <w:rPr/>
      </w:pPr>
      <w:r>
        <w:rPr>
          <w:rStyle w:val="Strong"/>
        </w:rPr>
        <w:t>Common Errors:</w:t>
      </w:r>
      <w:r>
        <w:rPr/>
        <w:t xml:space="preserve"> </w:t>
      </w:r>
      <w:r>
        <w:rPr>
          <w:rStyle w:val="Emphasis"/>
        </w:rPr>
        <w:t>Owner’s error:</w:t>
      </w:r>
      <w:r>
        <w:rPr/>
        <w:t xml:space="preserve"> Pleading the lien’s invalidity within the §713.21(4) complaint itself. This </w:t>
      </w:r>
      <w:r>
        <w:rPr>
          <w:rStyle w:val="Strong"/>
        </w:rPr>
        <w:t>backfired</w:t>
      </w:r>
      <w:r>
        <w:rPr/>
        <w:t xml:space="preserve"> because it triggered the “properly perfected” restriction</w:t>
      </w:r>
      <w:hyperlink r:id="rId23" w:anchor=":~:text=Calixte%20v,to%20respond%20to%20the%20Complaint" w:tgtFrame="_blank">
        <w:r>
          <w:rPr>
            <w:rStyle w:val="Hyperlink"/>
          </w:rPr>
          <w:t>hammerngavel.com</w:t>
        </w:r>
      </w:hyperlink>
      <w:hyperlink r:id="rId24" w:anchor=":~:text=,proper%20remedy%20under%20such%20circumstances" w:tgtFrame="_blank">
        <w:r>
          <w:rPr>
            <w:rStyle w:val="Hyperlink"/>
          </w:rPr>
          <w:t>hammerngavel.com</w:t>
        </w:r>
      </w:hyperlink>
      <w:r>
        <w:rPr/>
        <w:t xml:space="preserve">. The owner might have been better served by using a different tactic (e.g. a </w:t>
      </w:r>
      <w:r>
        <w:rPr>
          <w:rStyle w:val="Strong"/>
        </w:rPr>
        <w:t>Notice of Contest</w:t>
      </w:r>
      <w:r>
        <w:rPr/>
        <w:t xml:space="preserve"> to shorten the lien’s duration or bonding off the lien) instead of the show-cause process</w:t>
      </w:r>
      <w:hyperlink r:id="rId25" w:anchor=":~:text=these%20other%20standard%20options%3F%C2%A0%20And,And%20here%20is%20what%20the" w:tgtFrame="_blank">
        <w:r>
          <w:rPr>
            <w:rStyle w:val="Hyperlink"/>
          </w:rPr>
          <w:t>floridaconstructionlegalupdates.com</w:t>
        </w:r>
      </w:hyperlink>
      <w:hyperlink r:id="rId26" w:anchor=":~:text=case%20does%20not%20discuss,in%20light%20of%20this%20ruling" w:tgtFrame="_blank">
        <w:r>
          <w:rPr>
            <w:rStyle w:val="Hyperlink"/>
          </w:rPr>
          <w:t>floridaconstructionlegalupdates.com</w:t>
        </w:r>
      </w:hyperlink>
      <w:r>
        <w:rPr/>
        <w:t xml:space="preserve">. </w:t>
      </w:r>
      <w:r>
        <w:rPr>
          <w:rStyle w:val="Emphasis"/>
        </w:rPr>
        <w:t>Lienor’s error:</w:t>
      </w:r>
      <w:r>
        <w:rPr/>
        <w:t xml:space="preserve"> Failing to serve a Notice to Owner (which made the lien vulnerable). However, the lienor’s strategic </w:t>
      </w:r>
      <w:r>
        <w:rPr>
          <w:rStyle w:val="Strong"/>
        </w:rPr>
        <w:t>defense</w:t>
      </w:r>
      <w:r>
        <w:rPr/>
        <w:t xml:space="preserve"> was pointing out the technical statutory limitation – an example of how lien statutes are a “strictly construed” procedural minefield</w:t>
      </w:r>
      <w:hyperlink r:id="rId27" w:anchor=":~:text=This%20case%20is%20a%20reminder,law%20apply%20to%20all%20circumstances" w:tgtFrame="_blank">
        <w:r>
          <w:rPr>
            <w:rStyle w:val="Hyperlink"/>
          </w:rPr>
          <w:t>hammerngavel.com</w:t>
        </w:r>
      </w:hyperlink>
      <w:r>
        <w:rPr/>
        <w:t>.</w:t>
      </w:r>
    </w:p>
    <w:p>
      <w:pPr>
        <w:pStyle w:val="BodyText"/>
        <w:numPr>
          <w:ilvl w:val="0"/>
          <w:numId w:val="1"/>
        </w:numPr>
        <w:tabs>
          <w:tab w:val="clear" w:pos="709"/>
          <w:tab w:val="left" w:pos="709" w:leader="none"/>
        </w:tabs>
        <w:bidi w:val="0"/>
        <w:ind w:hanging="283" w:start="709"/>
        <w:jc w:val="start"/>
        <w:rPr/>
      </w:pPr>
      <w:r>
        <w:rPr>
          <w:rStyle w:val="Strong"/>
        </w:rPr>
        <w:t>Impact:</w:t>
      </w:r>
      <w:r>
        <w:rPr/>
        <w:t xml:space="preserve"> This case underscores that owners must use the </w:t>
      </w:r>
      <w:r>
        <w:rPr>
          <w:rStyle w:val="Strong"/>
        </w:rPr>
        <w:t>correct procedure</w:t>
      </w:r>
      <w:r>
        <w:rPr/>
        <w:t xml:space="preserve"> to clear an invalid lien. An owner </w:t>
      </w:r>
      <w:r>
        <w:rPr>
          <w:rStyle w:val="Strong"/>
        </w:rPr>
        <w:t>cannot use § 713.21(4)</w:t>
      </w:r>
      <w:r>
        <w:rPr/>
        <w:t xml:space="preserve"> to summarily cancel a facially invalid or unperfected lien</w:t>
      </w:r>
      <w:hyperlink r:id="rId28" w:anchor=":~:text=lien%20rights%2C%20,proper%20remedy%20under%20such%20circumstances" w:tgtFrame="_blank">
        <w:r>
          <w:rPr>
            <w:rStyle w:val="Hyperlink"/>
          </w:rPr>
          <w:t>hammerngavel.com</w:t>
        </w:r>
      </w:hyperlink>
      <w:r>
        <w:rPr/>
        <w:t xml:space="preserve">. Instead, the owner’s remedies are to either: (a) file a </w:t>
      </w:r>
      <w:r>
        <w:rPr>
          <w:rStyle w:val="Strong"/>
        </w:rPr>
        <w:t>Notice of Contest</w:t>
      </w:r>
      <w:r>
        <w:rPr/>
        <w:t xml:space="preserve"> (forcing foreclosure within 60 days) or (b) file a normal lawsuit for declaratory relief, fraudulent lien, or quiet title (which takes longer)</w:t>
      </w:r>
      <w:hyperlink r:id="rId29" w:anchor=":~:text=The%20owner%20could%20record%20a,the%20head%20sooner%20than%20later" w:tgtFrame="_blank">
        <w:r>
          <w:rPr>
            <w:rStyle w:val="Hyperlink"/>
          </w:rPr>
          <w:t>floridaconstructionlegalupdates.com</w:t>
        </w:r>
      </w:hyperlink>
      <w:hyperlink r:id="rId30" w:anchor=":~:text=because%20it%20is%20still%20pursuing,leaves%20the%20owner%20that%20disputes" w:tgtFrame="_blank">
        <w:r>
          <w:rPr>
            <w:rStyle w:val="Hyperlink"/>
          </w:rPr>
          <w:t>floridaconstructionlegalupdates.com</w:t>
        </w:r>
      </w:hyperlink>
      <w:r>
        <w:rPr/>
        <w:t>. The outcome caused concern among construction lawyers, as it leaves an owner stuck with a cloud on title (the unperfected lien) unless the lienor voluntarily releases it or the owner pursues these other methods</w:t>
      </w:r>
      <w:hyperlink r:id="rId31" w:anchor=":~:text=lien%2C%20by%20a%20judgment%2C%20or,to%20the%20security%20of%20the" w:tgtFrame="_blank">
        <w:r>
          <w:rPr>
            <w:rStyle w:val="Hyperlink"/>
          </w:rPr>
          <w:t>floridaconstructionlegalupdates.com</w:t>
        </w:r>
      </w:hyperlink>
      <w:hyperlink r:id="rId32" w:anchor=":~:text=these%20other%20standard%20options%3F%C2%A0%20And,allege%20the%20lien%20was%20not" w:tgtFrame="_blank">
        <w:r>
          <w:rPr>
            <w:rStyle w:val="Hyperlink"/>
          </w:rPr>
          <w:t>floridaconstructionlegalupdates.com</w:t>
        </w:r>
      </w:hyperlink>
      <w:r>
        <w:rPr/>
        <w:t xml:space="preserve">. The case may prompt legislative re-examination of the “properly perfected” wording, but as of now, </w:t>
      </w:r>
      <w:r>
        <w:rPr>
          <w:rStyle w:val="Strong"/>
        </w:rPr>
        <w:t>courts strictly enforce the statute’s text</w:t>
      </w:r>
      <w:hyperlink r:id="rId33" w:anchor=":~:text=By%20its%20plain%20language%2C%20section,the%20warnings%20contained%20in%20section" w:tgtFrame="_blank">
        <w:r>
          <w:rPr>
            <w:rStyle w:val="Hyperlink"/>
          </w:rPr>
          <w:t>caselaw.findlaw.com</w:t>
        </w:r>
      </w:hyperlink>
      <w:hyperlink r:id="rId34" w:anchor=":~:text=no%20remedy%20when%20a%20lien,proper%20remedy%20under%20such%20circumstances" w:tgtFrame="_blank">
        <w:r>
          <w:rPr>
            <w:rStyle w:val="Hyperlink"/>
          </w:rPr>
          <w:t>hammerngavel.com</w:t>
        </w:r>
      </w:hyperlink>
      <w:r>
        <w:rPr/>
        <w:t>.</w:t>
      </w:r>
    </w:p>
    <w:p>
      <w:pPr>
        <w:pStyle w:val="Heading3"/>
        <w:bidi w:val="0"/>
        <w:jc w:val="start"/>
        <w:rPr/>
      </w:pPr>
      <w:r>
        <w:rPr/>
        <w:t>Unnerstall v. Designerick, Inc. (Fla. 2d DCA 2009)</w:t>
      </w:r>
    </w:p>
    <w:p>
      <w:pPr>
        <w:pStyle w:val="BodyText"/>
        <w:numPr>
          <w:ilvl w:val="0"/>
          <w:numId w:val="2"/>
        </w:numPr>
        <w:tabs>
          <w:tab w:val="clear" w:pos="709"/>
          <w:tab w:val="left" w:pos="709" w:leader="none"/>
        </w:tabs>
        <w:bidi w:val="0"/>
        <w:ind w:hanging="283" w:start="709"/>
        <w:jc w:val="start"/>
        <w:rPr/>
      </w:pPr>
      <w:r>
        <w:rPr>
          <w:rStyle w:val="Strong"/>
        </w:rPr>
        <w:t>Parties:</w:t>
      </w:r>
      <w:r>
        <w:rPr/>
        <w:t xml:space="preserve"> Homeowners (Christopher &amp; Lynette Unnerstall) vs. Contractor (Designerick, Inc.).</w:t>
      </w:r>
    </w:p>
    <w:p>
      <w:pPr>
        <w:pStyle w:val="BodyText"/>
        <w:numPr>
          <w:ilvl w:val="0"/>
          <w:numId w:val="2"/>
        </w:numPr>
        <w:tabs>
          <w:tab w:val="clear" w:pos="709"/>
          <w:tab w:val="left" w:pos="709" w:leader="none"/>
        </w:tabs>
        <w:bidi w:val="0"/>
        <w:ind w:hanging="283" w:start="709"/>
        <w:jc w:val="start"/>
        <w:rPr/>
      </w:pPr>
      <w:r>
        <w:rPr>
          <w:rStyle w:val="Strong"/>
        </w:rPr>
        <w:t>Issue:</w:t>
      </w:r>
      <w:r>
        <w:rPr/>
        <w:t xml:space="preserve"> What constitutes a sufficient response by a lienor to a </w:t>
      </w:r>
      <w:r>
        <w:rPr>
          <w:rStyle w:val="Strong"/>
        </w:rPr>
        <w:t>§ 713.21(4)</w:t>
      </w:r>
      <w:r>
        <w:rPr/>
        <w:t xml:space="preserve"> show-cause summons? Specifically, does filing any counterclaim or answer avoid discharge, or must the lienor specifically file a </w:t>
      </w:r>
      <w:r>
        <w:rPr>
          <w:rStyle w:val="Strong"/>
        </w:rPr>
        <w:t>foreclosure action</w:t>
      </w:r>
      <w:r>
        <w:rPr/>
        <w:t xml:space="preserve"> on the lien?</w:t>
      </w:r>
    </w:p>
    <w:p>
      <w:pPr>
        <w:pStyle w:val="BodyText"/>
        <w:numPr>
          <w:ilvl w:val="0"/>
          <w:numId w:val="2"/>
        </w:numPr>
        <w:tabs>
          <w:tab w:val="clear" w:pos="709"/>
          <w:tab w:val="left" w:pos="709" w:leader="none"/>
        </w:tabs>
        <w:bidi w:val="0"/>
        <w:ind w:hanging="283" w:start="709"/>
        <w:jc w:val="start"/>
        <w:rPr/>
      </w:pPr>
      <w:r>
        <w:rPr>
          <w:rStyle w:val="Strong"/>
        </w:rPr>
        <w:t>Facts:</w:t>
      </w:r>
      <w:r>
        <w:rPr/>
        <w:t xml:space="preserve"> Designerick (contractor) installed cabinetry and recorded a lien for an unpaid $21,985 balance</w:t>
      </w:r>
      <w:hyperlink r:id="rId35" w:anchor=":~:text=seek%20review%20of%20an%20order,Unnerstalls%20failed%20to%20pay%20the" w:tgtFrame="_blank">
        <w:r>
          <w:rPr>
            <w:rStyle w:val="Hyperlink"/>
          </w:rPr>
          <w:t>law.justia.com</w:t>
        </w:r>
      </w:hyperlink>
      <w:r>
        <w:rPr/>
        <w:t>. The Unnerstalls filed a complaint under § 713.21(4) for an order to show cause why the lien should not be enforced or cancelled</w:t>
      </w:r>
      <w:hyperlink r:id="rId36" w:anchor=":~:text=grant%20the%20petition,discharge%20the%20lien%2C%20Designerick%20served" w:tgtFrame="_blank">
        <w:r>
          <w:rPr>
            <w:rStyle w:val="Hyperlink"/>
          </w:rPr>
          <w:t>law.justia.com</w:t>
        </w:r>
      </w:hyperlink>
      <w:r>
        <w:rPr/>
        <w:t xml:space="preserve">. Within 20 days, Designerick </w:t>
      </w:r>
      <w:r>
        <w:rPr>
          <w:rStyle w:val="Strong"/>
        </w:rPr>
        <w:t>answered</w:t>
      </w:r>
      <w:r>
        <w:rPr/>
        <w:t xml:space="preserve"> the complaint and filed counterclaims – but those counterclaims were for </w:t>
      </w:r>
      <w:r>
        <w:rPr>
          <w:rStyle w:val="Strong"/>
        </w:rPr>
        <w:t>breach of contract and unjust enrichment</w:t>
      </w:r>
      <w:r>
        <w:rPr/>
        <w:t xml:space="preserve">, seeking money damages, and </w:t>
      </w:r>
      <w:r>
        <w:rPr>
          <w:rStyle w:val="Strong"/>
        </w:rPr>
        <w:t>did not include a lien foreclosure count</w:t>
      </w:r>
      <w:hyperlink r:id="rId37" w:anchor=":~:text=balance%20of%20%2421%2C985%20due%20for,1" w:tgtFrame="_blank">
        <w:r>
          <w:rPr>
            <w:rStyle w:val="Hyperlink"/>
          </w:rPr>
          <w:t>law.justia.com</w:t>
        </w:r>
      </w:hyperlink>
      <w:hyperlink r:id="rId38" w:anchor=":~:text=order%20to%20preserve%20its%20lien,See" w:tgtFrame="_blank">
        <w:r>
          <w:rPr>
            <w:rStyle w:val="Hyperlink"/>
          </w:rPr>
          <w:t>law.justia.com</w:t>
        </w:r>
      </w:hyperlink>
      <w:r>
        <w:rPr/>
        <w:t>. The trial court found this response sufficient and refused to discharge the lien, since Designerick had initiated counterclaims within the 20-day window. The owners petitioned for a writ of mandamus to compel discharge of the lien.</w:t>
      </w:r>
    </w:p>
    <w:p>
      <w:pPr>
        <w:pStyle w:val="BodyText"/>
        <w:numPr>
          <w:ilvl w:val="0"/>
          <w:numId w:val="2"/>
        </w:numPr>
        <w:tabs>
          <w:tab w:val="clear" w:pos="709"/>
          <w:tab w:val="left" w:pos="709" w:leader="none"/>
        </w:tabs>
        <w:bidi w:val="0"/>
        <w:ind w:hanging="283" w:start="709"/>
        <w:jc w:val="start"/>
        <w:rPr/>
      </w:pPr>
      <w:r>
        <w:rPr>
          <w:rStyle w:val="Strong"/>
        </w:rPr>
        <w:t>Outcome:</w:t>
      </w:r>
      <w:r>
        <w:rPr/>
        <w:t xml:space="preserve"> The Second DCA </w:t>
      </w:r>
      <w:r>
        <w:rPr>
          <w:rStyle w:val="Strong"/>
        </w:rPr>
        <w:t>granted mandamus and ordered the lien discharged</w:t>
      </w:r>
      <w:hyperlink r:id="rId39" w:anchor=":~:text=with%20the%20statutory%20requirement%20that,4" w:tgtFrame="_blank">
        <w:r>
          <w:rPr>
            <w:rStyle w:val="Hyperlink"/>
          </w:rPr>
          <w:t>law.justia.com</w:t>
        </w:r>
      </w:hyperlink>
      <w:r>
        <w:rPr/>
        <w:t xml:space="preserve">. The appellate court held that Designerick’s counterclaims </w:t>
      </w:r>
      <w:r>
        <w:rPr>
          <w:rStyle w:val="Emphasis"/>
        </w:rPr>
        <w:t>failed to strictly comply</w:t>
      </w:r>
      <w:r>
        <w:rPr/>
        <w:t xml:space="preserve"> with § 713.21(4) because they did not seek to </w:t>
      </w:r>
      <w:r>
        <w:rPr>
          <w:rStyle w:val="Strong"/>
        </w:rPr>
        <w:t>enforce the lien itself</w:t>
      </w:r>
      <w:r>
        <w:rPr/>
        <w:t xml:space="preserve"> (no foreclosure claim)</w:t>
      </w:r>
      <w:hyperlink r:id="rId40" w:anchor=":~:text=of%20action%20did%20not%20preserve,direct%20the%20trial%20court%20to" w:tgtFrame="_blank">
        <w:r>
          <w:rPr>
            <w:rStyle w:val="Hyperlink"/>
          </w:rPr>
          <w:t>law.justia.com</w:t>
        </w:r>
      </w:hyperlink>
      <w:r>
        <w:rPr/>
        <w:t xml:space="preserve">. Under the statute, if a property owner invokes the show-cause procedure, the lienor must </w:t>
      </w:r>
      <w:r>
        <w:rPr>
          <w:rStyle w:val="Strong"/>
        </w:rPr>
        <w:t>either</w:t>
      </w:r>
      <w:r>
        <w:rPr/>
        <w:t xml:space="preserve"> (a) file a lien foreclosure action (in court) within 20 days </w:t>
      </w:r>
      <w:r>
        <w:rPr>
          <w:rStyle w:val="Strong"/>
        </w:rPr>
        <w:t>or</w:t>
      </w:r>
      <w:r>
        <w:rPr/>
        <w:t xml:space="preserve"> (b) show good cause in that time why a foreclosure is not yet filed</w:t>
      </w:r>
      <w:hyperlink r:id="rId41" w:anchor=":~:text=period%20why%20enforcement%20should%20not,Dic%20Construction" w:tgtFrame="_blank">
        <w:r>
          <w:rPr>
            <w:rStyle w:val="Hyperlink"/>
          </w:rPr>
          <w:t>law.justia.com</w:t>
        </w:r>
      </w:hyperlink>
      <w:r>
        <w:rPr/>
        <w:t>. Merely filing other lawsuits or claims for money damages is insufficient to preserve the lien</w:t>
      </w:r>
      <w:hyperlink r:id="rId42" w:anchor=":~:text=Designerick%20did%20not%20request%20foreclosure%2C,the%20lien%20be%20filed%20or" w:tgtFrame="_blank">
        <w:r>
          <w:rPr>
            <w:rStyle w:val="Hyperlink"/>
          </w:rPr>
          <w:t>law.justia.com</w:t>
        </w:r>
      </w:hyperlink>
      <w:r>
        <w:rPr/>
        <w:t>. The court directed the trial court to cancel the lien for noncompliance</w:t>
      </w:r>
      <w:hyperlink r:id="rId43" w:anchor=":~:text=with%20the%20statutory%20requirement%20that,4" w:tgtFrame="_blank">
        <w:r>
          <w:rPr>
            <w:rStyle w:val="Hyperlink"/>
          </w:rPr>
          <w:t>law.justia.com</w:t>
        </w:r>
      </w:hyperlink>
      <w:r>
        <w:rPr/>
        <w:t>.</w:t>
      </w:r>
    </w:p>
    <w:p>
      <w:pPr>
        <w:pStyle w:val="BodyText"/>
        <w:numPr>
          <w:ilvl w:val="0"/>
          <w:numId w:val="2"/>
        </w:numPr>
        <w:tabs>
          <w:tab w:val="clear" w:pos="709"/>
          <w:tab w:val="left" w:pos="709" w:leader="none"/>
        </w:tabs>
        <w:bidi w:val="0"/>
        <w:ind w:hanging="283" w:start="709"/>
        <w:jc w:val="start"/>
        <w:rPr/>
      </w:pPr>
      <w:r>
        <w:rPr>
          <w:rStyle w:val="Strong"/>
        </w:rPr>
        <w:t>Reasoning:</w:t>
      </w:r>
      <w:r>
        <w:rPr/>
        <w:t xml:space="preserve"> Section 713.21(4) demands </w:t>
      </w:r>
      <w:r>
        <w:rPr>
          <w:rStyle w:val="Strong"/>
        </w:rPr>
        <w:t>strict compliance</w:t>
      </w:r>
      <w:r>
        <w:rPr/>
        <w:t xml:space="preserve"> by the lienor once the owner triggers the 20-day show cause clock</w:t>
      </w:r>
      <w:hyperlink r:id="rId44" w:anchor=":~:text=that%20,the%20lienor%20in%20Mainlands%20sought" w:tgtFrame="_blank">
        <w:r>
          <w:rPr>
            <w:rStyle w:val="Hyperlink"/>
          </w:rPr>
          <w:t>law.justia.com</w:t>
        </w:r>
      </w:hyperlink>
      <w:hyperlink r:id="rId45" w:anchor=":~:text=owner%20invokes%20the%20statute%2C%20a,See" w:tgtFrame="_blank">
        <w:r>
          <w:rPr>
            <w:rStyle w:val="Hyperlink"/>
          </w:rPr>
          <w:t>law.justia.com</w:t>
        </w:r>
      </w:hyperlink>
      <w:r>
        <w:rPr/>
        <w:t xml:space="preserve">. The court cited </w:t>
      </w:r>
      <w:r>
        <w:rPr>
          <w:rStyle w:val="Strong"/>
        </w:rPr>
        <w:t>Matrix Construction Corp. v. Mecca</w:t>
      </w:r>
      <w:r>
        <w:rPr/>
        <w:t>, which explained that an owner’s show-cause complaint creates a short 20-day window for the lienor “to assert by counterclaim or otherwise a foreclosure of the lien”</w:t>
      </w:r>
      <w:hyperlink r:id="rId46" w:anchor=":~:text=period%20why%20enforcement%20should%20not,Dic%20Construction" w:tgtFrame="_blank">
        <w:r>
          <w:rPr>
            <w:rStyle w:val="Hyperlink"/>
          </w:rPr>
          <w:t>law.justia.com</w:t>
        </w:r>
      </w:hyperlink>
      <w:r>
        <w:rPr/>
        <w:t xml:space="preserve">. It also relied on </w:t>
      </w:r>
      <w:r>
        <w:rPr>
          <w:rStyle w:val="Strong"/>
        </w:rPr>
        <w:t>Ruffolo v. Parish &amp; Bowman, Inc.</w:t>
      </w:r>
      <w:r>
        <w:rPr/>
        <w:t>, which held that a lienor must strictly follow the statute to preserve its lien rights</w:t>
      </w:r>
      <w:hyperlink r:id="rId47" w:anchor=":~:text=owner%20invokes%20the%20statute%2C%20a,See" w:tgtFrame="_blank">
        <w:r>
          <w:rPr>
            <w:rStyle w:val="Hyperlink"/>
          </w:rPr>
          <w:t>law.justia.com</w:t>
        </w:r>
      </w:hyperlink>
      <w:r>
        <w:rPr/>
        <w:t xml:space="preserve">. Importantly, the court distinguished </w:t>
      </w:r>
      <w:r>
        <w:rPr>
          <w:rStyle w:val="Emphasis"/>
        </w:rPr>
        <w:t>Mainlands Construction Co. v. Wen-Dic Constr. Co.</w:t>
      </w:r>
      <w:r>
        <w:rPr/>
        <w:t xml:space="preserve">, 482 So. 2d 1369 (Fla. 1986). In </w:t>
      </w:r>
      <w:r>
        <w:rPr>
          <w:rStyle w:val="Emphasis"/>
        </w:rPr>
        <w:t>Mainlands</w:t>
      </w:r>
      <w:r>
        <w:rPr/>
        <w:t xml:space="preserve">, the lienor’s counterclaim </w:t>
      </w:r>
      <w:r>
        <w:rPr>
          <w:rStyle w:val="Strong"/>
        </w:rPr>
        <w:t>did</w:t>
      </w:r>
      <w:r>
        <w:rPr/>
        <w:t xml:space="preserve"> include a foreclosure of the mechanic’s lien, which satisfied the statute</w:t>
      </w:r>
      <w:hyperlink r:id="rId48" w:anchor=":~:text=%28Fla,the%20lienor%27s%20motion%20to%20arbitrate" w:tgtFrame="_blank">
        <w:r>
          <w:rPr>
            <w:rStyle w:val="Hyperlink"/>
          </w:rPr>
          <w:t>law.justia.com</w:t>
        </w:r>
      </w:hyperlink>
      <w:r>
        <w:rPr/>
        <w:t xml:space="preserve">. By contrast, Designerick’s counterclaims only asserted </w:t>
      </w:r>
      <w:r>
        <w:rPr>
          <w:rStyle w:val="Strong"/>
        </w:rPr>
        <w:t>personal claims (breach of contract, etc.) without seeking to foreclose the lien</w:t>
      </w:r>
      <w:r>
        <w:rPr/>
        <w:t xml:space="preserve">, so they </w:t>
      </w:r>
      <w:r>
        <w:rPr>
          <w:rStyle w:val="Strong"/>
        </w:rPr>
        <w:t>failed to commence an action to enforce the lien</w:t>
      </w:r>
      <w:r>
        <w:rPr/>
        <w:t xml:space="preserve"> as required</w:t>
      </w:r>
      <w:hyperlink r:id="rId49" w:anchor=":~:text=%28Fla,the%20lienor%27s%20motion%20to%20arbitrate" w:tgtFrame="_blank">
        <w:r>
          <w:rPr>
            <w:rStyle w:val="Hyperlink"/>
          </w:rPr>
          <w:t>law.justia.com</w:t>
        </w:r>
      </w:hyperlink>
      <w:hyperlink r:id="rId50" w:anchor=":~:text=Designerick%20did%20not%20request%20foreclosure%2C,the%20lien%20be%20filed%20or" w:tgtFrame="_blank">
        <w:r>
          <w:rPr>
            <w:rStyle w:val="Hyperlink"/>
          </w:rPr>
          <w:t>law.justia.com</w:t>
        </w:r>
      </w:hyperlink>
      <w:r>
        <w:rPr/>
        <w:t xml:space="preserve">. The Second DCA also cited </w:t>
      </w:r>
      <w:r>
        <w:rPr>
          <w:rStyle w:val="Strong"/>
        </w:rPr>
        <w:t>Brookshire v. GP Construction of Palm Beach, Inc.</w:t>
      </w:r>
      <w:r>
        <w:rPr/>
        <w:t xml:space="preserve">, 993 So. 2d 179 (Fla. 4th DCA 2008), where a lienor’s motion to compel arbitration (instead of filing a foreclosure action) </w:t>
      </w:r>
      <w:r>
        <w:rPr>
          <w:rStyle w:val="Emphasis"/>
        </w:rPr>
        <w:t>did not</w:t>
      </w:r>
      <w:r>
        <w:rPr/>
        <w:t xml:space="preserve"> meet the statutory requirement and the lien was discharged</w:t>
      </w:r>
      <w:hyperlink r:id="rId51" w:anchor=":~:text=of%20action%20did%20not%20preserve,the%20lien%20be%20filed%20or" w:tgtFrame="_blank">
        <w:r>
          <w:rPr>
            <w:rStyle w:val="Hyperlink"/>
          </w:rPr>
          <w:t>law.justia.com</w:t>
        </w:r>
      </w:hyperlink>
      <w:r>
        <w:rPr/>
        <w:t xml:space="preserve">. In sum, only a pleading that affirmatively seeks </w:t>
      </w:r>
      <w:r>
        <w:rPr>
          <w:rStyle w:val="Strong"/>
        </w:rPr>
        <w:t>foreclosure of the lien</w:t>
      </w:r>
      <w:r>
        <w:rPr/>
        <w:t xml:space="preserve"> (whether by counterclaim in the show-cause case or a separate enforcement action) will prevent cancellation</w:t>
      </w:r>
      <w:hyperlink r:id="rId52" w:anchor=":~:text=order%20to%20preserve%20its%20lien,See" w:tgtFrame="_blank">
        <w:r>
          <w:rPr>
            <w:rStyle w:val="Hyperlink"/>
          </w:rPr>
          <w:t>law.justia.com</w:t>
        </w:r>
      </w:hyperlink>
      <w:hyperlink r:id="rId53" w:anchor=":~:text=Designerick%20did%20not%20request%20foreclosure%2C,the%20lien%20be%20filed%20or" w:tgtFrame="_blank">
        <w:r>
          <w:rPr>
            <w:rStyle w:val="Hyperlink"/>
          </w:rPr>
          <w:t>law.justia.com</w:t>
        </w:r>
      </w:hyperlink>
      <w:r>
        <w:rPr/>
        <w:t>.</w:t>
      </w:r>
    </w:p>
    <w:p>
      <w:pPr>
        <w:pStyle w:val="BodyText"/>
        <w:numPr>
          <w:ilvl w:val="0"/>
          <w:numId w:val="2"/>
        </w:numPr>
        <w:tabs>
          <w:tab w:val="clear" w:pos="709"/>
          <w:tab w:val="left" w:pos="709" w:leader="none"/>
        </w:tabs>
        <w:bidi w:val="0"/>
        <w:ind w:hanging="283" w:start="709"/>
        <w:jc w:val="start"/>
        <w:rPr/>
      </w:pPr>
      <w:r>
        <w:rPr>
          <w:rStyle w:val="Strong"/>
        </w:rPr>
        <w:t>Common Errors:</w:t>
      </w:r>
      <w:r>
        <w:rPr/>
        <w:t xml:space="preserve"> </w:t>
      </w:r>
      <w:r>
        <w:rPr>
          <w:rStyle w:val="Emphasis"/>
        </w:rPr>
        <w:t>Lienor’s error:</w:t>
      </w:r>
      <w:r>
        <w:rPr/>
        <w:t xml:space="preserve"> Filing an answer or counterclaims </w:t>
      </w:r>
      <w:r>
        <w:rPr>
          <w:rStyle w:val="Strong"/>
        </w:rPr>
        <w:t>that omit a foreclosure count</w:t>
      </w:r>
      <w:r>
        <w:rPr/>
        <w:t xml:space="preserve">. Designerick mistakenly believed that any counterclaim within 20 days would suffice, but the statute requires action “to enforce the lien.” Florida courts consistently reject </w:t>
      </w:r>
      <w:r>
        <w:rPr>
          <w:rStyle w:val="Strong"/>
        </w:rPr>
        <w:t>“creative” or incomplete responses</w:t>
      </w:r>
      <w:r>
        <w:rPr/>
        <w:t xml:space="preserve"> – e.g. motions to arbitrate, generic answers, or claims for money damages – as noncompliant</w:t>
      </w:r>
      <w:hyperlink r:id="rId54" w:anchor=":~:text=Designerick%20did%20not%20request%20foreclosure%2C,the%20lien%20be%20filed%20or" w:tgtFrame="_blank">
        <w:r>
          <w:rPr>
            <w:rStyle w:val="Hyperlink"/>
          </w:rPr>
          <w:t>law.justia.com</w:t>
        </w:r>
      </w:hyperlink>
      <w:hyperlink r:id="rId55" w:anchor=":~:text=Brookshire%2C%20993%20So,and%20DAKAN%2C%20STEPHEN%20L" w:tgtFrame="_blank">
        <w:r>
          <w:rPr>
            <w:rStyle w:val="Hyperlink"/>
          </w:rPr>
          <w:t>law.justia.com</w:t>
        </w:r>
      </w:hyperlink>
      <w:r>
        <w:rPr/>
        <w:t xml:space="preserve">. </w:t>
      </w:r>
      <w:r>
        <w:rPr>
          <w:rStyle w:val="Emphasis"/>
        </w:rPr>
        <w:t>Owner’s action:</w:t>
      </w:r>
      <w:r>
        <w:rPr/>
        <w:t xml:space="preserve"> The owners correctly utilized the show-cause procedure and then persistently sought mandamus when the trial court hesitated. The common </w:t>
      </w:r>
      <w:r>
        <w:rPr>
          <w:rStyle w:val="Emphasis"/>
        </w:rPr>
        <w:t>owner error</w:t>
      </w:r>
      <w:r>
        <w:rPr/>
        <w:t xml:space="preserve"> to avoid, as illustrated in Brookshire and this case, is giving the lienor the benefit of the doubt; instead, owners should insist on strict adherence to the 20-day deadline.</w:t>
      </w:r>
    </w:p>
    <w:p>
      <w:pPr>
        <w:pStyle w:val="BodyText"/>
        <w:numPr>
          <w:ilvl w:val="0"/>
          <w:numId w:val="2"/>
        </w:numPr>
        <w:tabs>
          <w:tab w:val="clear" w:pos="709"/>
          <w:tab w:val="left" w:pos="709" w:leader="none"/>
        </w:tabs>
        <w:bidi w:val="0"/>
        <w:ind w:hanging="283" w:start="709"/>
        <w:jc w:val="start"/>
        <w:rPr/>
      </w:pPr>
      <w:r>
        <w:rPr>
          <w:rStyle w:val="Strong"/>
        </w:rPr>
        <w:t>Impact on Lien Validity:</w:t>
      </w:r>
      <w:r>
        <w:rPr/>
        <w:t xml:space="preserve"> This line of cases (including </w:t>
      </w:r>
      <w:r>
        <w:rPr>
          <w:rStyle w:val="Emphasis"/>
        </w:rPr>
        <w:t>Unnerstall</w:t>
      </w:r>
      <w:r>
        <w:rPr/>
        <w:t xml:space="preserve">, </w:t>
      </w:r>
      <w:r>
        <w:rPr>
          <w:rStyle w:val="Emphasis"/>
        </w:rPr>
        <w:t>Brookshire</w:t>
      </w:r>
      <w:r>
        <w:rPr/>
        <w:t xml:space="preserve">, </w:t>
      </w:r>
      <w:r>
        <w:rPr>
          <w:rStyle w:val="Strong"/>
        </w:rPr>
        <w:t>Dracon Constr., Inc. v. Facility Const. Mgmt., Inc.</w:t>
      </w:r>
      <w:r>
        <w:rPr/>
        <w:t xml:space="preserve">, 828 So. 2d 1069 (Fla. 4th DCA 2002) (bare-bones answer insufficient), and others) sends a clear message: in a § 713.21(4) proceeding, </w:t>
      </w:r>
      <w:r>
        <w:rPr>
          <w:rStyle w:val="Strong"/>
        </w:rPr>
        <w:t>any failure by the lienor to timely plead a proper foreclosure action means automatic cancellation of the lien</w:t>
      </w:r>
      <w:hyperlink r:id="rId56" w:anchor=":~:text=language%20of%20the%20lien%20discharge,2d%20434" w:tgtFrame="_blank">
        <w:r>
          <w:rPr>
            <w:rStyle w:val="Hyperlink"/>
          </w:rPr>
          <w:t>law.justia.com</w:t>
        </w:r>
      </w:hyperlink>
      <w:hyperlink r:id="rId57" w:anchor=":~:text=with%20the%20statutory%20requirement%20that,4" w:tgtFrame="_blank">
        <w:r>
          <w:rPr>
            <w:rStyle w:val="Hyperlink"/>
          </w:rPr>
          <w:t>law.justia.com</w:t>
        </w:r>
      </w:hyperlink>
      <w:r>
        <w:rPr/>
        <w:t xml:space="preserve">. The discharged lienor still retains the right to sue on the underlying contract (a </w:t>
      </w:r>
      <w:r>
        <w:rPr>
          <w:rStyle w:val="Strong"/>
        </w:rPr>
        <w:t>personal claim</w:t>
      </w:r>
      <w:r>
        <w:rPr/>
        <w:t xml:space="preserve">), but </w:t>
      </w:r>
      <w:r>
        <w:rPr>
          <w:rStyle w:val="Strong"/>
        </w:rPr>
        <w:t>loses the security</w:t>
      </w:r>
      <w:r>
        <w:rPr/>
        <w:t xml:space="preserve"> of the lien</w:t>
      </w:r>
      <w:hyperlink r:id="rId58" w:anchor=":~:text=period%29,4" w:tgtFrame="_blank">
        <w:r>
          <w:rPr>
            <w:rStyle w:val="Hyperlink"/>
          </w:rPr>
          <w:t>law.justia.com</w:t>
        </w:r>
      </w:hyperlink>
      <w:r>
        <w:rPr/>
        <w:t xml:space="preserve">. For example, once Designerick’s lien was cancelled, it could continue its breach of contract suit for the $21k balance, but that claim would proceed </w:t>
      </w:r>
      <w:r>
        <w:rPr>
          <w:rStyle w:val="Strong"/>
        </w:rPr>
        <w:t>unsecured</w:t>
      </w:r>
      <w:r>
        <w:rPr/>
        <w:t>, underlining the high stakes of compliance</w:t>
      </w:r>
      <w:hyperlink r:id="rId59" w:anchor=":~:text=period%29,4" w:tgtFrame="_blank">
        <w:r>
          <w:rPr>
            <w:rStyle w:val="Hyperlink"/>
          </w:rPr>
          <w:t>law.justia.com</w:t>
        </w:r>
      </w:hyperlink>
      <w:r>
        <w:rPr/>
        <w:t>. The case also underscores the strategic value of the show-cause procedure for owners: it can quickly eliminate stale or unsupported liens – provided the owner follows the statute to the letter and the lienor does not timely foreclose.</w:t>
      </w:r>
    </w:p>
    <w:p>
      <w:pPr>
        <w:pStyle w:val="Heading3"/>
        <w:bidi w:val="0"/>
        <w:jc w:val="start"/>
        <w:rPr/>
      </w:pPr>
      <w:r>
        <w:rPr/>
        <w:t>Mainlands Construction Co. v. Wen-Dic Construction Co. (Fla. 1986)</w:t>
      </w:r>
    </w:p>
    <w:p>
      <w:pPr>
        <w:pStyle w:val="BodyText"/>
        <w:numPr>
          <w:ilvl w:val="0"/>
          <w:numId w:val="3"/>
        </w:numPr>
        <w:tabs>
          <w:tab w:val="clear" w:pos="709"/>
          <w:tab w:val="left" w:pos="709" w:leader="none"/>
        </w:tabs>
        <w:bidi w:val="0"/>
        <w:ind w:hanging="283" w:start="709"/>
        <w:jc w:val="start"/>
        <w:rPr/>
      </w:pPr>
      <w:r>
        <w:rPr>
          <w:rStyle w:val="Strong"/>
        </w:rPr>
        <w:t>Parties:</w:t>
      </w:r>
      <w:r>
        <w:rPr/>
        <w:t xml:space="preserve"> Mainlands Construction (owner) vs. Wen-Dic Construction (contractor).</w:t>
      </w:r>
    </w:p>
    <w:p>
      <w:pPr>
        <w:pStyle w:val="BodyText"/>
        <w:numPr>
          <w:ilvl w:val="0"/>
          <w:numId w:val="3"/>
        </w:numPr>
        <w:tabs>
          <w:tab w:val="clear" w:pos="709"/>
          <w:tab w:val="left" w:pos="709" w:leader="none"/>
        </w:tabs>
        <w:bidi w:val="0"/>
        <w:ind w:hanging="283" w:start="709"/>
        <w:jc w:val="start"/>
        <w:rPr/>
      </w:pPr>
      <w:r>
        <w:rPr>
          <w:rStyle w:val="Strong"/>
        </w:rPr>
        <w:t>Issue:</w:t>
      </w:r>
      <w:r>
        <w:rPr/>
        <w:t xml:space="preserve"> Whether a lienor’s </w:t>
      </w:r>
      <w:r>
        <w:rPr>
          <w:rStyle w:val="Strong"/>
        </w:rPr>
        <w:t>counterclaim for foreclosure</w:t>
      </w:r>
      <w:r>
        <w:rPr/>
        <w:t xml:space="preserve"> filed in response to a § 713.21(4) show-cause complaint is sufficient to avoid discharge, even if filed in an existing lawsuit rather than a new action, and whether such counterclaim must be in a particular form.</w:t>
      </w:r>
    </w:p>
    <w:p>
      <w:pPr>
        <w:pStyle w:val="BodyText"/>
        <w:numPr>
          <w:ilvl w:val="0"/>
          <w:numId w:val="3"/>
        </w:numPr>
        <w:tabs>
          <w:tab w:val="clear" w:pos="709"/>
          <w:tab w:val="left" w:pos="709" w:leader="none"/>
        </w:tabs>
        <w:bidi w:val="0"/>
        <w:ind w:hanging="283" w:start="709"/>
        <w:jc w:val="start"/>
        <w:rPr/>
      </w:pPr>
      <w:r>
        <w:rPr>
          <w:rStyle w:val="Strong"/>
        </w:rPr>
        <w:t>Decision:</w:t>
      </w:r>
      <w:r>
        <w:rPr/>
        <w:t xml:space="preserve"> In </w:t>
      </w:r>
      <w:r>
        <w:rPr>
          <w:rStyle w:val="Emphasis"/>
        </w:rPr>
        <w:t>Mainlands</w:t>
      </w:r>
      <w:r>
        <w:rPr/>
        <w:t xml:space="preserve">, the Florida Supreme Court upheld the validity of the lienor’s response because the lienor </w:t>
      </w:r>
      <w:r>
        <w:rPr>
          <w:rStyle w:val="Strong"/>
        </w:rPr>
        <w:t>did assert a foreclosure claim within the 20 days</w:t>
      </w:r>
      <w:r>
        <w:rPr/>
        <w:t xml:space="preserve"> (via counterclaim). This case established that a </w:t>
      </w:r>
      <w:r>
        <w:rPr>
          <w:rStyle w:val="Strong"/>
        </w:rPr>
        <w:t>counterclaim in the show-cause proceeding itself can satisfy</w:t>
      </w:r>
      <w:r>
        <w:rPr/>
        <w:t xml:space="preserve"> the “action to enforce the lien” requirement</w:t>
      </w:r>
      <w:hyperlink r:id="rId60" w:anchor=":~:text=%28Fla,the%20lienor%27s%20motion%20to%20arbitrate" w:tgtFrame="_blank">
        <w:r>
          <w:rPr>
            <w:rStyle w:val="Hyperlink"/>
          </w:rPr>
          <w:t>law.justia.com</w:t>
        </w:r>
      </w:hyperlink>
      <w:r>
        <w:rPr/>
        <w:t xml:space="preserve">. The Court treated the counterclaim seeking foreclosure as equivalent to commencing a separate foreclosure action for purposes of § 713.21(4). </w:t>
      </w:r>
      <w:r>
        <w:rPr>
          <w:rStyle w:val="Emphasis"/>
        </w:rPr>
        <w:t>Mainlands</w:t>
      </w:r>
      <w:r>
        <w:rPr/>
        <w:t xml:space="preserve"> thereby approved a </w:t>
      </w:r>
      <w:r>
        <w:rPr>
          <w:rStyle w:val="Strong"/>
        </w:rPr>
        <w:t>practical procedure</w:t>
      </w:r>
      <w:r>
        <w:rPr/>
        <w:t>: the lienor need not file a new, separate lawsuit if a show-cause case is already pending; it can simply counterclaim for lien foreclosure in that case to preserve the lien.</w:t>
      </w:r>
    </w:p>
    <w:p>
      <w:pPr>
        <w:pStyle w:val="BodyText"/>
        <w:numPr>
          <w:ilvl w:val="0"/>
          <w:numId w:val="3"/>
        </w:numPr>
        <w:tabs>
          <w:tab w:val="clear" w:pos="709"/>
          <w:tab w:val="left" w:pos="709" w:leader="none"/>
        </w:tabs>
        <w:bidi w:val="0"/>
        <w:ind w:hanging="283" w:start="709"/>
        <w:jc w:val="start"/>
        <w:rPr/>
      </w:pPr>
      <w:r>
        <w:rPr>
          <w:rStyle w:val="Strong"/>
        </w:rPr>
        <w:t>Significance:</w:t>
      </w:r>
      <w:r>
        <w:rPr/>
        <w:t xml:space="preserve"> The case is often cited (as in </w:t>
      </w:r>
      <w:r>
        <w:rPr>
          <w:rStyle w:val="Emphasis"/>
        </w:rPr>
        <w:t>Unnerstall</w:t>
      </w:r>
      <w:r>
        <w:rPr/>
        <w:t xml:space="preserve">) to illustrate a </w:t>
      </w:r>
      <w:r>
        <w:rPr>
          <w:rStyle w:val="Strong"/>
        </w:rPr>
        <w:t>compliant lienor response</w:t>
      </w:r>
      <w:hyperlink r:id="rId61" w:anchor=":~:text=%28Fla,the%20lienor%27s%20motion%20to%20arbitrate" w:tgtFrame="_blank">
        <w:r>
          <w:rPr>
            <w:rStyle w:val="Hyperlink"/>
          </w:rPr>
          <w:t>law.justia.com</w:t>
        </w:r>
      </w:hyperlink>
      <w:r>
        <w:rPr/>
        <w:t xml:space="preserve">. It contrasts with later cases where lienors responded with other claims or motions. The lesson is that </w:t>
      </w:r>
      <w:r>
        <w:rPr>
          <w:rStyle w:val="Strong"/>
        </w:rPr>
        <w:t>seeking foreclosure is key</w:t>
      </w:r>
      <w:r>
        <w:rPr/>
        <w:t xml:space="preserve"> – the form (counterclaim vs. separate suit) is less important than the substance of enforcing the lien. After </w:t>
      </w:r>
      <w:r>
        <w:rPr>
          <w:rStyle w:val="Emphasis"/>
        </w:rPr>
        <w:t>Mainlands</w:t>
      </w:r>
      <w:r>
        <w:rPr/>
        <w:t xml:space="preserve">, the onus is squarely on lienors to include a foreclosure count or risk losing the lien. Owners, conversely, can feel secure that unless the lienor properly forecloses, the lien </w:t>
      </w:r>
      <w:r>
        <w:rPr>
          <w:rStyle w:val="Emphasis"/>
        </w:rPr>
        <w:t>must</w:t>
      </w:r>
      <w:r>
        <w:rPr/>
        <w:t xml:space="preserve"> be canceled by the court “forthwith” after 20 days</w:t>
      </w:r>
      <w:hyperlink r:id="rId62" w:anchor=":~:text=language%20of%20the%20lien%20discharge,2d%20434" w:tgtFrame="_blank">
        <w:r>
          <w:rPr>
            <w:rStyle w:val="Hyperlink"/>
          </w:rPr>
          <w:t>law.justia.com</w:t>
        </w:r>
      </w:hyperlink>
      <w:r>
        <w:rPr/>
        <w:t xml:space="preserve">. This strict timeline was reinforced in </w:t>
      </w:r>
      <w:r>
        <w:rPr>
          <w:rStyle w:val="Emphasis"/>
        </w:rPr>
        <w:t>Mainlands</w:t>
      </w:r>
      <w:r>
        <w:rPr/>
        <w:t xml:space="preserve"> and subsequent cases as a </w:t>
      </w:r>
      <w:r>
        <w:rPr>
          <w:rStyle w:val="Strong"/>
        </w:rPr>
        <w:t>bright-line rule</w:t>
      </w:r>
      <w:r>
        <w:rPr/>
        <w:t xml:space="preserve"> in Florida lien law.</w:t>
      </w:r>
    </w:p>
    <w:p>
      <w:pPr>
        <w:pStyle w:val="Heading3"/>
        <w:bidi w:val="0"/>
        <w:jc w:val="start"/>
        <w:rPr/>
      </w:pPr>
      <w:r>
        <w:rPr/>
        <w:t>Alexdex Corp. v. Nachon Enterprises, Inc. (Fla. 1994)</w:t>
      </w:r>
    </w:p>
    <w:p>
      <w:pPr>
        <w:pStyle w:val="BodyText"/>
        <w:numPr>
          <w:ilvl w:val="0"/>
          <w:numId w:val="4"/>
        </w:numPr>
        <w:tabs>
          <w:tab w:val="clear" w:pos="709"/>
          <w:tab w:val="left" w:pos="709" w:leader="none"/>
        </w:tabs>
        <w:bidi w:val="0"/>
        <w:ind w:hanging="283" w:start="709"/>
        <w:jc w:val="start"/>
        <w:rPr/>
      </w:pPr>
      <w:r>
        <w:rPr>
          <w:rStyle w:val="Strong"/>
        </w:rPr>
        <w:t>Parties:</w:t>
      </w:r>
      <w:r>
        <w:rPr/>
        <w:t xml:space="preserve"> Alexdex Corp. (property owner) vs. Nachon Enterprises (contractor lienor).</w:t>
      </w:r>
    </w:p>
    <w:p>
      <w:pPr>
        <w:pStyle w:val="BodyText"/>
        <w:numPr>
          <w:ilvl w:val="0"/>
          <w:numId w:val="4"/>
        </w:numPr>
        <w:tabs>
          <w:tab w:val="clear" w:pos="709"/>
          <w:tab w:val="left" w:pos="709" w:leader="none"/>
        </w:tabs>
        <w:bidi w:val="0"/>
        <w:ind w:hanging="283" w:start="709"/>
        <w:jc w:val="start"/>
        <w:rPr/>
      </w:pPr>
      <w:r>
        <w:rPr>
          <w:rStyle w:val="Strong"/>
        </w:rPr>
        <w:t>Issue:</w:t>
      </w:r>
      <w:r>
        <w:rPr/>
        <w:t xml:space="preserve"> Interaction between an owner’s show-cause action and a lienor’s </w:t>
      </w:r>
      <w:r>
        <w:rPr>
          <w:rStyle w:val="Strong"/>
        </w:rPr>
        <w:t>separate foreclosure action filed in a different court</w:t>
      </w:r>
      <w:r>
        <w:rPr/>
        <w:t xml:space="preserve">; and whether filing in the wrong court affects the lien’s validity. Specifically, if a lienor files a timely foreclosure suit in </w:t>
      </w:r>
      <w:r>
        <w:rPr>
          <w:rStyle w:val="Strong"/>
        </w:rPr>
        <w:t>county court</w:t>
      </w:r>
      <w:r>
        <w:rPr/>
        <w:t xml:space="preserve"> (within one year, under § 713.22) but the amount in controversy exceeds the county court’s jurisdiction, can the lien still be discharged for lack of a proper action?</w:t>
      </w:r>
    </w:p>
    <w:p>
      <w:pPr>
        <w:pStyle w:val="BodyText"/>
        <w:numPr>
          <w:ilvl w:val="0"/>
          <w:numId w:val="4"/>
        </w:numPr>
        <w:tabs>
          <w:tab w:val="clear" w:pos="709"/>
          <w:tab w:val="left" w:pos="709" w:leader="none"/>
        </w:tabs>
        <w:bidi w:val="0"/>
        <w:ind w:hanging="283" w:start="709"/>
        <w:jc w:val="start"/>
        <w:rPr/>
      </w:pPr>
      <w:r>
        <w:rPr>
          <w:rStyle w:val="Strong"/>
        </w:rPr>
        <w:t>Facts:</w:t>
      </w:r>
      <w:r>
        <w:rPr/>
        <w:t xml:space="preserve"> Nachon (contractor) recorded a construction lien and </w:t>
      </w:r>
      <w:r>
        <w:rPr>
          <w:rStyle w:val="Strong"/>
        </w:rPr>
        <w:t>filed a foreclosure lawsuit in county court</w:t>
      </w:r>
      <w:r>
        <w:rPr/>
        <w:t xml:space="preserve"> (which has a jurisdictional limit) for the amount due</w:t>
      </w:r>
      <w:hyperlink r:id="rId63" w:anchor=":~:text=In%201991%2C%20appellant%20,that%20Nachon%20had%20not%20properly" w:tgtFrame="_blank">
        <w:r>
          <w:rPr>
            <w:rStyle w:val="Hyperlink"/>
          </w:rPr>
          <w:t>law.justia.com</w:t>
        </w:r>
      </w:hyperlink>
      <w:r>
        <w:rPr/>
        <w:t>. Alexdex (owner) later filed a § 713.21(4) show-cause complaint in circuit court to discharge the lien</w:t>
      </w:r>
      <w:hyperlink r:id="rId64" w:anchor=":~:text=In%201991%2C%20appellant%20,that%20Nachon%20had%20not%20properly" w:tgtFrame="_blank">
        <w:r>
          <w:rPr>
            <w:rStyle w:val="Hyperlink"/>
          </w:rPr>
          <w:t>law.justia.com</w:t>
        </w:r>
      </w:hyperlink>
      <w:r>
        <w:rPr/>
        <w:t xml:space="preserve">. Nachon moved to dismiss the circuit show-cause action, pointing out that it had already </w:t>
      </w:r>
      <w:r>
        <w:rPr>
          <w:rStyle w:val="Strong"/>
        </w:rPr>
        <w:t>“timely instituted”</w:t>
      </w:r>
      <w:r>
        <w:rPr/>
        <w:t xml:space="preserve"> a lien foreclosure in county court (i.e. an action was pending)</w:t>
      </w:r>
      <w:hyperlink r:id="rId65" w:anchor=":~:text=,that%20Nachon%20had%20not%20properly" w:tgtFrame="_blank">
        <w:r>
          <w:rPr>
            <w:rStyle w:val="Hyperlink"/>
          </w:rPr>
          <w:t>law.justia.com</w:t>
        </w:r>
      </w:hyperlink>
      <w:hyperlink r:id="rId66" w:anchor=":~:text=the%20lien%2C%20which%20was%20filed,to%20the%20Show%20Cause%20Action" w:tgtFrame="_blank">
        <w:r>
          <w:rPr>
            <w:rStyle w:val="Hyperlink"/>
          </w:rPr>
          <w:t>law.justia.com</w:t>
        </w:r>
      </w:hyperlink>
      <w:r>
        <w:rPr/>
        <w:t xml:space="preserve">. The circuit court nevertheless discharged the lien, reasoning that Nachon “had not properly responded” to the show-cause order – essentially because the foreclosure was filed in the </w:t>
      </w:r>
      <w:r>
        <w:rPr>
          <w:rStyle w:val="Emphasis"/>
        </w:rPr>
        <w:t>wrong level of court</w:t>
      </w:r>
      <w:r>
        <w:rPr/>
        <w:t xml:space="preserve"> (circuit vs. county) or not acknowledged in the circuit case</w:t>
      </w:r>
      <w:hyperlink r:id="rId67" w:anchor=":~:text=the%20lien%2C%20which%20was%20filed,to%20the%20Show%20Cause%20Action" w:tgtFrame="_blank">
        <w:r>
          <w:rPr>
            <w:rStyle w:val="Hyperlink"/>
          </w:rPr>
          <w:t>law.justia.com</w:t>
        </w:r>
      </w:hyperlink>
      <w:r>
        <w:rPr/>
        <w:t xml:space="preserve">. The Third DCA reversed that decision and </w:t>
      </w:r>
      <w:r>
        <w:rPr>
          <w:rStyle w:val="Strong"/>
        </w:rPr>
        <w:t>reinstated the lien</w:t>
      </w:r>
      <w:r>
        <w:rPr/>
        <w:t>, holding Nachon’s county court action was a proper and timely foreclosure. The owner petitioned the Florida Supreme Court, arguing that only circuit courts had jurisdiction over lien foreclosures.</w:t>
      </w:r>
    </w:p>
    <w:p>
      <w:pPr>
        <w:pStyle w:val="BodyText"/>
        <w:numPr>
          <w:ilvl w:val="0"/>
          <w:numId w:val="4"/>
        </w:numPr>
        <w:tabs>
          <w:tab w:val="clear" w:pos="709"/>
          <w:tab w:val="left" w:pos="709" w:leader="none"/>
        </w:tabs>
        <w:bidi w:val="0"/>
        <w:ind w:hanging="283" w:start="709"/>
        <w:jc w:val="start"/>
        <w:rPr/>
      </w:pPr>
      <w:r>
        <w:rPr>
          <w:rStyle w:val="Strong"/>
        </w:rPr>
        <w:t>Outcome:</w:t>
      </w:r>
      <w:r>
        <w:rPr/>
        <w:t xml:space="preserve"> The Florida Supreme Court </w:t>
      </w:r>
      <w:r>
        <w:rPr>
          <w:rStyle w:val="Strong"/>
        </w:rPr>
        <w:t>sided with the lienor and approved the Third DCA’s ruling</w:t>
      </w:r>
      <w:r>
        <w:rPr/>
        <w:t xml:space="preserve">, holding that </w:t>
      </w:r>
      <w:r>
        <w:rPr>
          <w:rStyle w:val="Strong"/>
        </w:rPr>
        <w:t xml:space="preserve">circuit courts </w:t>
      </w:r>
      <w:r>
        <w:rPr>
          <w:rStyle w:val="Emphasis"/>
        </w:rPr>
        <w:t>and county courts</w:t>
      </w:r>
      <w:r>
        <w:rPr>
          <w:rStyle w:val="Strong"/>
        </w:rPr>
        <w:t xml:space="preserve"> have concurrent jurisdiction</w:t>
      </w:r>
      <w:r>
        <w:rPr/>
        <w:t xml:space="preserve"> over lien foreclosure actions, up to the county court’s monetary limit</w:t>
      </w:r>
      <w:hyperlink r:id="rId68" w:anchor=":~:text=Under%20jurisdiction%20granted%20to%20us,jurisdiction%20in%20matters%20of%20equity" w:tgtFrame="_blank">
        <w:r>
          <w:rPr>
            <w:rStyle w:val="Hyperlink"/>
          </w:rPr>
          <w:t>law.justia.com</w:t>
        </w:r>
      </w:hyperlink>
      <w:hyperlink r:id="rId69" w:anchor=":~:text=district%20court%20of%20appeal%20reversed,We%20disagree" w:tgtFrame="_blank">
        <w:r>
          <w:rPr>
            <w:rStyle w:val="Hyperlink"/>
          </w:rPr>
          <w:t>law.justia.com</w:t>
        </w:r>
      </w:hyperlink>
      <w:r>
        <w:rPr/>
        <w:t xml:space="preserve">. Importantly, the Supreme Court agreed that Nachon’s timely county court lawsuit </w:t>
      </w:r>
      <w:r>
        <w:rPr>
          <w:rStyle w:val="Strong"/>
        </w:rPr>
        <w:t>met the requirement of commencing an action</w:t>
      </w:r>
      <w:r>
        <w:rPr/>
        <w:t xml:space="preserve"> to enforce the lien, so the lien should not have been discharged</w:t>
      </w:r>
      <w:hyperlink r:id="rId70" w:anchor=":~:text=the%20lien%2C%20which%20was%20filed,to%20the%20Show%20Cause%20Action" w:tgtFrame="_blank">
        <w:r>
          <w:rPr>
            <w:rStyle w:val="Hyperlink"/>
          </w:rPr>
          <w:t>law.justia.com</w:t>
        </w:r>
      </w:hyperlink>
      <w:hyperlink r:id="rId71" w:anchor=":~:text=district%20court%20of%20appeal%20reversed,We%20disagree" w:tgtFrame="_blank">
        <w:r>
          <w:rPr>
            <w:rStyle w:val="Hyperlink"/>
          </w:rPr>
          <w:t>law.justia.com</w:t>
        </w:r>
      </w:hyperlink>
      <w:r>
        <w:rPr/>
        <w:t xml:space="preserve">. In effect, the lien was </w:t>
      </w:r>
      <w:r>
        <w:rPr>
          <w:rStyle w:val="Strong"/>
        </w:rPr>
        <w:t>reinstated</w:t>
      </w:r>
      <w:r>
        <w:rPr/>
        <w:t xml:space="preserve"> after being wrongly discharged. The Court clarified that a mechanic’s lien foreclosure, though it involves an interest in real property, is fundamentally an </w:t>
      </w:r>
      <w:r>
        <w:rPr>
          <w:rStyle w:val="Strong"/>
        </w:rPr>
        <w:t>equitable action</w:t>
      </w:r>
      <w:r>
        <w:rPr/>
        <w:t xml:space="preserve"> and does not determine title or boundaries in a way that would </w:t>
      </w:r>
      <w:r>
        <w:rPr>
          <w:rStyle w:val="Emphasis"/>
        </w:rPr>
        <w:t>exclude</w:t>
      </w:r>
      <w:r>
        <w:rPr/>
        <w:t xml:space="preserve"> the county court’s jurisdiction</w:t>
      </w:r>
      <w:hyperlink r:id="rId72" w:anchor=":~:text=district%20court%20of%20appeal%20reversed,We%20disagree" w:tgtFrame="_blank">
        <w:r>
          <w:rPr>
            <w:rStyle w:val="Hyperlink"/>
          </w:rPr>
          <w:t>law.justia.com</w:t>
        </w:r>
      </w:hyperlink>
      <w:hyperlink r:id="rId73" w:anchor=":~:text=Contrary%20to%20the%20court%20below%2C,explained%20in%20Publix%20Super%20Markets" w:tgtFrame="_blank">
        <w:r>
          <w:rPr>
            <w:rStyle w:val="Hyperlink"/>
          </w:rPr>
          <w:t>law.justia.com</w:t>
        </w:r>
      </w:hyperlink>
      <w:r>
        <w:rPr/>
        <w:t>. Thus, as long as the amount is within the statutory limit, a county court can hear a lien foreclosure.</w:t>
      </w:r>
    </w:p>
    <w:p>
      <w:pPr>
        <w:pStyle w:val="BodyText"/>
        <w:numPr>
          <w:ilvl w:val="0"/>
          <w:numId w:val="4"/>
        </w:numPr>
        <w:tabs>
          <w:tab w:val="clear" w:pos="709"/>
          <w:tab w:val="left" w:pos="709" w:leader="none"/>
        </w:tabs>
        <w:bidi w:val="0"/>
        <w:ind w:hanging="283" w:start="709"/>
        <w:jc w:val="start"/>
        <w:rPr/>
      </w:pPr>
      <w:r>
        <w:rPr>
          <w:rStyle w:val="Strong"/>
        </w:rPr>
        <w:t>Key Reasoning:</w:t>
      </w:r>
      <w:r>
        <w:rPr/>
        <w:t xml:space="preserve"> The Supreme Court resolved a conflict between districts (some had said only circuit courts could foreclose liens)</w:t>
      </w:r>
      <w:hyperlink r:id="rId74" w:anchor=":~:text=Under%20jurisdiction%20granted%20to%20us,jurisdiction%20in%20matters%20of%20equity" w:tgtFrame="_blank">
        <w:r>
          <w:rPr>
            <w:rStyle w:val="Hyperlink"/>
          </w:rPr>
          <w:t>law.justia.com</w:t>
        </w:r>
      </w:hyperlink>
      <w:hyperlink r:id="rId75" w:anchor=":~:text=Contrary%20to%20the%20court%20below%2C,explained%20in%20Publix%20Super%20Markets" w:tgtFrame="_blank">
        <w:r>
          <w:rPr>
            <w:rStyle w:val="Hyperlink"/>
          </w:rPr>
          <w:t>law.justia.com</w:t>
        </w:r>
      </w:hyperlink>
      <w:r>
        <w:rPr/>
        <w:t>. It interpreted the jurisdiction statutes to allow county courts to handle equitable lien cases within their monetary range. This meant the owner’s show-cause action in circuit court should have recognized the pending county case as a proper foreclosure. The decision prevented an overly technical forfeiture of lien rights due to a jurisdictional mix-up.</w:t>
      </w:r>
    </w:p>
    <w:p>
      <w:pPr>
        <w:pStyle w:val="BodyText"/>
        <w:numPr>
          <w:ilvl w:val="0"/>
          <w:numId w:val="4"/>
        </w:numPr>
        <w:tabs>
          <w:tab w:val="clear" w:pos="709"/>
          <w:tab w:val="left" w:pos="709" w:leader="none"/>
        </w:tabs>
        <w:bidi w:val="0"/>
        <w:ind w:hanging="283" w:start="709"/>
        <w:jc w:val="start"/>
        <w:rPr/>
      </w:pPr>
      <w:r>
        <w:rPr>
          <w:rStyle w:val="Strong"/>
        </w:rPr>
        <w:t>Practical Implications:</w:t>
      </w:r>
      <w:r>
        <w:rPr/>
        <w:t xml:space="preserve"> </w:t>
      </w:r>
      <w:r>
        <w:rPr>
          <w:rStyle w:val="Emphasis"/>
        </w:rPr>
        <w:t>Alexdex</w:t>
      </w:r>
      <w:r>
        <w:rPr/>
        <w:t xml:space="preserve"> is a cautionary tale on procedural complexity. It illustrates that </w:t>
      </w:r>
      <w:r>
        <w:rPr>
          <w:rStyle w:val="Strong"/>
        </w:rPr>
        <w:t>owners must check if a lienor has already filed suit elsewhere</w:t>
      </w:r>
      <w:r>
        <w:rPr/>
        <w:t xml:space="preserve"> before pursuing a show-cause discharge. In Alexdex, the owner’s attempt to rush a discharge in circuit court failed because the lienor had in fact acted within its rights (just in a different forum)</w:t>
      </w:r>
      <w:hyperlink r:id="rId76" w:anchor=":~:text=In%201991%2C%20appellant%20,that%20Nachon%20had%20not%20properly" w:tgtFrame="_blank">
        <w:r>
          <w:rPr>
            <w:rStyle w:val="Hyperlink"/>
          </w:rPr>
          <w:t>law.justia.com</w:t>
        </w:r>
      </w:hyperlink>
      <w:hyperlink r:id="rId77" w:anchor=":~:text=the%20lien%2C%20which%20was%20filed,to%20the%20Show%20Cause%20Action" w:tgtFrame="_blank">
        <w:r>
          <w:rPr>
            <w:rStyle w:val="Hyperlink"/>
          </w:rPr>
          <w:t>law.justia.com</w:t>
        </w:r>
      </w:hyperlink>
      <w:r>
        <w:rPr/>
        <w:t xml:space="preserve">. For lienors, the case was a relief: filing in the wrong court by mistake won’t automatically void the lien if the action was otherwise timely – the remedy may be to transfer the case, not lose the lien. </w:t>
      </w:r>
      <w:r>
        <w:rPr>
          <w:rStyle w:val="Emphasis"/>
        </w:rPr>
        <w:t>Alexdex</w:t>
      </w:r>
      <w:r>
        <w:rPr/>
        <w:t xml:space="preserve"> essentially saved Nachon’s lien from a procedural trap, reaffirming that </w:t>
      </w:r>
      <w:r>
        <w:rPr>
          <w:rStyle w:val="Strong"/>
        </w:rPr>
        <w:t>timely foreclosure within one year</w:t>
      </w:r>
      <w:r>
        <w:rPr/>
        <w:t xml:space="preserve"> (per § 713.22) is the paramount requirement, and courts will strive to uphold a lienor’s compliance with that deadline even if a technical misstep occurred. After this case, Florida owners and practitioners know to </w:t>
      </w:r>
      <w:r>
        <w:rPr>
          <w:rStyle w:val="Strong"/>
        </w:rPr>
        <w:t>coordinate forums</w:t>
      </w:r>
      <w:r>
        <w:rPr/>
        <w:t>: a lienor’s proper (or even improperly-venued) lawsuit stops the clock on the lien’s expiration, and an order to show cause shouldn’t cancel a lien when an enforcement action is pending in any court of competent jurisdiction</w:t>
      </w:r>
      <w:hyperlink r:id="rId78" w:anchor=":~:text=the%20lien%2C%20which%20was%20filed,to%20the%20Show%20Cause%20Action" w:tgtFrame="_blank">
        <w:r>
          <w:rPr>
            <w:rStyle w:val="Hyperlink"/>
          </w:rPr>
          <w:t>law.justia.com</w:t>
        </w:r>
      </w:hyperlink>
      <w:hyperlink r:id="rId79" w:anchor=":~:text=district%20court%20of%20appeal%20reversed,We%20disagree" w:tgtFrame="_blank">
        <w:r>
          <w:rPr>
            <w:rStyle w:val="Hyperlink"/>
          </w:rPr>
          <w:t>law.justia.com</w:t>
        </w:r>
      </w:hyperlink>
      <w:r>
        <w:rPr/>
        <w:t>.</w:t>
      </w:r>
    </w:p>
    <w:p>
      <w:pPr>
        <w:pStyle w:val="BodyText"/>
        <w:numPr>
          <w:ilvl w:val="0"/>
          <w:numId w:val="4"/>
        </w:numPr>
        <w:tabs>
          <w:tab w:val="clear" w:pos="709"/>
          <w:tab w:val="left" w:pos="709" w:leader="none"/>
        </w:tabs>
        <w:bidi w:val="0"/>
        <w:ind w:hanging="283" w:start="709"/>
        <w:jc w:val="start"/>
        <w:rPr/>
      </w:pPr>
      <w:r>
        <w:rPr>
          <w:rStyle w:val="Strong"/>
        </w:rPr>
        <w:t>Related “Expiration” Cases:</w:t>
      </w:r>
      <w:r>
        <w:rPr/>
        <w:t xml:space="preserve"> Florida law also provides for automatic lien expiration after one year if no suit is filed (§ 713.21(3)). Courts strictly enforce this as well: </w:t>
      </w:r>
      <w:r>
        <w:rPr>
          <w:rStyle w:val="Emphasis"/>
        </w:rPr>
        <w:t>Scott v. Haufler</w:t>
      </w:r>
      <w:r>
        <w:rPr/>
        <w:t>, 526 So. 2d 996 (Fla. 3d DCA 1988), for example, held that lienors who did not file foreclosure within one year “</w:t>
      </w:r>
      <w:r>
        <w:rPr>
          <w:rStyle w:val="Strong"/>
        </w:rPr>
        <w:t>accordingly [had] their liens… discharged</w:t>
      </w:r>
      <w:r>
        <w:rPr/>
        <w:t>” by operation of § 713.21(3)</w:t>
      </w:r>
      <w:hyperlink r:id="rId80" w:anchor=":~:text=,3d%20DCA%201977%29" w:tgtFrame="_blank">
        <w:r>
          <w:rPr>
            <w:rStyle w:val="Hyperlink"/>
          </w:rPr>
          <w:t>courtlistener.com</w:t>
        </w:r>
      </w:hyperlink>
      <w:r>
        <w:rPr/>
        <w:t xml:space="preserve">. In </w:t>
      </w:r>
      <w:r>
        <w:rPr>
          <w:rStyle w:val="Strong"/>
        </w:rPr>
        <w:t>Diversified Mortgage Investors v. Benjamin</w:t>
      </w:r>
      <w:r>
        <w:rPr/>
        <w:t xml:space="preserve">, 345 So. 2d 392 (Fla. 3d DCA 1977), a case cited in </w:t>
      </w:r>
      <w:r>
        <w:rPr>
          <w:rStyle w:val="Emphasis"/>
        </w:rPr>
        <w:t>Scott</w:t>
      </w:r>
      <w:r>
        <w:rPr/>
        <w:t xml:space="preserve">, the court likewise canceled an untimely lien. These cases, together with </w:t>
      </w:r>
      <w:r>
        <w:rPr>
          <w:rStyle w:val="Emphasis"/>
        </w:rPr>
        <w:t>Alexdex</w:t>
      </w:r>
      <w:r>
        <w:rPr/>
        <w:t xml:space="preserve">, underscore the unforgiving nature of the timeline: whether by failing to file at all or filing in the wrong place and not correcting it, lienors risk </w:t>
      </w:r>
      <w:r>
        <w:rPr>
          <w:rStyle w:val="Strong"/>
        </w:rPr>
        <w:t>extinguishment</w:t>
      </w:r>
      <w:r>
        <w:rPr/>
        <w:t xml:space="preserve"> of the lien. The </w:t>
      </w:r>
      <w:r>
        <w:rPr>
          <w:rStyle w:val="Strong"/>
        </w:rPr>
        <w:t>practical best practice</w:t>
      </w:r>
      <w:r>
        <w:rPr/>
        <w:t xml:space="preserve"> is for lienors to file foreclosure well within the one-year limit (or 60 days if a Notice of Contest is served) and in the proper court, and for owners to use the Contest or show-cause remedies to hold lienors to those deadlines.</w:t>
      </w:r>
    </w:p>
    <w:p>
      <w:pPr>
        <w:pStyle w:val="Heading3"/>
        <w:bidi w:val="0"/>
        <w:jc w:val="start"/>
        <w:rPr/>
      </w:pPr>
      <w:r>
        <w:rPr/>
        <w:t>Witters Contracting Co. v. West (Fla. 2d DCA 2020)</w:t>
      </w:r>
    </w:p>
    <w:p>
      <w:pPr>
        <w:pStyle w:val="BodyText"/>
        <w:numPr>
          <w:ilvl w:val="0"/>
          <w:numId w:val="5"/>
        </w:numPr>
        <w:tabs>
          <w:tab w:val="clear" w:pos="709"/>
          <w:tab w:val="left" w:pos="709" w:leader="none"/>
        </w:tabs>
        <w:bidi w:val="0"/>
        <w:ind w:hanging="283" w:start="709"/>
        <w:jc w:val="start"/>
        <w:rPr/>
      </w:pPr>
      <w:r>
        <w:rPr>
          <w:rStyle w:val="Strong"/>
        </w:rPr>
        <w:t>Parties:</w:t>
      </w:r>
      <w:r>
        <w:rPr/>
        <w:t xml:space="preserve"> Witters Contracting Company (contractor) vs. West (homeowners).</w:t>
      </w:r>
    </w:p>
    <w:p>
      <w:pPr>
        <w:pStyle w:val="BodyText"/>
        <w:numPr>
          <w:ilvl w:val="0"/>
          <w:numId w:val="5"/>
        </w:numPr>
        <w:tabs>
          <w:tab w:val="clear" w:pos="709"/>
          <w:tab w:val="left" w:pos="709" w:leader="none"/>
        </w:tabs>
        <w:bidi w:val="0"/>
        <w:ind w:hanging="283" w:start="709"/>
        <w:jc w:val="start"/>
        <w:rPr/>
      </w:pPr>
      <w:r>
        <w:rPr>
          <w:rStyle w:val="Strong"/>
        </w:rPr>
        <w:t>Issue:</w:t>
      </w:r>
      <w:r>
        <w:rPr/>
        <w:t xml:space="preserve"> Consequences of filing a </w:t>
      </w:r>
      <w:r>
        <w:rPr>
          <w:rStyle w:val="Strong"/>
        </w:rPr>
        <w:t>fraudulent, exaggerated lien</w:t>
      </w:r>
      <w:r>
        <w:rPr/>
        <w:t xml:space="preserve"> and refusing to release it. What constitutes a “willful exaggeration” under § 713.31, and what damages can an owner recover when a lien is deemed fraudulent?</w:t>
      </w:r>
    </w:p>
    <w:p>
      <w:pPr>
        <w:pStyle w:val="BodyText"/>
        <w:numPr>
          <w:ilvl w:val="0"/>
          <w:numId w:val="5"/>
        </w:numPr>
        <w:tabs>
          <w:tab w:val="clear" w:pos="709"/>
          <w:tab w:val="left" w:pos="709" w:leader="none"/>
        </w:tabs>
        <w:bidi w:val="0"/>
        <w:ind w:hanging="283" w:start="709"/>
        <w:jc w:val="start"/>
        <w:rPr/>
      </w:pPr>
      <w:r>
        <w:rPr>
          <w:rStyle w:val="Strong"/>
        </w:rPr>
        <w:t>Facts:</w:t>
      </w:r>
      <w:r>
        <w:rPr/>
        <w:t xml:space="preserve"> Homeowners hired Witters to build a new home under a cost-plus contract</w:t>
      </w:r>
      <w:hyperlink r:id="rId81" w:anchor=":~:text=In%20that%20case%2C%20a%20couple,an%20unpaid%20balance%20of%20%2475%2C000" w:tgtFrame="_blank">
        <w:r>
          <w:rPr>
            <w:rStyle w:val="Hyperlink"/>
          </w:rPr>
          <w:t>buildsmartbradley.com</w:t>
        </w:r>
      </w:hyperlink>
      <w:r>
        <w:rPr/>
        <w:t>. The relationship deteriorated, and Witters made a demand for payment of ~$30,000, threatening to file a lien for $100,000 if not paid</w:t>
      </w:r>
      <w:hyperlink r:id="rId82" w:anchor=":~:text=the%20pitfalls%20that%20may%20befall,abused%20the%20lien%20filing%20process" w:tgtFrame="_blank">
        <w:r>
          <w:rPr>
            <w:rStyle w:val="Hyperlink"/>
          </w:rPr>
          <w:t>buildsmartbradley.com</w:t>
        </w:r>
      </w:hyperlink>
      <w:r>
        <w:rPr/>
        <w:t xml:space="preserve">. Shortly after, Witters’ attorney sent a letter claiming about $59,706 was due, and then Witters filed a </w:t>
      </w:r>
      <w:r>
        <w:rPr>
          <w:rStyle w:val="Strong"/>
        </w:rPr>
        <w:t>claim of lien for $75,000</w:t>
      </w:r>
      <w:hyperlink r:id="rId83" w:anchor=":~:text=Witters%20Contracting%20Company%2C%20to%20build,an%20unpaid%20balance%20of%20%2475%2C000" w:tgtFrame="_blank">
        <w:r>
          <w:rPr>
            <w:rStyle w:val="Hyperlink"/>
          </w:rPr>
          <w:t>buildsmartbradley.com</w:t>
        </w:r>
      </w:hyperlink>
      <w:r>
        <w:rPr/>
        <w:t xml:space="preserve">. The homeowners sued Witters, alleging the lien was </w:t>
      </w:r>
      <w:r>
        <w:rPr>
          <w:rStyle w:val="Strong"/>
        </w:rPr>
        <w:t>fraudulent</w:t>
      </w:r>
      <w:r>
        <w:rPr/>
        <w:t xml:space="preserve"> and constituted slander of title (they also withheld payment, disputing the amounts). Witters countersued for breach of contract and quantum meruit. The homeowners moved for summary judgment, arguing the lien was willfully inflated. The trial court agreed – finding the lien was compiled with such </w:t>
      </w:r>
      <w:r>
        <w:rPr>
          <w:rStyle w:val="Strong"/>
        </w:rPr>
        <w:t>gross negligence or exaggeration</w:t>
      </w:r>
      <w:r>
        <w:rPr/>
        <w:t xml:space="preserve"> as to be willful and fraudulent</w:t>
      </w:r>
      <w:hyperlink r:id="rId84" w:anchor=":~:text=counterclaims,the%20summary%20judgment%20motion%20finding" w:tgtFrame="_blank">
        <w:r>
          <w:rPr>
            <w:rStyle w:val="Hyperlink"/>
          </w:rPr>
          <w:t>buildsmartbradley.com</w:t>
        </w:r>
      </w:hyperlink>
      <w:r>
        <w:rPr/>
        <w:t xml:space="preserve">. The court cited the inconsistencies in Witters’ demands ($30k, then ~$60k, then a $75k lien) as evidence of bad faith. It declared the lien fraudulent and slanderous, ordered the lien released, and reserved jurisdiction to award damages. After a separate trial on damages, the court awarded the owners </w:t>
      </w:r>
      <w:r>
        <w:rPr>
          <w:rStyle w:val="Strong"/>
        </w:rPr>
        <w:t>over $180,000</w:t>
      </w:r>
      <w:r>
        <w:rPr/>
        <w:t xml:space="preserve"> in damages, including attorneys’ fees, costs, and punitive damages</w:t>
      </w:r>
      <w:hyperlink r:id="rId85" w:anchor=":~:text=liens%20constitutes%20a%20slander%20of,title%20upon%20Plaintiffs%E2%80%99%20real%20property" w:tgtFrame="_blank">
        <w:r>
          <w:rPr>
            <w:rStyle w:val="Hyperlink"/>
          </w:rPr>
          <w:t>buildsmartbradley.com</w:t>
        </w:r>
      </w:hyperlink>
      <w:hyperlink r:id="rId86" w:anchor=":~:text=After%20a%20trial%20on%20damages%2C,The%20contractor%20appealed" w:tgtFrame="_blank">
        <w:r>
          <w:rPr>
            <w:rStyle w:val="Hyperlink"/>
          </w:rPr>
          <w:t>buildsmartbradley.com</w:t>
        </w:r>
      </w:hyperlink>
      <w:r>
        <w:rPr/>
        <w:t>. Witters appealed, particularly objecting to the personal liability of its company’s owner for the judgment.</w:t>
      </w:r>
    </w:p>
    <w:p>
      <w:pPr>
        <w:pStyle w:val="BodyText"/>
        <w:numPr>
          <w:ilvl w:val="0"/>
          <w:numId w:val="5"/>
        </w:numPr>
        <w:tabs>
          <w:tab w:val="clear" w:pos="709"/>
          <w:tab w:val="left" w:pos="709" w:leader="none"/>
        </w:tabs>
        <w:bidi w:val="0"/>
        <w:ind w:hanging="283" w:start="709"/>
        <w:jc w:val="start"/>
        <w:rPr/>
      </w:pPr>
      <w:r>
        <w:rPr>
          <w:rStyle w:val="Strong"/>
        </w:rPr>
        <w:t>Outcome:</w:t>
      </w:r>
      <w:r>
        <w:rPr/>
        <w:t xml:space="preserve"> The Second DCA </w:t>
      </w:r>
      <w:r>
        <w:rPr>
          <w:rStyle w:val="Strong"/>
        </w:rPr>
        <w:t>affirmed</w:t>
      </w:r>
      <w:r>
        <w:rPr/>
        <w:t xml:space="preserve"> the finding of a fraudulent lien and the damages against the contracting company</w:t>
      </w:r>
      <w:hyperlink r:id="rId87" w:anchor=":~:text=On%20appeal%2C%20the%20Second%20District,personally%20liable%20for%20the%20judgment" w:tgtFrame="_blank">
        <w:r>
          <w:rPr>
            <w:rStyle w:val="Hyperlink"/>
          </w:rPr>
          <w:t>buildsmartbradley.com</w:t>
        </w:r>
      </w:hyperlink>
      <w:r>
        <w:rPr/>
        <w:t>. The appellate court agreed that Witters willfully exaggerated its lien (a violation of § 713.31(2)(a)) and that this supported the summary judgment for the owners. The $180k judgment (which likely included statutory punitive damages up to the difference between the lien amount and actual due, per § 713.31) was upheld against the company. However, the 2d DCA reversed the judgment to the extent it made the individual owner of Witters personally liable – presumably because there wasn’t a sufficient basis to pierce the corporate veil or hold him individually responsible absent a specific statutory provision</w:t>
      </w:r>
      <w:hyperlink r:id="rId88" w:anchor=":~:text=On%20appeal%2C%20the%20Second%20District,personally%20liable%20for%20the%20judgment" w:tgtFrame="_blank">
        <w:r>
          <w:rPr>
            <w:rStyle w:val="Hyperlink"/>
          </w:rPr>
          <w:t>buildsmartbradley.com</w:t>
        </w:r>
      </w:hyperlink>
      <w:r>
        <w:rPr/>
        <w:t>. The lien itself was nullified due to the fraud, and the owners were recognized as the prevailing party entitled to fees.</w:t>
      </w:r>
    </w:p>
    <w:p>
      <w:pPr>
        <w:pStyle w:val="BodyText"/>
        <w:numPr>
          <w:ilvl w:val="0"/>
          <w:numId w:val="5"/>
        </w:numPr>
        <w:tabs>
          <w:tab w:val="clear" w:pos="709"/>
          <w:tab w:val="left" w:pos="709" w:leader="none"/>
        </w:tabs>
        <w:bidi w:val="0"/>
        <w:ind w:hanging="283" w:start="709"/>
        <w:jc w:val="start"/>
        <w:rPr/>
      </w:pPr>
      <w:r>
        <w:rPr>
          <w:rStyle w:val="Strong"/>
        </w:rPr>
        <w:t>Legal Principles:</w:t>
      </w:r>
      <w:r>
        <w:rPr/>
        <w:t xml:space="preserve"> Under § 713.31, a lien is fraudulent if the lienor has willfully exaggerated the amount, willfully included work not performed or materials not furnished, or compiled the claim with such gross negligence as to amount to willful exaggeration</w:t>
      </w:r>
      <w:hyperlink r:id="rId89" w:anchor=":~:text=Q%3A%20What%20is%20a%20fraudulent,the%20penalties%20for%20filing%20one" w:tgtFrame="_blank">
        <w:r>
          <w:rPr>
            <w:rStyle w:val="Hyperlink"/>
          </w:rPr>
          <w:t>jimersonfirm.com</w:t>
        </w:r>
      </w:hyperlink>
      <w:hyperlink r:id="rId90" w:anchor=":~:text=A%3A%C2%A0%20A%20fraudulent%20lien%20is,31" w:tgtFrame="_blank">
        <w:r>
          <w:rPr>
            <w:rStyle w:val="Hyperlink"/>
          </w:rPr>
          <w:t>jimersonfirm.com</w:t>
        </w:r>
      </w:hyperlink>
      <w:r>
        <w:rPr/>
        <w:t xml:space="preserve">. A “good-faith dispute” or minor mistake is </w:t>
      </w:r>
      <w:r>
        <w:rPr>
          <w:rStyle w:val="Emphasis"/>
        </w:rPr>
        <w:t>not</w:t>
      </w:r>
      <w:r>
        <w:rPr/>
        <w:t xml:space="preserve"> fraudulent, but a knowing overstatement is. In </w:t>
      </w:r>
      <w:r>
        <w:rPr>
          <w:rStyle w:val="Emphasis"/>
        </w:rPr>
        <w:t>Witters</w:t>
      </w:r>
      <w:r>
        <w:rPr/>
        <w:t xml:space="preserve">, the court found the contractor’s shifting and inflated claims went beyond any good-faith dispute – they were a tactical </w:t>
      </w:r>
      <w:r>
        <w:rPr>
          <w:rStyle w:val="Strong"/>
        </w:rPr>
        <w:t>overreach to coerce payment</w:t>
      </w:r>
      <w:hyperlink r:id="rId91" w:anchor=":~:text=undisputedly%20owed%20to%20the%20lienor,abused%20the%20lien%20filing%20process" w:tgtFrame="_blank">
        <w:r>
          <w:rPr>
            <w:rStyle w:val="Hyperlink"/>
          </w:rPr>
          <w:t>buildsmartbradley.com</w:t>
        </w:r>
      </w:hyperlink>
      <w:hyperlink r:id="rId92" w:anchor=":~:text=Witters%20Contracting%20Company%2C%20to%20build,an%20unpaid%20balance%20of%20%2475%2C000" w:tgtFrame="_blank">
        <w:r>
          <w:rPr>
            <w:rStyle w:val="Hyperlink"/>
          </w:rPr>
          <w:t>buildsmartbradley.com</w:t>
        </w:r>
      </w:hyperlink>
      <w:r>
        <w:rPr/>
        <w:t xml:space="preserve">. The decision exemplifies that Florida courts will impose </w:t>
      </w:r>
      <w:r>
        <w:rPr>
          <w:rStyle w:val="Strong"/>
        </w:rPr>
        <w:t>harsh penalties for fraudulent liens</w:t>
      </w:r>
      <w:r>
        <w:rPr/>
        <w:t xml:space="preserve">. Slander of title was effectively proven as well, since a fraudulent lien is an encumbrance based on falsehood. The damages awarded (fees, costs, punitive damages) align with § 713.31(2)(c), which entitles the wronged owner to recover </w:t>
      </w:r>
      <w:r>
        <w:rPr>
          <w:rStyle w:val="Strong"/>
        </w:rPr>
        <w:t>all costs of clearing the lien</w:t>
      </w:r>
      <w:r>
        <w:rPr/>
        <w:t xml:space="preserve"> (including bond premiums, if any, interest on deposits, etc.) and punitive damages up to the difference between the claimed and actual owed</w:t>
      </w:r>
      <w:hyperlink r:id="rId93" w:anchor=":~:text=Fraudulent%20Claim%20of%20Lien" w:tgtFrame="_blank">
        <w:r>
          <w:rPr>
            <w:rStyle w:val="Hyperlink"/>
          </w:rPr>
          <w:t>tabbaafirm.com</w:t>
        </w:r>
      </w:hyperlink>
      <w:hyperlink r:id="rId94" w:anchor=":~:text=damages%20occasioned%20thereby,the%20lien%2C%20the%20amount%20of" w:tgtFrame="_blank">
        <w:r>
          <w:rPr>
            <w:rStyle w:val="Hyperlink"/>
          </w:rPr>
          <w:t>tabbaafirm.com</w:t>
        </w:r>
      </w:hyperlink>
      <w:r>
        <w:rPr/>
        <w:t>.</w:t>
      </w:r>
    </w:p>
    <w:p>
      <w:pPr>
        <w:pStyle w:val="BodyText"/>
        <w:numPr>
          <w:ilvl w:val="0"/>
          <w:numId w:val="5"/>
        </w:numPr>
        <w:tabs>
          <w:tab w:val="clear" w:pos="709"/>
          <w:tab w:val="left" w:pos="709" w:leader="none"/>
        </w:tabs>
        <w:bidi w:val="0"/>
        <w:ind w:hanging="283" w:start="709"/>
        <w:jc w:val="start"/>
        <w:rPr/>
      </w:pPr>
      <w:r>
        <w:rPr>
          <w:rStyle w:val="Strong"/>
        </w:rPr>
        <w:t>Common Errors by Lienors:</w:t>
      </w:r>
      <w:r>
        <w:rPr/>
        <w:t xml:space="preserve"> </w:t>
      </w:r>
      <w:r>
        <w:rPr>
          <w:rStyle w:val="Emphasis"/>
        </w:rPr>
        <w:t>Willful exaggeration.</w:t>
      </w:r>
      <w:r>
        <w:rPr/>
        <w:t xml:space="preserve"> Some lienors mistakenly believe overstating a lien provides leverage; </w:t>
      </w:r>
      <w:r>
        <w:rPr>
          <w:rStyle w:val="Emphasis"/>
        </w:rPr>
        <w:t>Witters</w:t>
      </w:r>
      <w:r>
        <w:rPr/>
        <w:t xml:space="preserve"> shows this can backfire catastrophically</w:t>
      </w:r>
      <w:hyperlink r:id="rId95" w:anchor=":~:text=defective%20filing%2C%20that%20party%20may,abused%20the%20lien%20filing%20process" w:tgtFrame="_blank">
        <w:r>
          <w:rPr>
            <w:rStyle w:val="Hyperlink"/>
          </w:rPr>
          <w:t>buildsmartbradley.com</w:t>
        </w:r>
      </w:hyperlink>
      <w:hyperlink r:id="rId96" w:anchor=":~:text=Contracting%2C%20you%20are%20found%20to,consequences%20of%20a%20defective%20filing" w:tgtFrame="_blank">
        <w:r>
          <w:rPr>
            <w:rStyle w:val="Hyperlink"/>
          </w:rPr>
          <w:t>buildsmartbradley.com</w:t>
        </w:r>
      </w:hyperlink>
      <w:r>
        <w:rPr/>
        <w:t xml:space="preserve">. Another error is </w:t>
      </w:r>
      <w:r>
        <w:rPr>
          <w:rStyle w:val="Strong"/>
        </w:rPr>
        <w:t>refusal to release</w:t>
      </w:r>
      <w:r>
        <w:rPr/>
        <w:t xml:space="preserve"> a clearly defective lien. In this case, even after owners’ complaints, the contractor persisted with its inflated lien, resulting in liability for slander of title. The case’s </w:t>
      </w:r>
      <w:r>
        <w:rPr>
          <w:rStyle w:val="Strong"/>
        </w:rPr>
        <w:t>“takeaways”</w:t>
      </w:r>
      <w:r>
        <w:rPr/>
        <w:t xml:space="preserve"> (noted by commentators) are that filing a lien with incorrect or inflated figures, or after one’s rights have expired, can subject a contractor to </w:t>
      </w:r>
      <w:r>
        <w:rPr>
          <w:rStyle w:val="Strong"/>
        </w:rPr>
        <w:t>substantial liability</w:t>
      </w:r>
      <w:r>
        <w:rPr/>
        <w:t>, far outweighing any leverage gained</w:t>
      </w:r>
      <w:hyperlink r:id="rId97" w:anchor=":~:text=downstream%20parties%20secure%20payment%20rights,to%20have%20abused%20the%20lien" w:tgtFrame="_blank">
        <w:r>
          <w:rPr>
            <w:rStyle w:val="Hyperlink"/>
          </w:rPr>
          <w:t>buildsmartbradley.com</w:t>
        </w:r>
      </w:hyperlink>
      <w:hyperlink r:id="rId98" w:anchor=":~:text=companies%20do%20not%20fully%20appreciate,legal%20implications%20of%20filing%20liens" w:tgtFrame="_blank">
        <w:r>
          <w:rPr>
            <w:rStyle w:val="Hyperlink"/>
          </w:rPr>
          <w:t>buildsmartbradley.com</w:t>
        </w:r>
      </w:hyperlink>
      <w:r>
        <w:rPr/>
        <w:t>.</w:t>
      </w:r>
    </w:p>
    <w:p>
      <w:pPr>
        <w:pStyle w:val="BodyText"/>
        <w:numPr>
          <w:ilvl w:val="0"/>
          <w:numId w:val="5"/>
        </w:numPr>
        <w:tabs>
          <w:tab w:val="clear" w:pos="709"/>
          <w:tab w:val="left" w:pos="709" w:leader="none"/>
        </w:tabs>
        <w:bidi w:val="0"/>
        <w:ind w:hanging="283" w:start="709"/>
        <w:jc w:val="start"/>
        <w:rPr/>
      </w:pPr>
      <w:r>
        <w:rPr>
          <w:rStyle w:val="Strong"/>
        </w:rPr>
        <w:t>Impact:</w:t>
      </w:r>
      <w:r>
        <w:rPr/>
        <w:t xml:space="preserve"> </w:t>
      </w:r>
      <w:r>
        <w:rPr>
          <w:rStyle w:val="Emphasis"/>
        </w:rPr>
        <w:t>Witters</w:t>
      </w:r>
      <w:r>
        <w:rPr/>
        <w:t xml:space="preserve"> is frequently cited as a warning that Florida’s lien law has teeth to punish abuse</w:t>
      </w:r>
      <w:hyperlink r:id="rId99" w:anchor=":~:text=defective%20filing%2C%20that%20party%20may,abused%20the%20lien%20filing%20process" w:tgtFrame="_blank">
        <w:r>
          <w:rPr>
            <w:rStyle w:val="Hyperlink"/>
          </w:rPr>
          <w:t>buildsmartbradley.com</w:t>
        </w:r>
      </w:hyperlink>
      <w:hyperlink r:id="rId100" w:anchor=":~:text=Additionally%2C%20for%20upstream%20parties%20facing,the%20demands%20of%20the%20lienor" w:tgtFrame="_blank">
        <w:r>
          <w:rPr>
            <w:rStyle w:val="Hyperlink"/>
          </w:rPr>
          <w:t>buildsmartbradley.com</w:t>
        </w:r>
      </w:hyperlink>
      <w:r>
        <w:rPr/>
        <w:t xml:space="preserve">. The trend in such cases is zero tolerance for fraud: courts uphold </w:t>
      </w:r>
      <w:r>
        <w:rPr>
          <w:rStyle w:val="Strong"/>
        </w:rPr>
        <w:t>voiding of the lien</w:t>
      </w:r>
      <w:r>
        <w:rPr/>
        <w:t xml:space="preserve"> (making it unenforceable) and also layer on </w:t>
      </w:r>
      <w:r>
        <w:rPr>
          <w:rStyle w:val="Strong"/>
        </w:rPr>
        <w:t>monetary consequences</w:t>
      </w:r>
      <w:r>
        <w:rPr/>
        <w:t xml:space="preserve">. For owners, </w:t>
      </w:r>
      <w:r>
        <w:rPr>
          <w:rStyle w:val="Emphasis"/>
        </w:rPr>
        <w:t>Witters</w:t>
      </w:r>
      <w:r>
        <w:rPr/>
        <w:t xml:space="preserve"> and similar cases (e.g. </w:t>
      </w:r>
      <w:r>
        <w:rPr>
          <w:rStyle w:val="Emphasis"/>
        </w:rPr>
        <w:t>Viyella Co. v. Gomes</w:t>
      </w:r>
      <w:r>
        <w:rPr/>
        <w:t xml:space="preserve">, 657 So. 2d 83 (Fla. 3d DCA 1995); </w:t>
      </w:r>
      <w:r>
        <w:rPr>
          <w:rStyle w:val="Emphasis"/>
        </w:rPr>
        <w:t>Delta Painting, Inc. v. Baumann</w:t>
      </w:r>
      <w:r>
        <w:rPr/>
        <w:t>, 710 So. 2d 663 (Fla. 3d DCA 1998)) provide a roadmap to relief when faced with egregiously false liens. Rather than automatically bonding off or paying a suspect lien, an owner can sue under § 713.31 for fraudulent lien – a strategy that “has some teeth,” as one construction attorney noted</w:t>
      </w:r>
      <w:hyperlink r:id="rId101" w:anchor=":~:text=by%20filing%20a%20lien%20may,consequences%20of%20a%20defective%20filing" w:tgtFrame="_blank">
        <w:r>
          <w:rPr>
            <w:rStyle w:val="Hyperlink"/>
          </w:rPr>
          <w:t>buildsmartbradley.com</w:t>
        </w:r>
      </w:hyperlink>
      <w:hyperlink r:id="rId102" w:anchor=":~:text=Additionally%2C%20for%20upstream%20parties%20facing,the%20demands%20of%20the%20lienor" w:tgtFrame="_blank">
        <w:r>
          <w:rPr>
            <w:rStyle w:val="Hyperlink"/>
          </w:rPr>
          <w:t>buildsmartbradley.com</w:t>
        </w:r>
      </w:hyperlink>
      <w:r>
        <w:rPr/>
        <w:t xml:space="preserve">. The availability of attorneys’ fees and punitive damages gives owners a powerful deterrent against lienors who might be tempted to file inflated claims. In summary, the best practice for lienors is to </w:t>
      </w:r>
      <w:r>
        <w:rPr>
          <w:rStyle w:val="Strong"/>
        </w:rPr>
        <w:t>only claim what is due</w:t>
      </w:r>
      <w:r>
        <w:rPr/>
        <w:t xml:space="preserve"> and release any lien that turns out to be invalid, to avoid the fate of Witters Contracting.</w:t>
      </w:r>
    </w:p>
    <w:p>
      <w:pPr>
        <w:pStyle w:val="Heading2"/>
        <w:bidi w:val="0"/>
        <w:jc w:val="start"/>
        <w:rPr/>
      </w:pPr>
      <w:r>
        <w:rPr/>
        <w:t>Recurring Issues and Best Practices in Lien Release/Cancellation</w:t>
      </w:r>
    </w:p>
    <w:p>
      <w:pPr>
        <w:pStyle w:val="BodyText"/>
        <w:bidi w:val="0"/>
        <w:jc w:val="start"/>
        <w:rPr/>
      </w:pPr>
      <w:r>
        <w:rPr>
          <w:rStyle w:val="Strong"/>
        </w:rPr>
        <w:t>1. Strict Statutory Compliance:</w:t>
      </w:r>
      <w:r>
        <w:rPr/>
        <w:t xml:space="preserve"> A clear theme in the case law is that Florida courts demand </w:t>
      </w:r>
      <w:r>
        <w:rPr>
          <w:rStyle w:val="Strong"/>
        </w:rPr>
        <w:t>strict compliance</w:t>
      </w:r>
      <w:r>
        <w:rPr/>
        <w:t xml:space="preserve"> with the Construction Lien Law’s technical requirements</w:t>
      </w:r>
      <w:hyperlink r:id="rId103" w:anchor=":~:text=The%20lien%20law%E2%80%99s%20strictest%20application,to%20a%20project%20to%20ascertain" w:tgtFrame="_blank">
        <w:r>
          <w:rPr>
            <w:rStyle w:val="Hyperlink"/>
          </w:rPr>
          <w:t>floridabar.org</w:t>
        </w:r>
      </w:hyperlink>
      <w:hyperlink r:id="rId104" w:anchor=":~:text=attached%20to%20it,of%20the%2090%20day%20period" w:tgtFrame="_blank">
        <w:r>
          <w:rPr>
            <w:rStyle w:val="Hyperlink"/>
          </w:rPr>
          <w:t>floridabar.org</w:t>
        </w:r>
      </w:hyperlink>
      <w:r>
        <w:rPr/>
        <w:t>. Lien rights are “purely creature of statute,” so one must “allege and prove strict compliance with every requirement”</w:t>
      </w:r>
      <w:hyperlink r:id="rId105" w:anchor=":~:text=Ch,principles%20that%20culminated%20in%20the" w:tgtFrame="_blank">
        <w:r>
          <w:rPr>
            <w:rStyle w:val="Hyperlink"/>
          </w:rPr>
          <w:t>floridabar.org</w:t>
        </w:r>
      </w:hyperlink>
      <w:r>
        <w:rPr/>
        <w:t xml:space="preserve">. Common missteps that lead to loss of lien rights include: failing to serve a Notice to Owner (as in </w:t>
      </w:r>
      <w:r>
        <w:rPr>
          <w:rStyle w:val="Emphasis"/>
        </w:rPr>
        <w:t>Calixte</w:t>
      </w:r>
      <w:r>
        <w:rPr/>
        <w:t xml:space="preserve">), filing a lien too late or with incorrect details, or failing to foreclose in time (as in </w:t>
      </w:r>
      <w:r>
        <w:rPr>
          <w:rStyle w:val="Emphasis"/>
        </w:rPr>
        <w:t>Scott v. Haufler</w:t>
      </w:r>
      <w:r>
        <w:rPr/>
        <w:t xml:space="preserve">, </w:t>
      </w:r>
      <w:r>
        <w:rPr>
          <w:rStyle w:val="Emphasis"/>
        </w:rPr>
        <w:t>Diversified Mortgage</w:t>
      </w:r>
      <w:r>
        <w:rPr/>
        <w:t xml:space="preserve">). </w:t>
      </w:r>
      <w:r>
        <w:rPr>
          <w:rStyle w:val="Strong"/>
        </w:rPr>
        <w:t>Trend:</w:t>
      </w:r>
      <w:r>
        <w:rPr/>
        <w:t xml:space="preserve"> Courts do not use equity to save a lienor who neglects the statute (indeed § 713.37 forbids liberal construction). The flip side is that owners must also follow statutory procedures exactly (e.g. properly serving a Notice of Contest or show-cause summons) to accelerate lien removal. The </w:t>
      </w:r>
      <w:r>
        <w:rPr>
          <w:rStyle w:val="Emphasis"/>
        </w:rPr>
        <w:t>Calixte</w:t>
      </w:r>
      <w:r>
        <w:rPr/>
        <w:t xml:space="preserve"> decision exemplifies that even a well-intentioned owner can be stymied by a literal statutory caveat</w:t>
      </w:r>
      <w:hyperlink r:id="rId106" w:anchor=":~:text=lien%20rights%2C%20,proper%20remedy%20under%20such%20circumstances" w:tgtFrame="_blank">
        <w:r>
          <w:rPr>
            <w:rStyle w:val="Hyperlink"/>
          </w:rPr>
          <w:t>hammerngavel.com</w:t>
        </w:r>
      </w:hyperlink>
      <w:r>
        <w:rPr/>
        <w:t xml:space="preserve">. </w:t>
      </w:r>
      <w:r>
        <w:rPr>
          <w:rStyle w:val="Strong"/>
        </w:rPr>
        <w:t>Best practice:</w:t>
      </w:r>
      <w:r>
        <w:rPr/>
        <w:t xml:space="preserve"> Lienors should create internal checklists for all Chapter 713 steps (Notices, recording times, service of lien, foreclosure deadlines). Owners and their counsel should similarly diary the </w:t>
      </w:r>
      <w:r>
        <w:rPr>
          <w:rStyle w:val="Strong"/>
        </w:rPr>
        <w:t>one-year expiration</w:t>
      </w:r>
      <w:r>
        <w:rPr/>
        <w:t xml:space="preserve"> and consider using the </w:t>
      </w:r>
      <w:r>
        <w:rPr>
          <w:rStyle w:val="Strong"/>
        </w:rPr>
        <w:t>60-day Notice of Contest</w:t>
      </w:r>
      <w:r>
        <w:rPr/>
        <w:t xml:space="preserve"> (§ 713.22) to shorten that period when appropriate. Both sides must respect that there is “no room for error” in lien technicalities – errors will result in the lien being void or discharged</w:t>
      </w:r>
      <w:hyperlink r:id="rId107" w:anchor=":~:text=Q%3A%20What%20is%20a%20fraudulent,the%20penalties%20for%20filing%20one" w:tgtFrame="_blank">
        <w:r>
          <w:rPr>
            <w:rStyle w:val="Hyperlink"/>
          </w:rPr>
          <w:t>jimersonfirm.com</w:t>
        </w:r>
      </w:hyperlink>
      <w:hyperlink r:id="rId108" w:anchor=":~:text=Fraudulent%20liens%20typically%20involve%20situations,rise%20to%20a%20fraudulent%20lien" w:tgtFrame="_blank">
        <w:r>
          <w:rPr>
            <w:rStyle w:val="Hyperlink"/>
          </w:rPr>
          <w:t>jimersonfirm.com</w:t>
        </w:r>
      </w:hyperlink>
      <w:r>
        <w:rPr/>
        <w:t>.</w:t>
      </w:r>
    </w:p>
    <w:p>
      <w:pPr>
        <w:pStyle w:val="BodyText"/>
        <w:bidi w:val="0"/>
        <w:jc w:val="start"/>
        <w:rPr/>
      </w:pPr>
      <w:r>
        <w:rPr>
          <w:rStyle w:val="Strong"/>
        </w:rPr>
        <w:t>2. Releasing Liens Upon Payment – Proper Form and Timing:</w:t>
      </w:r>
      <w:r>
        <w:rPr/>
        <w:t xml:space="preserve"> Section 713.21 provides that a lien can be discharged by recording a </w:t>
      </w:r>
      <w:r>
        <w:rPr>
          <w:rStyle w:val="Strong"/>
        </w:rPr>
        <w:t>satisfaction or release</w:t>
      </w:r>
      <w:r>
        <w:rPr/>
        <w:t xml:space="preserve"> signed by the lienor</w:t>
      </w:r>
      <w:hyperlink r:id="rId109" w:anchor=":~:text=Discharge%20or%20cancellation%20of%20a,21" w:tgtFrame="_blank">
        <w:r>
          <w:rPr>
            <w:rStyle w:val="Hyperlink"/>
          </w:rPr>
          <w:t>tabbaafirm.com</w:t>
        </w:r>
      </w:hyperlink>
      <w:hyperlink r:id="rId110" w:anchor=":~:text=,person%20relying%20on%20the%20same" w:tgtFrame="_blank">
        <w:r>
          <w:rPr>
            <w:rStyle w:val="Hyperlink"/>
          </w:rPr>
          <w:t>tabbaafirm.com</w:t>
        </w:r>
      </w:hyperlink>
      <w:r>
        <w:rPr/>
        <w:t xml:space="preserve">. A recurring issue is lienors failing to promptly record a satisfaction after payment. While § 713.21 does not impose an explicit deadline, failing to remove a lien that has been paid can expose the lienor to a lawsuit (for slander of title or under the owner’s contract). Florida encourages owners to </w:t>
      </w:r>
      <w:r>
        <w:rPr>
          <w:rStyle w:val="Strong"/>
        </w:rPr>
        <w:t>condition each payment on receiving a lien release</w:t>
      </w:r>
      <w:hyperlink r:id="rId111" w:anchor=":~:text=giving%20a%20Notice%20to%20Owner,end%20up%20paying%20twice%20for" w:tgtFrame="_blank">
        <w:r>
          <w:rPr>
            <w:rStyle w:val="Hyperlink"/>
          </w:rPr>
          <w:t>jimersonfirm.com</w:t>
        </w:r>
      </w:hyperlink>
      <w:hyperlink r:id="rId112" w:anchor=":~:text=prior%20to%20each%20payment%2C%20the,from%20liability%20for%20those%20payments" w:tgtFrame="_blank">
        <w:r>
          <w:rPr>
            <w:rStyle w:val="Hyperlink"/>
          </w:rPr>
          <w:t>jimersonfirm.com</w:t>
        </w:r>
      </w:hyperlink>
      <w:r>
        <w:rPr/>
        <w:t>. In fact, if an owner pays the contractor without obtaining releases from subcontractors who served Notices to Owner, those payments are deemed “</w:t>
      </w:r>
      <w:r>
        <w:rPr>
          <w:rStyle w:val="Emphasis"/>
        </w:rPr>
        <w:t>improper</w:t>
      </w:r>
      <w:r>
        <w:rPr/>
        <w:t xml:space="preserve">,” and the owner </w:t>
      </w:r>
      <w:r>
        <w:rPr>
          <w:rStyle w:val="Strong"/>
        </w:rPr>
        <w:t>loses certain defenses</w:t>
      </w:r>
      <w:r>
        <w:rPr/>
        <w:t>, potentially having to pay twice</w:t>
      </w:r>
      <w:hyperlink r:id="rId113" w:anchor=":~:text=giving%20a%20Notice%20to%20Owner,end%20up%20paying%20twice%20for" w:tgtFrame="_blank">
        <w:r>
          <w:rPr>
            <w:rStyle w:val="Hyperlink"/>
          </w:rPr>
          <w:t>jimersonfirm.com</w:t>
        </w:r>
      </w:hyperlink>
      <w:hyperlink r:id="rId114" w:anchor=":~:text=each%20payment%20to%20the%20contractor,from%20liability%20for%20those%20payments" w:tgtFrame="_blank">
        <w:r>
          <w:rPr>
            <w:rStyle w:val="Hyperlink"/>
          </w:rPr>
          <w:t>jimersonfirm.com</w:t>
        </w:r>
      </w:hyperlink>
      <w:r>
        <w:rPr/>
        <w:t xml:space="preserve">. </w:t>
      </w:r>
      <w:r>
        <w:rPr>
          <w:rStyle w:val="Emphasis"/>
        </w:rPr>
        <w:t>Best practice for owners:</w:t>
      </w:r>
      <w:r>
        <w:rPr/>
        <w:t xml:space="preserve"> Always require </w:t>
      </w:r>
      <w:r>
        <w:rPr>
          <w:rStyle w:val="Strong"/>
        </w:rPr>
        <w:t>partial lien waivers</w:t>
      </w:r>
      <w:r>
        <w:rPr/>
        <w:t xml:space="preserve"> from all lienors up the chain for the amount of each progress payment, and a </w:t>
      </w:r>
      <w:r>
        <w:rPr>
          <w:rStyle w:val="Strong"/>
        </w:rPr>
        <w:t>final release of lien</w:t>
      </w:r>
      <w:r>
        <w:rPr/>
        <w:t xml:space="preserve"> for final payment</w:t>
      </w:r>
      <w:hyperlink r:id="rId115" w:anchor=":~:text=Fla,If%20the%20owner%E2%80%99s%20payments" w:tgtFrame="_blank">
        <w:r>
          <w:rPr>
            <w:rStyle w:val="Hyperlink"/>
          </w:rPr>
          <w:t>jimersonfirm.com</w:t>
        </w:r>
      </w:hyperlink>
      <w:hyperlink r:id="rId116" w:anchor=":~:text=each%20payment%20to%20the%20contractor,from%20liability%20for%20those%20payments" w:tgtFrame="_blank">
        <w:r>
          <w:rPr>
            <w:rStyle w:val="Hyperlink"/>
          </w:rPr>
          <w:t>jimersonfirm.com</w:t>
        </w:r>
      </w:hyperlink>
      <w:r>
        <w:rPr/>
        <w:t>. This “closes the loop” and protects the owner from liens by those who were paid via the general contractor</w:t>
      </w:r>
      <w:hyperlink r:id="rId117" w:anchor=":~:text=each%20payment%20to%20the%20contractor,from%20liability%20for%20those%20payments" w:tgtFrame="_blank">
        <w:r>
          <w:rPr>
            <w:rStyle w:val="Hyperlink"/>
          </w:rPr>
          <w:t>jimersonfirm.com</w:t>
        </w:r>
      </w:hyperlink>
      <w:r>
        <w:rPr/>
        <w:t>. If a lien is filed after an owner made improper payments (without releases), the owner cannot use the “proper payments” defense and will be liable – a hard lesson learned in various disputes.</w:t>
      </w:r>
    </w:p>
    <w:p>
      <w:pPr>
        <w:pStyle w:val="BodyText"/>
        <w:bidi w:val="0"/>
        <w:jc w:val="start"/>
        <w:rPr/>
      </w:pPr>
      <w:r>
        <w:rPr/>
        <w:t xml:space="preserve">For lienors, </w:t>
      </w:r>
      <w:r>
        <w:rPr>
          <w:rStyle w:val="Strong"/>
        </w:rPr>
        <w:t>releasing the lien upon payment</w:t>
      </w:r>
      <w:r>
        <w:rPr/>
        <w:t xml:space="preserve"> isn’t just courteous; it’s required to avoid clouding the owner’s title. Florida law even makes it a </w:t>
      </w:r>
      <w:r>
        <w:rPr>
          <w:rStyle w:val="Strong"/>
        </w:rPr>
        <w:t>misdemeanor to refuse to release a paid lien</w:t>
      </w:r>
      <w:r>
        <w:rPr/>
        <w:t xml:space="preserve"> in some circumstances (see §713.29(3), Fla. Stat.). Many construction contracts also impose penalties or fee-shifting if a lien isn’t removed after payment. Thus, lienors should record a satisfaction </w:t>
      </w:r>
      <w:r>
        <w:rPr>
          <w:rStyle w:val="Strong"/>
        </w:rPr>
        <w:t>immediately</w:t>
      </w:r>
      <w:r>
        <w:rPr/>
        <w:t xml:space="preserve"> once paid in full (or paid the agreed amount for a partial release). Under §713.21(2), a recorded release should recite the official record book/page of the original lien and be signed and notarized by the lienor</w:t>
      </w:r>
      <w:hyperlink r:id="rId118" w:anchor=":~:text=,person%20relying%20on%20the%20same" w:tgtFrame="_blank">
        <w:r>
          <w:rPr>
            <w:rStyle w:val="Hyperlink"/>
          </w:rPr>
          <w:t>tabbaafirm.com</w:t>
        </w:r>
      </w:hyperlink>
      <w:hyperlink r:id="rId119" w:anchor=":~:text=notarized%20signature%20and%20set%20forth,person%20relying%20on%20the%20same" w:tgtFrame="_blank">
        <w:r>
          <w:rPr>
            <w:rStyle w:val="Hyperlink"/>
          </w:rPr>
          <w:t>tabbaafirm.com</w:t>
        </w:r>
      </w:hyperlink>
      <w:r>
        <w:rPr/>
        <w:t xml:space="preserve"> so that it can be readily indexed and verified. </w:t>
      </w:r>
      <w:r>
        <w:rPr>
          <w:rStyle w:val="Emphasis"/>
        </w:rPr>
        <w:t>Common mistake:</w:t>
      </w:r>
      <w:r>
        <w:rPr/>
        <w:t xml:space="preserve"> Lienors sometimes send an owner an unrecorded release and assume that suffices. An unrecorded release </w:t>
      </w:r>
      <w:r>
        <w:rPr>
          <w:rStyle w:val="Strong"/>
        </w:rPr>
        <w:t>does not clear the public records</w:t>
      </w:r>
      <w:r>
        <w:rPr/>
        <w:t xml:space="preserve"> until it is actually recorded with the clerk. Owners should ensure any release is in recordable form and follow through to see it recorded (or record it themselves if authorized).</w:t>
      </w:r>
    </w:p>
    <w:p>
      <w:pPr>
        <w:pStyle w:val="BodyText"/>
        <w:bidi w:val="0"/>
        <w:jc w:val="start"/>
        <w:rPr/>
      </w:pPr>
      <w:r>
        <w:rPr>
          <w:rStyle w:val="Strong"/>
        </w:rPr>
        <w:t>3. Lien Waiver Forms – Statutory vs. Non-Statutory:</w:t>
      </w:r>
      <w:r>
        <w:rPr/>
        <w:t xml:space="preserve"> Florida provides </w:t>
      </w:r>
      <w:r>
        <w:rPr>
          <w:rStyle w:val="Strong"/>
        </w:rPr>
        <w:t>simple form lien waivers</w:t>
      </w:r>
      <w:r>
        <w:rPr/>
        <w:t xml:space="preserve"> in § 713.20(4) (progress payment) and (5) (final payment)</w:t>
      </w:r>
      <w:hyperlink r:id="rId120" w:anchor=":~:text=WAIVER%20AND%20RELEASE%20OF%20LIEN,UPON%20PROGRESS%20PAYMENT" w:tgtFrame="_blank">
        <w:r>
          <w:rPr>
            <w:rStyle w:val="Hyperlink"/>
          </w:rPr>
          <w:t>syfert.com</w:t>
        </w:r>
      </w:hyperlink>
      <w:hyperlink r:id="rId121" w:anchor=":~:text=WAIVER%20AND%20RELEASE%20OF%20LIEN,UPON%20FINAL%20PAYMENT" w:tgtFrame="_blank">
        <w:r>
          <w:rPr>
            <w:rStyle w:val="Hyperlink"/>
          </w:rPr>
          <w:t>syfert.com</w:t>
        </w:r>
      </w:hyperlink>
      <w:r>
        <w:rPr/>
        <w:t>, and § 713.20(6) explicitly forbids requiring a lienor to sign a waiver “different from the forms” in the statute</w:t>
      </w:r>
      <w:hyperlink r:id="rId122" w:anchor=":~:text=,5" w:tgtFrame="_blank">
        <w:r>
          <w:rPr>
            <w:rStyle w:val="Hyperlink"/>
          </w:rPr>
          <w:t>syfert.com</w:t>
        </w:r>
      </w:hyperlink>
      <w:r>
        <w:rPr/>
        <w:t xml:space="preserve">. Despite this, it is </w:t>
      </w:r>
      <w:r>
        <w:rPr>
          <w:rStyle w:val="Emphasis"/>
        </w:rPr>
        <w:t>common</w:t>
      </w:r>
      <w:r>
        <w:rPr/>
        <w:t xml:space="preserve"> in practice for owners or GCs to present </w:t>
      </w:r>
      <w:r>
        <w:rPr>
          <w:rStyle w:val="Strong"/>
        </w:rPr>
        <w:t>broader waiver forms</w:t>
      </w:r>
      <w:r>
        <w:rPr/>
        <w:t xml:space="preserve"> that waive not just lien rights but also any other claims up to the date of the release</w:t>
      </w:r>
      <w:hyperlink r:id="rId123" w:anchor=":~:text=admonition%20is%20circumvented%20by%20incorporating,70" w:tgtFrame="_blank">
        <w:r>
          <w:rPr>
            <w:rStyle w:val="Hyperlink"/>
          </w:rPr>
          <w:t>floridabar.org</w:t>
        </w:r>
      </w:hyperlink>
      <w:hyperlink r:id="rId124" w:anchor=":~:text=additions%20to%20the%20statutory%20lien,70" w:tgtFrame="_blank">
        <w:r>
          <w:rPr>
            <w:rStyle w:val="Hyperlink"/>
          </w:rPr>
          <w:t>floridabar.org</w:t>
        </w:r>
      </w:hyperlink>
      <w:r>
        <w:rPr/>
        <w:t>. As noted in one FAQ, “sneaky contractors” use non-statutory forms with clauses waiving delay damages, unapproved change orders, or other claims</w:t>
      </w:r>
      <w:hyperlink r:id="rId125" w:anchor=":~:text=A%3A%20Many%20general%20contractors%20and,Once" w:tgtFrame="_blank">
        <w:r>
          <w:rPr>
            <w:rStyle w:val="Hyperlink"/>
          </w:rPr>
          <w:t>jimersonfirm.com</w:t>
        </w:r>
      </w:hyperlink>
      <w:r>
        <w:rPr/>
        <w:t xml:space="preserve">. The statute attempts to protect lienors, but many lienors feel compelled to sign these forms as a condition of payment. Florida law (per §713.20(8)) says that a waiver that deviates from the statutory form is </w:t>
      </w:r>
      <w:r>
        <w:rPr>
          <w:rStyle w:val="Strong"/>
        </w:rPr>
        <w:t>enforceable according to its terms</w:t>
      </w:r>
      <w:hyperlink r:id="rId126" w:anchor=":~:text=admonition%20is%20circumvented%20by%20incorporating,70" w:tgtFrame="_blank">
        <w:r>
          <w:rPr>
            <w:rStyle w:val="Hyperlink"/>
          </w:rPr>
          <w:t>floridabar.org</w:t>
        </w:r>
      </w:hyperlink>
      <w:hyperlink r:id="rId127" w:anchor=":~:text=match%20at%20L697%2069%20%C2%A0Fla,20%286" w:tgtFrame="_blank">
        <w:r>
          <w:rPr>
            <w:rStyle w:val="Hyperlink"/>
          </w:rPr>
          <w:t>floridabar.org</w:t>
        </w:r>
      </w:hyperlink>
      <w:r>
        <w:rPr/>
        <w:t xml:space="preserve"> – meaning if a subcontractor signs a broad form releasing “all claims” through a date, he may later be barred from claiming extras or delay costs accrued before that date. </w:t>
      </w:r>
      <w:r>
        <w:rPr>
          <w:rStyle w:val="Strong"/>
        </w:rPr>
        <w:t>Best Practices:</w:t>
      </w:r>
      <w:r>
        <w:rPr/>
        <w:t xml:space="preserve"> </w:t>
      </w:r>
      <w:r>
        <w:rPr>
          <w:rStyle w:val="Emphasis"/>
        </w:rPr>
        <w:t>For lienors:</w:t>
      </w:r>
      <w:r>
        <w:rPr/>
        <w:t xml:space="preserve"> Never sign a waiver or release that is broader than the situation warrants. Strike any language that waives claims other than lien rights, or insist on using the statutory form. If pressured, remember the law is on your side that you cannot be </w:t>
      </w:r>
      <w:r>
        <w:rPr>
          <w:rStyle w:val="Emphasis"/>
        </w:rPr>
        <w:t>required</w:t>
      </w:r>
      <w:r>
        <w:rPr/>
        <w:t xml:space="preserve"> to use a different form</w:t>
      </w:r>
      <w:hyperlink r:id="rId128" w:anchor=":~:text=private%20and%20public%20construction%20projects,done%20through%20a%20certain%20time" w:tgtFrame="_blank">
        <w:r>
          <w:rPr>
            <w:rStyle w:val="Hyperlink"/>
          </w:rPr>
          <w:t>jimersonfirm.com</w:t>
        </w:r>
      </w:hyperlink>
      <w:hyperlink r:id="rId129" w:anchor=":~:text=A%3A%20Many%20general%20contractors%20and,Once" w:tgtFrame="_blank">
        <w:r>
          <w:rPr>
            <w:rStyle w:val="Hyperlink"/>
          </w:rPr>
          <w:t>jimersonfirm.com</w:t>
        </w:r>
      </w:hyperlink>
      <w:r>
        <w:rPr/>
        <w:t>. In negotiations, change contract clauses that demand pre-payment waivers – modify them to say “exchange waiver upon payment,” so you’re not releasing liens before you actually receive funds</w:t>
      </w:r>
      <w:hyperlink r:id="rId130" w:anchor=":~:text=" w:tgtFrame="_blank">
        <w:r>
          <w:rPr>
            <w:rStyle w:val="Hyperlink"/>
          </w:rPr>
          <w:t>jimersonfirm.com</w:t>
        </w:r>
      </w:hyperlink>
      <w:hyperlink r:id="rId131" w:anchor=":~:text=subcontractors%2C%20the%20releases%20will%20be,the%20nonpayment%20to%20the%20subcontractors" w:tgtFrame="_blank">
        <w:r>
          <w:rPr>
            <w:rStyle w:val="Hyperlink"/>
          </w:rPr>
          <w:t>jimersonfirm.com</w:t>
        </w:r>
      </w:hyperlink>
      <w:r>
        <w:rPr/>
        <w:t xml:space="preserve">. </w:t>
      </w:r>
      <w:r>
        <w:rPr>
          <w:rStyle w:val="Emphasis"/>
        </w:rPr>
        <w:t>For owners/GCs:</w:t>
      </w:r>
      <w:r>
        <w:rPr/>
        <w:t xml:space="preserve"> Use the statutory forms – they are well-understood and less likely to generate disputes or mistakes</w:t>
      </w:r>
      <w:hyperlink r:id="rId132" w:anchor=":~:text=Florida%20Lien%20Waivers%20,just%20use%20the%20statutory%20form" w:tgtFrame="_blank">
        <w:r>
          <w:rPr>
            <w:rStyle w:val="Hyperlink"/>
          </w:rPr>
          <w:t>levelset.com</w:t>
        </w:r>
      </w:hyperlink>
      <w:r>
        <w:rPr/>
        <w:t xml:space="preserve">. Overreaching with a complex waiver form might save you from some claims, but it could also be deemed unenforceable or cause a subcontractor to refuse to sign, stalling the project. Notably, if a subcontractor </w:t>
      </w:r>
      <w:r>
        <w:rPr>
          <w:rStyle w:val="Emphasis"/>
        </w:rPr>
        <w:t>does</w:t>
      </w:r>
      <w:r>
        <w:rPr/>
        <w:t xml:space="preserve"> refuse to sign a non-statutory waiver, the owner </w:t>
      </w:r>
      <w:r>
        <w:rPr>
          <w:rStyle w:val="Strong"/>
        </w:rPr>
        <w:t>cannot withhold “proper payment”</w:t>
      </w:r>
      <w:r>
        <w:rPr/>
        <w:t xml:space="preserve"> on that basis; if the owner does and a lien results, the owner may be unable to use the “paid in full” defense</w:t>
      </w:r>
      <w:hyperlink r:id="rId133" w:anchor=":~:text=form%20different%20from%20the%20statutory,using%20proper%20payment%20as%20a" w:tgtFrame="_blank">
        <w:r>
          <w:rPr>
            <w:rStyle w:val="Hyperlink"/>
          </w:rPr>
          <w:t>jimersonfirm.com</w:t>
        </w:r>
      </w:hyperlink>
      <w:r>
        <w:rPr/>
        <w:t xml:space="preserve"> (because the subcontractor was justified in refusing the overbroad form). In summary, the cleanest approach is: </w:t>
      </w:r>
      <w:r>
        <w:rPr>
          <w:rStyle w:val="Strong"/>
        </w:rPr>
        <w:t>exchange a statutory-form partial release with each progress payment, and a final release for final payment.</w:t>
      </w:r>
    </w:p>
    <w:p>
      <w:pPr>
        <w:pStyle w:val="BodyText"/>
        <w:bidi w:val="0"/>
        <w:jc w:val="start"/>
        <w:rPr/>
      </w:pPr>
      <w:r>
        <w:rPr>
          <w:rStyle w:val="Strong"/>
        </w:rPr>
        <w:t>4. Conditional Releases &amp; Bad Checks:</w:t>
      </w:r>
      <w:r>
        <w:rPr/>
        <w:t xml:space="preserve"> A recurring practical problem is when a lienor provides an unconditional release of lien in exchange for a payment that later bounces (non-sufficient funds) or a payment that never materializes (in cases of dispute). Florida courts have held that even a </w:t>
      </w:r>
      <w:r>
        <w:rPr>
          <w:rStyle w:val="Strong"/>
        </w:rPr>
        <w:t>returned (bounced) check constitutes “valid consideration” to support a lien release</w:t>
      </w:r>
      <w:r>
        <w:rPr/>
        <w:t xml:space="preserve">, </w:t>
      </w:r>
      <w:r>
        <w:rPr>
          <w:rStyle w:val="Emphasis"/>
        </w:rPr>
        <w:t>“despite the money not actually being transferred.”</w:t>
      </w:r>
      <w:hyperlink r:id="rId134" w:anchor=":~:text=Q%3A%20What%20can%20I%20do,return%20for%20a%20worthless%20check" w:tgtFrame="_blank">
        <w:r>
          <w:rPr>
            <w:rStyle w:val="Hyperlink"/>
          </w:rPr>
          <w:t>jimersonfirm.com</w:t>
        </w:r>
      </w:hyperlink>
      <w:r>
        <w:rPr/>
        <w:t xml:space="preserve"> In other words, if a lienor signs an unconditional waiver upon receiving a check, and that check is later dishonored, the lienor </w:t>
      </w:r>
      <w:r>
        <w:rPr>
          <w:rStyle w:val="Emphasis"/>
        </w:rPr>
        <w:t>may have inadvertently given up the lien</w:t>
      </w:r>
      <w:r>
        <w:rPr/>
        <w:t xml:space="preserve"> without getting paid. The law does allow lienors to </w:t>
      </w:r>
      <w:r>
        <w:rPr>
          <w:rStyle w:val="Strong"/>
        </w:rPr>
        <w:t>condition a waiver on actual payment</w:t>
      </w:r>
      <w:r>
        <w:rPr/>
        <w:t xml:space="preserve">, but this must be </w:t>
      </w:r>
      <w:r>
        <w:rPr>
          <w:rStyle w:val="Strong"/>
        </w:rPr>
        <w:t>expressly written</w:t>
      </w:r>
      <w:r>
        <w:rPr/>
        <w:t xml:space="preserve"> on the release form</w:t>
      </w:r>
      <w:hyperlink r:id="rId135" w:anchor=":~:text=,any%20such%20condition%20is%20satisfied" w:tgtFrame="_blank">
        <w:r>
          <w:rPr>
            <w:rStyle w:val="Hyperlink"/>
          </w:rPr>
          <w:t>syfert.com</w:t>
        </w:r>
      </w:hyperlink>
      <w:hyperlink r:id="rId136" w:anchor=":~:text=A%3A%20Surprisingly%2C%20this%20issue%20comes,is%20void%E2%80%9D%20or%20words%20of" w:tgtFrame="_blank">
        <w:r>
          <w:rPr>
            <w:rStyle w:val="Hyperlink"/>
          </w:rPr>
          <w:t>jimersonfirm.com</w:t>
        </w:r>
      </w:hyperlink>
      <w:r>
        <w:rPr/>
        <w:t xml:space="preserve">. The standard statutory forms do </w:t>
      </w:r>
      <w:r>
        <w:rPr>
          <w:rStyle w:val="Emphasis"/>
        </w:rPr>
        <w:t>not</w:t>
      </w:r>
      <w:r>
        <w:rPr/>
        <w:t xml:space="preserve"> include conditional language by default (they assume payment is actually received), so it’s up to the lienor to modify the document if needed. </w:t>
      </w:r>
      <w:r>
        <w:rPr>
          <w:rStyle w:val="Strong"/>
        </w:rPr>
        <w:t>Best Practice for Lienors:</w:t>
      </w:r>
      <w:r>
        <w:rPr/>
        <w:t xml:space="preserve"> When payment is made by check (or other not-immediately-cleared method), write a clear condition on the release, such as: </w:t>
      </w:r>
      <w:r>
        <w:rPr>
          <w:rStyle w:val="Emphasis"/>
        </w:rPr>
        <w:t>“This release is conditioned upon the check/payment referenced herein clearing the bank. If said payment is not received or is dishonored, this release is void.”</w:t>
      </w:r>
      <w:hyperlink r:id="rId137" w:anchor=":~:text=A%3A%20Surprisingly%2C%20this%20issue%20comes,is%20void%E2%80%9D%20or%20words%20of" w:tgtFrame="_blank">
        <w:r>
          <w:rPr>
            <w:rStyle w:val="Hyperlink"/>
          </w:rPr>
          <w:t>jimersonfirm.com</w:t>
        </w:r>
      </w:hyperlink>
      <w:r>
        <w:rPr/>
        <w:t xml:space="preserve"> This kind of proviso, as suggested in Florida construction law guides</w:t>
      </w:r>
      <w:hyperlink r:id="rId138" w:anchor=":~:text=A%3A%20Surprisingly%2C%20this%20issue%20comes,is%20void%E2%80%9D%20or%20words%20of" w:tgtFrame="_blank">
        <w:r>
          <w:rPr>
            <w:rStyle w:val="Hyperlink"/>
          </w:rPr>
          <w:t>jimersonfirm.com</w:t>
        </w:r>
      </w:hyperlink>
      <w:r>
        <w:rPr/>
        <w:t xml:space="preserve">, will protect the lienor. Florida’s statute §713.20(7) explicitly states a lienor who takes a check </w:t>
      </w:r>
      <w:r>
        <w:rPr>
          <w:rStyle w:val="Emphasis"/>
        </w:rPr>
        <w:t>may</w:t>
      </w:r>
      <w:r>
        <w:rPr/>
        <w:t xml:space="preserve"> condition the release on payment of the check, and if so, the owner may withhold corresponding funds from the contractor until the check clears (to protect the owner)</w:t>
      </w:r>
      <w:hyperlink r:id="rId139" w:anchor=":~:text=,any%20such%20condition%20is%20satisfied" w:tgtFrame="_blank">
        <w:r>
          <w:rPr>
            <w:rStyle w:val="Hyperlink"/>
          </w:rPr>
          <w:t>syfert.com</w:t>
        </w:r>
      </w:hyperlink>
      <w:hyperlink r:id="rId140" w:anchor=":~:text=condition%20the%20waiver%20and%20release,any%20such%20condition%20is%20satisfied" w:tgtFrame="_blank">
        <w:r>
          <w:rPr>
            <w:rStyle w:val="Hyperlink"/>
          </w:rPr>
          <w:t>syfert.com</w:t>
        </w:r>
      </w:hyperlink>
      <w:r>
        <w:rPr/>
        <w:t xml:space="preserve">. </w:t>
      </w:r>
      <w:r>
        <w:rPr>
          <w:rStyle w:val="Emphasis"/>
        </w:rPr>
        <w:t>Common mistake:</w:t>
      </w:r>
      <w:r>
        <w:rPr/>
        <w:t xml:space="preserve"> Lienors sometimes sign the release on the spot when handed a check, without adding any reservation, trusting the payer – only to find the payment fails. As noted, courts have little sympathy in that scenario; the unconditional release is binding</w:t>
      </w:r>
      <w:hyperlink r:id="rId141" w:anchor=":~:text=Q%3A%20What%20can%20I%20do,return%20for%20a%20worthless%20check" w:tgtFrame="_blank">
        <w:r>
          <w:rPr>
            <w:rStyle w:val="Hyperlink"/>
          </w:rPr>
          <w:t>jimersonfirm.com</w:t>
        </w:r>
      </w:hyperlink>
      <w:r>
        <w:rPr/>
        <w:t xml:space="preserve">. Owners, on the other hand, should </w:t>
      </w:r>
      <w:r>
        <w:rPr>
          <w:rStyle w:val="Strong"/>
        </w:rPr>
        <w:t>insist on unconditional releases</w:t>
      </w:r>
      <w:r>
        <w:rPr/>
        <w:t xml:space="preserve"> only when they know the payment is valid (e.g., a certified check or wire). If an owner agrees to a conditional release, they should ensure the condition is satisfied (the check clears) to finalize the lien discharge. Clear communication and using escrow (release delivered upon confirmation of funds) can also avoid these issues.</w:t>
      </w:r>
    </w:p>
    <w:p>
      <w:pPr>
        <w:pStyle w:val="BodyText"/>
        <w:bidi w:val="0"/>
        <w:jc w:val="start"/>
        <w:rPr/>
      </w:pPr>
      <w:r>
        <w:rPr>
          <w:rStyle w:val="Strong"/>
        </w:rPr>
        <w:t>5. Fraudulent Lien Claims and Penalties:</w:t>
      </w:r>
      <w:r>
        <w:rPr/>
        <w:t xml:space="preserve"> The case law (e.g. </w:t>
      </w:r>
      <w:r>
        <w:rPr>
          <w:rStyle w:val="Emphasis"/>
        </w:rPr>
        <w:t>Witters v. West</w:t>
      </w:r>
      <w:r>
        <w:rPr/>
        <w:t xml:space="preserve">, discussed above) demonstrates that filing a fraudulent lien is one of the costliest errors a lienor can make. A “fraudulent lien” under §713.31 not only is </w:t>
      </w:r>
      <w:r>
        <w:rPr>
          <w:rStyle w:val="Strong"/>
        </w:rPr>
        <w:t>void/unenforceable</w:t>
      </w:r>
      <w:r>
        <w:rPr/>
        <w:t xml:space="preserve">, but exposes the lienor to </w:t>
      </w:r>
      <w:r>
        <w:rPr>
          <w:rStyle w:val="Strong"/>
        </w:rPr>
        <w:t>punitive damages, attorneys’ fees, and even criminal liability</w:t>
      </w:r>
      <w:r>
        <w:rPr/>
        <w:t xml:space="preserve"> (filing a willfully fraudulent lien is a 3rd-degree felony in Florida)</w:t>
      </w:r>
      <w:hyperlink r:id="rId142" w:anchor=":~:text=A%20lien%20is%20deemed%20fraudulent,claim%20for%20work%20not" w:tgtFrame="_blank">
        <w:r>
          <w:rPr>
            <w:rStyle w:val="Hyperlink"/>
          </w:rPr>
          <w:t>floridabar.org</w:t>
        </w:r>
      </w:hyperlink>
      <w:r>
        <w:rPr/>
        <w:t xml:space="preserve">leg.state.fl.us. </w:t>
      </w:r>
      <w:r>
        <w:rPr>
          <w:rStyle w:val="Strong"/>
        </w:rPr>
        <w:t>Trends:</w:t>
      </w:r>
      <w:r>
        <w:rPr/>
        <w:t xml:space="preserve"> Courts distinguish between minor good-faith mistakes and willful exaggeration. They have shown some leniency for </w:t>
      </w:r>
      <w:r>
        <w:rPr>
          <w:rStyle w:val="Emphasis"/>
        </w:rPr>
        <w:t>bona fide</w:t>
      </w:r>
      <w:r>
        <w:rPr/>
        <w:t xml:space="preserve"> disputes over amount (e.g., a slight overestimation due to a pending change order won’t automatically be deemed fraudulent)</w:t>
      </w:r>
      <w:hyperlink r:id="rId143" w:anchor=":~:text=Exaggerated%20lien%20amounts%20may%20also,3d%20DCA%202008%29%2C%20reduced" w:tgtFrame="_blank">
        <w:r>
          <w:rPr>
            <w:rStyle w:val="Hyperlink"/>
          </w:rPr>
          <w:t>floridabar.org</w:t>
        </w:r>
      </w:hyperlink>
      <w:hyperlink r:id="rId144" w:anchor=":~:text=Ten%20years%20earlier%2C%20the%20same,Gomes%2C%20%20657" w:tgtFrame="_blank">
        <w:r>
          <w:rPr>
            <w:rStyle w:val="Hyperlink"/>
          </w:rPr>
          <w:t>floridabar.org</w:t>
        </w:r>
      </w:hyperlink>
      <w:r>
        <w:rPr/>
        <w:t xml:space="preserve">. But if the exaggeration is significant and not credibly explained, judges readily find intent to defraud. For example, in </w:t>
      </w:r>
      <w:r>
        <w:rPr>
          <w:rStyle w:val="Emphasis"/>
        </w:rPr>
        <w:t>Witters</w:t>
      </w:r>
      <w:r>
        <w:rPr/>
        <w:t>, the contractor’s threat and inconsistent invoices helped prove the lien was a sham leverage tool</w:t>
      </w:r>
      <w:hyperlink r:id="rId145" w:anchor=":~:text=In%20that%20case%2C%20a%20couple,an%20unpaid%20balance%20of%20%2475%2C000" w:tgtFrame="_blank">
        <w:r>
          <w:rPr>
            <w:rStyle w:val="Hyperlink"/>
          </w:rPr>
          <w:t>buildsmartbradley.com</w:t>
        </w:r>
      </w:hyperlink>
      <w:hyperlink r:id="rId146" w:anchor=":~:text=counterclaims,the%20summary%20judgment%20motion%20finding" w:tgtFrame="_blank">
        <w:r>
          <w:rPr>
            <w:rStyle w:val="Hyperlink"/>
          </w:rPr>
          <w:t>buildsmartbradley.com</w:t>
        </w:r>
      </w:hyperlink>
      <w:r>
        <w:rPr/>
        <w:t xml:space="preserve">. </w:t>
      </w:r>
      <w:r>
        <w:rPr>
          <w:rStyle w:val="Strong"/>
        </w:rPr>
        <w:t>Best Practices:</w:t>
      </w:r>
      <w:r>
        <w:rPr/>
        <w:t xml:space="preserve"> </w:t>
      </w:r>
      <w:r>
        <w:rPr>
          <w:rStyle w:val="Emphasis"/>
        </w:rPr>
        <w:t>For Lienors:</w:t>
      </w:r>
      <w:r>
        <w:rPr/>
        <w:t xml:space="preserve"> Always lien for the exact amount you genuinely believe is due under the contract, and never include non-lienable items (like attorney fees, or work not yet done). If there’s a good-faith dispute, document why you believe the amount is proper. If you realize a filed lien is mistaken, </w:t>
      </w:r>
      <w:r>
        <w:rPr>
          <w:rStyle w:val="Strong"/>
        </w:rPr>
        <w:t>release or amend it promptly</w:t>
      </w:r>
      <w:r>
        <w:rPr/>
        <w:t xml:space="preserve"> – do not leave a known false lien on the property. </w:t>
      </w:r>
      <w:r>
        <w:rPr>
          <w:rStyle w:val="Emphasis"/>
        </w:rPr>
        <w:t>For Owners:</w:t>
      </w:r>
      <w:r>
        <w:rPr/>
        <w:t xml:space="preserve"> If you suspect a lien is willfully exaggerated, consider the </w:t>
      </w:r>
      <w:r>
        <w:rPr>
          <w:rStyle w:val="Strong"/>
        </w:rPr>
        <w:t>fraudulent lien remedies</w:t>
      </w:r>
      <w:r>
        <w:rPr/>
        <w:t>. Section 713.31 allows an action “in connection with a summons to show cause under s. 713.21” or as a standalone suit</w:t>
      </w:r>
      <w:hyperlink r:id="rId147" w:anchor=":~:text=Fraudulent%20Claim%20of%20Lien" w:tgtFrame="_blank">
        <w:r>
          <w:rPr>
            <w:rStyle w:val="Hyperlink"/>
          </w:rPr>
          <w:t>tabbaafirm.com</w:t>
        </w:r>
      </w:hyperlink>
      <w:hyperlink r:id="rId148" w:anchor=":~:text=or%20any%20contractor%2C%20subcontractor%2C%20or,action%20under%20this%20subsection%20in" w:tgtFrame="_blank">
        <w:r>
          <w:rPr>
            <w:rStyle w:val="Hyperlink"/>
          </w:rPr>
          <w:t>tabbaafirm.com</w:t>
        </w:r>
      </w:hyperlink>
      <w:r>
        <w:rPr/>
        <w:t xml:space="preserve">. In practice, an owner can countersue for fraudulent lien within a lien foreclosure action, or file an independent claim. Owners can recover all costs of discharging the lien (attorney’s fees, bond premiums, interest) and potentially </w:t>
      </w:r>
      <w:r>
        <w:rPr>
          <w:rStyle w:val="Strong"/>
        </w:rPr>
        <w:t>punitive damages</w:t>
      </w:r>
      <w:r>
        <w:rPr/>
        <w:t xml:space="preserve"> equal to the difference between the claimed amount and the amount actually due</w:t>
      </w:r>
      <w:hyperlink r:id="rId149" w:anchor=":~:text=damages%20occasioned%20thereby,the%20lien%2C%20the%20amount%20of" w:tgtFrame="_blank">
        <w:r>
          <w:rPr>
            <w:rStyle w:val="Hyperlink"/>
          </w:rPr>
          <w:t>tabbaafirm.com</w:t>
        </w:r>
      </w:hyperlink>
      <w:hyperlink r:id="rId150" w:anchor=":~:text=owner%20or%20the%20defrauded%20party,due%20or%20to%20become%20due" w:tgtFrame="_blank">
        <w:r>
          <w:rPr>
            <w:rStyle w:val="Hyperlink"/>
          </w:rPr>
          <w:t>tabbaafirm.com</w:t>
        </w:r>
      </w:hyperlink>
      <w:r>
        <w:rPr/>
        <w:t xml:space="preserve">. That threat often persuades an overzealous lienor to release or settle. However, owners should also be cautious: courts require solid proof of fraudulent intent, so the remedy is best pursued when the exaggeration is egregious (e.g., billing for work not performed, or a lien amount </w:t>
      </w:r>
      <w:r>
        <w:rPr>
          <w:rStyle w:val="Emphasis"/>
        </w:rPr>
        <w:t>far</w:t>
      </w:r>
      <w:r>
        <w:rPr/>
        <w:t xml:space="preserve"> above the contract balance with no support). In closer cases, an expedited show-cause procedure or negotiation might resolve the lien more efficiently.</w:t>
      </w:r>
    </w:p>
    <w:p>
      <w:pPr>
        <w:pStyle w:val="BodyText"/>
        <w:bidi w:val="0"/>
        <w:jc w:val="start"/>
        <w:rPr/>
      </w:pPr>
      <w:r>
        <w:rPr>
          <w:rStyle w:val="Strong"/>
        </w:rPr>
        <w:t>6. Avoiding Lien Litigation – Practical Tips:</w:t>
      </w:r>
      <w:r>
        <w:rPr/>
        <w:t xml:space="preserve"> The body of case law suggests several proactive steps for both sides to avoid ending up in costly litigation over lien releases or cancellations:</w:t>
      </w:r>
    </w:p>
    <w:p>
      <w:pPr>
        <w:pStyle w:val="BodyText"/>
        <w:numPr>
          <w:ilvl w:val="0"/>
          <w:numId w:val="6"/>
        </w:numPr>
        <w:tabs>
          <w:tab w:val="clear" w:pos="709"/>
          <w:tab w:val="left" w:pos="709" w:leader="none"/>
        </w:tabs>
        <w:bidi w:val="0"/>
        <w:ind w:hanging="283" w:start="709"/>
        <w:jc w:val="start"/>
        <w:rPr/>
      </w:pPr>
      <w:r>
        <w:rPr>
          <w:rStyle w:val="Strong"/>
        </w:rPr>
        <w:t>For Owners:</w:t>
      </w:r>
    </w:p>
    <w:p>
      <w:pPr>
        <w:pStyle w:val="BodyText"/>
        <w:numPr>
          <w:ilvl w:val="1"/>
          <w:numId w:val="6"/>
        </w:numPr>
        <w:tabs>
          <w:tab w:val="clear" w:pos="709"/>
          <w:tab w:val="left" w:pos="1418" w:leader="none"/>
        </w:tabs>
        <w:bidi w:val="0"/>
        <w:ind w:hanging="283" w:start="1418"/>
        <w:jc w:val="start"/>
        <w:rPr/>
      </w:pPr>
      <w:r>
        <w:rPr>
          <w:rStyle w:val="Strong"/>
        </w:rPr>
        <w:t>Secure lien waivers at every payment:</w:t>
      </w:r>
      <w:r>
        <w:rPr/>
        <w:t xml:space="preserve"> As noted, obtaining signed releases from all potential lienors (contractors, subs, suppliers with Notices to Owner) each time you disburse funds is crucial</w:t>
      </w:r>
      <w:hyperlink r:id="rId151" w:anchor=":~:text=giving%20a%20Notice%20to%20Owner,end%20up%20paying%20twice%20for" w:tgtFrame="_blank">
        <w:r>
          <w:rPr>
            <w:rStyle w:val="Hyperlink"/>
          </w:rPr>
          <w:t>jimersonfirm.com</w:t>
        </w:r>
      </w:hyperlink>
      <w:hyperlink r:id="rId152" w:anchor=":~:text=prior%20to%20each%20payment%2C%20the,from%20liability%20for%20those%20payments" w:tgtFrame="_blank">
        <w:r>
          <w:rPr>
            <w:rStyle w:val="Hyperlink"/>
          </w:rPr>
          <w:t>jimersonfirm.com</w:t>
        </w:r>
      </w:hyperlink>
      <w:r>
        <w:rPr/>
        <w:t>. This prevents liens from arising in the first place. Keep careful records of these releases.</w:t>
      </w:r>
    </w:p>
    <w:p>
      <w:pPr>
        <w:pStyle w:val="BodyText"/>
        <w:numPr>
          <w:ilvl w:val="1"/>
          <w:numId w:val="6"/>
        </w:numPr>
        <w:tabs>
          <w:tab w:val="clear" w:pos="709"/>
          <w:tab w:val="left" w:pos="1418" w:leader="none"/>
        </w:tabs>
        <w:bidi w:val="0"/>
        <w:ind w:hanging="283" w:start="1418"/>
        <w:jc w:val="start"/>
        <w:rPr/>
      </w:pPr>
      <w:r>
        <w:rPr>
          <w:rStyle w:val="Strong"/>
        </w:rPr>
        <w:t>Use Notices of Contest and Bonds:</w:t>
      </w:r>
      <w:r>
        <w:rPr/>
        <w:t xml:space="preserve"> If a lien is recorded and you dispute it, you can record a </w:t>
      </w:r>
      <w:r>
        <w:rPr>
          <w:rStyle w:val="Strong"/>
        </w:rPr>
        <w:t>Notice of Contest of Lien</w:t>
      </w:r>
      <w:r>
        <w:rPr/>
        <w:t xml:space="preserve"> (per §713.22(2)) to shorten the enforcement deadline to 60 days. If you need the lien off title immediately (e.g., for a sale or refinance), consider transferring it to a </w:t>
      </w:r>
      <w:r>
        <w:rPr>
          <w:rStyle w:val="Strong"/>
        </w:rPr>
        <w:t>Lien Transfer Bond</w:t>
      </w:r>
      <w:r>
        <w:rPr/>
        <w:t xml:space="preserve"> under §713.24. Bonding off a lien doesn’t extinguish it, but it frees the property from the encumbrance, after which a court fight can happen against the security of the bond instead of the real estate.</w:t>
      </w:r>
    </w:p>
    <w:p>
      <w:pPr>
        <w:pStyle w:val="BodyText"/>
        <w:numPr>
          <w:ilvl w:val="1"/>
          <w:numId w:val="6"/>
        </w:numPr>
        <w:tabs>
          <w:tab w:val="clear" w:pos="709"/>
          <w:tab w:val="left" w:pos="1418" w:leader="none"/>
        </w:tabs>
        <w:bidi w:val="0"/>
        <w:ind w:hanging="283" w:start="1418"/>
        <w:jc w:val="start"/>
        <w:rPr/>
      </w:pPr>
      <w:r>
        <w:rPr>
          <w:rStyle w:val="Strong"/>
        </w:rPr>
        <w:t>Communicate and mediate:</w:t>
      </w:r>
      <w:r>
        <w:rPr/>
        <w:t xml:space="preserve"> Many liens (especially those that are overstated or premature) can be resolved by communication. Before suing for fraudulent lien or firing off show-cause complaints, a practical owner will often send a </w:t>
      </w:r>
      <w:r>
        <w:rPr>
          <w:rStyle w:val="Strong"/>
        </w:rPr>
        <w:t>demand letter</w:t>
      </w:r>
      <w:r>
        <w:rPr/>
        <w:t xml:space="preserve"> citing the specific defects in the lien and asking for a release. Because §713.21(4) show-cause is now known to have limitations (</w:t>
      </w:r>
      <w:r>
        <w:rPr>
          <w:rStyle w:val="Emphasis"/>
        </w:rPr>
        <w:t>Calixte</w:t>
      </w:r>
      <w:r>
        <w:rPr/>
        <w:t>), it may be more fruitful to negotiate or use the Contest procedure unless the lienor is completely non-responsive.</w:t>
      </w:r>
    </w:p>
    <w:p>
      <w:pPr>
        <w:pStyle w:val="BodyText"/>
        <w:numPr>
          <w:ilvl w:val="1"/>
          <w:numId w:val="6"/>
        </w:numPr>
        <w:tabs>
          <w:tab w:val="clear" w:pos="709"/>
          <w:tab w:val="left" w:pos="1418" w:leader="none"/>
        </w:tabs>
        <w:bidi w:val="0"/>
        <w:ind w:hanging="283" w:start="1418"/>
        <w:jc w:val="start"/>
        <w:rPr/>
      </w:pPr>
      <w:r>
        <w:rPr>
          <w:rStyle w:val="Strong"/>
        </w:rPr>
        <w:t>Include lien release provisions in contracts:</w:t>
      </w:r>
      <w:r>
        <w:rPr/>
        <w:t xml:space="preserve"> Owners can protect themselves by contractually requiring the contractor to </w:t>
      </w:r>
      <w:r>
        <w:rPr>
          <w:rStyle w:val="Strong"/>
        </w:rPr>
        <w:t>promptly remove any liens</w:t>
      </w:r>
      <w:r>
        <w:rPr/>
        <w:t xml:space="preserve"> at its expense (for example, through bonding-off) and making this an obligation in the construction contract. This way, if a sub files a lien, the prime contractor is bound to address it or face breach of contract. While this doesn’t eliminate the lien, it gives the owner a direct claim against the contractor for any damages or delays caused by liens.</w:t>
      </w:r>
    </w:p>
    <w:p>
      <w:pPr>
        <w:pStyle w:val="BodyText"/>
        <w:numPr>
          <w:ilvl w:val="0"/>
          <w:numId w:val="6"/>
        </w:numPr>
        <w:tabs>
          <w:tab w:val="clear" w:pos="709"/>
          <w:tab w:val="left" w:pos="709" w:leader="none"/>
        </w:tabs>
        <w:bidi w:val="0"/>
        <w:ind w:hanging="283" w:start="709"/>
        <w:jc w:val="start"/>
        <w:rPr/>
      </w:pPr>
      <w:r>
        <w:rPr>
          <w:rStyle w:val="Strong"/>
        </w:rPr>
        <w:t>For Lienors (Contractors, Subcontractors, Suppliers):</w:t>
      </w:r>
    </w:p>
    <w:p>
      <w:pPr>
        <w:pStyle w:val="BodyText"/>
        <w:numPr>
          <w:ilvl w:val="1"/>
          <w:numId w:val="6"/>
        </w:numPr>
        <w:tabs>
          <w:tab w:val="clear" w:pos="709"/>
          <w:tab w:val="left" w:pos="1418" w:leader="none"/>
        </w:tabs>
        <w:bidi w:val="0"/>
        <w:ind w:hanging="283" w:start="1418"/>
        <w:jc w:val="start"/>
        <w:rPr/>
      </w:pPr>
      <w:r>
        <w:rPr>
          <w:rStyle w:val="Strong"/>
        </w:rPr>
        <w:t>Meticulous compliance with notice and timing:</w:t>
      </w:r>
      <w:r>
        <w:rPr/>
        <w:t xml:space="preserve"> Serve the Notice to Owner (if required) by the 45th day, record the Claim of Lien by the 90th day from final work, and </w:t>
      </w:r>
      <w:r>
        <w:rPr>
          <w:rStyle w:val="Strong"/>
        </w:rPr>
        <w:t>serve a copy of the lien on the owner within 15 days of recording</w:t>
      </w:r>
      <w:r>
        <w:rPr/>
        <w:t xml:space="preserve"> (as required by §713.08). Failure to timely serve the lien can render it voidable if prejudice is shownleg.state.fl.us. These steps are the foundation of a valid lien – courts will not forgive lapses here.</w:t>
      </w:r>
    </w:p>
    <w:p>
      <w:pPr>
        <w:pStyle w:val="BodyText"/>
        <w:numPr>
          <w:ilvl w:val="1"/>
          <w:numId w:val="6"/>
        </w:numPr>
        <w:tabs>
          <w:tab w:val="clear" w:pos="709"/>
          <w:tab w:val="left" w:pos="1418" w:leader="none"/>
        </w:tabs>
        <w:bidi w:val="0"/>
        <w:ind w:hanging="283" w:start="1418"/>
        <w:jc w:val="start"/>
        <w:rPr/>
      </w:pPr>
      <w:r>
        <w:rPr>
          <w:rStyle w:val="Strong"/>
        </w:rPr>
        <w:t>Use correct lien forms and content:</w:t>
      </w:r>
      <w:r>
        <w:rPr/>
        <w:t xml:space="preserve"> Florida’s lien form (in §713.08) must be followed – it should state the required information (name of lienor, name of customer, description of work, amount due, property description, first and last date of work, etc.)</w:t>
      </w:r>
      <w:hyperlink r:id="rId153" w:anchor=":~:text=A%20claim%20of%20lien%20is,or%20materials%20by%20the%20lienor" w:tgtFrame="_blank">
        <w:r>
          <w:rPr>
            <w:rStyle w:val="Hyperlink"/>
          </w:rPr>
          <w:t>tabbaafirm.com</w:t>
        </w:r>
      </w:hyperlink>
      <w:hyperlink r:id="rId154" w:anchor=":~:text=A%20claim%20of%20lien%20must,state%20the%20following" w:tgtFrame="_blank">
        <w:r>
          <w:rPr>
            <w:rStyle w:val="Hyperlink"/>
          </w:rPr>
          <w:t>tabbaafirm.com</w:t>
        </w:r>
      </w:hyperlink>
      <w:r>
        <w:rPr/>
        <w:t>. Avoid common errors like misstating the property description or the last work date. Even if a lien isn’t perfectly filled out, minor errors might be tolerated, but anything substantive (wrong owner, exaggerated amount, work not lienable) can doom the lien</w:t>
      </w:r>
      <w:hyperlink r:id="rId155" w:anchor=":~:text=first%20and%20last%20dates%20of,49" w:tgtFrame="_blank">
        <w:r>
          <w:rPr>
            <w:rStyle w:val="Hyperlink"/>
          </w:rPr>
          <w:t>floridabar.org</w:t>
        </w:r>
      </w:hyperlink>
      <w:hyperlink r:id="rId156" w:anchor=":~:text=errors%20have%20the%20least%20adverse,49" w:tgtFrame="_blank">
        <w:r>
          <w:rPr>
            <w:rStyle w:val="Hyperlink"/>
          </w:rPr>
          <w:t>floridabar.org</w:t>
        </w:r>
      </w:hyperlink>
      <w:r>
        <w:rPr/>
        <w:t>.</w:t>
      </w:r>
    </w:p>
    <w:p>
      <w:pPr>
        <w:pStyle w:val="BodyText"/>
        <w:numPr>
          <w:ilvl w:val="1"/>
          <w:numId w:val="6"/>
        </w:numPr>
        <w:tabs>
          <w:tab w:val="clear" w:pos="709"/>
          <w:tab w:val="left" w:pos="1418" w:leader="none"/>
        </w:tabs>
        <w:bidi w:val="0"/>
        <w:ind w:hanging="283" w:start="1418"/>
        <w:jc w:val="start"/>
        <w:rPr/>
      </w:pPr>
      <w:r>
        <w:rPr>
          <w:rStyle w:val="Strong"/>
        </w:rPr>
        <w:t>Respond to owner’s show-cause or contest actions immediately:</w:t>
      </w:r>
      <w:r>
        <w:rPr/>
        <w:t xml:space="preserve"> If you receive a show-cause summons (713.21(4)), </w:t>
      </w:r>
      <w:r>
        <w:rPr>
          <w:rStyle w:val="Strong"/>
        </w:rPr>
        <w:t>file a foreclosure action (or counterclaim) well within the 20 days</w:t>
      </w:r>
      <w:r>
        <w:rPr/>
        <w:t xml:space="preserve"> – ideally, get legal counsel to ensure the pleading is correct. If an owner records a Notice of Contest, remember that </w:t>
      </w:r>
      <w:r>
        <w:rPr>
          <w:rStyle w:val="Strong"/>
        </w:rPr>
        <w:t>your one-year window shrinks to 60 days</w:t>
      </w:r>
      <w:r>
        <w:rPr/>
        <w:t xml:space="preserve"> – do not let it lapse. Many liens have been lost because lienors mis-calendared the shortened period.</w:t>
      </w:r>
    </w:p>
    <w:p>
      <w:pPr>
        <w:pStyle w:val="BodyText"/>
        <w:numPr>
          <w:ilvl w:val="1"/>
          <w:numId w:val="6"/>
        </w:numPr>
        <w:tabs>
          <w:tab w:val="clear" w:pos="709"/>
          <w:tab w:val="left" w:pos="1418" w:leader="none"/>
        </w:tabs>
        <w:bidi w:val="0"/>
        <w:ind w:hanging="283" w:start="1418"/>
        <w:jc w:val="start"/>
        <w:rPr/>
      </w:pPr>
      <w:r>
        <w:rPr>
          <w:rStyle w:val="Strong"/>
        </w:rPr>
        <w:t>Release the lien when appropriate:</w:t>
      </w:r>
      <w:r>
        <w:rPr/>
        <w:t xml:space="preserve"> Do not wield the lien as a weapon longer than necessary. If you get paid, release it of record. If you reach a settlement, include an exchange of a release. If a lien was mistakenly filed (e.g., you later realize it was on the wrong property or for the wrong amount), releasing it can avoid further liability. Florida law allows an “Amended Claim of Lien” in some cases if within the original deadline, but once the deadline passes, you cannot fix a defective lien – except to release it and perhaps file a new one if still within 90 days of last work. Always err on the side of keeping liens accurate and current.</w:t>
      </w:r>
    </w:p>
    <w:p>
      <w:pPr>
        <w:pStyle w:val="BodyText"/>
        <w:numPr>
          <w:ilvl w:val="1"/>
          <w:numId w:val="6"/>
        </w:numPr>
        <w:tabs>
          <w:tab w:val="clear" w:pos="709"/>
          <w:tab w:val="left" w:pos="1418" w:leader="none"/>
        </w:tabs>
        <w:bidi w:val="0"/>
        <w:ind w:hanging="283" w:start="1418"/>
        <w:jc w:val="start"/>
        <w:rPr/>
      </w:pPr>
      <w:r>
        <w:rPr>
          <w:rStyle w:val="Strong"/>
        </w:rPr>
        <w:t>Don’t overreach on lien rights:</w:t>
      </w:r>
      <w:r>
        <w:rPr/>
        <w:t xml:space="preserve"> Lien only for the </w:t>
      </w:r>
      <w:r>
        <w:rPr>
          <w:rStyle w:val="Strong"/>
        </w:rPr>
        <w:t>real property improvement</w:t>
      </w:r>
      <w:r>
        <w:rPr/>
        <w:t xml:space="preserve"> portion of the dispute. Items like lost profits on unapproved change orders, or contract damages due to project delays (unless they directly caused labor/material costs on the job), are generally not lienable. Filing for non-lienable items can make the whole lien fraudulent</w:t>
      </w:r>
      <w:hyperlink r:id="rId157" w:anchor=":~:text=,title%20upon%20Plaintiffs%E2%80%99%20real%20property" w:tgtFrame="_blank">
        <w:r>
          <w:rPr>
            <w:rStyle w:val="Hyperlink"/>
          </w:rPr>
          <w:t>buildsmartbradley.com</w:t>
        </w:r>
      </w:hyperlink>
      <w:hyperlink r:id="rId158" w:anchor=":~:text=A%3A%C2%A0%20A%20fraudulent%20lien%20is,31" w:tgtFrame="_blank">
        <w:r>
          <w:rPr>
            <w:rStyle w:val="Hyperlink"/>
          </w:rPr>
          <w:t>jimersonfirm.com</w:t>
        </w:r>
      </w:hyperlink>
      <w:r>
        <w:rPr/>
        <w:t>. Similarly, if the owner has a valid defense (e.g., the work was never performed or was defective and redone by others), evaluate whether pursuing a lien is appropriate or if a simple lawsuit (without a lien) is safer to avoid fraud allegations.</w:t>
      </w:r>
    </w:p>
    <w:p>
      <w:pPr>
        <w:pStyle w:val="BodyText"/>
        <w:bidi w:val="0"/>
        <w:jc w:val="start"/>
        <w:rPr/>
      </w:pPr>
      <w:r>
        <w:rPr>
          <w:rStyle w:val="Strong"/>
        </w:rPr>
        <w:t>7. Trends in Judicial Interpretation:</w:t>
      </w:r>
      <w:r>
        <w:rPr/>
        <w:t xml:space="preserve"> In summary, Florida courts trend toward a </w:t>
      </w:r>
      <w:r>
        <w:rPr>
          <w:rStyle w:val="Strong"/>
        </w:rPr>
        <w:t>literal enforcement</w:t>
      </w:r>
      <w:r>
        <w:rPr/>
        <w:t xml:space="preserve"> of lien statutes (“strict compliance”) combined with a readiness to penalize abuse (fraudulent liens). However, as seen in </w:t>
      </w:r>
      <w:r>
        <w:rPr>
          <w:rStyle w:val="Emphasis"/>
        </w:rPr>
        <w:t>Alexdex</w:t>
      </w:r>
      <w:r>
        <w:rPr/>
        <w:t xml:space="preserve"> and a few others, courts will avoid absurd results (like canceling a lien when the lienor did everything right in the wrong forum). The overarching message is: </w:t>
      </w:r>
      <w:r>
        <w:rPr>
          <w:rStyle w:val="Strong"/>
        </w:rPr>
        <w:t>follow the statute to the letter, and you will usually be protected; deviate, and you likely lose the lien.</w:t>
      </w:r>
      <w:r>
        <w:rPr/>
        <w:t xml:space="preserve"> Procedural shortcuts by owners (like trying to use show-cause on a non-perfected lien) are struck down</w:t>
      </w:r>
      <w:hyperlink r:id="rId159" w:anchor=":~:text=lien%20rights%2C%20,proper%20remedy%20under%20such%20circumstances" w:tgtFrame="_blank">
        <w:r>
          <w:rPr>
            <w:rStyle w:val="Hyperlink"/>
          </w:rPr>
          <w:t>hammerngavel.com</w:t>
        </w:r>
      </w:hyperlink>
      <w:r>
        <w:rPr/>
        <w:t>, just as procedural missteps by lienors (like answering without a foreclosure count) lead to lien loss</w:t>
      </w:r>
      <w:hyperlink r:id="rId160" w:anchor=":~:text=Designerick%20did%20not%20request%20foreclosure%2C,the%20lien%20be%20filed%20or" w:tgtFrame="_blank">
        <w:r>
          <w:rPr>
            <w:rStyle w:val="Hyperlink"/>
          </w:rPr>
          <w:t>law.justia.com</w:t>
        </w:r>
      </w:hyperlink>
      <w:r>
        <w:rPr/>
        <w:t>. This predictability is useful: everyone knows the rules of the game.</w:t>
      </w:r>
    </w:p>
    <w:p>
      <w:pPr>
        <w:pStyle w:val="BodyText"/>
        <w:bidi w:val="0"/>
        <w:jc w:val="start"/>
        <w:rPr/>
      </w:pPr>
      <w:r>
        <w:rPr>
          <w:rStyle w:val="Strong"/>
        </w:rPr>
        <w:t>8. Practical Recommendations:</w:t>
      </w:r>
      <w:r>
        <w:rPr/>
        <w:t xml:space="preserve"> To avoid litigation or statutory penalties:</w:t>
      </w:r>
    </w:p>
    <w:p>
      <w:pPr>
        <w:pStyle w:val="BodyText"/>
        <w:numPr>
          <w:ilvl w:val="0"/>
          <w:numId w:val="7"/>
        </w:numPr>
        <w:tabs>
          <w:tab w:val="clear" w:pos="709"/>
          <w:tab w:val="left" w:pos="709" w:leader="none"/>
        </w:tabs>
        <w:bidi w:val="0"/>
        <w:ind w:hanging="283" w:start="709"/>
        <w:jc w:val="start"/>
        <w:rPr/>
      </w:pPr>
      <w:r>
        <w:rPr>
          <w:rStyle w:val="Strong"/>
        </w:rPr>
        <w:t>Educate project participants</w:t>
      </w:r>
      <w:r>
        <w:rPr/>
        <w:t xml:space="preserve"> on lien law basics. Many compliance errors are simply due to ignorance of the requirements. A subcontractor unaware of the Notice to Owner requirement might lose lien rights unintentionally; conversely an owner unaware of the need for interim releases might assume (wrongly) that paying the contractor alone insulates them. Early in a project, sending out a summary of lien protocols (who must send notices, who will be exchanging releases, etc.) can set expectations.</w:t>
      </w:r>
    </w:p>
    <w:p>
      <w:pPr>
        <w:pStyle w:val="BodyText"/>
        <w:numPr>
          <w:ilvl w:val="0"/>
          <w:numId w:val="7"/>
        </w:numPr>
        <w:tabs>
          <w:tab w:val="clear" w:pos="709"/>
          <w:tab w:val="left" w:pos="709" w:leader="none"/>
        </w:tabs>
        <w:bidi w:val="0"/>
        <w:ind w:hanging="283" w:start="709"/>
        <w:jc w:val="start"/>
        <w:rPr/>
      </w:pPr>
      <w:r>
        <w:rPr>
          <w:rStyle w:val="Strong"/>
        </w:rPr>
        <w:t>Consult attorneys early</w:t>
      </w:r>
      <w:r>
        <w:rPr/>
        <w:t xml:space="preserve"> when a payment dispute arises. If an owner hasn’t paid, a lienor should have counsel review its lien for accuracy before recording. If an owner faces a lien, consulting counsel about the lien’s validity can determine if a quick action (contest, bond, or show-cause) is viable or if it’s better to negotiate. The cost of early legal advice is trivial compared to a drawn-out foreclosure lawsuit or a wrongful lien claim later.</w:t>
      </w:r>
    </w:p>
    <w:p>
      <w:pPr>
        <w:pStyle w:val="BodyText"/>
        <w:numPr>
          <w:ilvl w:val="0"/>
          <w:numId w:val="7"/>
        </w:numPr>
        <w:tabs>
          <w:tab w:val="clear" w:pos="709"/>
          <w:tab w:val="left" w:pos="709" w:leader="none"/>
        </w:tabs>
        <w:bidi w:val="0"/>
        <w:ind w:hanging="283" w:start="709"/>
        <w:jc w:val="start"/>
        <w:rPr/>
      </w:pPr>
      <w:r>
        <w:rPr>
          <w:rStyle w:val="Strong"/>
        </w:rPr>
        <w:t>Keep lines of communication open.</w:t>
      </w:r>
      <w:r>
        <w:rPr/>
        <w:t xml:space="preserve"> Many liens get filed because of poor communication – a contractor isn’t sure why payment is delayed and files a lien out of caution, or an owner doesn’t realize a subcontractor wasn’t paid. Proactive communication (and proper use of </w:t>
      </w:r>
      <w:r>
        <w:rPr>
          <w:rStyle w:val="Emphasis"/>
        </w:rPr>
        <w:t>Conditional</w:t>
      </w:r>
      <w:r>
        <w:rPr/>
        <w:t xml:space="preserve"> lien waivers that signal payment dependencies) can prevent surprises that lead to liens.</w:t>
      </w:r>
    </w:p>
    <w:p>
      <w:pPr>
        <w:pStyle w:val="BodyText"/>
        <w:bidi w:val="0"/>
        <w:jc w:val="start"/>
        <w:rPr/>
      </w:pPr>
      <w:r>
        <w:rPr/>
        <w:t xml:space="preserve">In conclusion, Florida’s private-project lien release and cancellation jurisprudence reveals a dynamic tension between </w:t>
      </w:r>
      <w:r>
        <w:rPr>
          <w:rStyle w:val="Strong"/>
        </w:rPr>
        <w:t>protecting owners from invalid liens</w:t>
      </w:r>
      <w:r>
        <w:rPr/>
        <w:t xml:space="preserve"> and </w:t>
      </w:r>
      <w:r>
        <w:rPr>
          <w:rStyle w:val="Strong"/>
        </w:rPr>
        <w:t>protecting lienors’ rights if they play by the rules</w:t>
      </w:r>
      <w:r>
        <w:rPr/>
        <w:t xml:space="preserve">. Common pitfalls – untimely enforcement, improper waiver forms, exaggerated claims, and procedural missteps – have tripped up many parties, but they also offer lessons. The trends show that courts will enforce the </w:t>
      </w:r>
      <w:r>
        <w:rPr>
          <w:rStyle w:val="Strong"/>
        </w:rPr>
        <w:t>letter of the lien law</w:t>
      </w:r>
      <w:r>
        <w:rPr/>
        <w:t xml:space="preserve"> strictly (no “fairness” exceptions for tough luck), will punish misconduct harshly, and will expect both owners and contractors to know and use the statutory mechanisms at their disposal. Adhering to best practices drawn from these cases is the surest way to avoid litigation or, if it cannot be avoided, to emerge on the winning side of a lien dispute.</w:t>
      </w:r>
    </w:p>
    <w:p>
      <w:pPr>
        <w:pStyle w:val="BodyText"/>
        <w:bidi w:val="0"/>
        <w:jc w:val="start"/>
        <w:rPr/>
      </w:pPr>
      <w:r>
        <w:rPr>
          <w:rStyle w:val="Strong"/>
        </w:rPr>
        <w:t>Sources:</w:t>
      </w:r>
    </w:p>
    <w:p>
      <w:pPr>
        <w:pStyle w:val="BodyText"/>
        <w:numPr>
          <w:ilvl w:val="0"/>
          <w:numId w:val="8"/>
        </w:numPr>
        <w:tabs>
          <w:tab w:val="clear" w:pos="709"/>
          <w:tab w:val="left" w:pos="709" w:leader="none"/>
        </w:tabs>
        <w:bidi w:val="0"/>
        <w:ind w:hanging="283" w:start="709"/>
        <w:jc w:val="start"/>
        <w:rPr/>
      </w:pPr>
      <w:r>
        <w:rPr/>
        <w:t>Fla. Stat. §§ 713.20, 713.21 (2024) – Waiver/Release of liens; Discharge of liens</w:t>
      </w:r>
      <w:hyperlink r:id="rId161" w:anchor=":~:text=Discharge%20or%20cancellation%20of%20a,21" w:tgtFrame="_blank">
        <w:r>
          <w:rPr>
            <w:rStyle w:val="Hyperlink"/>
          </w:rPr>
          <w:t>tabbaafirm.com</w:t>
        </w:r>
      </w:hyperlink>
      <w:hyperlink r:id="rId162" w:anchor=":~:text=,time%20prescribed%20in%20this%20part" w:tgtFrame="_blank">
        <w:r>
          <w:rPr>
            <w:rStyle w:val="Hyperlink"/>
          </w:rPr>
          <w:t>tabbaafirm.com</w:t>
        </w:r>
      </w:hyperlink>
      <w:hyperlink r:id="rId163" w:anchor=":~:text=WAIVER%20AND%20RELEASE%20OF%20LIEN,UPON%20PROGRESS%20PAYMENT" w:tgtFrame="_blank">
        <w:r>
          <w:rPr>
            <w:rStyle w:val="Hyperlink"/>
          </w:rPr>
          <w:t>syfert.com</w:t>
        </w:r>
      </w:hyperlink>
      <w:hyperlink r:id="rId164" w:anchor=":~:text=WAIVER%20AND%20RELEASE%20OF%20LIEN,UPON%20FINAL%20PAYMENT" w:tgtFrame="_blank">
        <w:r>
          <w:rPr>
            <w:rStyle w:val="Hyperlink"/>
          </w:rPr>
          <w:t>syfert.com</w:t>
        </w:r>
      </w:hyperlink>
      <w:r>
        <w:rPr/>
        <w:t>.</w:t>
      </w:r>
    </w:p>
    <w:p>
      <w:pPr>
        <w:pStyle w:val="BodyText"/>
        <w:numPr>
          <w:ilvl w:val="0"/>
          <w:numId w:val="8"/>
        </w:numPr>
        <w:tabs>
          <w:tab w:val="clear" w:pos="709"/>
          <w:tab w:val="left" w:pos="709" w:leader="none"/>
        </w:tabs>
        <w:bidi w:val="0"/>
        <w:ind w:hanging="283" w:start="709"/>
        <w:jc w:val="start"/>
        <w:rPr/>
      </w:pPr>
      <w:r>
        <w:rPr>
          <w:rStyle w:val="Emphasis"/>
        </w:rPr>
        <w:t>Calixte v. Coastal Bldg. Contractors, LLC</w:t>
      </w:r>
      <w:r>
        <w:rPr/>
        <w:t>, No. 4D2024-0123, 2024 WL 1896114 (Fla. 4th DCA May 1, 2024)</w:t>
      </w:r>
      <w:hyperlink r:id="rId165" w:anchor=":~:text=Calixte%20v,to%20respond%20to%20the%20Complaint" w:tgtFrame="_blank">
        <w:r>
          <w:rPr>
            <w:rStyle w:val="Hyperlink"/>
          </w:rPr>
          <w:t>hammerngavel.com</w:t>
        </w:r>
      </w:hyperlink>
      <w:hyperlink r:id="rId166" w:anchor=":~:text=The%20court%20concluded%20by%20denying,the%20petition%2C%20stating%20that" w:tgtFrame="_blank">
        <w:r>
          <w:rPr>
            <w:rStyle w:val="Hyperlink"/>
          </w:rPr>
          <w:t>hammerngavel.com</w:t>
        </w:r>
      </w:hyperlink>
      <w:r>
        <w:rPr/>
        <w:t>.</w:t>
      </w:r>
    </w:p>
    <w:p>
      <w:pPr>
        <w:pStyle w:val="BodyText"/>
        <w:numPr>
          <w:ilvl w:val="0"/>
          <w:numId w:val="8"/>
        </w:numPr>
        <w:tabs>
          <w:tab w:val="clear" w:pos="709"/>
          <w:tab w:val="left" w:pos="709" w:leader="none"/>
        </w:tabs>
        <w:bidi w:val="0"/>
        <w:ind w:hanging="283" w:start="709"/>
        <w:jc w:val="start"/>
        <w:rPr/>
      </w:pPr>
      <w:r>
        <w:rPr>
          <w:rStyle w:val="Emphasis"/>
        </w:rPr>
        <w:t>Unnerstall v. Designerick, Inc.</w:t>
      </w:r>
      <w:r>
        <w:rPr/>
        <w:t>, 17 So. 3d 836 (Fla. 2d DCA 2009)</w:t>
      </w:r>
      <w:hyperlink r:id="rId167" w:anchor=":~:text=that%20,the%20lienor%20in%20Mainlands%20sought" w:tgtFrame="_blank">
        <w:r>
          <w:rPr>
            <w:rStyle w:val="Hyperlink"/>
          </w:rPr>
          <w:t>law.justia.com</w:t>
        </w:r>
      </w:hyperlink>
      <w:hyperlink r:id="rId168" w:anchor=":~:text=Designerick%20did%20not%20request%20foreclosure%2C,the%20lien%20be%20filed%20or" w:tgtFrame="_blank">
        <w:r>
          <w:rPr>
            <w:rStyle w:val="Hyperlink"/>
          </w:rPr>
          <w:t>law.justia.com</w:t>
        </w:r>
      </w:hyperlink>
      <w:r>
        <w:rPr/>
        <w:t>.</w:t>
      </w:r>
    </w:p>
    <w:p>
      <w:pPr>
        <w:pStyle w:val="BodyText"/>
        <w:numPr>
          <w:ilvl w:val="0"/>
          <w:numId w:val="8"/>
        </w:numPr>
        <w:tabs>
          <w:tab w:val="clear" w:pos="709"/>
          <w:tab w:val="left" w:pos="709" w:leader="none"/>
        </w:tabs>
        <w:bidi w:val="0"/>
        <w:ind w:hanging="283" w:start="709"/>
        <w:jc w:val="start"/>
        <w:rPr/>
      </w:pPr>
      <w:r>
        <w:rPr>
          <w:rStyle w:val="Emphasis"/>
        </w:rPr>
        <w:t>Brookshire v. GP Constr. of Palm Beach, Inc.</w:t>
      </w:r>
      <w:r>
        <w:rPr/>
        <w:t>, 993 So. 2d 179 (Fla. 4th DCA 2008)</w:t>
      </w:r>
      <w:hyperlink r:id="rId169" w:anchor=":~:text=of%20action%20did%20not%20preserve,the%20lien%20be%20filed%20or" w:tgtFrame="_blank">
        <w:r>
          <w:rPr>
            <w:rStyle w:val="Hyperlink"/>
          </w:rPr>
          <w:t>law.justia.com</w:t>
        </w:r>
      </w:hyperlink>
      <w:hyperlink r:id="rId170" w:anchor=":~:text=with%20the%20statutory%20requirement%20that,and%20DAKAN%2C%20STEPHEN%20L" w:tgtFrame="_blank">
        <w:r>
          <w:rPr>
            <w:rStyle w:val="Hyperlink"/>
          </w:rPr>
          <w:t>law.justia.com</w:t>
        </w:r>
      </w:hyperlink>
      <w:r>
        <w:rPr/>
        <w:t>.</w:t>
      </w:r>
    </w:p>
    <w:p>
      <w:pPr>
        <w:pStyle w:val="BodyText"/>
        <w:numPr>
          <w:ilvl w:val="0"/>
          <w:numId w:val="8"/>
        </w:numPr>
        <w:tabs>
          <w:tab w:val="clear" w:pos="709"/>
          <w:tab w:val="left" w:pos="709" w:leader="none"/>
        </w:tabs>
        <w:bidi w:val="0"/>
        <w:ind w:hanging="283" w:start="709"/>
        <w:jc w:val="start"/>
        <w:rPr/>
      </w:pPr>
      <w:r>
        <w:rPr>
          <w:rStyle w:val="Emphasis"/>
        </w:rPr>
        <w:t>Mainlands Constr. Co. v. Wen-Dic Constr. Co.</w:t>
      </w:r>
      <w:r>
        <w:rPr/>
        <w:t>, 482 So. 2d 1369 (Fla. 1986)</w:t>
      </w:r>
      <w:hyperlink r:id="rId171" w:anchor=":~:text=%28Fla,the%20lienor%27s%20motion%20to%20arbitrate" w:tgtFrame="_blank">
        <w:r>
          <w:rPr>
            <w:rStyle w:val="Hyperlink"/>
          </w:rPr>
          <w:t>law.justia.com</w:t>
        </w:r>
      </w:hyperlink>
      <w:r>
        <w:rPr/>
        <w:t>.</w:t>
      </w:r>
    </w:p>
    <w:p>
      <w:pPr>
        <w:pStyle w:val="BodyText"/>
        <w:numPr>
          <w:ilvl w:val="0"/>
          <w:numId w:val="8"/>
        </w:numPr>
        <w:tabs>
          <w:tab w:val="clear" w:pos="709"/>
          <w:tab w:val="left" w:pos="709" w:leader="none"/>
        </w:tabs>
        <w:bidi w:val="0"/>
        <w:ind w:hanging="283" w:start="709"/>
        <w:jc w:val="start"/>
        <w:rPr/>
      </w:pPr>
      <w:r>
        <w:rPr>
          <w:rStyle w:val="Emphasis"/>
        </w:rPr>
        <w:t>Alexdex Corp. v. Nachon Enters., Inc.</w:t>
      </w:r>
      <w:r>
        <w:rPr/>
        <w:t>, 641 So. 2d 858 (Fla. 1994)</w:t>
      </w:r>
      <w:hyperlink r:id="rId172" w:anchor=":~:text=the%20lien%2C%20which%20was%20filed,to%20the%20Show%20Cause%20Action" w:tgtFrame="_blank">
        <w:r>
          <w:rPr>
            <w:rStyle w:val="Hyperlink"/>
          </w:rPr>
          <w:t>law.justia.com</w:t>
        </w:r>
      </w:hyperlink>
      <w:hyperlink r:id="rId173" w:anchor=":~:text=district%20court%20of%20appeal%20reversed,We%20disagree" w:tgtFrame="_blank">
        <w:r>
          <w:rPr>
            <w:rStyle w:val="Hyperlink"/>
          </w:rPr>
          <w:t>law.justia.com</w:t>
        </w:r>
      </w:hyperlink>
      <w:r>
        <w:rPr/>
        <w:t>.</w:t>
      </w:r>
    </w:p>
    <w:p>
      <w:pPr>
        <w:pStyle w:val="BodyText"/>
        <w:numPr>
          <w:ilvl w:val="0"/>
          <w:numId w:val="8"/>
        </w:numPr>
        <w:tabs>
          <w:tab w:val="clear" w:pos="709"/>
          <w:tab w:val="left" w:pos="709" w:leader="none"/>
        </w:tabs>
        <w:bidi w:val="0"/>
        <w:ind w:hanging="283" w:start="709"/>
        <w:jc w:val="start"/>
        <w:rPr/>
      </w:pPr>
      <w:r>
        <w:rPr>
          <w:rStyle w:val="Emphasis"/>
        </w:rPr>
        <w:t>Scott v. Haufler</w:t>
      </w:r>
      <w:r>
        <w:rPr/>
        <w:t>, 526 So. 2d 996 (Fla. 3d DCA 1988)</w:t>
      </w:r>
      <w:hyperlink r:id="rId174" w:anchor=":~:text=,3d%20DCA%201977%29" w:tgtFrame="_blank">
        <w:r>
          <w:rPr>
            <w:rStyle w:val="Hyperlink"/>
          </w:rPr>
          <w:t>courtlistener.com</w:t>
        </w:r>
      </w:hyperlink>
      <w:r>
        <w:rPr/>
        <w:t xml:space="preserve">; </w:t>
      </w:r>
      <w:r>
        <w:rPr>
          <w:rStyle w:val="Emphasis"/>
        </w:rPr>
        <w:t>Diversified Mortg. Inv. v. Benjamin</w:t>
      </w:r>
      <w:r>
        <w:rPr/>
        <w:t>, 345 So. 2d 392 (Fla. 3d DCA 1977).</w:t>
      </w:r>
    </w:p>
    <w:p>
      <w:pPr>
        <w:pStyle w:val="BodyText"/>
        <w:numPr>
          <w:ilvl w:val="0"/>
          <w:numId w:val="8"/>
        </w:numPr>
        <w:tabs>
          <w:tab w:val="clear" w:pos="709"/>
          <w:tab w:val="left" w:pos="709" w:leader="none"/>
        </w:tabs>
        <w:bidi w:val="0"/>
        <w:ind w:hanging="283" w:start="709"/>
        <w:jc w:val="start"/>
        <w:rPr/>
      </w:pPr>
      <w:r>
        <w:rPr>
          <w:rStyle w:val="Emphasis"/>
        </w:rPr>
        <w:t>Witters Contracting Co. v. West</w:t>
      </w:r>
      <w:r>
        <w:rPr/>
        <w:t>, 271 So. 3d 121 (Fla. 2d DCA 2019) (table op.), affirming summary judgment (Lee Cty. Cir. Ct. 2017)</w:t>
      </w:r>
      <w:hyperlink r:id="rId175" w:anchor=":~:text=,title%20upon%20Plaintiffs%E2%80%99%20real%20property" w:tgtFrame="_blank">
        <w:r>
          <w:rPr>
            <w:rStyle w:val="Hyperlink"/>
          </w:rPr>
          <w:t>buildsmartbradley.com</w:t>
        </w:r>
      </w:hyperlink>
      <w:hyperlink r:id="rId176" w:anchor=":~:text=On%20appeal%2C%20the%20Second%20District,personally%20liable%20for%20the%20judgment" w:tgtFrame="_blank">
        <w:r>
          <w:rPr>
            <w:rStyle w:val="Hyperlink"/>
          </w:rPr>
          <w:t>buildsmartbradley.com</w:t>
        </w:r>
      </w:hyperlink>
      <w:r>
        <w:rPr/>
        <w:t>.</w:t>
      </w:r>
    </w:p>
    <w:p>
      <w:pPr>
        <w:pStyle w:val="BodyText"/>
        <w:numPr>
          <w:ilvl w:val="0"/>
          <w:numId w:val="8"/>
        </w:numPr>
        <w:tabs>
          <w:tab w:val="clear" w:pos="709"/>
          <w:tab w:val="left" w:pos="709" w:leader="none"/>
        </w:tabs>
        <w:bidi w:val="0"/>
        <w:ind w:hanging="283" w:start="709"/>
        <w:jc w:val="start"/>
        <w:rPr/>
      </w:pPr>
      <w:r>
        <w:rPr/>
        <w:t>Fla. Stat. § 713.31(2) – Fraudulent lien remedies</w:t>
      </w:r>
      <w:hyperlink r:id="rId177" w:anchor=":~:text=damages%20occasioned%20thereby,the%20lien%2C%20the%20amount%20of" w:tgtFrame="_blank">
        <w:r>
          <w:rPr>
            <w:rStyle w:val="Hyperlink"/>
          </w:rPr>
          <w:t>tabbaafirm.com</w:t>
        </w:r>
      </w:hyperlink>
      <w:hyperlink r:id="rId178" w:anchor=":~:text=owner%20or%20the%20defrauded%20party,due%20or%20to%20become%20due" w:tgtFrame="_blank">
        <w:r>
          <w:rPr>
            <w:rStyle w:val="Hyperlink"/>
          </w:rPr>
          <w:t>tabbaafirm.com</w:t>
        </w:r>
      </w:hyperlink>
      <w:r>
        <w:rPr/>
        <w:t>.</w:t>
      </w:r>
    </w:p>
    <w:p>
      <w:pPr>
        <w:pStyle w:val="BodyText"/>
        <w:numPr>
          <w:ilvl w:val="0"/>
          <w:numId w:val="8"/>
        </w:numPr>
        <w:tabs>
          <w:tab w:val="clear" w:pos="709"/>
          <w:tab w:val="left" w:pos="709" w:leader="none"/>
        </w:tabs>
        <w:bidi w:val="0"/>
        <w:ind w:hanging="283" w:start="709"/>
        <w:jc w:val="start"/>
        <w:rPr/>
      </w:pPr>
      <w:r>
        <w:rPr>
          <w:rStyle w:val="Strong"/>
        </w:rPr>
        <w:t>Florida Bar Journal</w:t>
      </w:r>
      <w:r>
        <w:rPr/>
        <w:t xml:space="preserve">: Alexander &amp; Buell, </w:t>
      </w:r>
      <w:r>
        <w:rPr>
          <w:rStyle w:val="Emphasis"/>
        </w:rPr>
        <w:t>Florida’s Unwieldy but Effective Construction Lien Law</w:t>
      </w:r>
      <w:r>
        <w:rPr/>
        <w:t>, 91 Fla. B.J. 20 (Oct. 2017)</w:t>
      </w:r>
      <w:hyperlink r:id="rId179" w:anchor=":~:text=execute%20a%20waiver%20and%20release,language%20releasing%20all%20claims%20through" w:tgtFrame="_blank">
        <w:r>
          <w:rPr>
            <w:rStyle w:val="Hyperlink"/>
          </w:rPr>
          <w:t>floridabar.org</w:t>
        </w:r>
      </w:hyperlink>
      <w:hyperlink r:id="rId180" w:anchor=":~:text=admonition%20is%20circumvented%20by%20incorporating,70" w:tgtFrame="_blank">
        <w:r>
          <w:rPr>
            <w:rStyle w:val="Hyperlink"/>
          </w:rPr>
          <w:t>floridabar.org</w:t>
        </w:r>
      </w:hyperlink>
      <w:r>
        <w:rPr/>
        <w:t>.</w:t>
      </w:r>
    </w:p>
    <w:p>
      <w:pPr>
        <w:pStyle w:val="BodyText"/>
        <w:numPr>
          <w:ilvl w:val="0"/>
          <w:numId w:val="8"/>
        </w:numPr>
        <w:tabs>
          <w:tab w:val="clear" w:pos="709"/>
          <w:tab w:val="left" w:pos="709" w:leader="none"/>
        </w:tabs>
        <w:bidi w:val="0"/>
        <w:ind w:hanging="283" w:start="709"/>
        <w:jc w:val="start"/>
        <w:rPr/>
      </w:pPr>
      <w:r>
        <w:rPr>
          <w:rStyle w:val="Strong"/>
        </w:rPr>
        <w:t>Florida Construction Law Guides</w:t>
      </w:r>
      <w:r>
        <w:rPr/>
        <w:t xml:space="preserve"> (Jimerson Birr FAQ; Tabbaa Firm blog) – on proper payments, lien waivers, and conditional releases</w:t>
      </w:r>
      <w:hyperlink r:id="rId181" w:anchor=":~:text=giving%20a%20Notice%20to%20Owner,end%20up%20paying%20twice%20for" w:tgtFrame="_blank">
        <w:r>
          <w:rPr>
            <w:rStyle w:val="Hyperlink"/>
          </w:rPr>
          <w:t>jimersonfirm.com</w:t>
        </w:r>
      </w:hyperlink>
      <w:hyperlink r:id="rId182" w:anchor=":~:text=Q%3A%20What%20can%20I%20do,return%20for%20a%20worthless%20check" w:tgtFrame="_blank">
        <w:r>
          <w:rPr>
            <w:rStyle w:val="Hyperlink"/>
          </w:rPr>
          <w:t>jimersonfirm.com</w:t>
        </w:r>
      </w:hyperlink>
      <w:r>
        <w:rPr/>
        <w:t>.</w:t>
      </w:r>
    </w:p>
    <w:p>
      <w:pPr>
        <w:pStyle w:val="BodyText"/>
        <w:numPr>
          <w:ilvl w:val="0"/>
          <w:numId w:val="8"/>
        </w:numPr>
        <w:tabs>
          <w:tab w:val="clear" w:pos="709"/>
          <w:tab w:val="left" w:pos="709" w:leader="none"/>
        </w:tabs>
        <w:bidi w:val="0"/>
        <w:ind w:hanging="283" w:start="709"/>
        <w:jc w:val="start"/>
        <w:rPr/>
      </w:pPr>
      <w:r>
        <w:rPr>
          <w:rStyle w:val="Strong"/>
        </w:rPr>
        <w:t>Construction Law Updates</w:t>
      </w:r>
      <w:r>
        <w:rPr/>
        <w:t xml:space="preserve"> (David Adelstein, Jason Lambert blogs) – discussing </w:t>
      </w:r>
      <w:r>
        <w:rPr>
          <w:rStyle w:val="Emphasis"/>
        </w:rPr>
        <w:t>Calixte</w:t>
      </w:r>
      <w:r>
        <w:rPr/>
        <w:t xml:space="preserve">, </w:t>
      </w:r>
      <w:r>
        <w:rPr>
          <w:rStyle w:val="Emphasis"/>
        </w:rPr>
        <w:t>Suntech Plumbing v. Bella Isla</w:t>
      </w:r>
      <w:r>
        <w:rPr/>
        <w:t xml:space="preserve"> (lien reinstatement after arbitration delay)</w:t>
      </w:r>
      <w:hyperlink r:id="rId183" w:anchor=":~:text=In%20Calixte%20v,21%20is" w:tgtFrame="_blank">
        <w:r>
          <w:rPr>
            <w:rStyle w:val="Hyperlink"/>
          </w:rPr>
          <w:t>floridaconstructionlegalupdates.com</w:t>
        </w:r>
      </w:hyperlink>
      <w:hyperlink r:id="rId184" w:anchor=":~:text=This%20is%20a%20big%20deal,of%20caution%2C%20move%20for%20a" w:tgtFrame="_blank">
        <w:r>
          <w:rPr>
            <w:rStyle w:val="Hyperlink"/>
          </w:rPr>
          <w:t>floridaconstructionlegalupdates.com</w:t>
        </w:r>
      </w:hyperlink>
      <w:r>
        <w:rPr/>
        <w:t xml:space="preserve"> and other recent developments.</w:t>
      </w:r>
    </w:p>
    <w:p>
      <w:pPr>
        <w:pStyle w:val="BodyText"/>
        <w:numPr>
          <w:ilvl w:val="0"/>
          <w:numId w:val="8"/>
        </w:numPr>
        <w:tabs>
          <w:tab w:val="clear" w:pos="709"/>
          <w:tab w:val="left" w:pos="709" w:leader="none"/>
        </w:tabs>
        <w:bidi w:val="0"/>
        <w:ind w:hanging="283" w:start="709"/>
        <w:jc w:val="start"/>
        <w:rPr/>
      </w:pPr>
      <w:r>
        <w:rPr>
          <w:rStyle w:val="Strong"/>
        </w:rPr>
        <w:t>BuildSmart Blog</w:t>
      </w:r>
      <w:r>
        <w:rPr/>
        <w:t xml:space="preserve"> (Bradley Arant law firm) – “Fraudulently Filing Lien Backfires on Contractor” (July 27, 2020)</w:t>
      </w:r>
      <w:hyperlink r:id="rId185" w:anchor=":~:text=defective%20filing%2C%20that%20party%20may,abused%20the%20lien%20filing%20process" w:tgtFrame="_blank">
        <w:r>
          <w:rPr>
            <w:rStyle w:val="Hyperlink"/>
          </w:rPr>
          <w:t>buildsmartbradley.com</w:t>
        </w:r>
      </w:hyperlink>
      <w:hyperlink r:id="rId186" w:anchor=":~:text=by%20filing%20a%20lien%20may,consequences%20of%20a%20defective%20filing" w:tgtFrame="_blank">
        <w:r>
          <w:rPr>
            <w:rStyle w:val="Hyperlink"/>
          </w:rPr>
          <w:t>buildsmartbradley.com</w:t>
        </w:r>
      </w:hyperlink>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yfert.com/florida/statutes/0713.20.html" TargetMode="External"/><Relationship Id="rId3" Type="http://schemas.openxmlformats.org/officeDocument/2006/relationships/hyperlink" Target="https://syfert.com/florida/statutes/0713.20.html" TargetMode="External"/><Relationship Id="rId4" Type="http://schemas.openxmlformats.org/officeDocument/2006/relationships/hyperlink" Target="https://www.jimersonfirm.com/blog/resources/faqs/construction-law/" TargetMode="External"/><Relationship Id="rId5" Type="http://schemas.openxmlformats.org/officeDocument/2006/relationships/hyperlink" Target="https://www.floridabar.org/the-florida-bar-journal/floridas-unwieldy-but-effective-construction-lien-law/" TargetMode="External"/><Relationship Id="rId6" Type="http://schemas.openxmlformats.org/officeDocument/2006/relationships/hyperlink" Target="https://www.floridabar.org/the-florida-bar-journal/floridas-unwieldy-but-effective-construction-lien-law/" TargetMode="External"/><Relationship Id="rId7" Type="http://schemas.openxmlformats.org/officeDocument/2006/relationships/hyperlink" Target="https://tabbaafirm.com/blog-panama-city-law-firm-the-tabbaa-firm/construction-liens/" TargetMode="External"/><Relationship Id="rId8" Type="http://schemas.openxmlformats.org/officeDocument/2006/relationships/hyperlink" Target="https://tabbaafirm.com/blog-panama-city-law-firm-the-tabbaa-firm/construction-liens/" TargetMode="External"/><Relationship Id="rId9" Type="http://schemas.openxmlformats.org/officeDocument/2006/relationships/hyperlink" Target="https://www.floridabar.org/the-florida-bar-journal/floridas-unwieldy-but-effective-construction-lien-law/" TargetMode="External"/><Relationship Id="rId10" Type="http://schemas.openxmlformats.org/officeDocument/2006/relationships/hyperlink" Target="https://www.floridabar.org/the-florida-bar-journal/floridas-unwieldy-but-effective-construction-lien-law/" TargetMode="External"/><Relationship Id="rId11" Type="http://schemas.openxmlformats.org/officeDocument/2006/relationships/hyperlink" Target="https://www.floridaconstructionlegalupdates.com/owner-cant-pursue-statutory-show-cause-complaint-to-cancel-lien-fair-outcome/" TargetMode="External"/><Relationship Id="rId12" Type="http://schemas.openxmlformats.org/officeDocument/2006/relationships/hyperlink" Target="https://www.floridaconstructionlegalupdates.com/owner-cant-pursue-statutory-show-cause-complaint-to-cancel-lien-fair-outcome/" TargetMode="External"/><Relationship Id="rId13" Type="http://schemas.openxmlformats.org/officeDocument/2006/relationships/hyperlink" Target="https://www.floridaconstructionlegalupdates.com/owner-cant-pursue-statutory-show-cause-complaint-to-cancel-lien-fair-outcome/" TargetMode="External"/><Relationship Id="rId14" Type="http://schemas.openxmlformats.org/officeDocument/2006/relationships/hyperlink" Target="https://www.floridaconstructionlegalupdates.com/owner-cant-pursue-statutory-show-cause-complaint-to-cancel-lien-fair-outcome/" TargetMode="External"/><Relationship Id="rId15" Type="http://schemas.openxmlformats.org/officeDocument/2006/relationships/hyperlink" Target="https://hammerngavel.com/blog/court-refuses-to-discharge-lien-where-subcontractor-failed-to-serve-notice-to-owner" TargetMode="External"/><Relationship Id="rId16" Type="http://schemas.openxmlformats.org/officeDocument/2006/relationships/hyperlink" Target="https://hammerngavel.com/blog/court-refuses-to-discharge-lien-where-subcontractor-failed-to-serve-notice-to-owner" TargetMode="External"/><Relationship Id="rId17" Type="http://schemas.openxmlformats.org/officeDocument/2006/relationships/hyperlink" Target="https://hammerngavel.com/blog/court-refuses-to-discharge-lien-where-subcontractor-failed-to-serve-notice-to-owner" TargetMode="External"/><Relationship Id="rId18" Type="http://schemas.openxmlformats.org/officeDocument/2006/relationships/hyperlink" Target="https://hammerngavel.com/blog/court-refuses-to-discharge-lien-where-subcontractor-failed-to-serve-notice-to-owner" TargetMode="External"/><Relationship Id="rId19" Type="http://schemas.openxmlformats.org/officeDocument/2006/relationships/hyperlink" Target="https://hammerngavel.com/blog/court-refuses-to-discharge-lien-where-subcontractor-failed-to-serve-notice-to-owner" TargetMode="External"/><Relationship Id="rId20" Type="http://schemas.openxmlformats.org/officeDocument/2006/relationships/hyperlink" Target="https://caselaw.findlaw.com/court/fl-district-court-of-appeal/116114274.html" TargetMode="External"/><Relationship Id="rId21" Type="http://schemas.openxmlformats.org/officeDocument/2006/relationships/hyperlink" Target="https://caselaw.findlaw.com/court/fl-district-court-of-appeal/116114274.html" TargetMode="External"/><Relationship Id="rId22" Type="http://schemas.openxmlformats.org/officeDocument/2006/relationships/hyperlink" Target="https://caselaw.findlaw.com/court/fl-district-court-of-appeal/116114274.html" TargetMode="External"/><Relationship Id="rId23" Type="http://schemas.openxmlformats.org/officeDocument/2006/relationships/hyperlink" Target="https://hammerngavel.com/blog/court-refuses-to-discharge-lien-where-subcontractor-failed-to-serve-notice-to-owner" TargetMode="External"/><Relationship Id="rId24" Type="http://schemas.openxmlformats.org/officeDocument/2006/relationships/hyperlink" Target="https://hammerngavel.com/blog/court-refuses-to-discharge-lien-where-subcontractor-failed-to-serve-notice-to-owner" TargetMode="External"/><Relationship Id="rId25" Type="http://schemas.openxmlformats.org/officeDocument/2006/relationships/hyperlink" Target="https://www.floridaconstructionlegalupdates.com/owner-cant-pursue-statutory-show-cause-complaint-to-cancel-lien-fair-outcome/" TargetMode="External"/><Relationship Id="rId26" Type="http://schemas.openxmlformats.org/officeDocument/2006/relationships/hyperlink" Target="https://www.floridaconstructionlegalupdates.com/owner-cant-pursue-statutory-show-cause-complaint-to-cancel-lien-fair-outcome/" TargetMode="External"/><Relationship Id="rId27" Type="http://schemas.openxmlformats.org/officeDocument/2006/relationships/hyperlink" Target="https://hammerngavel.com/blog/court-refuses-to-discharge-lien-where-subcontractor-failed-to-serve-notice-to-owner" TargetMode="External"/><Relationship Id="rId28" Type="http://schemas.openxmlformats.org/officeDocument/2006/relationships/hyperlink" Target="https://hammerngavel.com/blog/court-refuses-to-discharge-lien-where-subcontractor-failed-to-serve-notice-to-owner" TargetMode="External"/><Relationship Id="rId29" Type="http://schemas.openxmlformats.org/officeDocument/2006/relationships/hyperlink" Target="https://www.floridaconstructionlegalupdates.com/owner-cant-pursue-statutory-show-cause-complaint-to-cancel-lien-fair-outcome/" TargetMode="External"/><Relationship Id="rId30" Type="http://schemas.openxmlformats.org/officeDocument/2006/relationships/hyperlink" Target="https://www.floridaconstructionlegalupdates.com/owner-cant-pursue-statutory-show-cause-complaint-to-cancel-lien-fair-outcome/" TargetMode="External"/><Relationship Id="rId31" Type="http://schemas.openxmlformats.org/officeDocument/2006/relationships/hyperlink" Target="https://www.floridaconstructionlegalupdates.com/owner-cant-pursue-statutory-show-cause-complaint-to-cancel-lien-fair-outcome/" TargetMode="External"/><Relationship Id="rId32" Type="http://schemas.openxmlformats.org/officeDocument/2006/relationships/hyperlink" Target="https://www.floridaconstructionlegalupdates.com/owner-cant-pursue-statutory-show-cause-complaint-to-cancel-lien-fair-outcome/" TargetMode="External"/><Relationship Id="rId33" Type="http://schemas.openxmlformats.org/officeDocument/2006/relationships/hyperlink" Target="https://caselaw.findlaw.com/court/fl-district-court-of-appeal/116114274.html" TargetMode="External"/><Relationship Id="rId34" Type="http://schemas.openxmlformats.org/officeDocument/2006/relationships/hyperlink" Target="https://hammerngavel.com/blog/court-refuses-to-discharge-lien-where-subcontractor-failed-to-serve-notice-to-owner" TargetMode="External"/><Relationship Id="rId35" Type="http://schemas.openxmlformats.org/officeDocument/2006/relationships/hyperlink" Target="https://law.justia.com/cases/florida/second-district-court-of-appeal/2009/2d09-1764.html" TargetMode="External"/><Relationship Id="rId36" Type="http://schemas.openxmlformats.org/officeDocument/2006/relationships/hyperlink" Target="https://law.justia.com/cases/florida/second-district-court-of-appeal/2009/2d09-1764.html" TargetMode="External"/><Relationship Id="rId37" Type="http://schemas.openxmlformats.org/officeDocument/2006/relationships/hyperlink" Target="https://law.justia.com/cases/florida/second-district-court-of-appeal/2009/2d09-1764.html" TargetMode="External"/><Relationship Id="rId38" Type="http://schemas.openxmlformats.org/officeDocument/2006/relationships/hyperlink" Target="https://law.justia.com/cases/florida/second-district-court-of-appeal/2009/2d09-1764.html" TargetMode="External"/><Relationship Id="rId39" Type="http://schemas.openxmlformats.org/officeDocument/2006/relationships/hyperlink" Target="https://law.justia.com/cases/florida/second-district-court-of-appeal/2009/2d09-1764.html" TargetMode="External"/><Relationship Id="rId40" Type="http://schemas.openxmlformats.org/officeDocument/2006/relationships/hyperlink" Target="https://law.justia.com/cases/florida/second-district-court-of-appeal/2009/2d09-1764.html" TargetMode="External"/><Relationship Id="rId41" Type="http://schemas.openxmlformats.org/officeDocument/2006/relationships/hyperlink" Target="https://law.justia.com/cases/florida/second-district-court-of-appeal/2009/2d09-1764.html" TargetMode="External"/><Relationship Id="rId42" Type="http://schemas.openxmlformats.org/officeDocument/2006/relationships/hyperlink" Target="https://law.justia.com/cases/florida/second-district-court-of-appeal/2009/2d09-1764.html" TargetMode="External"/><Relationship Id="rId43" Type="http://schemas.openxmlformats.org/officeDocument/2006/relationships/hyperlink" Target="https://law.justia.com/cases/florida/second-district-court-of-appeal/2009/2d09-1764.html" TargetMode="External"/><Relationship Id="rId44" Type="http://schemas.openxmlformats.org/officeDocument/2006/relationships/hyperlink" Target="https://law.justia.com/cases/florida/second-district-court-of-appeal/2009/2d09-1764.html" TargetMode="External"/><Relationship Id="rId45" Type="http://schemas.openxmlformats.org/officeDocument/2006/relationships/hyperlink" Target="https://law.justia.com/cases/florida/second-district-court-of-appeal/2009/2d09-1764.html" TargetMode="External"/><Relationship Id="rId46" Type="http://schemas.openxmlformats.org/officeDocument/2006/relationships/hyperlink" Target="https://law.justia.com/cases/florida/second-district-court-of-appeal/2009/2d09-1764.html" TargetMode="External"/><Relationship Id="rId47" Type="http://schemas.openxmlformats.org/officeDocument/2006/relationships/hyperlink" Target="https://law.justia.com/cases/florida/second-district-court-of-appeal/2009/2d09-1764.html" TargetMode="External"/><Relationship Id="rId48" Type="http://schemas.openxmlformats.org/officeDocument/2006/relationships/hyperlink" Target="https://law.justia.com/cases/florida/second-district-court-of-appeal/2009/2d09-1764.html" TargetMode="External"/><Relationship Id="rId49" Type="http://schemas.openxmlformats.org/officeDocument/2006/relationships/hyperlink" Target="https://law.justia.com/cases/florida/second-district-court-of-appeal/2009/2d09-1764.html" TargetMode="External"/><Relationship Id="rId50" Type="http://schemas.openxmlformats.org/officeDocument/2006/relationships/hyperlink" Target="https://law.justia.com/cases/florida/second-district-court-of-appeal/2009/2d09-1764.html" TargetMode="External"/><Relationship Id="rId51" Type="http://schemas.openxmlformats.org/officeDocument/2006/relationships/hyperlink" Target="https://law.justia.com/cases/florida/second-district-court-of-appeal/2009/2d09-1764.html" TargetMode="External"/><Relationship Id="rId52" Type="http://schemas.openxmlformats.org/officeDocument/2006/relationships/hyperlink" Target="https://law.justia.com/cases/florida/second-district-court-of-appeal/2009/2d09-1764.html" TargetMode="External"/><Relationship Id="rId53" Type="http://schemas.openxmlformats.org/officeDocument/2006/relationships/hyperlink" Target="https://law.justia.com/cases/florida/second-district-court-of-appeal/2009/2d09-1764.html" TargetMode="External"/><Relationship Id="rId54" Type="http://schemas.openxmlformats.org/officeDocument/2006/relationships/hyperlink" Target="https://law.justia.com/cases/florida/second-district-court-of-appeal/2009/2d09-1764.html" TargetMode="External"/><Relationship Id="rId55" Type="http://schemas.openxmlformats.org/officeDocument/2006/relationships/hyperlink" Target="https://law.justia.com/cases/florida/second-district-court-of-appeal/2009/2d09-1764.html" TargetMode="External"/><Relationship Id="rId56" Type="http://schemas.openxmlformats.org/officeDocument/2006/relationships/hyperlink" Target="https://law.justia.com/cases/florida/second-district-court-of-appeal/2009/2d09-1764.html" TargetMode="External"/><Relationship Id="rId57" Type="http://schemas.openxmlformats.org/officeDocument/2006/relationships/hyperlink" Target="https://law.justia.com/cases/florida/second-district-court-of-appeal/2009/2d09-1764.html" TargetMode="External"/><Relationship Id="rId58" Type="http://schemas.openxmlformats.org/officeDocument/2006/relationships/hyperlink" Target="https://law.justia.com/cases/florida/second-district-court-of-appeal/2009/2d09-1764.html" TargetMode="External"/><Relationship Id="rId59" Type="http://schemas.openxmlformats.org/officeDocument/2006/relationships/hyperlink" Target="https://law.justia.com/cases/florida/second-district-court-of-appeal/2009/2d09-1764.html" TargetMode="External"/><Relationship Id="rId60" Type="http://schemas.openxmlformats.org/officeDocument/2006/relationships/hyperlink" Target="https://law.justia.com/cases/florida/second-district-court-of-appeal/2009/2d09-1764.html" TargetMode="External"/><Relationship Id="rId61" Type="http://schemas.openxmlformats.org/officeDocument/2006/relationships/hyperlink" Target="https://law.justia.com/cases/florida/second-district-court-of-appeal/2009/2d09-1764.html" TargetMode="External"/><Relationship Id="rId62" Type="http://schemas.openxmlformats.org/officeDocument/2006/relationships/hyperlink" Target="https://law.justia.com/cases/florida/second-district-court-of-appeal/2009/2d09-1764.html" TargetMode="External"/><Relationship Id="rId63" Type="http://schemas.openxmlformats.org/officeDocument/2006/relationships/hyperlink" Target="https://law.justia.com/cases/florida/supreme-court/1994/81765-0.html" TargetMode="External"/><Relationship Id="rId64" Type="http://schemas.openxmlformats.org/officeDocument/2006/relationships/hyperlink" Target="https://law.justia.com/cases/florida/supreme-court/1994/81765-0.html" TargetMode="External"/><Relationship Id="rId65" Type="http://schemas.openxmlformats.org/officeDocument/2006/relationships/hyperlink" Target="https://law.justia.com/cases/florida/supreme-court/1994/81765-0.html" TargetMode="External"/><Relationship Id="rId66" Type="http://schemas.openxmlformats.org/officeDocument/2006/relationships/hyperlink" Target="https://law.justia.com/cases/florida/supreme-court/1994/81765-0.html" TargetMode="External"/><Relationship Id="rId67" Type="http://schemas.openxmlformats.org/officeDocument/2006/relationships/hyperlink" Target="https://law.justia.com/cases/florida/supreme-court/1994/81765-0.html" TargetMode="External"/><Relationship Id="rId68" Type="http://schemas.openxmlformats.org/officeDocument/2006/relationships/hyperlink" Target="https://law.justia.com/cases/florida/supreme-court/1994/81765-0.html" TargetMode="External"/><Relationship Id="rId69" Type="http://schemas.openxmlformats.org/officeDocument/2006/relationships/hyperlink" Target="https://law.justia.com/cases/florida/supreme-court/1994/81765-0.html" TargetMode="External"/><Relationship Id="rId70" Type="http://schemas.openxmlformats.org/officeDocument/2006/relationships/hyperlink" Target="https://law.justia.com/cases/florida/supreme-court/1994/81765-0.html" TargetMode="External"/><Relationship Id="rId71" Type="http://schemas.openxmlformats.org/officeDocument/2006/relationships/hyperlink" Target="https://law.justia.com/cases/florida/supreme-court/1994/81765-0.html" TargetMode="External"/><Relationship Id="rId72" Type="http://schemas.openxmlformats.org/officeDocument/2006/relationships/hyperlink" Target="https://law.justia.com/cases/florida/supreme-court/1994/81765-0.html" TargetMode="External"/><Relationship Id="rId73" Type="http://schemas.openxmlformats.org/officeDocument/2006/relationships/hyperlink" Target="https://law.justia.com/cases/florida/supreme-court/1994/81765-0.html" TargetMode="External"/><Relationship Id="rId74" Type="http://schemas.openxmlformats.org/officeDocument/2006/relationships/hyperlink" Target="https://law.justia.com/cases/florida/supreme-court/1994/81765-0.html" TargetMode="External"/><Relationship Id="rId75" Type="http://schemas.openxmlformats.org/officeDocument/2006/relationships/hyperlink" Target="https://law.justia.com/cases/florida/supreme-court/1994/81765-0.html" TargetMode="External"/><Relationship Id="rId76" Type="http://schemas.openxmlformats.org/officeDocument/2006/relationships/hyperlink" Target="https://law.justia.com/cases/florida/supreme-court/1994/81765-0.html" TargetMode="External"/><Relationship Id="rId77" Type="http://schemas.openxmlformats.org/officeDocument/2006/relationships/hyperlink" Target="https://law.justia.com/cases/florida/supreme-court/1994/81765-0.html" TargetMode="External"/><Relationship Id="rId78" Type="http://schemas.openxmlformats.org/officeDocument/2006/relationships/hyperlink" Target="https://law.justia.com/cases/florida/supreme-court/1994/81765-0.html" TargetMode="External"/><Relationship Id="rId79" Type="http://schemas.openxmlformats.org/officeDocument/2006/relationships/hyperlink" Target="https://law.justia.com/cases/florida/supreme-court/1994/81765-0.html" TargetMode="External"/><Relationship Id="rId80" Type="http://schemas.openxmlformats.org/officeDocument/2006/relationships/hyperlink" Target="https://www.courtlistener.com/opinion/7634399/scott-v-haufler/" TargetMode="External"/><Relationship Id="rId81" Type="http://schemas.openxmlformats.org/officeDocument/2006/relationships/hyperlink" Target="https://www.buildsmartbradley.com/2020/07/fraudulently-filing-lien-backfires-on-contractor/" TargetMode="External"/><Relationship Id="rId82" Type="http://schemas.openxmlformats.org/officeDocument/2006/relationships/hyperlink" Target="https://www.buildsmartbradley.com/2020/07/fraudulently-filing-lien-backfires-on-contractor/" TargetMode="External"/><Relationship Id="rId83" Type="http://schemas.openxmlformats.org/officeDocument/2006/relationships/hyperlink" Target="https://www.buildsmartbradley.com/2020/07/fraudulently-filing-lien-backfires-on-contractor/" TargetMode="External"/><Relationship Id="rId84" Type="http://schemas.openxmlformats.org/officeDocument/2006/relationships/hyperlink" Target="https://www.buildsmartbradley.com/2020/07/fraudulently-filing-lien-backfires-on-contractor/" TargetMode="External"/><Relationship Id="rId85" Type="http://schemas.openxmlformats.org/officeDocument/2006/relationships/hyperlink" Target="https://www.buildsmartbradley.com/2020/07/fraudulently-filing-lien-backfires-on-contractor/" TargetMode="External"/><Relationship Id="rId86" Type="http://schemas.openxmlformats.org/officeDocument/2006/relationships/hyperlink" Target="https://www.buildsmartbradley.com/2020/07/fraudulently-filing-lien-backfires-on-contractor/" TargetMode="External"/><Relationship Id="rId87" Type="http://schemas.openxmlformats.org/officeDocument/2006/relationships/hyperlink" Target="https://www.buildsmartbradley.com/2020/07/fraudulently-filing-lien-backfires-on-contractor/" TargetMode="External"/><Relationship Id="rId88" Type="http://schemas.openxmlformats.org/officeDocument/2006/relationships/hyperlink" Target="https://www.buildsmartbradley.com/2020/07/fraudulently-filing-lien-backfires-on-contractor/" TargetMode="External"/><Relationship Id="rId89" Type="http://schemas.openxmlformats.org/officeDocument/2006/relationships/hyperlink" Target="https://www.jimersonfirm.com/blog/resources/faqs/construction-law/" TargetMode="External"/><Relationship Id="rId90" Type="http://schemas.openxmlformats.org/officeDocument/2006/relationships/hyperlink" Target="https://www.jimersonfirm.com/blog/resources/faqs/construction-law/" TargetMode="External"/><Relationship Id="rId91" Type="http://schemas.openxmlformats.org/officeDocument/2006/relationships/hyperlink" Target="https://www.buildsmartbradley.com/2020/07/fraudulently-filing-lien-backfires-on-contractor/" TargetMode="External"/><Relationship Id="rId92" Type="http://schemas.openxmlformats.org/officeDocument/2006/relationships/hyperlink" Target="https://www.buildsmartbradley.com/2020/07/fraudulently-filing-lien-backfires-on-contractor/" TargetMode="External"/><Relationship Id="rId93" Type="http://schemas.openxmlformats.org/officeDocument/2006/relationships/hyperlink" Target="https://tabbaafirm.com/blog-panama-city-law-firm-the-tabbaa-firm/construction-liens/" TargetMode="External"/><Relationship Id="rId94" Type="http://schemas.openxmlformats.org/officeDocument/2006/relationships/hyperlink" Target="https://tabbaafirm.com/blog-panama-city-law-firm-the-tabbaa-firm/construction-liens/" TargetMode="External"/><Relationship Id="rId95" Type="http://schemas.openxmlformats.org/officeDocument/2006/relationships/hyperlink" Target="https://www.buildsmartbradley.com/2020/07/fraudulently-filing-lien-backfires-on-contractor/" TargetMode="External"/><Relationship Id="rId96" Type="http://schemas.openxmlformats.org/officeDocument/2006/relationships/hyperlink" Target="https://www.buildsmartbradley.com/2020/07/fraudulently-filing-lien-backfires-on-contractor/" TargetMode="External"/><Relationship Id="rId97" Type="http://schemas.openxmlformats.org/officeDocument/2006/relationships/hyperlink" Target="https://www.buildsmartbradley.com/2020/07/fraudulently-filing-lien-backfires-on-contractor/" TargetMode="External"/><Relationship Id="rId98" Type="http://schemas.openxmlformats.org/officeDocument/2006/relationships/hyperlink" Target="https://www.buildsmartbradley.com/2020/07/fraudulently-filing-lien-backfires-on-contractor/" TargetMode="External"/><Relationship Id="rId99" Type="http://schemas.openxmlformats.org/officeDocument/2006/relationships/hyperlink" Target="https://www.buildsmartbradley.com/2020/07/fraudulently-filing-lien-backfires-on-contractor/" TargetMode="External"/><Relationship Id="rId100" Type="http://schemas.openxmlformats.org/officeDocument/2006/relationships/hyperlink" Target="https://www.buildsmartbradley.com/2020/07/fraudulently-filing-lien-backfires-on-contractor/" TargetMode="External"/><Relationship Id="rId101" Type="http://schemas.openxmlformats.org/officeDocument/2006/relationships/hyperlink" Target="https://www.buildsmartbradley.com/2020/07/fraudulently-filing-lien-backfires-on-contractor/" TargetMode="External"/><Relationship Id="rId102" Type="http://schemas.openxmlformats.org/officeDocument/2006/relationships/hyperlink" Target="https://www.buildsmartbradley.com/2020/07/fraudulently-filing-lien-backfires-on-contractor/" TargetMode="External"/><Relationship Id="rId103" Type="http://schemas.openxmlformats.org/officeDocument/2006/relationships/hyperlink" Target="https://www.floridabar.org/the-florida-bar-journal/floridas-unwieldy-but-effective-construction-lien-law/" TargetMode="External"/><Relationship Id="rId104" Type="http://schemas.openxmlformats.org/officeDocument/2006/relationships/hyperlink" Target="https://www.floridabar.org/the-florida-bar-journal/floridas-unwieldy-but-effective-construction-lien-law/" TargetMode="External"/><Relationship Id="rId105" Type="http://schemas.openxmlformats.org/officeDocument/2006/relationships/hyperlink" Target="https://www.floridabar.org/the-florida-bar-journal/floridas-unwieldy-but-effective-construction-lien-law/" TargetMode="External"/><Relationship Id="rId106" Type="http://schemas.openxmlformats.org/officeDocument/2006/relationships/hyperlink" Target="https://hammerngavel.com/blog/court-refuses-to-discharge-lien-where-subcontractor-failed-to-serve-notice-to-owner" TargetMode="External"/><Relationship Id="rId107" Type="http://schemas.openxmlformats.org/officeDocument/2006/relationships/hyperlink" Target="https://www.jimersonfirm.com/blog/resources/faqs/construction-law/" TargetMode="External"/><Relationship Id="rId108" Type="http://schemas.openxmlformats.org/officeDocument/2006/relationships/hyperlink" Target="https://www.jimersonfirm.com/blog/resources/faqs/construction-law/" TargetMode="External"/><Relationship Id="rId109" Type="http://schemas.openxmlformats.org/officeDocument/2006/relationships/hyperlink" Target="https://tabbaafirm.com/blog-panama-city-law-firm-the-tabbaa-firm/construction-liens/" TargetMode="External"/><Relationship Id="rId110" Type="http://schemas.openxmlformats.org/officeDocument/2006/relationships/hyperlink" Target="https://tabbaafirm.com/blog-panama-city-law-firm-the-tabbaa-firm/construction-liens/" TargetMode="External"/><Relationship Id="rId111" Type="http://schemas.openxmlformats.org/officeDocument/2006/relationships/hyperlink" Target="https://www.jimersonfirm.com/blog/resources/faqs/construction-law/" TargetMode="External"/><Relationship Id="rId112" Type="http://schemas.openxmlformats.org/officeDocument/2006/relationships/hyperlink" Target="https://www.jimersonfirm.com/blog/resources/faqs/construction-law/" TargetMode="External"/><Relationship Id="rId113" Type="http://schemas.openxmlformats.org/officeDocument/2006/relationships/hyperlink" Target="https://www.jimersonfirm.com/blog/resources/faqs/construction-law/" TargetMode="External"/><Relationship Id="rId114" Type="http://schemas.openxmlformats.org/officeDocument/2006/relationships/hyperlink" Target="https://www.jimersonfirm.com/blog/resources/faqs/construction-law/" TargetMode="External"/><Relationship Id="rId115" Type="http://schemas.openxmlformats.org/officeDocument/2006/relationships/hyperlink" Target="https://www.jimersonfirm.com/blog/resources/faqs/construction-law/" TargetMode="External"/><Relationship Id="rId116" Type="http://schemas.openxmlformats.org/officeDocument/2006/relationships/hyperlink" Target="https://www.jimersonfirm.com/blog/resources/faqs/construction-law/" TargetMode="External"/><Relationship Id="rId117" Type="http://schemas.openxmlformats.org/officeDocument/2006/relationships/hyperlink" Target="https://www.jimersonfirm.com/blog/resources/faqs/construction-law/" TargetMode="External"/><Relationship Id="rId118" Type="http://schemas.openxmlformats.org/officeDocument/2006/relationships/hyperlink" Target="https://tabbaafirm.com/blog-panama-city-law-firm-the-tabbaa-firm/construction-liens/" TargetMode="External"/><Relationship Id="rId119" Type="http://schemas.openxmlformats.org/officeDocument/2006/relationships/hyperlink" Target="https://tabbaafirm.com/blog-panama-city-law-firm-the-tabbaa-firm/construction-liens/" TargetMode="External"/><Relationship Id="rId120" Type="http://schemas.openxmlformats.org/officeDocument/2006/relationships/hyperlink" Target="https://syfert.com/florida/statutes/0713.20.html" TargetMode="External"/><Relationship Id="rId121" Type="http://schemas.openxmlformats.org/officeDocument/2006/relationships/hyperlink" Target="https://syfert.com/florida/statutes/0713.20.html" TargetMode="External"/><Relationship Id="rId122" Type="http://schemas.openxmlformats.org/officeDocument/2006/relationships/hyperlink" Target="https://syfert.com/florida/statutes/0713.20.html" TargetMode="External"/><Relationship Id="rId123" Type="http://schemas.openxmlformats.org/officeDocument/2006/relationships/hyperlink" Target="https://www.floridabar.org/the-florida-bar-journal/floridas-unwieldy-but-effective-construction-lien-law/" TargetMode="External"/><Relationship Id="rId124" Type="http://schemas.openxmlformats.org/officeDocument/2006/relationships/hyperlink" Target="https://www.floridabar.org/the-florida-bar-journal/floridas-unwieldy-but-effective-construction-lien-law/" TargetMode="External"/><Relationship Id="rId125" Type="http://schemas.openxmlformats.org/officeDocument/2006/relationships/hyperlink" Target="https://www.jimersonfirm.com/blog/resources/faqs/construction-law/" TargetMode="External"/><Relationship Id="rId126" Type="http://schemas.openxmlformats.org/officeDocument/2006/relationships/hyperlink" Target="https://www.floridabar.org/the-florida-bar-journal/floridas-unwieldy-but-effective-construction-lien-law/" TargetMode="External"/><Relationship Id="rId127" Type="http://schemas.openxmlformats.org/officeDocument/2006/relationships/hyperlink" Target="https://www.floridabar.org/the-florida-bar-journal/floridas-unwieldy-but-effective-construction-lien-law/" TargetMode="External"/><Relationship Id="rId128" Type="http://schemas.openxmlformats.org/officeDocument/2006/relationships/hyperlink" Target="https://www.jimersonfirm.com/blog/resources/faqs/construction-law/" TargetMode="External"/><Relationship Id="rId129" Type="http://schemas.openxmlformats.org/officeDocument/2006/relationships/hyperlink" Target="https://www.jimersonfirm.com/blog/resources/faqs/construction-law/" TargetMode="External"/><Relationship Id="rId130" Type="http://schemas.openxmlformats.org/officeDocument/2006/relationships/hyperlink" Target="https://www.jimersonfirm.com/blog/resources/faqs/construction-law/" TargetMode="External"/><Relationship Id="rId131" Type="http://schemas.openxmlformats.org/officeDocument/2006/relationships/hyperlink" Target="https://www.jimersonfirm.com/blog/resources/faqs/construction-law/" TargetMode="External"/><Relationship Id="rId132" Type="http://schemas.openxmlformats.org/officeDocument/2006/relationships/hyperlink" Target="https://www.levelset.com/blog/florida-lien-waiver-mistakes/" TargetMode="External"/><Relationship Id="rId133" Type="http://schemas.openxmlformats.org/officeDocument/2006/relationships/hyperlink" Target="https://www.jimersonfirm.com/blog/resources/faqs/construction-law/" TargetMode="External"/><Relationship Id="rId134" Type="http://schemas.openxmlformats.org/officeDocument/2006/relationships/hyperlink" Target="https://www.jimersonfirm.com/blog/resources/faqs/construction-law/" TargetMode="External"/><Relationship Id="rId135" Type="http://schemas.openxmlformats.org/officeDocument/2006/relationships/hyperlink" Target="https://syfert.com/florida/statutes/0713.20.html" TargetMode="External"/><Relationship Id="rId136" Type="http://schemas.openxmlformats.org/officeDocument/2006/relationships/hyperlink" Target="https://www.jimersonfirm.com/blog/resources/faqs/construction-law/" TargetMode="External"/><Relationship Id="rId137" Type="http://schemas.openxmlformats.org/officeDocument/2006/relationships/hyperlink" Target="https://www.jimersonfirm.com/blog/resources/faqs/construction-law/" TargetMode="External"/><Relationship Id="rId138" Type="http://schemas.openxmlformats.org/officeDocument/2006/relationships/hyperlink" Target="https://www.jimersonfirm.com/blog/resources/faqs/construction-law/" TargetMode="External"/><Relationship Id="rId139" Type="http://schemas.openxmlformats.org/officeDocument/2006/relationships/hyperlink" Target="https://syfert.com/florida/statutes/0713.20.html" TargetMode="External"/><Relationship Id="rId140" Type="http://schemas.openxmlformats.org/officeDocument/2006/relationships/hyperlink" Target="https://syfert.com/florida/statutes/0713.20.html" TargetMode="External"/><Relationship Id="rId141" Type="http://schemas.openxmlformats.org/officeDocument/2006/relationships/hyperlink" Target="https://www.jimersonfirm.com/blog/resources/faqs/construction-law/" TargetMode="External"/><Relationship Id="rId142" Type="http://schemas.openxmlformats.org/officeDocument/2006/relationships/hyperlink" Target="https://www.floridabar.org/the-florida-bar-journal/floridas-unwieldy-but-effective-construction-lien-law/" TargetMode="External"/><Relationship Id="rId143" Type="http://schemas.openxmlformats.org/officeDocument/2006/relationships/hyperlink" Target="https://www.floridabar.org/the-florida-bar-journal/floridas-unwieldy-but-effective-construction-lien-law/" TargetMode="External"/><Relationship Id="rId144" Type="http://schemas.openxmlformats.org/officeDocument/2006/relationships/hyperlink" Target="https://www.floridabar.org/the-florida-bar-journal/floridas-unwieldy-but-effective-construction-lien-law/" TargetMode="External"/><Relationship Id="rId145" Type="http://schemas.openxmlformats.org/officeDocument/2006/relationships/hyperlink" Target="https://www.buildsmartbradley.com/2020/07/fraudulently-filing-lien-backfires-on-contractor/" TargetMode="External"/><Relationship Id="rId146" Type="http://schemas.openxmlformats.org/officeDocument/2006/relationships/hyperlink" Target="https://www.buildsmartbradley.com/2020/07/fraudulently-filing-lien-backfires-on-contractor/" TargetMode="External"/><Relationship Id="rId147" Type="http://schemas.openxmlformats.org/officeDocument/2006/relationships/hyperlink" Target="https://tabbaafirm.com/blog-panama-city-law-firm-the-tabbaa-firm/construction-liens/" TargetMode="External"/><Relationship Id="rId148" Type="http://schemas.openxmlformats.org/officeDocument/2006/relationships/hyperlink" Target="https://tabbaafirm.com/blog-panama-city-law-firm-the-tabbaa-firm/construction-liens/" TargetMode="External"/><Relationship Id="rId149" Type="http://schemas.openxmlformats.org/officeDocument/2006/relationships/hyperlink" Target="https://tabbaafirm.com/blog-panama-city-law-firm-the-tabbaa-firm/construction-liens/" TargetMode="External"/><Relationship Id="rId150" Type="http://schemas.openxmlformats.org/officeDocument/2006/relationships/hyperlink" Target="https://tabbaafirm.com/blog-panama-city-law-firm-the-tabbaa-firm/construction-liens/" TargetMode="External"/><Relationship Id="rId151" Type="http://schemas.openxmlformats.org/officeDocument/2006/relationships/hyperlink" Target="https://www.jimersonfirm.com/blog/resources/faqs/construction-law/" TargetMode="External"/><Relationship Id="rId152" Type="http://schemas.openxmlformats.org/officeDocument/2006/relationships/hyperlink" Target="https://www.jimersonfirm.com/blog/resources/faqs/construction-law/" TargetMode="External"/><Relationship Id="rId153" Type="http://schemas.openxmlformats.org/officeDocument/2006/relationships/hyperlink" Target="https://tabbaafirm.com/blog-panama-city-law-firm-the-tabbaa-firm/construction-liens/" TargetMode="External"/><Relationship Id="rId154" Type="http://schemas.openxmlformats.org/officeDocument/2006/relationships/hyperlink" Target="https://tabbaafirm.com/blog-panama-city-law-firm-the-tabbaa-firm/construction-liens/" TargetMode="External"/><Relationship Id="rId155" Type="http://schemas.openxmlformats.org/officeDocument/2006/relationships/hyperlink" Target="https://www.floridabar.org/the-florida-bar-journal/floridas-unwieldy-but-effective-construction-lien-law/" TargetMode="External"/><Relationship Id="rId156" Type="http://schemas.openxmlformats.org/officeDocument/2006/relationships/hyperlink" Target="https://www.floridabar.org/the-florida-bar-journal/floridas-unwieldy-but-effective-construction-lien-law/" TargetMode="External"/><Relationship Id="rId157" Type="http://schemas.openxmlformats.org/officeDocument/2006/relationships/hyperlink" Target="https://www.buildsmartbradley.com/2020/07/fraudulently-filing-lien-backfires-on-contractor/" TargetMode="External"/><Relationship Id="rId158" Type="http://schemas.openxmlformats.org/officeDocument/2006/relationships/hyperlink" Target="https://www.jimersonfirm.com/blog/resources/faqs/construction-law/" TargetMode="External"/><Relationship Id="rId159" Type="http://schemas.openxmlformats.org/officeDocument/2006/relationships/hyperlink" Target="https://hammerngavel.com/blog/court-refuses-to-discharge-lien-where-subcontractor-failed-to-serve-notice-to-owner" TargetMode="External"/><Relationship Id="rId160" Type="http://schemas.openxmlformats.org/officeDocument/2006/relationships/hyperlink" Target="https://law.justia.com/cases/florida/second-district-court-of-appeal/2009/2d09-1764.html" TargetMode="External"/><Relationship Id="rId161" Type="http://schemas.openxmlformats.org/officeDocument/2006/relationships/hyperlink" Target="https://tabbaafirm.com/blog-panama-city-law-firm-the-tabbaa-firm/construction-liens/" TargetMode="External"/><Relationship Id="rId162" Type="http://schemas.openxmlformats.org/officeDocument/2006/relationships/hyperlink" Target="https://tabbaafirm.com/blog-panama-city-law-firm-the-tabbaa-firm/construction-liens/" TargetMode="External"/><Relationship Id="rId163" Type="http://schemas.openxmlformats.org/officeDocument/2006/relationships/hyperlink" Target="https://syfert.com/florida/statutes/0713.20.html" TargetMode="External"/><Relationship Id="rId164" Type="http://schemas.openxmlformats.org/officeDocument/2006/relationships/hyperlink" Target="https://syfert.com/florida/statutes/0713.20.html" TargetMode="External"/><Relationship Id="rId165" Type="http://schemas.openxmlformats.org/officeDocument/2006/relationships/hyperlink" Target="https://hammerngavel.com/blog/court-refuses-to-discharge-lien-where-subcontractor-failed-to-serve-notice-to-owner" TargetMode="External"/><Relationship Id="rId166" Type="http://schemas.openxmlformats.org/officeDocument/2006/relationships/hyperlink" Target="https://hammerngavel.com/blog/court-refuses-to-discharge-lien-where-subcontractor-failed-to-serve-notice-to-owner" TargetMode="External"/><Relationship Id="rId167" Type="http://schemas.openxmlformats.org/officeDocument/2006/relationships/hyperlink" Target="https://law.justia.com/cases/florida/second-district-court-of-appeal/2009/2d09-1764.html" TargetMode="External"/><Relationship Id="rId168" Type="http://schemas.openxmlformats.org/officeDocument/2006/relationships/hyperlink" Target="https://law.justia.com/cases/florida/second-district-court-of-appeal/2009/2d09-1764.html" TargetMode="External"/><Relationship Id="rId169" Type="http://schemas.openxmlformats.org/officeDocument/2006/relationships/hyperlink" Target="https://law.justia.com/cases/florida/second-district-court-of-appeal/2009/2d09-1764.html" TargetMode="External"/><Relationship Id="rId170" Type="http://schemas.openxmlformats.org/officeDocument/2006/relationships/hyperlink" Target="https://law.justia.com/cases/florida/second-district-court-of-appeal/2009/2d09-1764.html" TargetMode="External"/><Relationship Id="rId171" Type="http://schemas.openxmlformats.org/officeDocument/2006/relationships/hyperlink" Target="https://law.justia.com/cases/florida/second-district-court-of-appeal/2009/2d09-1764.html" TargetMode="External"/><Relationship Id="rId172" Type="http://schemas.openxmlformats.org/officeDocument/2006/relationships/hyperlink" Target="https://law.justia.com/cases/florida/supreme-court/1994/81765-0.html" TargetMode="External"/><Relationship Id="rId173" Type="http://schemas.openxmlformats.org/officeDocument/2006/relationships/hyperlink" Target="https://law.justia.com/cases/florida/supreme-court/1994/81765-0.html" TargetMode="External"/><Relationship Id="rId174" Type="http://schemas.openxmlformats.org/officeDocument/2006/relationships/hyperlink" Target="https://www.courtlistener.com/opinion/7634399/scott-v-haufler/" TargetMode="External"/><Relationship Id="rId175" Type="http://schemas.openxmlformats.org/officeDocument/2006/relationships/hyperlink" Target="https://www.buildsmartbradley.com/2020/07/fraudulently-filing-lien-backfires-on-contractor/" TargetMode="External"/><Relationship Id="rId176" Type="http://schemas.openxmlformats.org/officeDocument/2006/relationships/hyperlink" Target="https://www.buildsmartbradley.com/2020/07/fraudulently-filing-lien-backfires-on-contractor/" TargetMode="External"/><Relationship Id="rId177" Type="http://schemas.openxmlformats.org/officeDocument/2006/relationships/hyperlink" Target="https://tabbaafirm.com/blog-panama-city-law-firm-the-tabbaa-firm/construction-liens/" TargetMode="External"/><Relationship Id="rId178" Type="http://schemas.openxmlformats.org/officeDocument/2006/relationships/hyperlink" Target="https://tabbaafirm.com/blog-panama-city-law-firm-the-tabbaa-firm/construction-liens/" TargetMode="External"/><Relationship Id="rId179" Type="http://schemas.openxmlformats.org/officeDocument/2006/relationships/hyperlink" Target="https://www.floridabar.org/the-florida-bar-journal/floridas-unwieldy-but-effective-construction-lien-law/" TargetMode="External"/><Relationship Id="rId180" Type="http://schemas.openxmlformats.org/officeDocument/2006/relationships/hyperlink" Target="https://www.floridabar.org/the-florida-bar-journal/floridas-unwieldy-but-effective-construction-lien-law/" TargetMode="External"/><Relationship Id="rId181" Type="http://schemas.openxmlformats.org/officeDocument/2006/relationships/hyperlink" Target="https://www.jimersonfirm.com/blog/resources/faqs/construction-law/" TargetMode="External"/><Relationship Id="rId182" Type="http://schemas.openxmlformats.org/officeDocument/2006/relationships/hyperlink" Target="https://www.jimersonfirm.com/blog/resources/faqs/construction-law/" TargetMode="External"/><Relationship Id="rId183" Type="http://schemas.openxmlformats.org/officeDocument/2006/relationships/hyperlink" Target="https://www.floridaconstructionlegalupdates.com/owner-cant-pursue-statutory-show-cause-complaint-to-cancel-lien-fair-outcome/" TargetMode="External"/><Relationship Id="rId184" Type="http://schemas.openxmlformats.org/officeDocument/2006/relationships/hyperlink" Target="https://www.floridaconstructionlegalupdates.com/unpredictable-opinion-regarding-construction-lien-reinstatement/" TargetMode="External"/><Relationship Id="rId185" Type="http://schemas.openxmlformats.org/officeDocument/2006/relationships/hyperlink" Target="https://www.buildsmartbradley.com/2020/07/fraudulently-filing-lien-backfires-on-contractor/" TargetMode="External"/><Relationship Id="rId186" Type="http://schemas.openxmlformats.org/officeDocument/2006/relationships/hyperlink" Target="https://www.buildsmartbradley.com/2020/07/fraudulently-filing-lien-backfires-on-contractor/" TargetMode="External"/><Relationship Id="rId187" Type="http://schemas.openxmlformats.org/officeDocument/2006/relationships/numbering" Target="numbering.xml"/><Relationship Id="rId188" Type="http://schemas.openxmlformats.org/officeDocument/2006/relationships/fontTable" Target="fontTable.xml"/><Relationship Id="rId189" Type="http://schemas.openxmlformats.org/officeDocument/2006/relationships/settings" Target="settings.xml"/><Relationship Id="rId19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14</Pages>
  <Words>6500</Words>
  <Characters>37672</Characters>
  <CharactersWithSpaces>44069</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2025-11-30T21:58:42Z</dcterms:created>
  <dc:creator/>
  <dc:description/>
  <dc:language>en-US</dc:language>
  <cp:lastModifiedBy/>
  <dcterms:modified xsi:type="dcterms:W3CDTF">2025-11-30T21:59:30Z</dcterms:modified>
  <cp:revision>1</cp:revision>
  <dc:subject/>
  <dc:title/>
</cp:coreProperties>
</file>