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jpeg" ContentType="image/jpe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start"/>
        <w:rPr/>
      </w:pPr>
      <w:r>
        <w:rPr/>
        <w:t>Compliance Toolkit: Florida Construction Lien Law (Post-2023 Updates)</w:t>
      </w:r>
    </w:p>
    <w:p>
      <w:pPr>
        <w:pStyle w:val="Heading2"/>
        <w:bidi w:val="0"/>
        <w:spacing w:lineRule="auto" w:line="276" w:before="0" w:after="140"/>
        <w:jc w:val="start"/>
        <w:rPr/>
      </w:pPr>
      <w:r>
        <w:rPr/>
        <w:t>Statutory Cross-Walk of Key Provisions</w:t>
      </w:r>
    </w:p>
    <w:p>
      <w:pPr>
        <w:pStyle w:val="BodyText"/>
        <w:bidi w:val="0"/>
        <w:jc w:val="start"/>
        <w:rPr/>
      </w:pPr>
      <w:r>
        <w:rPr/>
        <w:t xml:space="preserve">Below is a cross-walk of Florida’s updated construction lien law provisions (effective after Oct. 1, 2023 via HB 331). Each item includes an excerpt of the statute and bullet-point guidance on </w:t>
      </w:r>
      <w:r>
        <w:rPr>
          <w:rStyle w:val="Strong"/>
        </w:rPr>
        <w:t>Trigger Events</w:t>
      </w:r>
      <w:r>
        <w:rPr/>
        <w:t xml:space="preserve">, </w:t>
      </w:r>
      <w:r>
        <w:rPr>
          <w:rStyle w:val="Strong"/>
        </w:rPr>
        <w:t>Required Content/Formatting</w:t>
      </w:r>
      <w:r>
        <w:rPr/>
        <w:t xml:space="preserve">, and </w:t>
      </w:r>
      <w:r>
        <w:rPr>
          <w:rStyle w:val="Strong"/>
        </w:rPr>
        <w:t>Penalties/Consequences</w:t>
      </w:r>
      <w:r>
        <w:rPr/>
        <w:t xml:space="preserve"> for non-compliance.</w:t>
      </w:r>
    </w:p>
    <w:p>
      <w:pPr>
        <w:pStyle w:val="Heading3"/>
        <w:bidi w:val="0"/>
        <w:spacing w:lineRule="auto" w:line="276" w:before="0" w:after="140"/>
        <w:jc w:val="start"/>
        <w:rPr/>
      </w:pPr>
      <w:r>
        <w:rPr/>
        <w:t>Notice of Commencement (NOC) – § 713.13, Fla. Stat.</w:t>
      </w:r>
    </w:p>
    <w:p>
      <w:pPr>
        <w:pStyle w:val="BlockQuotation"/>
        <w:bidi w:val="0"/>
        <w:spacing w:lineRule="auto" w:line="276" w:before="0" w:after="140"/>
        <w:jc w:val="start"/>
        <w:rPr/>
      </w:pPr>
      <w:r>
        <w:rPr/>
        <w:t>“</w:t>
      </w:r>
      <w:r>
        <w:rPr/>
        <w:t>A notice of commencement must be recorded and posted on the site of the improvement before the first inspection… If the direct contract amount is greater than $5,000, a certified copy of the recorded notice of commencement must be filed with the building permit authority before the first inspection (threshold increased from $2,500 to $5,000)</w:t>
      </w:r>
      <w:hyperlink r:id="rId2" w:anchor=":~:text=Chapter%20713,amount%20from%20%242%2C500%20to%20%245%2C000" w:tgtFrame="_blank">
        <w:r>
          <w:rPr>
            <w:rStyle w:val="Hyperlink"/>
          </w:rPr>
          <w:t>bilzin.com</w:t>
        </w:r>
      </w:hyperlink>
      <w:r>
        <w:rPr/>
        <w:t xml:space="preserve">. The notice of commencement is effective for 1 year unless a longer period is stated, and </w:t>
      </w:r>
      <w:r>
        <w:rPr>
          <w:rStyle w:val="Strong"/>
        </w:rPr>
        <w:t>any payments made by the owner after the expiration of the notice of commencement are considered improper payments</w:t>
      </w:r>
      <w:hyperlink r:id="rId3" w:anchor=":~:text=commencement%20expresses%20a%20period%20of,commencement%20are%20considered%20improper%20payments" w:tgtFrame="_blank">
        <w:r>
          <w:rPr>
            <w:rStyle w:val="Hyperlink"/>
          </w:rPr>
          <w:t>m.flsenate.gov</w:t>
        </w:r>
      </w:hyperlink>
      <w:hyperlink r:id="rId4" w:anchor=":~:text=WARNING%20TO%20OWNER%3A%20ANY%20PAYMENTS,RECORDING%20YOUR%20NOTICE%20OF%20COMMENCEMENT" w:tgtFrame="_blank">
        <w:r>
          <w:rPr>
            <w:rStyle w:val="Hyperlink"/>
          </w:rPr>
          <w:t>m.flsenate.gov</w:t>
        </w:r>
      </w:hyperlink>
      <w:r>
        <w:rPr/>
        <w:t>.”</w:t>
      </w:r>
    </w:p>
    <w:p>
      <w:pPr>
        <w:pStyle w:val="BodyText"/>
        <w:numPr>
          <w:ilvl w:val="0"/>
          <w:numId w:val="2"/>
        </w:numPr>
        <w:tabs>
          <w:tab w:val="clear" w:pos="709"/>
          <w:tab w:val="left" w:pos="709" w:leader="none"/>
        </w:tabs>
        <w:bidi w:val="0"/>
        <w:ind w:hanging="283" w:start="709"/>
        <w:jc w:val="start"/>
        <w:rPr/>
      </w:pPr>
      <w:r>
        <w:rPr>
          <w:rStyle w:val="Strong"/>
        </w:rPr>
        <w:t>Trigger Events:</w:t>
      </w:r>
      <w:r>
        <w:rPr/>
        <w:t xml:space="preserve"> Must be </w:t>
      </w:r>
      <w:r>
        <w:rPr>
          <w:rStyle w:val="Strong"/>
        </w:rPr>
        <w:t>recorded and posted</w:t>
      </w:r>
      <w:r>
        <w:rPr/>
        <w:t xml:space="preserve"> </w:t>
      </w:r>
      <w:r>
        <w:rPr>
          <w:rStyle w:val="Strong"/>
        </w:rPr>
        <w:t>prior to starting work / first inspection</w:t>
      </w:r>
      <w:r>
        <w:rPr/>
        <w:t xml:space="preserve"> on the project</w:t>
      </w:r>
      <w:hyperlink r:id="rId5" w:anchor=":~:text=WARNING%20TO%20OWNER%3A%20ANY%20PAYMENTS,RECORDING%20YOUR%20NOTICE%20OF%20COMMENCEMENT" w:tgtFrame="_blank">
        <w:r>
          <w:rPr>
            <w:rStyle w:val="Hyperlink"/>
          </w:rPr>
          <w:t>m.flsenate.gov</w:t>
        </w:r>
      </w:hyperlink>
      <w:r>
        <w:rPr/>
        <w:t>. (Building departments now require proof of a recorded NOC for projects &gt; $5,000 before the first inspection</w:t>
      </w:r>
      <w:hyperlink r:id="rId6" w:anchor=":~:text=Chapter%20713,amount%20from%20%242%2C500%20to%20%245%2C000" w:tgtFrame="_blank">
        <w:r>
          <w:rPr>
            <w:rStyle w:val="Hyperlink"/>
          </w:rPr>
          <w:t>bilzin.com</w:t>
        </w:r>
      </w:hyperlink>
      <w:r>
        <w:rPr/>
        <w:t>.) Typically signed by the owner (only the owner can sign) and recorded up to 90 days before commencement. If work isn’t started within 90 days of recording, the NOC becomes void</w:t>
      </w:r>
      <w:hyperlink r:id="rId7" w:anchor=":~:text=,and%20of%20no%20further%20effect" w:tgtFrame="_blank">
        <w:r>
          <w:rPr>
            <w:rStyle w:val="Hyperlink"/>
          </w:rPr>
          <w:t>m.flsenate.gov</w:t>
        </w:r>
      </w:hyperlink>
      <w:r>
        <w:rPr/>
        <w:t>. An Amended NOC may be recorded if project scope or time is extended (to maintain effectiveness beyond 1 year).</w:t>
      </w:r>
    </w:p>
    <w:p>
      <w:pPr>
        <w:pStyle w:val="BodyText"/>
        <w:numPr>
          <w:ilvl w:val="0"/>
          <w:numId w:val="2"/>
        </w:numPr>
        <w:tabs>
          <w:tab w:val="clear" w:pos="709"/>
          <w:tab w:val="left" w:pos="709" w:leader="none"/>
        </w:tabs>
        <w:bidi w:val="0"/>
        <w:ind w:hanging="283" w:start="709"/>
        <w:jc w:val="start"/>
        <w:rPr/>
      </w:pPr>
      <w:r>
        <w:rPr>
          <w:rStyle w:val="Strong"/>
        </w:rPr>
        <w:t>Required Content &amp; Formatting:</w:t>
      </w:r>
      <w:r>
        <w:rPr/>
        <w:t xml:space="preserve"> Must be in </w:t>
      </w:r>
      <w:r>
        <w:rPr>
          <w:rStyle w:val="Strong"/>
        </w:rPr>
        <w:t>substantially the statutory form</w:t>
      </w:r>
      <w:hyperlink r:id="rId8" w:anchor=":~:text=,in%20substantially%20the%20following%20form" w:tgtFrame="_blank">
        <w:r>
          <w:rPr>
            <w:rStyle w:val="Hyperlink"/>
          </w:rPr>
          <w:t>m.flsenate.gov</w:t>
        </w:r>
      </w:hyperlink>
      <w:r>
        <w:rPr/>
        <w:t xml:space="preserve"> including: property description, general description of improvement, owner’s name and interest, contractor’s name, lender (if any), surety (if any, attach bond copy), persons designated to receive notices, and an </w:t>
      </w:r>
      <w:r>
        <w:rPr>
          <w:rStyle w:val="Strong"/>
        </w:rPr>
        <w:t>expiration date</w:t>
      </w:r>
      <w:r>
        <w:rPr/>
        <w:t xml:space="preserve"> (defaults to 1 year if not stated)</w:t>
      </w:r>
      <w:hyperlink r:id="rId9" w:anchor=":~:text=8,13%281%29%28b%29%2C%20Florida%20Statutes" w:tgtFrame="_blank">
        <w:r>
          <w:rPr>
            <w:rStyle w:val="Hyperlink"/>
          </w:rPr>
          <w:t>m.flsenate.gov</w:t>
        </w:r>
      </w:hyperlink>
      <w:r>
        <w:rPr/>
        <w:t xml:space="preserve">. It includes a boldfaced </w:t>
      </w:r>
      <w:r>
        <w:rPr>
          <w:rStyle w:val="Strong"/>
        </w:rPr>
        <w:t>“WARNING TO OWNER”</w:t>
      </w:r>
      <w:r>
        <w:rPr/>
        <w:t xml:space="preserve"> advising that failure to comply can result in paying twice for the project</w:t>
      </w:r>
      <w:hyperlink r:id="rId10" w:anchor=":~:text=WARNING%20TO%20OWNER%3A%20ANY%20PAYMENTS,RECORDING%20YOUR%20NOTICE%20OF%20COMMENCEMENT" w:tgtFrame="_blank">
        <w:r>
          <w:rPr>
            <w:rStyle w:val="Hyperlink"/>
          </w:rPr>
          <w:t>codes.findlaw.com</w:t>
        </w:r>
      </w:hyperlink>
      <w:r>
        <w:rPr/>
        <w:t xml:space="preserve">. The NOC must be </w:t>
      </w:r>
      <w:r>
        <w:rPr>
          <w:rStyle w:val="Strong"/>
        </w:rPr>
        <w:t>signed and notarized by the owner</w:t>
      </w:r>
      <w:hyperlink r:id="rId11" w:anchor=":~:text=,notice%20in%20the%20clerk%E2%80%99s%20office" w:tgtFrame="_blank">
        <w:r>
          <w:rPr>
            <w:rStyle w:val="Hyperlink"/>
          </w:rPr>
          <w:t>m.flsenate.gov</w:t>
        </w:r>
      </w:hyperlink>
      <w:r>
        <w:rPr/>
        <w:t xml:space="preserve">, and a copy must be posted at the job site. If a payment bond exists, a copy of the bond </w:t>
      </w:r>
      <w:r>
        <w:rPr>
          <w:rStyle w:val="Strong"/>
        </w:rPr>
        <w:t>must be attached</w:t>
      </w:r>
      <w:r>
        <w:rPr/>
        <w:t xml:space="preserve"> to the recorded NOC (otherwise the bond protections are lost)</w:t>
      </w:r>
      <w:hyperlink r:id="rId12" w:anchor=":~:text=,limits%20for%20serving%20any%20required" w:tgtFrame="_blank">
        <w:r>
          <w:rPr>
            <w:rStyle w:val="Hyperlink"/>
          </w:rPr>
          <w:t>m.flsenate.gov</w:t>
        </w:r>
      </w:hyperlink>
      <w:r>
        <w:rPr/>
        <w:t>.</w:t>
      </w:r>
    </w:p>
    <w:p>
      <w:pPr>
        <w:pStyle w:val="BodyText"/>
        <w:numPr>
          <w:ilvl w:val="0"/>
          <w:numId w:val="2"/>
        </w:numPr>
        <w:tabs>
          <w:tab w:val="clear" w:pos="709"/>
          <w:tab w:val="left" w:pos="709" w:leader="none"/>
        </w:tabs>
        <w:bidi w:val="0"/>
        <w:ind w:hanging="283" w:start="709"/>
        <w:jc w:val="start"/>
        <w:rPr/>
      </w:pPr>
      <w:r>
        <w:rPr>
          <w:rStyle w:val="Strong"/>
        </w:rPr>
        <w:t>Penalties/Consequences:</w:t>
      </w:r>
      <w:r>
        <w:rPr/>
        <w:t xml:space="preserve"> Failing to record a required NOC (when project &gt; $5,000) or not posting it can lead to </w:t>
      </w:r>
      <w:r>
        <w:rPr>
          <w:rStyle w:val="Strong"/>
        </w:rPr>
        <w:t>loss of lien priority</w:t>
      </w:r>
      <w:r>
        <w:rPr/>
        <w:t xml:space="preserve"> for the project – liens from subcontractors/suppliers may relate back to an earlier date, increasing owner risk</w:t>
      </w:r>
      <w:hyperlink r:id="rId13" w:anchor=":~:text=,notice%20of%20any%20of%20them" w:tgtFrame="_blank">
        <w:r>
          <w:rPr>
            <w:rStyle w:val="Hyperlink"/>
          </w:rPr>
          <w:t>m.flsenate.gov</w:t>
        </w:r>
      </w:hyperlink>
      <w:r>
        <w:rPr/>
        <w:t xml:space="preserve">. </w:t>
      </w:r>
      <w:r>
        <w:rPr>
          <w:rStyle w:val="Strong"/>
        </w:rPr>
        <w:t>Payments made after the NOC’s expiration are “improper payments”</w:t>
      </w:r>
      <w:r>
        <w:rPr/>
        <w:t xml:space="preserve"> that do </w:t>
      </w:r>
      <w:r>
        <w:rPr>
          <w:rStyle w:val="Emphasis"/>
        </w:rPr>
        <w:t>not</w:t>
      </w:r>
      <w:r>
        <w:rPr/>
        <w:t xml:space="preserve"> cut off lien rights</w:t>
      </w:r>
      <w:hyperlink r:id="rId14" w:anchor=":~:text=commencement%20expresses%20a%20period%20of,commencement%20are%20considered%20improper%20payments" w:tgtFrame="_blank">
        <w:r>
          <w:rPr>
            <w:rStyle w:val="Hyperlink"/>
          </w:rPr>
          <w:t>m.flsenate.gov</w:t>
        </w:r>
      </w:hyperlink>
      <w:hyperlink r:id="rId15" w:anchor=":~:text=WARNING%20TO%20OWNER%3A%20ANY%20PAYMENTS,RECORDING%20YOUR%20NOTICE%20OF%20COMMENCEMENT" w:tgtFrame="_blank">
        <w:r>
          <w:rPr>
            <w:rStyle w:val="Hyperlink"/>
          </w:rPr>
          <w:t>m.flsenate.gov</w:t>
        </w:r>
      </w:hyperlink>
      <w:r>
        <w:rPr/>
        <w:t xml:space="preserve"> – the owner can be forced to pay twice. An owner who doesn’t obtain a NOC when required will receive a statutory warning on the building permit (14-point all-caps) that failure to record may result in double payment</w:t>
      </w:r>
      <w:hyperlink r:id="rId16" w:anchor=":~:text=,%E2%80%9D" w:tgtFrame="_blank">
        <w:r>
          <w:rPr>
            <w:rStyle w:val="Hyperlink"/>
          </w:rPr>
          <w:t>deltonafl.gov</w:t>
        </w:r>
      </w:hyperlink>
      <w:r>
        <w:rPr/>
        <w:t>. Also, if a required NOC isn’t in place, lienors can rely on the building permit info for notice requirements</w:t>
      </w:r>
      <w:hyperlink r:id="rId17" w:anchor=":~:text=,c" w:tgtFrame="_blank">
        <w:r>
          <w:rPr>
            <w:rStyle w:val="Hyperlink"/>
          </w:rPr>
          <w:t>flsenate.gov</w:t>
        </w:r>
      </w:hyperlink>
      <w:r>
        <w:rPr/>
        <w:t xml:space="preserve">. In short, </w:t>
      </w:r>
      <w:r>
        <w:rPr>
          <w:rStyle w:val="Strong"/>
        </w:rPr>
        <w:t>not having a valid NOC or letting it lapse can destroy the “proper payment” defense</w:t>
      </w:r>
      <w:r>
        <w:rPr/>
        <w:t>, meaning the owner cannot assert that payments were properly disbursed to avoid liens</w:t>
      </w:r>
      <w:hyperlink r:id="rId18" w:anchor=":~:text=commencement%20expresses%20a%20period%20of,commencement%20are%20considered%20improper%20payments" w:tgtFrame="_blank">
        <w:r>
          <w:rPr>
            <w:rStyle w:val="Hyperlink"/>
          </w:rPr>
          <w:t>m.flsenate.gov</w:t>
        </w:r>
      </w:hyperlink>
      <w:r>
        <w:rPr/>
        <w:t>. In extreme cases, knowingly false NOCs or misrepresentations could be considered fraudulent (e.g. false NOC termination, see §713.132(4)</w:t>
      </w:r>
      <w:hyperlink r:id="rId19" w:anchor=":~:text=,right%20of%20action%20for%20damages" w:tgtFrame="_blank">
        <w:r>
          <w:rPr>
            <w:rStyle w:val="Hyperlink"/>
          </w:rPr>
          <w:t>flsenate.gov</w:t>
        </w:r>
      </w:hyperlink>
      <w:r>
        <w:rPr/>
        <w:t>).</w:t>
      </w:r>
    </w:p>
    <w:p>
      <w:pPr>
        <w:pStyle w:val="Heading3"/>
        <w:bidi w:val="0"/>
        <w:spacing w:lineRule="auto" w:line="276" w:before="0" w:after="140"/>
        <w:jc w:val="start"/>
        <w:rPr/>
      </w:pPr>
      <w:r>
        <w:rPr/>
        <w:t>Notice to Owner (Preliminary Notice) – § 713.06(2)(a)–(c)</w:t>
      </w:r>
    </w:p>
    <w:p>
      <w:pPr>
        <w:pStyle w:val="BlockQuotation"/>
        <w:bidi w:val="0"/>
        <w:spacing w:lineRule="auto" w:line="276" w:before="0" w:after="140"/>
        <w:jc w:val="start"/>
        <w:rPr/>
      </w:pPr>
      <w:r>
        <w:rPr/>
        <w:t>“</w:t>
      </w:r>
      <w:r>
        <w:rPr/>
        <w:t xml:space="preserve">All lienors except laborers, as a prerequisite to perfecting a lien, </w:t>
      </w:r>
      <w:r>
        <w:rPr>
          <w:rStyle w:val="Strong"/>
        </w:rPr>
        <w:t>must serve a notice on the owner</w:t>
      </w:r>
      <w:r>
        <w:rPr/>
        <w:t xml:space="preserve"> setting forth the lienor’s name and address, a description of the property, and the nature of the services or materials furnished or to be furnished… The notice must be served </w:t>
      </w:r>
      <w:r>
        <w:rPr>
          <w:rStyle w:val="Strong"/>
        </w:rPr>
        <w:t>before commencing, or not later than 45 days after commencing</w:t>
      </w:r>
      <w:r>
        <w:rPr/>
        <w:t xml:space="preserve">, to furnish labor, services, or materials, and </w:t>
      </w:r>
      <w:r>
        <w:rPr>
          <w:rStyle w:val="Strong"/>
        </w:rPr>
        <w:t>in any event before the owner’s final payment</w:t>
      </w:r>
      <w:r>
        <w:rPr/>
        <w:t xml:space="preserve"> to the contractor after the contractor’s final affidavit</w:t>
      </w:r>
      <w:hyperlink r:id="rId20" w:anchor=":~:text=shall%20serve%20the%20notice%20to,over%20other%20lienors%20in%20the" w:tgtFrame="_blank">
        <w:r>
          <w:rPr>
            <w:rStyle w:val="Hyperlink"/>
          </w:rPr>
          <w:t>flsenate.gov</w:t>
        </w:r>
      </w:hyperlink>
      <w:r>
        <w:rPr/>
        <w:t xml:space="preserve">. </w:t>
      </w:r>
      <w:r>
        <w:rPr>
          <w:rStyle w:val="Strong"/>
        </w:rPr>
        <w:t>Failure to serve the notice, or to timely serve it, is a complete defense to enforcement of a lien</w:t>
      </w:r>
      <w:r>
        <w:rPr/>
        <w:t xml:space="preserve"> by that person</w:t>
      </w:r>
      <w:hyperlink r:id="rId21" w:anchor=":~:text=commencing%2C%20or%20not%20later%20than,The%20serving%20of%20the" w:tgtFrame="_blank">
        <w:r>
          <w:rPr>
            <w:rStyle w:val="Hyperlink"/>
          </w:rPr>
          <w:t>flsenate.gov</w:t>
        </w:r>
      </w:hyperlink>
      <w:r>
        <w:rPr/>
        <w:t xml:space="preserve">. The notice </w:t>
      </w:r>
      <w:r>
        <w:rPr>
          <w:rStyle w:val="Strong"/>
        </w:rPr>
        <w:t>may be in substantially the following form</w:t>
      </w:r>
      <w:r>
        <w:rPr/>
        <w:t xml:space="preserve"> and must include the [statutory] warning…: ‘WARNING! FLORIDA’S CONSTRUCTION LIEN LAW ALLOWS SOME UNPAID CONTRACTORS, SUBCONTRACTORS, AND MATERIAL SUPPLIERS TO FILE LIENS…’</w:t>
      </w:r>
      <w:hyperlink r:id="rId22" w:anchor=":~:text=WARNING%21%20FLORIDA%E2%80%99S%20CONSTRUCTION%20LIEN%20LAW,HAVE%20MADE%20PAYMENT%20IN%20FULL" w:tgtFrame="_blank">
        <w:r>
          <w:rPr>
            <w:rStyle w:val="Hyperlink"/>
          </w:rPr>
          <w:t>flsenate.gov</w:t>
        </w:r>
      </w:hyperlink>
      <w:r>
        <w:rPr/>
        <w:t>.”</w:t>
      </w:r>
    </w:p>
    <w:p>
      <w:pPr>
        <w:pStyle w:val="BodyText"/>
        <w:numPr>
          <w:ilvl w:val="0"/>
          <w:numId w:val="3"/>
        </w:numPr>
        <w:tabs>
          <w:tab w:val="clear" w:pos="709"/>
          <w:tab w:val="left" w:pos="709" w:leader="none"/>
        </w:tabs>
        <w:bidi w:val="0"/>
        <w:ind w:hanging="283" w:start="709"/>
        <w:jc w:val="start"/>
        <w:rPr/>
      </w:pPr>
      <w:r>
        <w:rPr>
          <w:rStyle w:val="Strong"/>
        </w:rPr>
        <w:t>Trigger Events:</w:t>
      </w:r>
      <w:r>
        <w:rPr/>
        <w:t xml:space="preserve"> </w:t>
      </w:r>
      <w:r>
        <w:rPr>
          <w:rStyle w:val="Strong"/>
        </w:rPr>
        <w:t>Any subcontractor, sub-subcontractor, or material supplier not in direct contract with the owner</w:t>
      </w:r>
      <w:r>
        <w:rPr/>
        <w:t xml:space="preserve"> must serve a </w:t>
      </w:r>
      <w:r>
        <w:rPr>
          <w:rStyle w:val="Strong"/>
        </w:rPr>
        <w:t>Notice to Owner (NTO)</w:t>
      </w:r>
      <w:r>
        <w:rPr/>
        <w:t xml:space="preserve"> </w:t>
      </w:r>
      <w:r>
        <w:rPr>
          <w:rStyle w:val="Emphasis"/>
        </w:rPr>
        <w:t>as a condition to preserve lien rights</w:t>
      </w:r>
      <w:r>
        <w:rPr/>
        <w:t xml:space="preserve">. The deadline is </w:t>
      </w:r>
      <w:r>
        <w:rPr>
          <w:rStyle w:val="Strong"/>
        </w:rPr>
        <w:t>within 45 days of first furnishing</w:t>
      </w:r>
      <w:r>
        <w:rPr/>
        <w:t xml:space="preserve"> labor or materials to the project (it can be served before starting, but not later than 45 days after starting)</w:t>
      </w:r>
      <w:hyperlink r:id="rId23" w:anchor=":~:text=shall%20serve%20the%20notice%20to,over%20other%20lienors%20in%20the" w:tgtFrame="_blank">
        <w:r>
          <w:rPr>
            <w:rStyle w:val="Hyperlink"/>
          </w:rPr>
          <w:t>flsenate.gov</w:t>
        </w:r>
      </w:hyperlink>
      <w:r>
        <w:rPr/>
        <w:t xml:space="preserve">. </w:t>
      </w:r>
      <w:r>
        <w:rPr>
          <w:rStyle w:val="Strong"/>
        </w:rPr>
        <w:t>Importantly, the NTO must be served before the owner disburses final payment to the contractor</w:t>
      </w:r>
      <w:hyperlink r:id="rId24" w:anchor=":~:text=commencing%2C%20or%20not%20later%20than,over%20other%20lienors%20in%20the" w:tgtFrame="_blank">
        <w:r>
          <w:rPr>
            <w:rStyle w:val="Hyperlink"/>
          </w:rPr>
          <w:t>flsenate.gov</w:t>
        </w:r>
      </w:hyperlink>
      <w:r>
        <w:rPr/>
        <w:t>. Copies must also be sent to others: a sub-subcontractor or material supplier to a sub must send a copy of the NTO to the contractor (and to the sub, if a materialman to sub-sub)</w:t>
      </w:r>
      <w:hyperlink r:id="rId25" w:anchor=":~:text=sufficient%20for%20identification%20of%20the,notice%20must%20be%20served%20before" w:tgtFrame="_blank">
        <w:r>
          <w:rPr>
            <w:rStyle w:val="Hyperlink"/>
          </w:rPr>
          <w:t>flsenate.gov</w:t>
        </w:r>
      </w:hyperlink>
      <w:r>
        <w:rPr/>
        <w:t>. If the NOC designates a secondary address for notices, send a copy there too</w:t>
      </w:r>
      <w:hyperlink r:id="rId26" w:anchor=":~:text=,invalidate%20an%20otherwise%20valid%20lien" w:tgtFrame="_blank">
        <w:r>
          <w:rPr>
            <w:rStyle w:val="Hyperlink"/>
          </w:rPr>
          <w:t>flsenate.gov</w:t>
        </w:r>
      </w:hyperlink>
      <w:r>
        <w:rPr/>
        <w:t xml:space="preserve"> (failure to copy the designated recipient does </w:t>
      </w:r>
      <w:r>
        <w:rPr>
          <w:rStyle w:val="Emphasis"/>
        </w:rPr>
        <w:t>not</w:t>
      </w:r>
      <w:r>
        <w:rPr/>
        <w:t xml:space="preserve"> invalidate the lien, but it’s good practice)</w:t>
      </w:r>
      <w:hyperlink r:id="rId27" w:anchor=":~:text=,invalidate%20an%20otherwise%20valid%20lien" w:tgtFrame="_blank">
        <w:r>
          <w:rPr>
            <w:rStyle w:val="Hyperlink"/>
          </w:rPr>
          <w:t>flsenate.gov</w:t>
        </w:r>
      </w:hyperlink>
      <w:hyperlink r:id="rId28" w:anchor=":~:text=in%20addition%20to%20himself%20or,invalidate%20an%20otherwise%20valid%20lien" w:tgtFrame="_blank">
        <w:r>
          <w:rPr>
            <w:rStyle w:val="Hyperlink"/>
          </w:rPr>
          <w:t>flsenate.gov</w:t>
        </w:r>
      </w:hyperlink>
      <w:r>
        <w:rPr/>
        <w:t>.</w:t>
      </w:r>
    </w:p>
    <w:p>
      <w:pPr>
        <w:pStyle w:val="BodyText"/>
        <w:numPr>
          <w:ilvl w:val="0"/>
          <w:numId w:val="3"/>
        </w:numPr>
        <w:tabs>
          <w:tab w:val="clear" w:pos="709"/>
          <w:tab w:val="left" w:pos="709" w:leader="none"/>
        </w:tabs>
        <w:bidi w:val="0"/>
        <w:ind w:hanging="283" w:start="709"/>
        <w:jc w:val="start"/>
        <w:rPr/>
      </w:pPr>
      <w:r>
        <w:rPr>
          <w:rStyle w:val="Strong"/>
        </w:rPr>
        <w:t>Required Content &amp; Formatting:</w:t>
      </w:r>
      <w:r>
        <w:rPr/>
        <w:t xml:space="preserve"> The NTO must be </w:t>
      </w:r>
      <w:r>
        <w:rPr>
          <w:rStyle w:val="Strong"/>
        </w:rPr>
        <w:t>in writing</w:t>
      </w:r>
      <w:r>
        <w:rPr/>
        <w:t xml:space="preserve"> and </w:t>
      </w:r>
      <w:r>
        <w:rPr>
          <w:rStyle w:val="Strong"/>
        </w:rPr>
        <w:t>served according to §713.18 (by certified/actual delivery or posting)</w:t>
      </w:r>
      <w:hyperlink r:id="rId29" w:anchor=":~:text=The%20bill%20provides%20that%20documents,Law%20must%20be%20served%20by" w:tgtFrame="_blank">
        <w:r>
          <w:rPr>
            <w:rStyle w:val="Hyperlink"/>
            <w:b/>
            <w:b/>
            <w:bCs/>
          </w:rPr>
          <w:t>flsenate.gov</w:t>
        </w:r>
      </w:hyperlink>
      <w:r>
        <w:rPr/>
        <w:t xml:space="preserve">. It should </w:t>
      </w:r>
      <w:r>
        <w:rPr>
          <w:rStyle w:val="Strong"/>
        </w:rPr>
        <w:t>substantially follow the statutory form</w:t>
      </w:r>
      <w:hyperlink r:id="rId30" w:anchor=":~:text=,contained%20in%20the%20following%20form" w:tgtFrame="_blank">
        <w:r>
          <w:rPr>
            <w:rStyle w:val="Hyperlink"/>
          </w:rPr>
          <w:t>flsenate.gov</w:t>
        </w:r>
      </w:hyperlink>
      <w:r>
        <w:rPr/>
        <w:t>. Key contents include: the lienor’s name and address, a description of the property, the general description of the services or materials provided, and the person who ordered the work (e.g. the hiring contractor)</w:t>
      </w:r>
      <w:hyperlink r:id="rId31" w:anchor=":~:text=NOTICE%20TO%20OWNER" w:tgtFrame="_blank">
        <w:r>
          <w:rPr>
            <w:rStyle w:val="Hyperlink"/>
          </w:rPr>
          <w:t>flsenate.gov</w:t>
        </w:r>
      </w:hyperlink>
      <w:r>
        <w:rPr/>
        <w:t xml:space="preserve">. The </w:t>
      </w:r>
      <w:r>
        <w:rPr>
          <w:rStyle w:val="Strong"/>
        </w:rPr>
        <w:t>statutory form includes prominent warnings to the owner</w:t>
      </w:r>
      <w:r>
        <w:rPr/>
        <w:t xml:space="preserve"> in bold type, such as: </w:t>
      </w:r>
      <w:r>
        <w:rPr>
          <w:rStyle w:val="Strong"/>
        </w:rPr>
        <w:t>“WARNING… unpaid contractors… can file liens… EVEN IF YOU HAVE PAID YOUR CONTRACTOR”</w:t>
      </w:r>
      <w:hyperlink r:id="rId32" w:anchor=":~:text=WARNING%21%20FLORIDA%E2%80%99S%20CONSTRUCTION%20LIEN%20LAW,HAVE%20MADE%20PAYMENT%20IN%20FULL" w:tgtFrame="_blank">
        <w:r>
          <w:rPr>
            <w:rStyle w:val="Hyperlink"/>
          </w:rPr>
          <w:t>flsenate.gov</w:t>
        </w:r>
      </w:hyperlink>
      <w:r>
        <w:rPr/>
        <w:t xml:space="preserve"> and advice that to avoid liens the owner should obtain releases whenever paying the contractor</w:t>
      </w:r>
      <w:hyperlink r:id="rId33" w:anchor=":~:text=UNDER%20FLORIDA%20LAW%2C%20YOUR%20FAILURE,PROPERTY%20AND%20YOUR%20PAYING%20TWICE" w:tgtFrame="_blank">
        <w:r>
          <w:rPr>
            <w:rStyle w:val="Hyperlink"/>
          </w:rPr>
          <w:t>flsenate.gov</w:t>
        </w:r>
      </w:hyperlink>
      <w:r>
        <w:rPr/>
        <w:t>. It also provides “Important Information for Your Protection,” urging the owner to learn about the lien law and consider consulting an attorney or the DBPR</w:t>
      </w:r>
      <w:hyperlink r:id="rId34" w:anchor=":~:text=%E2%80%94RECOGNIZE%20that%20this%20Notice%20to,to%20Owner%20have%20been%20paid" w:tgtFrame="_blank">
        <w:r>
          <w:rPr>
            <w:rStyle w:val="Hyperlink"/>
          </w:rPr>
          <w:t>flsenate.gov</w:t>
        </w:r>
      </w:hyperlink>
      <w:r>
        <w:rPr/>
        <w:t>. The notice must list the lienor’s name, address, and signature, and copies should be sent to all parties required by statute (owner, contractor if applicable, and anyone designated in the NOC)</w:t>
      </w:r>
      <w:hyperlink r:id="rId35" w:anchor=":~:text=Copies%20to%3A%20%C2%A0%C2%A0,06%282%29%28a%29%20and%20%28b%29%2C%20Florida%20Statutes" w:tgtFrame="_blank">
        <w:r>
          <w:rPr>
            <w:rStyle w:val="Hyperlink"/>
          </w:rPr>
          <w:t>flsenate.gov</w:t>
        </w:r>
      </w:hyperlink>
      <w:r>
        <w:rPr/>
        <w:t xml:space="preserve">. </w:t>
      </w:r>
      <w:r>
        <w:rPr>
          <w:rStyle w:val="Emphasis"/>
        </w:rPr>
        <w:t>(The form may be combined with a Notice to Contractor on bonded jobs, titled “NOTICE TO OWNER/NOTICE TO CONTRACTOR”</w:t>
      </w:r>
      <w:hyperlink r:id="rId36" w:anchor=":~:text=Statutes" w:tgtFrame="_blank">
        <w:r>
          <w:rPr>
            <w:rStyle w:val="Hyperlink"/>
            <w:i/>
            <w:i/>
            <w:iCs/>
          </w:rPr>
          <w:t>flsenate.gov</w:t>
        </w:r>
      </w:hyperlink>
      <w:r>
        <w:rPr>
          <w:rStyle w:val="Emphasis"/>
        </w:rPr>
        <w:t>.)</w:t>
      </w:r>
    </w:p>
    <w:p>
      <w:pPr>
        <w:pStyle w:val="BodyText"/>
        <w:numPr>
          <w:ilvl w:val="0"/>
          <w:numId w:val="3"/>
        </w:numPr>
        <w:tabs>
          <w:tab w:val="clear" w:pos="709"/>
          <w:tab w:val="left" w:pos="709" w:leader="none"/>
        </w:tabs>
        <w:bidi w:val="0"/>
        <w:ind w:hanging="283" w:start="709"/>
        <w:jc w:val="start"/>
        <w:rPr/>
      </w:pPr>
      <w:r>
        <w:rPr>
          <w:rStyle w:val="Strong"/>
        </w:rPr>
        <w:t>Penalties/Consequences:</w:t>
      </w:r>
      <w:r>
        <w:rPr/>
        <w:t xml:space="preserve"> </w:t>
      </w:r>
      <w:r>
        <w:rPr>
          <w:rStyle w:val="Strong"/>
        </w:rPr>
        <w:t>Failing to serve the NTO on time is an absolute bar to a lien</w:t>
      </w:r>
      <w:r>
        <w:rPr/>
        <w:t xml:space="preserve"> – it is a </w:t>
      </w:r>
      <w:r>
        <w:rPr>
          <w:rStyle w:val="Strong"/>
        </w:rPr>
        <w:t>complete defense</w:t>
      </w:r>
      <w:r>
        <w:rPr/>
        <w:t xml:space="preserve"> for the owner if a lienor who was required to give notice did not do so within 45 days</w:t>
      </w:r>
      <w:hyperlink r:id="rId37" w:anchor=":~:text=commencing%2C%20or%20not%20later%20than,The%20serving%20of%20the" w:tgtFrame="_blank">
        <w:r>
          <w:rPr>
            <w:rStyle w:val="Hyperlink"/>
          </w:rPr>
          <w:t>flsenate.gov</w:t>
        </w:r>
      </w:hyperlink>
      <w:r>
        <w:rPr/>
        <w:t>. There is no excuse for missing the deadline; even good-faith mistakes in timing result in loss of lien rights (the law strictly requires compliance with timing)</w:t>
      </w:r>
      <w:hyperlink r:id="rId38" w:anchor=":~:text=,a" w:tgtFrame="_blank">
        <w:r>
          <w:rPr>
            <w:rStyle w:val="Hyperlink"/>
          </w:rPr>
          <w:t>flsenate.gov</w:t>
        </w:r>
      </w:hyperlink>
      <w:r>
        <w:rPr/>
        <w:t>. Content errors that don’t mislead (e.g. minor mistakes in the property description) may be forgiven if no one is adversely affected</w:t>
      </w:r>
      <w:hyperlink r:id="rId39" w:anchor=":~:text=,a" w:tgtFrame="_blank">
        <w:r>
          <w:rPr>
            <w:rStyle w:val="Hyperlink"/>
          </w:rPr>
          <w:t>flsenate.gov</w:t>
        </w:r>
      </w:hyperlink>
      <w:r>
        <w:rPr/>
        <w:t xml:space="preserve">, but omission of the </w:t>
      </w:r>
      <w:r>
        <w:rPr>
          <w:rStyle w:val="Strong"/>
        </w:rPr>
        <w:t>mandatory warning language</w:t>
      </w:r>
      <w:r>
        <w:rPr/>
        <w:t xml:space="preserve"> or failing to include key information could jeopardize the notice’s validity. Moreover, an owner has </w:t>
      </w:r>
      <w:r>
        <w:rPr>
          <w:rStyle w:val="Strong"/>
        </w:rPr>
        <w:t>no obligation to pay lienors who failed to serve an NTO</w:t>
      </w:r>
      <w:r>
        <w:rPr/>
        <w:t>: even if listed in a contractor’s affidavit, if their 45-day notice window lapsed, the owner can exclude them from payment</w:t>
      </w:r>
      <w:hyperlink r:id="rId40" w:anchor=":~:text=4,c%291" w:tgtFrame="_blank">
        <w:r>
          <w:rPr>
            <w:rStyle w:val="Hyperlink"/>
          </w:rPr>
          <w:t>flsenate.gov</w:t>
        </w:r>
      </w:hyperlink>
      <w:r>
        <w:rPr/>
        <w:t xml:space="preserve">. </w:t>
      </w:r>
      <w:r>
        <w:rPr>
          <w:rStyle w:val="Strong"/>
        </w:rPr>
        <w:t>Bottom line:</w:t>
      </w:r>
      <w:r>
        <w:rPr/>
        <w:t xml:space="preserve"> Subs/suppliers who do not timely serve the Notice to Owner forfeit lien rights, and owners can assert improper notice as a defense to paying twice. (Owners should keep copies of all NTOs received; a lender who is served with an NTO must disburse funds consistent with proper payment rules or else be liable to the owner for damages</w:t>
      </w:r>
      <w:hyperlink r:id="rId41" w:anchor=":~:text=renders%20the%20lender%20liable%20to,proper%20payments%20under%20this%20paragraph" w:tgtFrame="_blank">
        <w:r>
          <w:rPr>
            <w:rStyle w:val="Hyperlink"/>
          </w:rPr>
          <w:t>flsenate.gov</w:t>
        </w:r>
      </w:hyperlink>
      <w:hyperlink r:id="rId42" w:anchor=":~:text=,a" w:tgtFrame="_blank">
        <w:r>
          <w:rPr>
            <w:rStyle w:val="Hyperlink"/>
          </w:rPr>
          <w:t>flsenate.gov</w:t>
        </w:r>
      </w:hyperlink>
      <w:r>
        <w:rPr/>
        <w:t>.)</w:t>
      </w:r>
    </w:p>
    <w:p>
      <w:pPr>
        <w:pStyle w:val="Heading3"/>
        <w:bidi w:val="0"/>
        <w:spacing w:lineRule="auto" w:line="276" w:before="0" w:after="140"/>
        <w:jc w:val="start"/>
        <w:rPr/>
      </w:pPr>
      <w:r>
        <w:rPr/>
        <w:t>Contractor’s Final Payment Affidavit – § 713.06(3)(d)</w:t>
      </w:r>
    </w:p>
    <w:p>
      <w:pPr>
        <w:pStyle w:val="BlockQuotation"/>
        <w:bidi w:val="0"/>
        <w:spacing w:lineRule="auto" w:line="276" w:before="0" w:after="140"/>
        <w:jc w:val="start"/>
        <w:rPr/>
      </w:pPr>
      <w:r>
        <w:rPr/>
        <w:t>“</w:t>
      </w:r>
      <w:r>
        <w:rPr/>
        <w:t xml:space="preserve">When the final payment under a direct contract becomes due, the contractor </w:t>
      </w:r>
      <w:r>
        <w:rPr>
          <w:rStyle w:val="Strong"/>
        </w:rPr>
        <w:t>shall give to the owner a final payment affidavit</w:t>
      </w:r>
      <w:r>
        <w:rPr/>
        <w:t xml:space="preserve"> stating, if that be the fact, that all lienors under his or her direct contract who have timely served a notice to owner have been paid in full or, if not, listing the name of each lienor not paid and the amount due</w:t>
      </w:r>
      <w:hyperlink r:id="rId43" w:anchor=":~:text=,contract%20becomes%20due%20the%20contractor" w:tgtFrame="_blank">
        <w:r>
          <w:rPr>
            <w:rStyle w:val="Hyperlink"/>
          </w:rPr>
          <w:t>flsenate.gov</w:t>
        </w:r>
      </w:hyperlink>
      <w:hyperlink r:id="rId44" w:anchor=":~:text=1,in%20substantially%20the%20following%20form" w:tgtFrame="_blank">
        <w:r>
          <w:rPr>
            <w:rStyle w:val="Hyperlink"/>
          </w:rPr>
          <w:t>flsenate.gov</w:t>
        </w:r>
      </w:hyperlink>
      <w:r>
        <w:rPr/>
        <w:t xml:space="preserve">… The contractor shall have no lien or right of action against the owner for labor, services, or materials while in default of not giving the affidavit; however, a negligent inclusion or omission that has not prejudiced the owner does not defeat an otherwise valid lien. The contractor </w:t>
      </w:r>
      <w:r>
        <w:rPr>
          <w:rStyle w:val="Strong"/>
        </w:rPr>
        <w:t>must execute and deliver the affidavit to the owner at least 5 days before filing an action to enforce the lien</w:t>
      </w:r>
      <w:hyperlink r:id="rId45" w:anchor=":~:text=The%20contractor%20shall%20have%20no,terminated%20for%20a%20reason%20other" w:tgtFrame="_blank">
        <w:r>
          <w:rPr>
            <w:rStyle w:val="Hyperlink"/>
          </w:rPr>
          <w:t>flsenate.gov</w:t>
        </w:r>
      </w:hyperlink>
      <w:r>
        <w:rPr/>
        <w:t xml:space="preserve">… </w:t>
      </w:r>
      <w:r>
        <w:rPr>
          <w:rStyle w:val="Strong"/>
        </w:rPr>
        <w:t>If the owner pays without obtaining the affidavit, the property shall be subject to the full amount of all valid liens of which the owner has notice</w:t>
      </w:r>
      <w:r>
        <w:rPr/>
        <w:t xml:space="preserve"> at the time the contractor furnished the affidavit</w:t>
      </w:r>
      <w:hyperlink r:id="rId46" w:anchor=":~:text=6,furnishes%20his%20or%20her%20affidavit" w:tgtFrame="_blank">
        <w:r>
          <w:rPr>
            <w:rStyle w:val="Hyperlink"/>
          </w:rPr>
          <w:t>flsenate.gov</w:t>
        </w:r>
      </w:hyperlink>
      <w:r>
        <w:rPr/>
        <w:t>.”</w:t>
      </w:r>
    </w:p>
    <w:p>
      <w:pPr>
        <w:pStyle w:val="BodyText"/>
        <w:numPr>
          <w:ilvl w:val="0"/>
          <w:numId w:val="4"/>
        </w:numPr>
        <w:tabs>
          <w:tab w:val="clear" w:pos="709"/>
          <w:tab w:val="left" w:pos="709" w:leader="none"/>
        </w:tabs>
        <w:bidi w:val="0"/>
        <w:ind w:hanging="283" w:start="709"/>
        <w:jc w:val="start"/>
        <w:rPr/>
      </w:pPr>
      <w:r>
        <w:rPr>
          <w:rStyle w:val="Strong"/>
        </w:rPr>
        <w:t>Trigger Events:</w:t>
      </w:r>
      <w:r>
        <w:rPr/>
        <w:t xml:space="preserve"> </w:t>
      </w:r>
      <w:r>
        <w:rPr>
          <w:rStyle w:val="Strong"/>
        </w:rPr>
        <w:t>Final payment</w:t>
      </w:r>
      <w:r>
        <w:rPr/>
        <w:t xml:space="preserve">: Before the owner makes the </w:t>
      </w:r>
      <w:r>
        <w:rPr>
          <w:rStyle w:val="Strong"/>
        </w:rPr>
        <w:t>final payment to the contractor</w:t>
      </w:r>
      <w:r>
        <w:rPr/>
        <w:t xml:space="preserve">, and as a </w:t>
      </w:r>
      <w:r>
        <w:rPr>
          <w:rStyle w:val="Strong"/>
        </w:rPr>
        <w:t>condition precedent to the contractor enforcing any lien rights</w:t>
      </w:r>
      <w:r>
        <w:rPr/>
        <w:t xml:space="preserve">, the contractor </w:t>
      </w:r>
      <w:r>
        <w:rPr>
          <w:rStyle w:val="Strong"/>
        </w:rPr>
        <w:t>must furnish a Final Payment Affidavit</w:t>
      </w:r>
      <w:r>
        <w:rPr/>
        <w:t xml:space="preserve"> to the owner</w:t>
      </w:r>
      <w:hyperlink r:id="rId47" w:anchor=":~:text=,contract%20becomes%20due%20the%20contractor" w:tgtFrame="_blank">
        <w:r>
          <w:rPr>
            <w:rStyle w:val="Hyperlink"/>
          </w:rPr>
          <w:t>flsenate.gov</w:t>
        </w:r>
      </w:hyperlink>
      <w:r>
        <w:rPr/>
        <w:t xml:space="preserve">. This affidavit is typically given </w:t>
      </w:r>
      <w:r>
        <w:rPr>
          <w:rStyle w:val="Emphasis"/>
        </w:rPr>
        <w:t>when the contractor requests final payment</w:t>
      </w:r>
      <w:r>
        <w:rPr/>
        <w:t xml:space="preserve"> (or when the project is terminated early before completion)</w:t>
      </w:r>
      <w:hyperlink r:id="rId48" w:anchor=":~:text=5,d%291" w:tgtFrame="_blank">
        <w:r>
          <w:rPr>
            <w:rStyle w:val="Hyperlink"/>
          </w:rPr>
          <w:t>flsenate.gov</w:t>
        </w:r>
      </w:hyperlink>
      <w:r>
        <w:rPr/>
        <w:t xml:space="preserve">. Even if the final payment isn’t yet due (e.g. project not finished due to termination), the contractor must give this affidavit at least 5 days </w:t>
      </w:r>
      <w:r>
        <w:rPr>
          <w:rStyle w:val="Strong"/>
        </w:rPr>
        <w:t>before filing any lien foreclosure lawsuit</w:t>
      </w:r>
      <w:hyperlink r:id="rId49" w:anchor=":~:text=The%20contractor%20shall%20have%20no,terminated%20for%20a%20reason%20other" w:tgtFrame="_blank">
        <w:r>
          <w:rPr>
            <w:rStyle w:val="Hyperlink"/>
          </w:rPr>
          <w:t>flsenate.gov</w:t>
        </w:r>
      </w:hyperlink>
      <w:r>
        <w:rPr/>
        <w:t>. (Best practice is to always provide it upon project completion or termination, well before any litigation, to allow the owner to see any outstanding bills.)</w:t>
      </w:r>
    </w:p>
    <w:p>
      <w:pPr>
        <w:pStyle w:val="BodyText"/>
        <w:numPr>
          <w:ilvl w:val="0"/>
          <w:numId w:val="4"/>
        </w:numPr>
        <w:tabs>
          <w:tab w:val="clear" w:pos="709"/>
          <w:tab w:val="left" w:pos="709" w:leader="none"/>
        </w:tabs>
        <w:bidi w:val="0"/>
        <w:ind w:hanging="283" w:start="709"/>
        <w:jc w:val="start"/>
        <w:rPr/>
      </w:pPr>
      <w:r>
        <w:rPr>
          <w:rStyle w:val="Strong"/>
        </w:rPr>
        <w:t>Required Content &amp; Formatting:</w:t>
      </w:r>
      <w:r>
        <w:rPr/>
        <w:t xml:space="preserve"> The affidavit must be a </w:t>
      </w:r>
      <w:r>
        <w:rPr>
          <w:rStyle w:val="Strong"/>
        </w:rPr>
        <w:t>sworn statement listing all unpaid lienors (subs/suppliers) who have served NTOs</w:t>
      </w:r>
      <w:r>
        <w:rPr/>
        <w:t xml:space="preserve"> and remain unpaid, with the amounts due to each</w:t>
      </w:r>
      <w:hyperlink r:id="rId50" w:anchor=":~:text=1,in%20substantially%20the%20following%20form" w:tgtFrame="_blank">
        <w:r>
          <w:rPr>
            <w:rStyle w:val="Hyperlink"/>
          </w:rPr>
          <w:t>flsenate.gov</w:t>
        </w:r>
      </w:hyperlink>
      <w:hyperlink r:id="rId51" w:anchor=":~:text=4,except%20the%20following%20listed%20lienors" w:tgtFrame="_blank">
        <w:r>
          <w:rPr>
            <w:rStyle w:val="Hyperlink"/>
          </w:rPr>
          <w:t>flsenate.gov</w:t>
        </w:r>
      </w:hyperlink>
      <w:r>
        <w:rPr/>
        <w:t xml:space="preserve">. If everyone is paid in full, the affidavit states that. Florida’s statute provides a </w:t>
      </w:r>
      <w:r>
        <w:rPr>
          <w:rStyle w:val="Strong"/>
        </w:rPr>
        <w:t>template form titled “Contractor’s Final Payment Affidavit”</w:t>
      </w:r>
      <w:r>
        <w:rPr/>
        <w:t xml:space="preserve"> including: the contractor’s information, a reference to the direct contract, a statement that all work is complete, and a table to list any unpaid lienors and amounts</w:t>
      </w:r>
      <w:hyperlink r:id="rId52" w:anchor=":~:text=CONTRACTOR%E2%80%99S%20FINAL%20PAYMENT%20AFFIDAVIT" w:tgtFrame="_blank">
        <w:r>
          <w:rPr>
            <w:rStyle w:val="Hyperlink"/>
          </w:rPr>
          <w:t>flsenate.gov</w:t>
        </w:r>
      </w:hyperlink>
      <w:hyperlink r:id="rId53" w:anchor=":~:text=4,except%20the%20following%20listed%20lienors" w:tgtFrame="_blank">
        <w:r>
          <w:rPr>
            <w:rStyle w:val="Hyperlink"/>
          </w:rPr>
          <w:t>flsenate.gov</w:t>
        </w:r>
      </w:hyperlink>
      <w:r>
        <w:rPr/>
        <w:t xml:space="preserve">. It must be </w:t>
      </w:r>
      <w:r>
        <w:rPr>
          <w:rStyle w:val="Strong"/>
        </w:rPr>
        <w:t>signed and notarized</w:t>
      </w:r>
      <w:r>
        <w:rPr/>
        <w:t xml:space="preserve"> by the contractor or an officer of the contractor’s company</w:t>
      </w:r>
      <w:hyperlink r:id="rId54" w:anchor=":~:text=Before%20me%2C%20the%20undersigned%20authority%2C,her%20personal%20knowledge%20the%20following" w:tgtFrame="_blank">
        <w:r>
          <w:rPr>
            <w:rStyle w:val="Hyperlink"/>
          </w:rPr>
          <w:t>flsenate.gov</w:t>
        </w:r>
      </w:hyperlink>
      <w:hyperlink r:id="rId55" w:anchor=":~:text=" w:tgtFrame="_blank">
        <w:r>
          <w:rPr>
            <w:rStyle w:val="Hyperlink"/>
          </w:rPr>
          <w:t>flsenate.gov</w:t>
        </w:r>
      </w:hyperlink>
      <w:r>
        <w:rPr/>
        <w:t xml:space="preserve">. (Interim/Progress Payment Affidavits: While not explicitly required by statute, </w:t>
      </w:r>
      <w:r>
        <w:rPr>
          <w:rStyle w:val="Strong"/>
        </w:rPr>
        <w:t>owners may contractually require a contractor’s affidavit with each progress payment</w:t>
      </w:r>
      <w:r>
        <w:rPr/>
        <w:t xml:space="preserve"> listing who has been paid to date</w:t>
      </w:r>
      <w:hyperlink r:id="rId56" w:anchor=":~:text=except%20the%20final%20payment%3A" w:tgtFrame="_blank">
        <w:r>
          <w:rPr>
            <w:rStyle w:val="Hyperlink"/>
          </w:rPr>
          <w:t>flsenate.gov</w:t>
        </w:r>
      </w:hyperlink>
      <w:r>
        <w:rPr/>
        <w:t>. In such cases, the content is similar – listing any unpaid bills up to that draw. These interim affidavits, or partial lien waivers, are a best practice to keep everyone informed and ensure proper use of funds.)</w:t>
      </w:r>
    </w:p>
    <w:p>
      <w:pPr>
        <w:pStyle w:val="BodyText"/>
        <w:numPr>
          <w:ilvl w:val="0"/>
          <w:numId w:val="4"/>
        </w:numPr>
        <w:tabs>
          <w:tab w:val="clear" w:pos="709"/>
          <w:tab w:val="left" w:pos="709" w:leader="none"/>
        </w:tabs>
        <w:bidi w:val="0"/>
        <w:ind w:hanging="283" w:start="709"/>
        <w:jc w:val="start"/>
        <w:rPr/>
      </w:pPr>
      <w:r>
        <w:rPr>
          <w:rStyle w:val="Strong"/>
        </w:rPr>
        <w:t>Penalties/Consequences:</w:t>
      </w:r>
      <w:r>
        <w:rPr/>
        <w:t xml:space="preserve"> A contractor who </w:t>
      </w:r>
      <w:r>
        <w:rPr>
          <w:rStyle w:val="Strong"/>
        </w:rPr>
        <w:t>fails to give the final affidavit has no lien rights or right to sue</w:t>
      </w:r>
      <w:r>
        <w:rPr/>
        <w:t xml:space="preserve"> the owner for payment until it is provided</w:t>
      </w:r>
      <w:hyperlink r:id="rId57" w:anchor=":~:text=The%20contractor%20shall%20have%20no,terminated%20for%20a%20reason%20other" w:tgtFrame="_blank">
        <w:r>
          <w:rPr>
            <w:rStyle w:val="Hyperlink"/>
          </w:rPr>
          <w:t>flsenate.gov</w:t>
        </w:r>
      </w:hyperlink>
      <w:r>
        <w:rPr/>
        <w:t xml:space="preserve">. In fact, the contractor is in default under the lien law if they don’t furnish the affidavit, </w:t>
      </w:r>
      <w:r>
        <w:rPr>
          <w:rStyle w:val="Strong"/>
        </w:rPr>
        <w:t>blocking any lien enforcement</w:t>
      </w:r>
      <w:r>
        <w:rPr/>
        <w:t xml:space="preserve"> action until cured. If the affidavit is never given, the contractor’s lien claim can be defeated in court. Additionally, </w:t>
      </w:r>
      <w:r>
        <w:rPr>
          <w:rStyle w:val="Strong"/>
        </w:rPr>
        <w:t>if an owner pays the final balance to the contractor without first obtaining the affidavit</w:t>
      </w:r>
      <w:r>
        <w:rPr/>
        <w:t xml:space="preserve">, the law </w:t>
      </w:r>
      <w:r>
        <w:rPr>
          <w:rStyle w:val="Strong"/>
        </w:rPr>
        <w:t>subjects the property to the liens of any subs who are owed money and gave proper notice</w:t>
      </w:r>
      <w:r>
        <w:rPr/>
        <w:t xml:space="preserve"> (even if the owner already paid the contractor)</w:t>
      </w:r>
      <w:hyperlink r:id="rId58" w:anchor=":~:text=6,furnishes%20his%20or%20her%20affidavit" w:tgtFrame="_blank">
        <w:r>
          <w:rPr>
            <w:rStyle w:val="Hyperlink"/>
          </w:rPr>
          <w:t>flsenate.gov</w:t>
        </w:r>
      </w:hyperlink>
      <w:r>
        <w:rPr/>
        <w:t xml:space="preserve">. In other words, the owner loses the protection against undisclosed liens – an owner who pays without the affidavit essentially “pays at their own risk.” Conversely, if the owner </w:t>
      </w:r>
      <w:r>
        <w:rPr>
          <w:rStyle w:val="Emphasis"/>
        </w:rPr>
        <w:t>does</w:t>
      </w:r>
      <w:r>
        <w:rPr/>
        <w:t xml:space="preserve"> obtain the affidavit, the owner </w:t>
      </w:r>
      <w:r>
        <w:rPr>
          <w:rStyle w:val="Strong"/>
        </w:rPr>
        <w:t>has the right to rely on it</w:t>
      </w:r>
      <w:r>
        <w:rPr/>
        <w:t xml:space="preserve"> when disbursing final payment</w:t>
      </w:r>
      <w:hyperlink r:id="rId59" w:anchor=":~:text=4,be%20due%20to%20the%20contractor" w:tgtFrame="_blank">
        <w:r>
          <w:rPr>
            <w:rStyle w:val="Hyperlink"/>
          </w:rPr>
          <w:t>flsenate.gov</w:t>
        </w:r>
      </w:hyperlink>
      <w:r>
        <w:rPr/>
        <w:t>. If lienors are later found who were not listed but had given notice, the owner should pay them (and can deduct or withhold that from the contractor)</w:t>
      </w:r>
      <w:hyperlink r:id="rId60" w:anchor=":~:text=4,be%20due%20to%20the%20contractor" w:tgtFrame="_blank">
        <w:r>
          <w:rPr>
            <w:rStyle w:val="Hyperlink"/>
          </w:rPr>
          <w:t>flsenate.gov</w:t>
        </w:r>
      </w:hyperlink>
      <w:r>
        <w:rPr/>
        <w:t xml:space="preserve">. The law also allows the owner, upon receiving an affidavit that lists unpaid bills, to </w:t>
      </w:r>
      <w:r>
        <w:rPr>
          <w:rStyle w:val="Strong"/>
        </w:rPr>
        <w:t>withhold final funds and directly pay those listed subcontractors/suppliers</w:t>
      </w:r>
      <w:r>
        <w:rPr/>
        <w:t xml:space="preserve"> after giving the contractor a 10-day notice</w:t>
      </w:r>
      <w:hyperlink r:id="rId61" w:anchor=":~:text=2,or%20by%20any%20other%20person" w:tgtFrame="_blank">
        <w:r>
          <w:rPr>
            <w:rStyle w:val="Hyperlink"/>
          </w:rPr>
          <w:t>flsenate.gov</w:t>
        </w:r>
      </w:hyperlink>
      <w:r>
        <w:rPr/>
        <w:t xml:space="preserve">. Ultimately, non-compliance by the contractor (e.g. not providing the affidavit or providing a false affidavit) can lead to loss of lien rights. </w:t>
      </w:r>
      <w:r>
        <w:rPr>
          <w:rStyle w:val="Strong"/>
        </w:rPr>
        <w:t>Minor errors or omissions in the affidavit will not invalidate the contractor’s lien if the owner wasn’t prejudiced</w:t>
      </w:r>
      <w:hyperlink r:id="rId62" w:anchor=":~:text=The%20contractor%20shall%20have%20no,terminated%20for%20a%20reason%20other" w:tgtFrame="_blank">
        <w:r>
          <w:rPr>
            <w:rStyle w:val="Hyperlink"/>
          </w:rPr>
          <w:t>flsenate.gov</w:t>
        </w:r>
      </w:hyperlink>
      <w:r>
        <w:rPr/>
        <w:t>, but any willful false statements could expose the contractor to fraud allegations.</w:t>
      </w:r>
    </w:p>
    <w:p>
      <w:pPr>
        <w:pStyle w:val="Heading3"/>
        <w:bidi w:val="0"/>
        <w:spacing w:lineRule="auto" w:line="276" w:before="0" w:after="140"/>
        <w:jc w:val="start"/>
        <w:rPr/>
      </w:pPr>
      <w:r>
        <w:rPr/>
        <w:t>Notice of Termination of Notice of Commencement – § 713.132</w:t>
      </w:r>
    </w:p>
    <w:p>
      <w:pPr>
        <w:pStyle w:val="BlockQuotation"/>
        <w:bidi w:val="0"/>
        <w:spacing w:lineRule="auto" w:line="276" w:before="0" w:after="140"/>
        <w:jc w:val="start"/>
        <w:rPr/>
      </w:pPr>
      <w:r>
        <w:rPr/>
        <w:t>“</w:t>
      </w:r>
      <w:r>
        <w:rPr/>
        <w:t xml:space="preserve">An owner may terminate the period of effectiveness of a notice of commencement by executing, swearing to, and recording a </w:t>
      </w:r>
      <w:r>
        <w:rPr>
          <w:rStyle w:val="Strong"/>
        </w:rPr>
        <w:t>Notice of Termination</w:t>
      </w:r>
      <w:r>
        <w:rPr/>
        <w:t xml:space="preserve"> that contains: (a) the same information as the notice of commencement; (b) the recording office’s reference number and recording date of the NOC; (c) a termination date (not earlier than 30 days after recording the notice); (d) whether it applies to all or part of the property; (e) a statement that </w:t>
      </w:r>
      <w:r>
        <w:rPr>
          <w:rStyle w:val="Strong"/>
        </w:rPr>
        <w:t>all lienors have been paid in full</w:t>
      </w:r>
      <w:r>
        <w:rPr/>
        <w:t xml:space="preserve">; and (f) a statement that the owner, </w:t>
      </w:r>
      <w:r>
        <w:rPr>
          <w:rStyle w:val="Strong"/>
        </w:rPr>
        <w:t>before recording</w:t>
      </w:r>
      <w:r>
        <w:rPr/>
        <w:t>, has served a copy of this notice on each lienor who has a direct contract with the owner and on each lienor who timely served a notice to owner, and that the owner will serve a copy on any lienor who timely serves a notice to owner after recording. (No service is required to lienors who executed a final lien waiver)</w:t>
      </w:r>
      <w:hyperlink r:id="rId63" w:anchor=":~:text=,have%20been%20paid%20in%20full" w:tgtFrame="_blank">
        <w:r>
          <w:rPr>
            <w:rStyle w:val="Hyperlink"/>
          </w:rPr>
          <w:t>flsenate.gov</w:t>
        </w:r>
      </w:hyperlink>
      <w:hyperlink r:id="rId64" w:anchor=":~:text=,in%20the%20notice%20of%20commencement" w:tgtFrame="_blank">
        <w:r>
          <w:rPr>
            <w:rStyle w:val="Hyperlink"/>
          </w:rPr>
          <w:t>flsenate.gov</w:t>
        </w:r>
      </w:hyperlink>
      <w:r>
        <w:rPr/>
        <w:t>.</w:t>
      </w:r>
    </w:p>
    <w:p>
      <w:pPr>
        <w:pStyle w:val="BlockQuotation"/>
        <w:bidi w:val="0"/>
        <w:spacing w:lineRule="auto" w:line="276" w:before="0" w:after="140"/>
        <w:jc w:val="start"/>
        <w:rPr/>
      </w:pPr>
      <w:r>
        <w:rPr/>
        <w:t xml:space="preserve">The notice of termination </w:t>
      </w:r>
      <w:r>
        <w:rPr>
          <w:rStyle w:val="Strong"/>
        </w:rPr>
        <w:t>must be accompanied by the contractor’s final payment affidavit</w:t>
      </w:r>
      <w:r>
        <w:rPr/>
        <w:t xml:space="preserve"> (or a statement that no final affidavit is required)</w:t>
      </w:r>
      <w:hyperlink r:id="rId65" w:anchor=":~:text=,accompanied%20by%20the%20contractor%E2%80%99s%20affidavit" w:tgtFrame="_blank">
        <w:r>
          <w:rPr>
            <w:rStyle w:val="Hyperlink"/>
          </w:rPr>
          <w:t>flsenate.gov</w:t>
        </w:r>
      </w:hyperlink>
      <w:r>
        <w:rPr/>
        <w:t xml:space="preserve">. If properly served before recording, the notice of termination </w:t>
      </w:r>
      <w:r>
        <w:rPr>
          <w:rStyle w:val="Strong"/>
        </w:rPr>
        <w:t>terminates the notice of commencement</w:t>
      </w:r>
      <w:r>
        <w:rPr/>
        <w:t xml:space="preserve"> 30 days after recording (or on a later date stated in the notice)</w:t>
      </w:r>
      <w:hyperlink r:id="rId66" w:anchor=":~:text=,termination%20as%20the%20date%20on" w:tgtFrame="_blank">
        <w:r>
          <w:rPr>
            <w:rStyle w:val="Hyperlink"/>
          </w:rPr>
          <w:t>flsenate.gov</w:t>
        </w:r>
      </w:hyperlink>
      <w:r>
        <w:rPr/>
        <w:t xml:space="preserve">. However, if a lienor without direct contract began work before termination and later serves an NTO, the owner must serve that lienor with the notice of termination, and for that lienor the NOC will terminate 30 days after </w:t>
      </w:r>
      <w:r>
        <w:rPr>
          <w:rStyle w:val="Strong"/>
        </w:rPr>
        <w:t>service</w:t>
      </w:r>
      <w:r>
        <w:rPr/>
        <w:t xml:space="preserve"> of the notice of termination</w:t>
      </w:r>
      <w:hyperlink r:id="rId67" w:anchor=":~:text=which%20the%20notice%20of%20commencement,of%20the%20notice%20of%20termination" w:tgtFrame="_blank">
        <w:r>
          <w:rPr>
            <w:rStyle w:val="Hyperlink"/>
          </w:rPr>
          <w:t>flsenate.gov</w:t>
        </w:r>
      </w:hyperlink>
      <w:r>
        <w:rPr/>
        <w:t xml:space="preserve">. </w:t>
      </w:r>
      <w:r>
        <w:rPr>
          <w:rStyle w:val="Strong"/>
        </w:rPr>
        <w:t>If the owner or contractor fraudulently makes any false statement in the notice of termination or affidavit, they are liable to any lienor damaged by the fraudulent notice</w:t>
      </w:r>
      <w:hyperlink r:id="rId68" w:anchor=":~:text=,right%20of%20action%20for%20damages" w:tgtFrame="_blank">
        <w:r>
          <w:rPr>
            <w:rStyle w:val="Hyperlink"/>
          </w:rPr>
          <w:t>flsenate.gov</w:t>
        </w:r>
      </w:hyperlink>
      <w:r>
        <w:rPr/>
        <w:t>.”</w:t>
      </w:r>
    </w:p>
    <w:p>
      <w:pPr>
        <w:pStyle w:val="BodyText"/>
        <w:numPr>
          <w:ilvl w:val="0"/>
          <w:numId w:val="5"/>
        </w:numPr>
        <w:tabs>
          <w:tab w:val="clear" w:pos="709"/>
          <w:tab w:val="left" w:pos="709" w:leader="none"/>
        </w:tabs>
        <w:bidi w:val="0"/>
        <w:ind w:hanging="283" w:start="709"/>
        <w:jc w:val="start"/>
        <w:rPr/>
      </w:pPr>
      <w:r>
        <w:rPr>
          <w:rStyle w:val="Strong"/>
        </w:rPr>
        <w:t>Trigger Events:</w:t>
      </w:r>
      <w:r>
        <w:rPr/>
        <w:t xml:space="preserve"> An owner may </w:t>
      </w:r>
      <w:r>
        <w:rPr>
          <w:rStyle w:val="Strong"/>
        </w:rPr>
        <w:t>record a Notice of Termination</w:t>
      </w:r>
      <w:r>
        <w:rPr/>
        <w:t xml:space="preserve"> of the NOC </w:t>
      </w:r>
      <w:r>
        <w:rPr>
          <w:rStyle w:val="Strong"/>
        </w:rPr>
        <w:t>once the project is complete or all lienors have been paid</w:t>
      </w:r>
      <w:r>
        <w:rPr/>
        <w:t xml:space="preserve"> in full (or appropriately pro-rated)</w:t>
      </w:r>
      <w:hyperlink r:id="rId69" w:anchor=":~:text=contractor%E2%80%99s%20affidavit" w:tgtFrame="_blank">
        <w:r>
          <w:rPr>
            <w:rStyle w:val="Hyperlink"/>
          </w:rPr>
          <w:t>flsenate.gov</w:t>
        </w:r>
      </w:hyperlink>
      <w:r>
        <w:rPr/>
        <w:t xml:space="preserve">. In practice, this is used to cut off the duration of a Notice of Commencement before its normal expiration. </w:t>
      </w:r>
      <w:r>
        <w:rPr>
          <w:rStyle w:val="Strong"/>
        </w:rPr>
        <w:t>All lienors must be paid (or properly provided for) before terminating</w:t>
      </w:r>
      <w:r>
        <w:rPr/>
        <w:t xml:space="preserve"> the NOC</w:t>
      </w:r>
      <w:hyperlink r:id="rId70" w:anchor=":~:text=,have%20been%20paid%20in%20full" w:tgtFrame="_blank">
        <w:r>
          <w:rPr>
            <w:rStyle w:val="Hyperlink"/>
          </w:rPr>
          <w:t>flsenate.gov</w:t>
        </w:r>
      </w:hyperlink>
      <w:r>
        <w:rPr/>
        <w:t>. The owner can choose to terminate the NOC when the job is finished and all bills paid, rather than waiting for the NOC’s 1-year default expiration. This often happens at project close-out or if the project is abandoned or terminated early.</w:t>
      </w:r>
    </w:p>
    <w:p>
      <w:pPr>
        <w:pStyle w:val="BodyText"/>
        <w:numPr>
          <w:ilvl w:val="0"/>
          <w:numId w:val="5"/>
        </w:numPr>
        <w:tabs>
          <w:tab w:val="clear" w:pos="709"/>
          <w:tab w:val="left" w:pos="709" w:leader="none"/>
        </w:tabs>
        <w:bidi w:val="0"/>
        <w:ind w:hanging="283" w:start="709"/>
        <w:jc w:val="start"/>
        <w:rPr/>
      </w:pPr>
      <w:r>
        <w:rPr>
          <w:rStyle w:val="Strong"/>
        </w:rPr>
        <w:t>Required Content &amp; Formatting:</w:t>
      </w:r>
      <w:r>
        <w:rPr/>
        <w:t xml:space="preserve"> The Notice of Termination must be </w:t>
      </w:r>
      <w:r>
        <w:rPr>
          <w:rStyle w:val="Strong"/>
        </w:rPr>
        <w:t>signed and sworn by the owner</w:t>
      </w:r>
      <w:r>
        <w:rPr/>
        <w:t xml:space="preserve"> and must repeat all the key details from the original NOC (property description, parties, etc.)</w:t>
      </w:r>
      <w:hyperlink r:id="rId71" w:anchor=":~:text=,contains%20all%20of%20the%20following" w:tgtFrame="_blank">
        <w:r>
          <w:rPr>
            <w:rStyle w:val="Hyperlink"/>
          </w:rPr>
          <w:t>flsenate.gov</w:t>
        </w:r>
      </w:hyperlink>
      <w:r>
        <w:rPr/>
        <w:t>. It must reference the original NOC’s recording information (book/page or instrument # and date)</w:t>
      </w:r>
      <w:hyperlink r:id="rId72" w:anchor=":~:text=,in%20the%20notice%20of%20commencement" w:tgtFrame="_blank">
        <w:r>
          <w:rPr>
            <w:rStyle w:val="Hyperlink"/>
          </w:rPr>
          <w:t>flsenate.gov</w:t>
        </w:r>
      </w:hyperlink>
      <w:r>
        <w:rPr/>
        <w:t xml:space="preserve">. Crucially, it must state an </w:t>
      </w:r>
      <w:r>
        <w:rPr>
          <w:rStyle w:val="Strong"/>
        </w:rPr>
        <w:t>effective termination date</w:t>
      </w:r>
      <w:r>
        <w:rPr/>
        <w:t xml:space="preserve"> that is </w:t>
      </w:r>
      <w:r>
        <w:rPr>
          <w:rStyle w:val="Strong"/>
        </w:rPr>
        <w:t>at least 30 days after the notice is recorded</w:t>
      </w:r>
      <w:r>
        <w:rPr/>
        <w:t xml:space="preserve"> (you cannot terminate a NOC immediately; a minimum 30-day cushion is required)</w:t>
      </w:r>
      <w:hyperlink r:id="rId73" w:anchor=":~:text=,notice%20of%20termination%20is%20recorded" w:tgtFrame="_blank">
        <w:r>
          <w:rPr>
            <w:rStyle w:val="Hyperlink"/>
          </w:rPr>
          <w:t>flsenate.gov</w:t>
        </w:r>
      </w:hyperlink>
      <w:r>
        <w:rPr/>
        <w:t>. The notice must specify whether it covers the entire property or just a portion thereof (for partial terminations)</w:t>
      </w:r>
      <w:hyperlink r:id="rId74" w:anchor=":~:text=,property%20to%20which%20it%20applies" w:tgtFrame="_blank">
        <w:r>
          <w:rPr>
            <w:rStyle w:val="Hyperlink"/>
          </w:rPr>
          <w:t>flsenate.gov</w:t>
        </w:r>
      </w:hyperlink>
      <w:r>
        <w:rPr/>
        <w:t xml:space="preserve">. It must declare that </w:t>
      </w:r>
      <w:r>
        <w:rPr>
          <w:rStyle w:val="Strong"/>
        </w:rPr>
        <w:t>all lienors have been paid in full</w:t>
      </w:r>
      <w:r>
        <w:rPr/>
        <w:t xml:space="preserve"> (or by prorated distribution under §713.06(4))</w:t>
      </w:r>
      <w:hyperlink r:id="rId75" w:anchor=":~:text=,have%20been%20paid%20in%20full" w:tgtFrame="_blank">
        <w:r>
          <w:rPr>
            <w:rStyle w:val="Hyperlink"/>
          </w:rPr>
          <w:t>flsenate.gov</w:t>
        </w:r>
      </w:hyperlink>
      <w:r>
        <w:rPr/>
        <w:t xml:space="preserve">. It also must state that </w:t>
      </w:r>
      <w:r>
        <w:rPr>
          <w:rStyle w:val="Strong"/>
        </w:rPr>
        <w:t>the owner has served a copy of this Notice of Termination on every lienor</w:t>
      </w:r>
      <w:r>
        <w:rPr/>
        <w:t xml:space="preserve"> who has a direct contract or who timely served an NTO </w:t>
      </w:r>
      <w:r>
        <w:rPr>
          <w:rStyle w:val="Strong"/>
        </w:rPr>
        <w:t>before</w:t>
      </w:r>
      <w:r>
        <w:rPr/>
        <w:t xml:space="preserve"> recording the notice, and that the owner will likewise serve any lienor who serves a late NTO after recording</w:t>
      </w:r>
      <w:hyperlink r:id="rId76" w:anchor=":~:text=,20" w:tgtFrame="_blank">
        <w:r>
          <w:rPr>
            <w:rStyle w:val="Hyperlink"/>
          </w:rPr>
          <w:t>flsenate.gov</w:t>
        </w:r>
      </w:hyperlink>
      <w:r>
        <w:rPr/>
        <w:t xml:space="preserve">. (Service of the notice should be done by the same methods under §713.18 – e.g. certified mail, etc.) The </w:t>
      </w:r>
      <w:r>
        <w:rPr>
          <w:rStyle w:val="Strong"/>
        </w:rPr>
        <w:t>owner must attach or include the general contractor’s Final Payment Affidavit</w:t>
      </w:r>
      <w:r>
        <w:rPr/>
        <w:t xml:space="preserve"> (if there was a contractor) to the Notice of Termination</w:t>
      </w:r>
      <w:hyperlink r:id="rId77" w:anchor=":~:text=,accompanied%20by%20the%20contractor%E2%80%99s%20affidavit" w:tgtFrame="_blank">
        <w:r>
          <w:rPr>
            <w:rStyle w:val="Hyperlink"/>
          </w:rPr>
          <w:t>flsenate.gov</w:t>
        </w:r>
      </w:hyperlink>
      <w:r>
        <w:rPr/>
        <w:t>, since this affidavit shows all lienors are paid or listed for payment – effectively, the final affidavit is required to legitimize the termination. The Notice of Termination is recorded in the county records just like the NOC.</w:t>
      </w:r>
    </w:p>
    <w:p>
      <w:pPr>
        <w:pStyle w:val="BodyText"/>
        <w:numPr>
          <w:ilvl w:val="0"/>
          <w:numId w:val="5"/>
        </w:numPr>
        <w:tabs>
          <w:tab w:val="clear" w:pos="709"/>
          <w:tab w:val="left" w:pos="709" w:leader="none"/>
        </w:tabs>
        <w:bidi w:val="0"/>
        <w:ind w:hanging="283" w:start="709"/>
        <w:jc w:val="start"/>
        <w:rPr/>
      </w:pPr>
      <w:r>
        <w:rPr>
          <w:rStyle w:val="Strong"/>
        </w:rPr>
        <w:t>Penalties/Consequences:</w:t>
      </w:r>
      <w:r>
        <w:rPr/>
        <w:t xml:space="preserve"> If the owner fails to </w:t>
      </w:r>
      <w:r>
        <w:rPr>
          <w:rStyle w:val="Strong"/>
        </w:rPr>
        <w:t>serve copies on all required lienors before recording</w:t>
      </w:r>
      <w:r>
        <w:rPr/>
        <w:t xml:space="preserve"> the notice, the attempted termination is </w:t>
      </w:r>
      <w:r>
        <w:rPr>
          <w:rStyle w:val="Strong"/>
        </w:rPr>
        <w:t>not effective against those lienors</w:t>
      </w:r>
      <w:r>
        <w:rPr/>
        <w:t>. Only a properly served notice will cut off the NOC after 30 days</w:t>
      </w:r>
      <w:hyperlink r:id="rId78" w:anchor=":~:text=,termination%20as%20the%20date%20on" w:tgtFrame="_blank">
        <w:r>
          <w:rPr>
            <w:rStyle w:val="Hyperlink"/>
          </w:rPr>
          <w:t>flsenate.gov</w:t>
        </w:r>
      </w:hyperlink>
      <w:r>
        <w:rPr/>
        <w:t xml:space="preserve">. Lienors who were not served can claim that the NOC remained in effect for them (giving them the full lien period). Moreover, if a subcontractor started work before the termination and later (within 45 days) serves an NTO after the Notice of Termination was recorded, the owner must serve that sub with the Notice of Termination at that time – and for that sub, the NOC termination date is 30 days after </w:t>
      </w:r>
      <w:r>
        <w:rPr>
          <w:rStyle w:val="Emphasis"/>
        </w:rPr>
        <w:t>service</w:t>
      </w:r>
      <w:r>
        <w:rPr/>
        <w:t xml:space="preserve"> to them</w:t>
      </w:r>
      <w:hyperlink r:id="rId79" w:anchor=":~:text=which%20the%20notice%20of%20commencement,of%20the%20notice%20of%20termination" w:tgtFrame="_blank">
        <w:r>
          <w:rPr>
            <w:rStyle w:val="Hyperlink"/>
          </w:rPr>
          <w:t>flsenate.gov</w:t>
        </w:r>
      </w:hyperlink>
      <w:r>
        <w:rPr/>
        <w:t xml:space="preserve">. </w:t>
      </w:r>
      <w:r>
        <w:rPr>
          <w:rStyle w:val="Strong"/>
        </w:rPr>
        <w:t>Failing to serve that sub will keep the NOC effective for that sub’s lien rights</w:t>
      </w:r>
      <w:r>
        <w:rPr/>
        <w:t xml:space="preserve"> until normal expiration. In short, improper service can lead to the NOC still being considered active as to certain lienors, meaning they retain lien rights beyond the 30-day cutoff.</w:t>
      </w:r>
    </w:p>
    <w:p>
      <w:pPr>
        <w:pStyle w:val="BodyText"/>
        <w:bidi w:val="0"/>
        <w:jc w:val="start"/>
        <w:rPr/>
      </w:pPr>
      <w:r>
        <w:rPr/>
        <w:t xml:space="preserve">Furthermore, filing a Notice of Termination </w:t>
      </w:r>
      <w:r>
        <w:rPr>
          <w:rStyle w:val="Strong"/>
        </w:rPr>
        <w:t>before all lienors are paid</w:t>
      </w:r>
      <w:r>
        <w:rPr/>
        <w:t xml:space="preserve"> or without the contractor’s affidavit is dangerous: the law explicitly makes the owner (and contractor) liable for </w:t>
      </w:r>
      <w:r>
        <w:rPr>
          <w:rStyle w:val="Strong"/>
        </w:rPr>
        <w:t>fraudulent notices</w:t>
      </w:r>
      <w:r>
        <w:rPr/>
        <w:t xml:space="preserve"> – if any false statement is made in the notice or accompanying affidavit (e.g. saying “all lienors paid” when they were not), any affected lienor can sue for damages</w:t>
      </w:r>
      <w:hyperlink r:id="rId80" w:anchor=":~:text=,right%20of%20action%20for%20damages" w:tgtFrame="_blank">
        <w:r>
          <w:rPr>
            <w:rStyle w:val="Hyperlink"/>
          </w:rPr>
          <w:t>flsenate.gov</w:t>
        </w:r>
      </w:hyperlink>
      <w:r>
        <w:rPr/>
        <w:t xml:space="preserve">. This could also undermine the owner’s defense in a lien foreclosure (courts will not honor a fraudulent termination). </w:t>
      </w:r>
      <w:r>
        <w:rPr>
          <w:rStyle w:val="Strong"/>
        </w:rPr>
        <w:t>Summary:</w:t>
      </w:r>
      <w:r>
        <w:rPr/>
        <w:t xml:space="preserve"> use the Notice of Termination only when appropriate (all known lien claims are satisfied) and follow the service steps meticulously. When done correctly, it shortens the window during which new liens can be recorded by ending the NOC’s effectiveness 30 days after recording (or later stated date)</w:t>
      </w:r>
      <w:hyperlink r:id="rId81" w:anchor=":~:text=,termination%20as%20the%20date%20on" w:tgtFrame="_blank">
        <w:r>
          <w:rPr>
            <w:rStyle w:val="Hyperlink"/>
          </w:rPr>
          <w:t>flsenate.gov</w:t>
        </w:r>
      </w:hyperlink>
      <w:r>
        <w:rPr/>
        <w:t>.</w:t>
      </w:r>
    </w:p>
    <w:p>
      <w:pPr>
        <w:pStyle w:val="BodyText"/>
        <w:bidi w:val="0"/>
        <w:jc w:val="start"/>
        <w:rPr/>
      </w:pPr>
      <w:r>
        <w:rPr>
          <w:rStyle w:val="Emphasis"/>
        </w:rPr>
        <w:t>(Note: Even after a Notice of Termination, a lienor who was properly served with it still has those 30 days to record a claim of lien for any unpaid work. Also, terminating the NOC early does not discharge already-recorded liens; it simply cuts off new lien rights arising from that NOC.)</w:t>
      </w:r>
    </w:p>
    <w:p>
      <w:pPr>
        <w:pStyle w:val="Heading3"/>
        <w:bidi w:val="0"/>
        <w:spacing w:lineRule="auto" w:line="276" w:before="0" w:after="140"/>
        <w:jc w:val="start"/>
        <w:rPr/>
      </w:pPr>
      <w:r>
        <w:rPr/>
        <w:t>Construction Defect Notice &amp; Opportunity to Repair – Chapter 558, Fla. Stat.</w:t>
      </w:r>
    </w:p>
    <w:p>
      <w:pPr>
        <w:pStyle w:val="BlockQuotation"/>
        <w:bidi w:val="0"/>
        <w:spacing w:lineRule="auto" w:line="276" w:before="0" w:after="140"/>
        <w:jc w:val="start"/>
        <w:rPr/>
      </w:pPr>
      <w:r>
        <w:rPr/>
        <w:t>“</w:t>
      </w:r>
      <w:r>
        <w:rPr/>
        <w:t xml:space="preserve">In actions alleging a construction defect, the claimant shall, </w:t>
      </w:r>
      <w:r>
        <w:rPr>
          <w:rStyle w:val="Strong"/>
        </w:rPr>
        <w:t>at least 60 days before filing any action</w:t>
      </w:r>
      <w:r>
        <w:rPr/>
        <w:t xml:space="preserve"> (120 days for an association of 20+ parcels), </w:t>
      </w:r>
      <w:r>
        <w:rPr>
          <w:rStyle w:val="Strong"/>
        </w:rPr>
        <w:t>serve written notice of claim</w:t>
      </w:r>
      <w:r>
        <w:rPr/>
        <w:t xml:space="preserve"> on the contractor, subcontractor, supplier, or design professional, as applicable, </w:t>
      </w:r>
      <w:r>
        <w:rPr>
          <w:rStyle w:val="Strong"/>
        </w:rPr>
        <w:t>referring to Chapter 558</w:t>
      </w:r>
      <w:hyperlink r:id="rId82" w:anchor=":~:text=,with%20whom%20the%20claimant%20contracted" w:tgtFrame="_blank">
        <w:r>
          <w:rPr>
            <w:rStyle w:val="Hyperlink"/>
          </w:rPr>
          <w:t>flsenate.gov</w:t>
        </w:r>
      </w:hyperlink>
      <w:r>
        <w:rPr/>
        <w:t xml:space="preserve">. The notice </w:t>
      </w:r>
      <w:r>
        <w:rPr>
          <w:rStyle w:val="Strong"/>
        </w:rPr>
        <w:t>must describe in reasonable detail</w:t>
      </w:r>
      <w:r>
        <w:rPr/>
        <w:t xml:space="preserve"> the nature of each alleged construction defect and, if known, the damage or loss resulting from the defect, and </w:t>
      </w:r>
      <w:r>
        <w:rPr>
          <w:rStyle w:val="Strong"/>
        </w:rPr>
        <w:t>must identify the location</w:t>
      </w:r>
      <w:r>
        <w:rPr/>
        <w:t xml:space="preserve"> of each defect to enable the party to locate it</w:t>
      </w:r>
      <w:hyperlink r:id="rId83" w:anchor=":~:text=,for%20purposes%20of%20this%20notice" w:tgtFrame="_blank">
        <w:r>
          <w:rPr>
            <w:rStyle w:val="Hyperlink"/>
          </w:rPr>
          <w:t>flsenate.gov</w:t>
        </w:r>
      </w:hyperlink>
      <w:r>
        <w:rPr/>
        <w:t>. The claimant should endeavor to serve this notice within 15 days of discovering the defect</w:t>
      </w:r>
      <w:hyperlink r:id="rId84" w:anchor=":~:text=,8" w:tgtFrame="_blank">
        <w:r>
          <w:rPr>
            <w:rStyle w:val="Hyperlink"/>
          </w:rPr>
          <w:t>flsenate.gov</w:t>
        </w:r>
      </w:hyperlink>
      <w:r>
        <w:rPr/>
        <w:t>.</w:t>
      </w:r>
    </w:p>
    <w:p>
      <w:pPr>
        <w:pStyle w:val="BlockQuotation"/>
        <w:bidi w:val="0"/>
        <w:spacing w:lineRule="auto" w:line="276" w:before="0" w:after="140"/>
        <w:jc w:val="start"/>
        <w:rPr/>
      </w:pPr>
      <w:r>
        <w:rPr/>
        <w:t xml:space="preserve">Upon service of the claim notice, the contractor (or other party) has </w:t>
      </w:r>
      <w:r>
        <w:rPr>
          <w:rStyle w:val="Strong"/>
        </w:rPr>
        <w:t>30 days (or 50 for large associations) to inspect</w:t>
      </w:r>
      <w:r>
        <w:rPr/>
        <w:t xml:space="preserve"> the property and </w:t>
      </w:r>
      <w:r>
        <w:rPr>
          <w:rStyle w:val="Emphasis"/>
        </w:rPr>
        <w:t>may</w:t>
      </w:r>
      <w:r>
        <w:rPr/>
        <w:t xml:space="preserve"> forward the notice to any subcontractors or others responsible</w:t>
      </w:r>
      <w:hyperlink r:id="rId85" w:anchor=":~:text=subcontractor%2C%20or%20other%20party%20that,be%20responsible%20for%20the%20defects" w:tgtFrame="_blank">
        <w:r>
          <w:rPr>
            <w:rStyle w:val="Hyperlink"/>
          </w:rPr>
          <w:t>floridahardhatlaw.com</w:t>
        </w:r>
      </w:hyperlink>
      <w:r>
        <w:rPr/>
        <w:t xml:space="preserve">. Within </w:t>
      </w:r>
      <w:r>
        <w:rPr>
          <w:rStyle w:val="Strong"/>
        </w:rPr>
        <w:t>45 days after receiving the notice</w:t>
      </w:r>
      <w:r>
        <w:rPr/>
        <w:t xml:space="preserve">, the contractor (or party) </w:t>
      </w:r>
      <w:r>
        <w:rPr>
          <w:rStyle w:val="Strong"/>
        </w:rPr>
        <w:t>must serve a written response</w:t>
      </w:r>
      <w:r>
        <w:rPr/>
        <w:t xml:space="preserve"> to the claimant, choosing one of the statutory options: offer to repair the defect at no cost, offer to pay money, offer a combination of repair and money, </w:t>
      </w:r>
      <w:r>
        <w:rPr>
          <w:rStyle w:val="Strong"/>
        </w:rPr>
        <w:t>or</w:t>
      </w:r>
      <w:r>
        <w:rPr/>
        <w:t xml:space="preserve"> a statement disputing the claim and refusing to remedy it</w:t>
      </w:r>
      <w:hyperlink r:id="rId86" w:anchor=":~:text=How%20does%20a%20contractor%20respond,an%20appropriate%20reply%20may%20be" w:tgtFrame="_blank">
        <w:r>
          <w:rPr>
            <w:rStyle w:val="Hyperlink"/>
          </w:rPr>
          <w:t>floridahardhatlaw.com</w:t>
        </w:r>
      </w:hyperlink>
      <w:hyperlink r:id="rId87" w:anchor=":~:text=,the%20completion%20of%20such%20repairs" w:tgtFrame="_blank">
        <w:r>
          <w:rPr>
            <w:rStyle w:val="Hyperlink"/>
          </w:rPr>
          <w:t>flsenate.gov</w:t>
        </w:r>
      </w:hyperlink>
      <w:r>
        <w:rPr/>
        <w:t>. If they offer to settle or repair, a detailed plan and timetable must be included</w:t>
      </w:r>
      <w:hyperlink r:id="rId88" w:anchor=":~:text=,the%20completion%20of%20such%20repairs" w:tgtFrame="_blank">
        <w:r>
          <w:rPr>
            <w:rStyle w:val="Hyperlink"/>
          </w:rPr>
          <w:t>flsenate.gov</w:t>
        </w:r>
      </w:hyperlink>
      <w:r>
        <w:rPr/>
        <w:t>. If the contractor disputes the claim or fails to respond within the 45-day window, the owner may proceed to file a lawsuit after the 60-day pre-suit period expires</w:t>
      </w:r>
      <w:hyperlink r:id="rId89" w:anchor=":~:text=,unresolved%20portions%20of%20the%20claim" w:tgtFrame="_blank">
        <w:r>
          <w:rPr>
            <w:rStyle w:val="Hyperlink"/>
          </w:rPr>
          <w:t>flsenate.gov</w:t>
        </w:r>
      </w:hyperlink>
      <w:r>
        <w:rPr/>
        <w:t>. A claimant who receives a settlement offer must accept or reject it in writing within 45 days, or else a later suit can be stayed until that step is done</w:t>
      </w:r>
      <w:hyperlink r:id="rId90" w:anchor=":~:text=,claimant%20complies%20with%20this%20subsection" w:tgtFrame="_blank">
        <w:r>
          <w:rPr>
            <w:rStyle w:val="Hyperlink"/>
          </w:rPr>
          <w:t>flsenate.gov</w:t>
        </w:r>
      </w:hyperlink>
      <w:r>
        <w:rPr/>
        <w:t>.”</w:t>
      </w:r>
    </w:p>
    <w:p>
      <w:pPr>
        <w:pStyle w:val="BodyText"/>
        <w:numPr>
          <w:ilvl w:val="0"/>
          <w:numId w:val="6"/>
        </w:numPr>
        <w:tabs>
          <w:tab w:val="clear" w:pos="709"/>
          <w:tab w:val="left" w:pos="709" w:leader="none"/>
        </w:tabs>
        <w:bidi w:val="0"/>
        <w:ind w:hanging="283" w:start="709"/>
        <w:jc w:val="start"/>
        <w:rPr/>
      </w:pPr>
      <w:r>
        <w:rPr>
          <w:rStyle w:val="Strong"/>
        </w:rPr>
        <w:t>Trigger Events:</w:t>
      </w:r>
      <w:r>
        <w:rPr/>
        <w:t xml:space="preserve"> </w:t>
      </w:r>
      <w:r>
        <w:rPr>
          <w:rStyle w:val="Strong"/>
        </w:rPr>
        <w:t>Prior to any lawsuit for construction defects</w:t>
      </w:r>
      <w:r>
        <w:rPr/>
        <w:t xml:space="preserve"> in Florida, Chapter 558 requires a pre-suit notice process. The </w:t>
      </w:r>
      <w:r>
        <w:rPr>
          <w:rStyle w:val="Strong"/>
        </w:rPr>
        <w:t>property owner (or association)</w:t>
      </w:r>
      <w:r>
        <w:rPr/>
        <w:t xml:space="preserve"> who claims defects must </w:t>
      </w:r>
      <w:r>
        <w:rPr>
          <w:rStyle w:val="Strong"/>
        </w:rPr>
        <w:t>serve a written Notice of Claim on the responsible parties at least 60 days before filing suit</w:t>
      </w:r>
      <w:r>
        <w:rPr/>
        <w:t xml:space="preserve"> (for a single home or small project; </w:t>
      </w:r>
      <w:r>
        <w:rPr>
          <w:rStyle w:val="Strong"/>
        </w:rPr>
        <w:t>120 days before suit for HOAs or condos with &gt;20 units</w:t>
      </w:r>
      <w:r>
        <w:rPr/>
        <w:t>)</w:t>
      </w:r>
      <w:hyperlink r:id="rId91" w:anchor=":~:text=,with%20whom%20the%20claimant%20contracted" w:tgtFrame="_blank">
        <w:r>
          <w:rPr>
            <w:rStyle w:val="Hyperlink"/>
          </w:rPr>
          <w:t>flsenate.gov</w:t>
        </w:r>
      </w:hyperlink>
      <w:r>
        <w:rPr/>
        <w:t xml:space="preserve">. This notice is typically triggered when significant construction deficiencies are discovered. (This is a </w:t>
      </w:r>
      <w:r>
        <w:rPr>
          <w:rStyle w:val="Strong"/>
        </w:rPr>
        <w:t>reactive</w:t>
      </w:r>
      <w:r>
        <w:rPr/>
        <w:t xml:space="preserve"> process – it comes into play if post-construction issues arise that could lead to litigation. It’s included in this toolkit so that contractors and platforms remain aware of the defect dispute resolution procedure as part of the project close-out and warranty phase.)</w:t>
      </w:r>
    </w:p>
    <w:p>
      <w:pPr>
        <w:pStyle w:val="BodyText"/>
        <w:numPr>
          <w:ilvl w:val="0"/>
          <w:numId w:val="6"/>
        </w:numPr>
        <w:tabs>
          <w:tab w:val="clear" w:pos="709"/>
          <w:tab w:val="left" w:pos="709" w:leader="none"/>
        </w:tabs>
        <w:bidi w:val="0"/>
        <w:ind w:hanging="283" w:start="709"/>
        <w:jc w:val="start"/>
        <w:rPr/>
      </w:pPr>
      <w:r>
        <w:rPr>
          <w:rStyle w:val="Strong"/>
        </w:rPr>
        <w:t>Required Content &amp; Procedure:</w:t>
      </w:r>
      <w:r>
        <w:rPr/>
        <w:t xml:space="preserve"> The Chapter 558 notice must be a </w:t>
      </w:r>
      <w:r>
        <w:rPr>
          <w:rStyle w:val="Strong"/>
        </w:rPr>
        <w:t>written document</w:t>
      </w:r>
      <w:r>
        <w:rPr/>
        <w:t xml:space="preserve"> (usually a letter) </w:t>
      </w:r>
      <w:r>
        <w:rPr>
          <w:rStyle w:val="Strong"/>
        </w:rPr>
        <w:t>identifying the construction defects in reasonable detail</w:t>
      </w:r>
      <w:hyperlink r:id="rId92" w:anchor=":~:text=,for%20purposes%20of%20this%20notice" w:tgtFrame="_blank">
        <w:r>
          <w:rPr>
            <w:rStyle w:val="Hyperlink"/>
          </w:rPr>
          <w:t>flsenate.gov</w:t>
        </w:r>
      </w:hyperlink>
      <w:r>
        <w:rPr/>
        <w:t xml:space="preserve">. It should specify the nature of each defect, the location (e.g. “north elevation window leaks” or “foundation cracking at Unit 4”), and any resulting damage known at that time. It should reference that it’s being sent pursuant to Chapter 558 (to invoke the statute). The notice should be delivered by certified mail or a delivery method that provides proof, and it is often sent to the last known address of the contractor, design professional, or other applicable party. </w:t>
      </w:r>
      <w:r>
        <w:rPr>
          <w:rStyle w:val="Strong"/>
        </w:rPr>
        <w:t>After the notice is served:</w:t>
      </w:r>
      <w:r>
        <w:rPr/>
        <w:t xml:space="preserve"> the recipient has a right to inspect the property within the next 30 days (15 days for the recipient to notify and pass it to their subcontractors who might be responsible, plus an additional 15 for the sub’s inspection, in some cases)</w:t>
      </w:r>
      <w:hyperlink r:id="rId93" w:anchor=":~:text=subcontractor%2C%20or%20other%20party%20that,be%20responsible%20for%20the%20defects" w:tgtFrame="_blank">
        <w:r>
          <w:rPr>
            <w:rStyle w:val="Hyperlink"/>
          </w:rPr>
          <w:t>floridahardhatlaw.com</w:t>
        </w:r>
      </w:hyperlink>
      <w:r>
        <w:rPr/>
        <w:t xml:space="preserve">. The recipient should coordinate access to examine the alleged defects. By </w:t>
      </w:r>
      <w:r>
        <w:rPr>
          <w:rStyle w:val="Strong"/>
        </w:rPr>
        <w:t>45 days after receiving the notice</w:t>
      </w:r>
      <w:r>
        <w:rPr/>
        <w:t xml:space="preserve">, the recipient must </w:t>
      </w:r>
      <w:r>
        <w:rPr>
          <w:rStyle w:val="Strong"/>
        </w:rPr>
        <w:t>send a written response</w:t>
      </w:r>
      <w:r>
        <w:rPr/>
        <w:t xml:space="preserve"> to the claimant</w:t>
      </w:r>
      <w:hyperlink r:id="rId94" w:anchor=":~:text=,The%20written%20response%20must%20provide" w:tgtFrame="_blank">
        <w:r>
          <w:rPr>
            <w:rStyle w:val="Hyperlink"/>
          </w:rPr>
          <w:t>flsenate.gov</w:t>
        </w:r>
      </w:hyperlink>
      <w:r>
        <w:rPr/>
        <w:t>. The response must choose one of the statutory options:</w:t>
      </w:r>
    </w:p>
    <w:p>
      <w:pPr>
        <w:pStyle w:val="BodyText"/>
        <w:numPr>
          <w:ilvl w:val="1"/>
          <w:numId w:val="6"/>
        </w:numPr>
        <w:tabs>
          <w:tab w:val="clear" w:pos="709"/>
          <w:tab w:val="left" w:pos="1418" w:leader="none"/>
        </w:tabs>
        <w:bidi w:val="0"/>
        <w:ind w:hanging="283" w:start="1418"/>
        <w:jc w:val="start"/>
        <w:rPr/>
      </w:pPr>
      <w:r>
        <w:rPr/>
        <w:t xml:space="preserve">offer to </w:t>
      </w:r>
      <w:r>
        <w:rPr>
          <w:rStyle w:val="Strong"/>
        </w:rPr>
        <w:t>repair</w:t>
      </w:r>
      <w:r>
        <w:rPr/>
        <w:t xml:space="preserve"> the defect completely at no cost (with a description of the fix and schedule)</w:t>
      </w:r>
      <w:hyperlink r:id="rId95" w:anchor=":~:text=,the%20completion%20of%20such%20repairs" w:tgtFrame="_blank">
        <w:r>
          <w:rPr>
            <w:rStyle w:val="Hyperlink"/>
          </w:rPr>
          <w:t>flsenate.gov</w:t>
        </w:r>
      </w:hyperlink>
      <w:r>
        <w:rPr/>
        <w:t>;</w:t>
      </w:r>
    </w:p>
    <w:p>
      <w:pPr>
        <w:pStyle w:val="BodyText"/>
        <w:numPr>
          <w:ilvl w:val="1"/>
          <w:numId w:val="6"/>
        </w:numPr>
        <w:tabs>
          <w:tab w:val="clear" w:pos="709"/>
          <w:tab w:val="left" w:pos="1418" w:leader="none"/>
        </w:tabs>
        <w:bidi w:val="0"/>
        <w:ind w:hanging="283" w:start="1418"/>
        <w:jc w:val="start"/>
        <w:rPr/>
      </w:pPr>
      <w:r>
        <w:rPr/>
        <w:t xml:space="preserve">offer to </w:t>
      </w:r>
      <w:r>
        <w:rPr>
          <w:rStyle w:val="Strong"/>
        </w:rPr>
        <w:t>pay money</w:t>
      </w:r>
      <w:r>
        <w:rPr/>
        <w:t xml:space="preserve"> for the defect (settlement), with or without involving insurance</w:t>
      </w:r>
      <w:hyperlink r:id="rId96" w:anchor=":~:text=defect%2C%20and%20a%20timetable%20for,the%20completion%20of%20such%20repairs" w:tgtFrame="_blank">
        <w:r>
          <w:rPr>
            <w:rStyle w:val="Hyperlink"/>
          </w:rPr>
          <w:t>flsenate.gov</w:t>
        </w:r>
      </w:hyperlink>
      <w:r>
        <w:rPr/>
        <w:t>;</w:t>
      </w:r>
    </w:p>
    <w:p>
      <w:pPr>
        <w:pStyle w:val="BodyText"/>
        <w:numPr>
          <w:ilvl w:val="1"/>
          <w:numId w:val="6"/>
        </w:numPr>
        <w:tabs>
          <w:tab w:val="clear" w:pos="709"/>
          <w:tab w:val="left" w:pos="1418" w:leader="none"/>
        </w:tabs>
        <w:bidi w:val="0"/>
        <w:ind w:hanging="283" w:start="1418"/>
        <w:jc w:val="start"/>
        <w:rPr/>
      </w:pPr>
      <w:r>
        <w:rPr/>
        <w:t xml:space="preserve">offer a </w:t>
      </w:r>
      <w:r>
        <w:rPr>
          <w:rStyle w:val="Strong"/>
        </w:rPr>
        <w:t>combined repair and payment</w:t>
      </w:r>
      <w:r>
        <w:rPr/>
        <w:t xml:space="preserve"> (e.g. partial fix and partial monetary compensation)</w:t>
      </w:r>
      <w:hyperlink r:id="rId97" w:anchor=":~:text=,such%20repairs%20and%20making%20payment" w:tgtFrame="_blank">
        <w:r>
          <w:rPr>
            <w:rStyle w:val="Hyperlink"/>
          </w:rPr>
          <w:t>flsenate.gov</w:t>
        </w:r>
      </w:hyperlink>
      <w:r>
        <w:rPr/>
        <w:t>;</w:t>
      </w:r>
    </w:p>
    <w:p>
      <w:pPr>
        <w:pStyle w:val="BodyText"/>
        <w:numPr>
          <w:ilvl w:val="1"/>
          <w:numId w:val="6"/>
        </w:numPr>
        <w:tabs>
          <w:tab w:val="clear" w:pos="709"/>
          <w:tab w:val="left" w:pos="1418" w:leader="none"/>
        </w:tabs>
        <w:bidi w:val="0"/>
        <w:ind w:hanging="283" w:start="1418"/>
        <w:jc w:val="start"/>
        <w:rPr/>
      </w:pPr>
      <w:r>
        <w:rPr>
          <w:rStyle w:val="Strong"/>
        </w:rPr>
        <w:t>deny</w:t>
      </w:r>
      <w:r>
        <w:rPr/>
        <w:t xml:space="preserve"> the claim (state that the contractor disputes the defect and will not remedy or pay)</w:t>
      </w:r>
      <w:hyperlink r:id="rId98" w:anchor=":~:text=completion%20of%20such%20repairs%20and,making%20payment" w:tgtFrame="_blank">
        <w:r>
          <w:rPr>
            <w:rStyle w:val="Hyperlink"/>
          </w:rPr>
          <w:t>flsenate.gov</w:t>
        </w:r>
      </w:hyperlink>
      <w:r>
        <w:rPr/>
        <w:t>; or</w:t>
      </w:r>
    </w:p>
    <w:p>
      <w:pPr>
        <w:pStyle w:val="BodyText"/>
        <w:numPr>
          <w:ilvl w:val="1"/>
          <w:numId w:val="6"/>
        </w:numPr>
        <w:tabs>
          <w:tab w:val="clear" w:pos="709"/>
          <w:tab w:val="left" w:pos="1418" w:leader="none"/>
        </w:tabs>
        <w:bidi w:val="0"/>
        <w:ind w:hanging="283" w:start="1418"/>
        <w:jc w:val="start"/>
        <w:rPr/>
      </w:pPr>
      <w:r>
        <w:rPr/>
        <w:t xml:space="preserve">in some cases, state that </w:t>
      </w:r>
      <w:r>
        <w:rPr>
          <w:rStyle w:val="Strong"/>
        </w:rPr>
        <w:t>insurance will determine coverage</w:t>
      </w:r>
      <w:r>
        <w:rPr/>
        <w:t xml:space="preserve"> (with an interim response within 30 days by the insurer)</w:t>
      </w:r>
      <w:hyperlink r:id="rId99" w:anchor=":~:text=,and%20settle%20the%20claim%3B%20or" w:tgtFrame="_blank">
        <w:r>
          <w:rPr>
            <w:rStyle w:val="Hyperlink"/>
          </w:rPr>
          <w:t>flsenate.gov</w:t>
        </w:r>
      </w:hyperlink>
      <w:r>
        <w:rPr/>
        <w:t>.</w:t>
        <w:br/>
        <w:t>This response must be served on the claimant (typically by certified mail or delivery). If an offer is made, the owner has 45 days to accept or reject it in writing</w:t>
      </w:r>
      <w:hyperlink r:id="rId100" w:anchor=":~:text=,claimant%20complies%20with%20this%20subsection" w:tgtFrame="_blank">
        <w:r>
          <w:rPr>
            <w:rStyle w:val="Hyperlink"/>
          </w:rPr>
          <w:t>flsenate.gov</w:t>
        </w:r>
      </w:hyperlink>
      <w:r>
        <w:rPr/>
        <w:t>. During this pre-suit period, the statutes essentially pause any litigation – if the owner tries to sue too early, the court will stay the case until the 558 process is completed</w:t>
      </w:r>
      <w:hyperlink r:id="rId101" w:anchor=":~:text=,claimant%20complies%20with%20this%20subsection" w:tgtFrame="_blank">
        <w:r>
          <w:rPr>
            <w:rStyle w:val="Hyperlink"/>
          </w:rPr>
          <w:t>flsenate.gov</w:t>
        </w:r>
      </w:hyperlink>
      <w:r>
        <w:rPr/>
        <w:t>.</w:t>
      </w:r>
    </w:p>
    <w:p>
      <w:pPr>
        <w:pStyle w:val="BodyText"/>
        <w:numPr>
          <w:ilvl w:val="0"/>
          <w:numId w:val="6"/>
        </w:numPr>
        <w:tabs>
          <w:tab w:val="clear" w:pos="709"/>
          <w:tab w:val="left" w:pos="709" w:leader="none"/>
        </w:tabs>
        <w:bidi w:val="0"/>
        <w:ind w:hanging="283" w:start="709"/>
        <w:jc w:val="start"/>
        <w:rPr/>
      </w:pPr>
      <w:r>
        <w:rPr>
          <w:rStyle w:val="Strong"/>
        </w:rPr>
        <w:t>Penalties/Consequences:</w:t>
      </w:r>
      <w:r>
        <w:rPr/>
        <w:t xml:space="preserve"> Chapter 558 is essentially a </w:t>
      </w:r>
      <w:r>
        <w:rPr>
          <w:rStyle w:val="Strong"/>
        </w:rPr>
        <w:t>mandatory step</w:t>
      </w:r>
      <w:r>
        <w:rPr/>
        <w:t xml:space="preserve"> before litigation. </w:t>
      </w:r>
      <w:r>
        <w:rPr>
          <w:rStyle w:val="Strong"/>
        </w:rPr>
        <w:t>Non-compliance can result in a case being stayed or dismissed.</w:t>
      </w:r>
      <w:r>
        <w:rPr/>
        <w:t xml:space="preserve"> If an owner files a lawsuit without first serving the 558 notice and waiting the required time, the defendant can move to </w:t>
      </w:r>
      <w:r>
        <w:rPr>
          <w:rStyle w:val="Strong"/>
        </w:rPr>
        <w:t>stay the lawsuit</w:t>
      </w:r>
      <w:r>
        <w:rPr/>
        <w:t xml:space="preserve"> until the notice and response period are exhausted</w:t>
      </w:r>
      <w:hyperlink r:id="rId102" w:anchor=":~:text=,claimant%20complies%20with%20this%20subsection" w:tgtFrame="_blank">
        <w:r>
          <w:rPr>
            <w:rStyle w:val="Hyperlink"/>
          </w:rPr>
          <w:t>flsenate.gov</w:t>
        </w:r>
      </w:hyperlink>
      <w:r>
        <w:rPr/>
        <w:t xml:space="preserve">. Thus, owners have strong incentive to comply (or risk delaying their day in court). From the contractor’s perspective, </w:t>
      </w:r>
      <w:r>
        <w:rPr>
          <w:rStyle w:val="Strong"/>
        </w:rPr>
        <w:t>failing to respond</w:t>
      </w:r>
      <w:r>
        <w:rPr/>
        <w:t xml:space="preserve"> to a 558 notice within the 45 days allows the owner to proceed straight to litigation after the 60-day period</w:t>
      </w:r>
      <w:hyperlink r:id="rId103" w:anchor=":~:text=,unresolved%20portions%20of%20the%20claim" w:tgtFrame="_blank">
        <w:r>
          <w:rPr>
            <w:rStyle w:val="Hyperlink"/>
          </w:rPr>
          <w:t>flsenate.gov</w:t>
        </w:r>
      </w:hyperlink>
      <w:r>
        <w:rPr/>
        <w:t xml:space="preserve">. Not responding (or outright denying the claim) might also foreclose an opportunity to do a voluntary repair and mitigate damages. If the contractor offers to repair or pay and the owner unreasonably rejects the offer, that could potentially affect attorney’s fee recoveries later (the court will consider whether a party participated in the 558 process in good faith). While Chapter 558 is not directly about liens, it’s part of the </w:t>
      </w:r>
      <w:r>
        <w:rPr>
          <w:rStyle w:val="Strong"/>
        </w:rPr>
        <w:t>project close-out and dispute resolution workflow</w:t>
      </w:r>
      <w:r>
        <w:rPr/>
        <w:t xml:space="preserve"> – for instance, if an owner withholds final payment due to defects, the contractor’s ability to cure under 558 may help avoid a lien or lawsuit. </w:t>
      </w:r>
      <w:r>
        <w:rPr>
          <w:rStyle w:val="Strong"/>
        </w:rPr>
        <w:t>Best practice:</w:t>
      </w:r>
      <w:r>
        <w:rPr/>
        <w:t xml:space="preserve"> treat a 558 Notice seriously, document your response, involve your insurance carrier if appropriate, and always track the deadlines (30 days to inspect, 45 days to respond, etc.)</w:t>
      </w:r>
      <w:hyperlink r:id="rId104" w:anchor=":~:text=subcontractor%2C%20or%20other%20party%20that,be%20responsible%20for%20the%20defects" w:tgtFrame="_blank">
        <w:r>
          <w:rPr>
            <w:rStyle w:val="Hyperlink"/>
          </w:rPr>
          <w:t>floridahardhatlaw.com</w:t>
        </w:r>
      </w:hyperlink>
      <w:hyperlink r:id="rId105" w:anchor=":~:text=How%20does%20a%20contractor%20respond,an%20appropriate%20reply%20may%20be" w:tgtFrame="_blank">
        <w:r>
          <w:rPr>
            <w:rStyle w:val="Hyperlink"/>
          </w:rPr>
          <w:t>floridahardhatlaw.com</w:t>
        </w:r>
      </w:hyperlink>
      <w:r>
        <w:rPr/>
        <w:t>. Properly integrating the 558 process in a project’s workflow (especially via any project management platform) can help resolve defects without court, or at least ensure compliance with statutory prerequisites.</w:t>
      </w:r>
    </w:p>
    <w:p>
      <w:pPr>
        <w:pStyle w:val="Heading2"/>
        <w:bidi w:val="0"/>
        <w:spacing w:lineRule="auto" w:line="276" w:before="0" w:after="140"/>
        <w:jc w:val="start"/>
        <w:rPr/>
      </w:pPr>
      <w:r>
        <w:rPr/>
        <w:t>Notices &amp; Affidavits Timeline – From Groundbreaking to Final Payment</w:t>
      </w:r>
    </w:p>
    <w:p>
      <w:pPr>
        <w:pStyle w:val="BodyText"/>
        <w:bidi w:val="0"/>
        <w:jc w:val="start"/>
        <w:rPr/>
      </w:pPr>
      <w:r>
        <w:rPr/>
        <w:t xml:space="preserve">To visualize how these notices and documents interact over a project’s life cycle, below is a chronological </w:t>
      </w:r>
      <w:r>
        <w:rPr>
          <w:rStyle w:val="Strong"/>
        </w:rPr>
        <w:t>timeline/flowchart</w:t>
      </w:r>
      <w:r>
        <w:rPr/>
        <w:t xml:space="preserve"> of the key steps, parties responsible, and required timing from pre-construction to final payment (and beyond, if disputes arise):</w:t>
      </w:r>
    </w:p>
    <w:p>
      <w:pPr>
        <w:pStyle w:val="BodyText"/>
        <w:numPr>
          <w:ilvl w:val="0"/>
          <w:numId w:val="7"/>
        </w:numPr>
        <w:tabs>
          <w:tab w:val="clear" w:pos="709"/>
          <w:tab w:val="left" w:pos="709" w:leader="none"/>
        </w:tabs>
        <w:bidi w:val="0"/>
        <w:ind w:hanging="283" w:start="709"/>
        <w:jc w:val="start"/>
        <w:rPr/>
      </w:pPr>
      <w:r>
        <w:rPr>
          <w:rStyle w:val="Strong"/>
        </w:rPr>
        <w:t>Before Construction Begins:</w:t>
      </w:r>
    </w:p>
    <w:p>
      <w:pPr>
        <w:pStyle w:val="BodyText"/>
        <w:numPr>
          <w:ilvl w:val="1"/>
          <w:numId w:val="7"/>
        </w:numPr>
        <w:tabs>
          <w:tab w:val="clear" w:pos="709"/>
          <w:tab w:val="left" w:pos="1418" w:leader="none"/>
        </w:tabs>
        <w:bidi w:val="0"/>
        <w:ind w:hanging="283" w:start="1418"/>
        <w:jc w:val="start"/>
        <w:rPr/>
      </w:pPr>
      <w:r>
        <w:rPr>
          <w:rStyle w:val="Strong"/>
        </w:rPr>
        <w:t>Owner</w:t>
      </w:r>
      <w:r>
        <w:rPr/>
        <w:t xml:space="preserve"> (or Contractor on Owner’s behalf) </w:t>
      </w:r>
      <w:r>
        <w:rPr>
          <w:rStyle w:val="Strong"/>
        </w:rPr>
        <w:t>records a Notice of Commencement (NOC)</w:t>
      </w:r>
      <w:r>
        <w:rPr/>
        <w:t xml:space="preserve"> in the county records </w:t>
      </w:r>
      <w:r>
        <w:rPr>
          <w:rStyle w:val="Strong"/>
        </w:rPr>
        <w:t>and posts a copy at the job site</w:t>
      </w:r>
      <w:hyperlink r:id="rId106" w:anchor=":~:text=WARNING%20TO%20OWNER%3A%20ANY%20PAYMENTS,RECORDING%20YOUR%20NOTICE%20OF%20COMMENCEMENT" w:tgtFrame="_blank">
        <w:r>
          <w:rPr>
            <w:rStyle w:val="Hyperlink"/>
          </w:rPr>
          <w:t>m.flsenate.gov</w:t>
        </w:r>
      </w:hyperlink>
      <w:r>
        <w:rPr/>
        <w:t xml:space="preserve">. This must be done </w:t>
      </w:r>
      <w:r>
        <w:rPr>
          <w:rStyle w:val="Strong"/>
        </w:rPr>
        <w:t>prior to the first inspection</w:t>
      </w:r>
      <w:r>
        <w:rPr/>
        <w:t>. If the direct contract &gt; $5,000, a certified copy of the NOC must also be filed with the building permit authority before work starts</w:t>
      </w:r>
      <w:hyperlink r:id="rId107" w:anchor=":~:text=Chapter%20713,amount%20from%20%242%2C500%20to%20%245%2C000" w:tgtFrame="_blank">
        <w:r>
          <w:rPr>
            <w:rStyle w:val="Hyperlink"/>
          </w:rPr>
          <w:t>bilzin.com</w:t>
        </w:r>
      </w:hyperlink>
      <w:r>
        <w:rPr/>
        <w:t>. The NOC designates official project information and stakeholders (owner, contractor, lender, etc.) and protects against liens if properly followed.</w:t>
      </w:r>
    </w:p>
    <w:p>
      <w:pPr>
        <w:pStyle w:val="BodyText"/>
        <w:numPr>
          <w:ilvl w:val="1"/>
          <w:numId w:val="7"/>
        </w:numPr>
        <w:tabs>
          <w:tab w:val="clear" w:pos="709"/>
          <w:tab w:val="left" w:pos="1418" w:leader="none"/>
        </w:tabs>
        <w:bidi w:val="0"/>
        <w:ind w:hanging="283" w:start="1418"/>
        <w:jc w:val="start"/>
        <w:rPr/>
      </w:pPr>
      <w:r>
        <w:rPr>
          <w:rStyle w:val="Emphasis"/>
        </w:rPr>
        <w:t>(If applicable)</w:t>
      </w:r>
      <w:r>
        <w:rPr/>
        <w:t xml:space="preserve"> </w:t>
      </w:r>
      <w:r>
        <w:rPr>
          <w:rStyle w:val="Strong"/>
        </w:rPr>
        <w:t>General Contractor provides a Payment Bond and it’s attached to the NOC</w:t>
      </w:r>
      <w:hyperlink r:id="rId108" w:anchor=":~:text=,limits%20for%20serving%20any%20required" w:tgtFrame="_blank">
        <w:r>
          <w:rPr>
            <w:rStyle w:val="Hyperlink"/>
          </w:rPr>
          <w:t>m.flsenate.gov</w:t>
        </w:r>
      </w:hyperlink>
      <w:r>
        <w:rPr/>
        <w:t>. If a bond is in place and referenced, lien claims will be against the bond (notice requirements then also include Notice to Contractor under §713.23, not detailed here). If no bond, proceed with lien law steps.</w:t>
      </w:r>
    </w:p>
    <w:p>
      <w:pPr>
        <w:pStyle w:val="BodyText"/>
        <w:numPr>
          <w:ilvl w:val="0"/>
          <w:numId w:val="7"/>
        </w:numPr>
        <w:tabs>
          <w:tab w:val="clear" w:pos="709"/>
          <w:tab w:val="left" w:pos="709" w:leader="none"/>
        </w:tabs>
        <w:bidi w:val="0"/>
        <w:ind w:hanging="283" w:start="709"/>
        <w:jc w:val="start"/>
        <w:rPr/>
      </w:pPr>
      <w:r>
        <w:rPr>
          <w:rStyle w:val="Strong"/>
        </w:rPr>
        <w:t>Project Commencement &amp; Ongoing Work:</w:t>
      </w:r>
    </w:p>
    <w:p>
      <w:pPr>
        <w:pStyle w:val="BodyText"/>
        <w:numPr>
          <w:ilvl w:val="1"/>
          <w:numId w:val="7"/>
        </w:numPr>
        <w:tabs>
          <w:tab w:val="clear" w:pos="709"/>
          <w:tab w:val="left" w:pos="1418" w:leader="none"/>
        </w:tabs>
        <w:bidi w:val="0"/>
        <w:ind w:hanging="283" w:start="1418"/>
        <w:jc w:val="start"/>
        <w:rPr/>
      </w:pPr>
      <w:r>
        <w:rPr>
          <w:rStyle w:val="Strong"/>
        </w:rPr>
        <w:t>Subcontractors, sub-subcontractors, and suppliers</w:t>
      </w:r>
      <w:r>
        <w:rPr/>
        <w:t xml:space="preserve"> who are not in direct contract with the owner begin furnishing labor/materials. </w:t>
      </w:r>
      <w:r>
        <w:rPr>
          <w:rStyle w:val="Strong"/>
        </w:rPr>
        <w:t>Within 45 days of starting work or delivering materials, each must serve a Notice to Owner (NTO)</w:t>
      </w:r>
      <w:r>
        <w:rPr/>
        <w:t xml:space="preserve"> on the Owner (and copy the Contractor) to preserve lien rights</w:t>
      </w:r>
      <w:hyperlink r:id="rId109" w:anchor=":~:text=shall%20serve%20the%20notice%20to,over%20other%20lienors%20in%20the" w:tgtFrame="_blank">
        <w:r>
          <w:rPr>
            <w:rStyle w:val="Hyperlink"/>
          </w:rPr>
          <w:t>flsenate.gov</w:t>
        </w:r>
      </w:hyperlink>
      <w:hyperlink r:id="rId110" w:anchor=":~:text=sufficient%20for%20identification%20of%20the,notice%20must%20be%20served%20before" w:tgtFrame="_blank">
        <w:r>
          <w:rPr>
            <w:rStyle w:val="Hyperlink"/>
          </w:rPr>
          <w:t>flsenate.gov</w:t>
        </w:r>
      </w:hyperlink>
      <w:r>
        <w:rPr/>
        <w:t>. Ideally, they serve it as early as possible (even before or right when they start) to avoid any deadline issues.</w:t>
      </w:r>
    </w:p>
    <w:p>
      <w:pPr>
        <w:pStyle w:val="BodyText"/>
        <w:numPr>
          <w:ilvl w:val="1"/>
          <w:numId w:val="7"/>
        </w:numPr>
        <w:tabs>
          <w:tab w:val="clear" w:pos="709"/>
          <w:tab w:val="left" w:pos="1418" w:leader="none"/>
        </w:tabs>
        <w:bidi w:val="0"/>
        <w:ind w:hanging="283" w:start="1418"/>
        <w:jc w:val="start"/>
        <w:rPr/>
      </w:pPr>
      <w:r>
        <w:rPr>
          <w:rStyle w:val="Strong"/>
        </w:rPr>
        <w:t>Owner/Contractor</w:t>
      </w:r>
      <w:r>
        <w:rPr/>
        <w:t xml:space="preserve"> should collect and file all NTOs received. Owners may designate a secondary address in the NOC to receive NTO copies; any designated recipient should also get copies</w:t>
      </w:r>
      <w:hyperlink r:id="rId111" w:anchor=":~:text=,invalidate%20an%20otherwise%20valid%20lien" w:tgtFrame="_blank">
        <w:r>
          <w:rPr>
            <w:rStyle w:val="Hyperlink"/>
          </w:rPr>
          <w:t>flsenate.gov</w:t>
        </w:r>
      </w:hyperlink>
      <w:r>
        <w:rPr/>
        <w:t>.</w:t>
      </w:r>
    </w:p>
    <w:p>
      <w:pPr>
        <w:pStyle w:val="BodyText"/>
        <w:numPr>
          <w:ilvl w:val="1"/>
          <w:numId w:val="7"/>
        </w:numPr>
        <w:tabs>
          <w:tab w:val="clear" w:pos="709"/>
          <w:tab w:val="left" w:pos="1418" w:leader="none"/>
        </w:tabs>
        <w:bidi w:val="0"/>
        <w:ind w:hanging="283" w:start="1418"/>
        <w:jc w:val="start"/>
        <w:rPr/>
      </w:pPr>
      <w:r>
        <w:rPr>
          <w:rStyle w:val="Strong"/>
        </w:rPr>
        <w:t>During construction</w:t>
      </w:r>
      <w:r>
        <w:rPr/>
        <w:t>, at each progress payment interval:</w:t>
      </w:r>
    </w:p>
    <w:p>
      <w:pPr>
        <w:pStyle w:val="BodyText"/>
        <w:numPr>
          <w:ilvl w:val="2"/>
          <w:numId w:val="7"/>
        </w:numPr>
        <w:tabs>
          <w:tab w:val="clear" w:pos="709"/>
          <w:tab w:val="left" w:pos="2127" w:leader="none"/>
        </w:tabs>
        <w:bidi w:val="0"/>
        <w:ind w:hanging="283" w:start="2127"/>
        <w:jc w:val="start"/>
        <w:rPr/>
      </w:pPr>
      <w:r>
        <w:rPr>
          <w:rStyle w:val="Strong"/>
        </w:rPr>
        <w:t>Contractor</w:t>
      </w:r>
      <w:r>
        <w:rPr/>
        <w:t xml:space="preserve"> typically submits a pay application. </w:t>
      </w:r>
      <w:r>
        <w:rPr>
          <w:rStyle w:val="Strong"/>
        </w:rPr>
        <w:t>Owner</w:t>
      </w:r>
      <w:r>
        <w:rPr/>
        <w:t xml:space="preserve"> (or lender) should verify that all subs who served NTOs are accounted for. Under the lien law, </w:t>
      </w:r>
      <w:r>
        <w:rPr>
          <w:rStyle w:val="Strong"/>
        </w:rPr>
        <w:t>owner must make “proper payments” by ensuring that known lienors are paid</w:t>
      </w:r>
      <w:r>
        <w:rPr/>
        <w:t xml:space="preserve"> each draw</w:t>
      </w:r>
      <w:hyperlink r:id="rId112" w:anchor=":~:text=except%20the%20final%20payment%3A" w:tgtFrame="_blank">
        <w:r>
          <w:rPr>
            <w:rStyle w:val="Hyperlink"/>
          </w:rPr>
          <w:t>flsenate.gov</w:t>
        </w:r>
      </w:hyperlink>
      <w:r>
        <w:rPr/>
        <w:t xml:space="preserve">. The owner can (and often should) require </w:t>
      </w:r>
      <w:r>
        <w:rPr>
          <w:rStyle w:val="Strong"/>
        </w:rPr>
        <w:t>interim lien waivers or affidavits</w:t>
      </w:r>
      <w:r>
        <w:rPr/>
        <w:t xml:space="preserve"> from the contractor listing who has been paid and what amounts are due</w:t>
      </w:r>
      <w:hyperlink r:id="rId113" w:anchor=":~:text=except%20the%20final%20payment%3A" w:tgtFrame="_blank">
        <w:r>
          <w:rPr>
            <w:rStyle w:val="Hyperlink"/>
          </w:rPr>
          <w:t>flsenate.gov</w:t>
        </w:r>
      </w:hyperlink>
      <w:r>
        <w:rPr/>
        <w:t>.</w:t>
      </w:r>
    </w:p>
    <w:p>
      <w:pPr>
        <w:pStyle w:val="BodyText"/>
        <w:numPr>
          <w:ilvl w:val="2"/>
          <w:numId w:val="7"/>
        </w:numPr>
        <w:tabs>
          <w:tab w:val="clear" w:pos="709"/>
          <w:tab w:val="left" w:pos="2127" w:leader="none"/>
        </w:tabs>
        <w:bidi w:val="0"/>
        <w:ind w:hanging="283" w:start="2127"/>
        <w:jc w:val="start"/>
        <w:rPr/>
      </w:pPr>
      <w:r>
        <w:rPr>
          <w:rStyle w:val="Strong"/>
        </w:rPr>
        <w:t>Contractor</w:t>
      </w:r>
      <w:r>
        <w:rPr/>
        <w:t xml:space="preserve"> provides </w:t>
      </w:r>
      <w:r>
        <w:rPr>
          <w:rStyle w:val="Strong"/>
        </w:rPr>
        <w:t>Partial (Progress) Releases of Lien</w:t>
      </w:r>
      <w:r>
        <w:rPr/>
        <w:t xml:space="preserve"> from itself and key subs/suppliers for the work covered by that payment. Florida law provides statutory </w:t>
      </w:r>
      <w:r>
        <w:rPr>
          <w:rStyle w:val="Strong"/>
        </w:rPr>
        <w:t>“Waiver and Release of Lien Upon Progress Payment”</w:t>
      </w:r>
      <w:r>
        <w:rPr/>
        <w:t xml:space="preserve"> forms that lienors use to waive lien rights to the extent of work paid to a certain date</w:t>
      </w:r>
      <w:hyperlink r:id="rId114" w:anchor=":~:text=,in%20substantially%20the%20following%20form" w:tgtFrame="_blank">
        <w:r>
          <w:rPr>
            <w:rStyle w:val="Hyperlink"/>
          </w:rPr>
          <w:t>flsenate.gov</w:t>
        </w:r>
      </w:hyperlink>
      <w:hyperlink r:id="rId115" w:anchor=":~:text=" w:tgtFrame="_blank">
        <w:r>
          <w:rPr>
            <w:rStyle w:val="Hyperlink"/>
          </w:rPr>
          <w:t>flsenate.gov</w:t>
        </w:r>
      </w:hyperlink>
      <w:r>
        <w:rPr/>
        <w:t>. (These forms preserve any retainage or pending claims, and cannot be varied by contract</w:t>
      </w:r>
      <w:hyperlink r:id="rId116" w:anchor=":~:text=WAIVER%20AND%20RELEASE%20OF%20LIEN,UPON%20FINAL%20PAYMENT" w:tgtFrame="_blank">
        <w:r>
          <w:rPr>
            <w:rStyle w:val="Hyperlink"/>
          </w:rPr>
          <w:t>flsenate.gov</w:t>
        </w:r>
      </w:hyperlink>
      <w:hyperlink r:id="rId117" w:anchor=":~:text=By%3A" w:tgtFrame="_blank">
        <w:r>
          <w:rPr>
            <w:rStyle w:val="Hyperlink"/>
          </w:rPr>
          <w:t>flsenate.gov</w:t>
        </w:r>
      </w:hyperlink>
      <w:r>
        <w:rPr/>
        <w:t>.)</w:t>
      </w:r>
    </w:p>
    <w:p>
      <w:pPr>
        <w:pStyle w:val="BodyText"/>
        <w:numPr>
          <w:ilvl w:val="2"/>
          <w:numId w:val="7"/>
        </w:numPr>
        <w:tabs>
          <w:tab w:val="clear" w:pos="709"/>
          <w:tab w:val="left" w:pos="2127" w:leader="none"/>
        </w:tabs>
        <w:bidi w:val="0"/>
        <w:ind w:hanging="283" w:start="2127"/>
        <w:jc w:val="start"/>
        <w:rPr/>
      </w:pPr>
      <w:r>
        <w:rPr>
          <w:rStyle w:val="Strong"/>
        </w:rPr>
        <w:t>Owner</w:t>
      </w:r>
      <w:r>
        <w:rPr/>
        <w:t xml:space="preserve"> disburses the progress payment. The owner is then protected from liens for the work covered by any waivers obtained. </w:t>
      </w:r>
      <w:r>
        <w:rPr>
          <w:rStyle w:val="Emphasis"/>
        </w:rPr>
        <w:t>(If the payment is insufficient to cover all lienors who gave notice, the owner must prorate and pay them proportionally</w:t>
      </w:r>
      <w:hyperlink r:id="rId118" w:anchor=":~:text=time%20of%20making%20a%20payment" w:tgtFrame="_blank">
        <w:r>
          <w:rPr>
            <w:rStyle w:val="Hyperlink"/>
            <w:i/>
            <w:i/>
            <w:iCs/>
          </w:rPr>
          <w:t>flsenate.gov</w:t>
        </w:r>
      </w:hyperlink>
      <w:r>
        <w:rPr>
          <w:rStyle w:val="Emphasis"/>
        </w:rPr>
        <w:t>.)</w:t>
      </w:r>
      <w:r>
        <w:rPr/>
        <w:t xml:space="preserve"> Owners should </w:t>
      </w:r>
      <w:r>
        <w:rPr>
          <w:rStyle w:val="Strong"/>
        </w:rPr>
        <w:t>not pay the contractor for work unless lien waivers (or an affidavit) indicate that all sub-lienors for that work are being paid</w:t>
      </w:r>
      <w:r>
        <w:rPr/>
        <w:t>, to maintain “proper payment” status</w:t>
      </w:r>
      <w:hyperlink r:id="rId119" w:anchor=":~:text=except%20the%20final%20payment%3A" w:tgtFrame="_blank">
        <w:r>
          <w:rPr>
            <w:rStyle w:val="Hyperlink"/>
          </w:rPr>
          <w:t>flsenate.gov</w:t>
        </w:r>
      </w:hyperlink>
      <w:r>
        <w:rPr/>
        <w:t>.</w:t>
      </w:r>
    </w:p>
    <w:p>
      <w:pPr>
        <w:pStyle w:val="BodyText"/>
        <w:numPr>
          <w:ilvl w:val="1"/>
          <w:numId w:val="7"/>
        </w:numPr>
        <w:tabs>
          <w:tab w:val="clear" w:pos="709"/>
          <w:tab w:val="left" w:pos="1418" w:leader="none"/>
        </w:tabs>
        <w:bidi w:val="0"/>
        <w:ind w:hanging="283" w:start="1418"/>
        <w:jc w:val="start"/>
        <w:rPr/>
      </w:pPr>
      <w:r>
        <w:rPr/>
        <w:t xml:space="preserve">Throughout the project, if there are any changes such as a new lender or contractor, or an extension of the project beyond 1 year, consider recording an </w:t>
      </w:r>
      <w:r>
        <w:rPr>
          <w:rStyle w:val="Strong"/>
        </w:rPr>
        <w:t>Amended NOC</w:t>
      </w:r>
      <w:r>
        <w:rPr/>
        <w:t xml:space="preserve"> to update that info (not statutorily mandated, but a best practice so that notices reach the right parties and the NOC doesn’t lapse).</w:t>
      </w:r>
    </w:p>
    <w:p>
      <w:pPr>
        <w:pStyle w:val="BodyText"/>
        <w:numPr>
          <w:ilvl w:val="0"/>
          <w:numId w:val="7"/>
        </w:numPr>
        <w:tabs>
          <w:tab w:val="clear" w:pos="709"/>
          <w:tab w:val="left" w:pos="709" w:leader="none"/>
        </w:tabs>
        <w:bidi w:val="0"/>
        <w:ind w:hanging="283" w:start="709"/>
        <w:jc w:val="start"/>
        <w:rPr/>
      </w:pPr>
      <w:r>
        <w:rPr>
          <w:rStyle w:val="Strong"/>
        </w:rPr>
        <w:t>Project Completion / Final Phase:</w:t>
      </w:r>
    </w:p>
    <w:p>
      <w:pPr>
        <w:pStyle w:val="BodyText"/>
        <w:numPr>
          <w:ilvl w:val="1"/>
          <w:numId w:val="7"/>
        </w:numPr>
        <w:tabs>
          <w:tab w:val="clear" w:pos="709"/>
          <w:tab w:val="left" w:pos="1418" w:leader="none"/>
        </w:tabs>
        <w:bidi w:val="0"/>
        <w:ind w:hanging="283" w:start="1418"/>
        <w:jc w:val="start"/>
        <w:rPr/>
      </w:pPr>
      <w:r>
        <w:rPr>
          <w:rStyle w:val="Strong"/>
        </w:rPr>
        <w:t>Contractor reaches substantial/final completion.</w:t>
      </w:r>
      <w:r>
        <w:rPr/>
        <w:t xml:space="preserve"> All or most work is done.</w:t>
      </w:r>
    </w:p>
    <w:p>
      <w:pPr>
        <w:pStyle w:val="BodyText"/>
        <w:numPr>
          <w:ilvl w:val="1"/>
          <w:numId w:val="7"/>
        </w:numPr>
        <w:tabs>
          <w:tab w:val="clear" w:pos="709"/>
          <w:tab w:val="left" w:pos="1418" w:leader="none"/>
        </w:tabs>
        <w:bidi w:val="0"/>
        <w:ind w:hanging="283" w:start="1418"/>
        <w:jc w:val="start"/>
        <w:rPr/>
      </w:pPr>
      <w:r>
        <w:rPr>
          <w:rStyle w:val="Strong"/>
        </w:rPr>
        <w:t>Before final payment:</w:t>
      </w:r>
    </w:p>
    <w:p>
      <w:pPr>
        <w:pStyle w:val="BodyText"/>
        <w:numPr>
          <w:ilvl w:val="2"/>
          <w:numId w:val="7"/>
        </w:numPr>
        <w:tabs>
          <w:tab w:val="clear" w:pos="709"/>
          <w:tab w:val="left" w:pos="2127" w:leader="none"/>
        </w:tabs>
        <w:bidi w:val="0"/>
        <w:ind w:hanging="283" w:start="2127"/>
        <w:jc w:val="start"/>
        <w:rPr/>
      </w:pPr>
      <w:r>
        <w:rPr>
          <w:rStyle w:val="Strong"/>
        </w:rPr>
        <w:t>Contractor prepares a Final Payment Affidavit</w:t>
      </w:r>
      <w:r>
        <w:rPr/>
        <w:t xml:space="preserve"> listing any remaining unpaid lienors (who timely served NTOs) and the amounts due</w:t>
      </w:r>
      <w:hyperlink r:id="rId120" w:anchor=":~:text=,contract%20becomes%20due%20the%20contractor" w:tgtFrame="_blank">
        <w:r>
          <w:rPr>
            <w:rStyle w:val="Hyperlink"/>
          </w:rPr>
          <w:t>flsenate.gov</w:t>
        </w:r>
      </w:hyperlink>
      <w:hyperlink r:id="rId121" w:anchor=":~:text=4,except%20the%20following%20listed%20lienors" w:tgtFrame="_blank">
        <w:r>
          <w:rPr>
            <w:rStyle w:val="Hyperlink"/>
          </w:rPr>
          <w:t>flsenate.gov</w:t>
        </w:r>
      </w:hyperlink>
      <w:r>
        <w:rPr/>
        <w:t xml:space="preserve">. This must be given to the Owner </w:t>
      </w:r>
      <w:r>
        <w:rPr>
          <w:rStyle w:val="Strong"/>
        </w:rPr>
        <w:t>at least 5 days before filing a lien foreclosure lawsuit</w:t>
      </w:r>
      <w:r>
        <w:rPr/>
        <w:t>, but in practice it is given as a condition to receiving final payment</w:t>
      </w:r>
      <w:hyperlink r:id="rId122" w:anchor=":~:text=The%20contractor%20shall%20have%20no,terminated%20for%20a%20reason%20other" w:tgtFrame="_blank">
        <w:r>
          <w:rPr>
            <w:rStyle w:val="Hyperlink"/>
          </w:rPr>
          <w:t>flsenate.gov</w:t>
        </w:r>
      </w:hyperlink>
      <w:r>
        <w:rPr/>
        <w:t>.</w:t>
      </w:r>
    </w:p>
    <w:p>
      <w:pPr>
        <w:pStyle w:val="BodyText"/>
        <w:numPr>
          <w:ilvl w:val="2"/>
          <w:numId w:val="7"/>
        </w:numPr>
        <w:tabs>
          <w:tab w:val="clear" w:pos="709"/>
          <w:tab w:val="left" w:pos="2127" w:leader="none"/>
        </w:tabs>
        <w:bidi w:val="0"/>
        <w:ind w:hanging="283" w:start="2127"/>
        <w:jc w:val="start"/>
        <w:rPr/>
      </w:pPr>
      <w:r>
        <w:rPr>
          <w:rStyle w:val="Strong"/>
        </w:rPr>
        <w:t>Owner (or Contractor)</w:t>
      </w:r>
      <w:r>
        <w:rPr/>
        <w:t xml:space="preserve"> obtains </w:t>
      </w:r>
      <w:r>
        <w:rPr>
          <w:rStyle w:val="Strong"/>
        </w:rPr>
        <w:t>Final Waivers of Lien</w:t>
      </w:r>
      <w:r>
        <w:rPr/>
        <w:t xml:space="preserve"> from the contractor and all subs/suppliers in exchange for final checks. Florida has a statutory </w:t>
      </w:r>
      <w:r>
        <w:rPr>
          <w:rStyle w:val="Strong"/>
        </w:rPr>
        <w:t>“Waiver and Release of Lien Upon Final Payment”</w:t>
      </w:r>
      <w:r>
        <w:rPr/>
        <w:t xml:space="preserve"> form to release lien rights upon receipt of final payment</w:t>
      </w:r>
      <w:hyperlink r:id="rId123" w:anchor=":~:text=WAIVER%20AND%20RELEASE%20OF%20LIEN,UPON%20FINAL%20PAYMENT" w:tgtFrame="_blank">
        <w:r>
          <w:rPr>
            <w:rStyle w:val="Hyperlink"/>
          </w:rPr>
          <w:t>flsenate.gov</w:t>
        </w:r>
      </w:hyperlink>
      <w:hyperlink r:id="rId124" w:anchor=":~:text=DATED%20on%20%C2%A0%2C%20%C2%A0%C2%A0%28year%29%C2%A0%C2%A0" w:tgtFrame="_blank">
        <w:r>
          <w:rPr>
            <w:rStyle w:val="Hyperlink"/>
          </w:rPr>
          <w:t>flsenate.gov</w:t>
        </w:r>
      </w:hyperlink>
      <w:r>
        <w:rPr/>
        <w:t>.</w:t>
      </w:r>
    </w:p>
    <w:p>
      <w:pPr>
        <w:pStyle w:val="BodyText"/>
        <w:numPr>
          <w:ilvl w:val="2"/>
          <w:numId w:val="7"/>
        </w:numPr>
        <w:tabs>
          <w:tab w:val="clear" w:pos="709"/>
          <w:tab w:val="left" w:pos="2127" w:leader="none"/>
        </w:tabs>
        <w:bidi w:val="0"/>
        <w:ind w:hanging="283" w:start="2127"/>
        <w:jc w:val="start"/>
        <w:rPr/>
      </w:pPr>
      <w:r>
        <w:rPr>
          <w:rStyle w:val="Strong"/>
        </w:rPr>
        <w:t>Owner reviews Contractor’s Final Affidavit:</w:t>
      </w:r>
    </w:p>
    <w:p>
      <w:pPr>
        <w:pStyle w:val="BodyText"/>
        <w:numPr>
          <w:ilvl w:val="3"/>
          <w:numId w:val="7"/>
        </w:numPr>
        <w:tabs>
          <w:tab w:val="clear" w:pos="709"/>
          <w:tab w:val="left" w:pos="2836" w:leader="none"/>
        </w:tabs>
        <w:bidi w:val="0"/>
        <w:ind w:hanging="283" w:start="2836"/>
        <w:jc w:val="start"/>
        <w:rPr/>
      </w:pPr>
      <w:r>
        <w:rPr/>
        <w:t xml:space="preserve">If the affidavit states everyone is paid (no claims listed), the owner can proceed to final payment </w:t>
      </w:r>
      <w:r>
        <w:rPr>
          <w:rStyle w:val="Emphasis"/>
        </w:rPr>
        <w:t>in reliance on that affidavit</w:t>
      </w:r>
      <w:hyperlink r:id="rId125" w:anchor=":~:text=4,be%20due%20to%20the%20contractor" w:tgtFrame="_blank">
        <w:r>
          <w:rPr>
            <w:rStyle w:val="Hyperlink"/>
          </w:rPr>
          <w:t>flsenate.gov</w:t>
        </w:r>
      </w:hyperlink>
      <w:r>
        <w:rPr/>
        <w:t>. The owner should ensure no new NTOs have been received that aren’t accounted for.</w:t>
      </w:r>
    </w:p>
    <w:p>
      <w:pPr>
        <w:pStyle w:val="BodyText"/>
        <w:numPr>
          <w:ilvl w:val="3"/>
          <w:numId w:val="7"/>
        </w:numPr>
        <w:tabs>
          <w:tab w:val="clear" w:pos="709"/>
          <w:tab w:val="left" w:pos="2836" w:leader="none"/>
        </w:tabs>
        <w:bidi w:val="0"/>
        <w:ind w:hanging="283" w:start="2836"/>
        <w:jc w:val="start"/>
        <w:rPr/>
      </w:pPr>
      <w:r>
        <w:rPr/>
        <w:t xml:space="preserve">If the affidavit lists any unpaid lienors, the owner </w:t>
      </w:r>
      <w:r>
        <w:rPr>
          <w:rStyle w:val="Strong"/>
        </w:rPr>
        <w:t>must ensure those are paid</w:t>
      </w:r>
      <w:r>
        <w:rPr/>
        <w:t xml:space="preserve"> (from the final payment funds) before or at final payment to contractor. The owner can either write joint checks, directly pay those subs, or require payment and lien waivers, per §713.06(3)(d)2</w:t>
      </w:r>
      <w:hyperlink r:id="rId126" w:anchor=":~:text=2,or%20by%20any%20other%20person" w:tgtFrame="_blank">
        <w:r>
          <w:rPr>
            <w:rStyle w:val="Hyperlink"/>
          </w:rPr>
          <w:t>flsenate.gov</w:t>
        </w:r>
      </w:hyperlink>
      <w:r>
        <w:rPr/>
        <w:t>. The owner may withhold final funds sufficient to cover listed claims and any other lienors who have given notice but aren’t listed</w:t>
      </w:r>
      <w:hyperlink r:id="rId127" w:anchor=":~:text=3,4" w:tgtFrame="_blank">
        <w:r>
          <w:rPr>
            <w:rStyle w:val="Hyperlink"/>
          </w:rPr>
          <w:t>flsenate.gov</w:t>
        </w:r>
      </w:hyperlink>
      <w:r>
        <w:rPr/>
        <w:t>.</w:t>
      </w:r>
    </w:p>
    <w:p>
      <w:pPr>
        <w:pStyle w:val="BodyText"/>
        <w:numPr>
          <w:ilvl w:val="1"/>
          <w:numId w:val="7"/>
        </w:numPr>
        <w:tabs>
          <w:tab w:val="clear" w:pos="709"/>
          <w:tab w:val="left" w:pos="1418" w:leader="none"/>
        </w:tabs>
        <w:bidi w:val="0"/>
        <w:ind w:hanging="283" w:start="1418"/>
        <w:jc w:val="start"/>
        <w:rPr/>
      </w:pPr>
      <w:r>
        <w:rPr>
          <w:rStyle w:val="Strong"/>
        </w:rPr>
        <w:t>Owner makes Final Payment</w:t>
      </w:r>
      <w:r>
        <w:rPr/>
        <w:t xml:space="preserve"> to contractor (after all conditions above are satisfied). </w:t>
      </w:r>
      <w:r>
        <w:rPr>
          <w:rStyle w:val="Strong"/>
        </w:rPr>
        <w:t>Owner retains proof</w:t>
      </w:r>
      <w:r>
        <w:rPr/>
        <w:t xml:space="preserve"> of all releases and the contractor’s affidavit. </w:t>
      </w:r>
      <w:r>
        <w:rPr>
          <w:rStyle w:val="Strong"/>
        </w:rPr>
        <w:t>At this point, if all went correctly, no potential lienors remain unpaid.</w:t>
      </w:r>
    </w:p>
    <w:p>
      <w:pPr>
        <w:pStyle w:val="BodyText"/>
        <w:numPr>
          <w:ilvl w:val="0"/>
          <w:numId w:val="7"/>
        </w:numPr>
        <w:tabs>
          <w:tab w:val="clear" w:pos="709"/>
          <w:tab w:val="left" w:pos="709" w:leader="none"/>
        </w:tabs>
        <w:bidi w:val="0"/>
        <w:ind w:hanging="283" w:start="709"/>
        <w:jc w:val="start"/>
        <w:rPr/>
      </w:pPr>
      <w:r>
        <w:rPr>
          <w:rStyle w:val="Strong"/>
        </w:rPr>
        <w:t>Post-Construction:</w:t>
      </w:r>
    </w:p>
    <w:p>
      <w:pPr>
        <w:pStyle w:val="BodyText"/>
        <w:numPr>
          <w:ilvl w:val="1"/>
          <w:numId w:val="7"/>
        </w:numPr>
        <w:tabs>
          <w:tab w:val="clear" w:pos="709"/>
          <w:tab w:val="left" w:pos="1418" w:leader="none"/>
        </w:tabs>
        <w:bidi w:val="0"/>
        <w:ind w:hanging="283" w:start="1418"/>
        <w:jc w:val="start"/>
        <w:rPr/>
      </w:pPr>
      <w:r>
        <w:rPr>
          <w:rStyle w:val="Strong"/>
        </w:rPr>
        <w:t>Owner (optional): Record a Notice of Termination of NOC.</w:t>
      </w:r>
      <w:r>
        <w:rPr/>
        <w:t xml:space="preserve"> If the NOC’s effective period still has time remaining but the job is finished and everyone paid, the owner may formally terminate the NOC by recording a Notice of Termination</w:t>
      </w:r>
      <w:hyperlink r:id="rId128" w:anchor=":~:text=contractor%E2%80%99s%20affidavit" w:tgtFrame="_blank">
        <w:r>
          <w:rPr>
            <w:rStyle w:val="Hyperlink"/>
          </w:rPr>
          <w:t>flsenate.gov</w:t>
        </w:r>
      </w:hyperlink>
      <w:r>
        <w:rPr/>
        <w:t xml:space="preserve">. </w:t>
      </w:r>
      <w:r>
        <w:rPr>
          <w:rStyle w:val="Emphasis"/>
        </w:rPr>
        <w:t>Prerequisites:</w:t>
      </w:r>
      <w:r>
        <w:rPr/>
        <w:t xml:space="preserve"> Contractor’s final affidavit must accompany it; all lienors paid; serve notice of termination on all who gave NTO (and any who give NTO after, as described)</w:t>
      </w:r>
      <w:hyperlink r:id="rId129" w:anchor=":~:text=,20" w:tgtFrame="_blank">
        <w:r>
          <w:rPr>
            <w:rStyle w:val="Hyperlink"/>
          </w:rPr>
          <w:t>flsenate.gov</w:t>
        </w:r>
      </w:hyperlink>
      <w:hyperlink r:id="rId130" w:anchor=":~:text=,termination%20as%20the%20date%20on" w:tgtFrame="_blank">
        <w:r>
          <w:rPr>
            <w:rStyle w:val="Hyperlink"/>
          </w:rPr>
          <w:t>flsenate.gov</w:t>
        </w:r>
      </w:hyperlink>
      <w:r>
        <w:rPr/>
        <w:t>. The NOC will cease to be effective 30 days after recording (cutting off the window for any new liens under that NOC)</w:t>
      </w:r>
      <w:hyperlink r:id="rId131" w:anchor=":~:text=,termination%20as%20the%20date%20on" w:tgtFrame="_blank">
        <w:r>
          <w:rPr>
            <w:rStyle w:val="Hyperlink"/>
          </w:rPr>
          <w:t>flsenate.gov</w:t>
        </w:r>
      </w:hyperlink>
      <w:r>
        <w:rPr/>
        <w:t>. If any lienor is inadvertently omitted from service, their lien rights might still exist (so be thorough).</w:t>
      </w:r>
    </w:p>
    <w:p>
      <w:pPr>
        <w:pStyle w:val="BodyText"/>
        <w:numPr>
          <w:ilvl w:val="1"/>
          <w:numId w:val="7"/>
        </w:numPr>
        <w:tabs>
          <w:tab w:val="clear" w:pos="709"/>
          <w:tab w:val="left" w:pos="1418" w:leader="none"/>
        </w:tabs>
        <w:bidi w:val="0"/>
        <w:ind w:hanging="283" w:start="1418"/>
        <w:jc w:val="start"/>
        <w:rPr/>
      </w:pPr>
      <w:r>
        <w:rPr>
          <w:rStyle w:val="Strong"/>
        </w:rPr>
        <w:t>Any Claim of Lien filings:</w:t>
      </w:r>
      <w:r>
        <w:rPr/>
        <w:t xml:space="preserve"> Ideally, if proper payments were made and all releases obtained, no one should file a Claim of Lien. However, if a subcontractor or supplier was </w:t>
      </w:r>
      <w:r>
        <w:rPr>
          <w:rStyle w:val="Strong"/>
        </w:rPr>
        <w:t>not paid</w:t>
      </w:r>
      <w:r>
        <w:rPr/>
        <w:t xml:space="preserve"> and has preserved lien rights, they may record a </w:t>
      </w:r>
      <w:r>
        <w:rPr>
          <w:rStyle w:val="Strong"/>
        </w:rPr>
        <w:t>Claim of Lien</w:t>
      </w:r>
      <w:r>
        <w:rPr/>
        <w:t xml:space="preserve"> in county records. This typically must be done </w:t>
      </w:r>
      <w:r>
        <w:rPr>
          <w:rStyle w:val="Strong"/>
        </w:rPr>
        <w:t>within 90 days of that lienor’s last furnishing of labor/material</w:t>
      </w:r>
      <w:r>
        <w:rPr/>
        <w:t xml:space="preserve"> (this deadline isn’t in the question’s statutes but is §713.08). The lienor must also </w:t>
      </w:r>
      <w:r>
        <w:rPr>
          <w:rStyle w:val="Strong"/>
        </w:rPr>
        <w:t>serve a copy of the Claim of Lien on the owner</w:t>
      </w:r>
      <w:r>
        <w:rPr/>
        <w:t xml:space="preserve"> within 15 days of recording. A lien foreclosure lawsuit must be filed within 1 year of the claim of lien (unless shortened).</w:t>
      </w:r>
    </w:p>
    <w:p>
      <w:pPr>
        <w:pStyle w:val="BodyText"/>
        <w:numPr>
          <w:ilvl w:val="1"/>
          <w:numId w:val="7"/>
        </w:numPr>
        <w:tabs>
          <w:tab w:val="clear" w:pos="709"/>
          <w:tab w:val="left" w:pos="1418" w:leader="none"/>
        </w:tabs>
        <w:bidi w:val="0"/>
        <w:ind w:hanging="283" w:start="1418"/>
        <w:jc w:val="start"/>
        <w:rPr/>
      </w:pPr>
      <w:r>
        <w:rPr>
          <w:rStyle w:val="Strong"/>
        </w:rPr>
        <w:t>Owner’s response to a Claim of Lien:</w:t>
      </w:r>
      <w:r>
        <w:rPr/>
        <w:t xml:space="preserve"> If a lien is recorded, the owner (or contractor/general if dealing with subs) can take reactive steps. For instance:</w:t>
      </w:r>
    </w:p>
    <w:p>
      <w:pPr>
        <w:pStyle w:val="BodyText"/>
        <w:numPr>
          <w:ilvl w:val="2"/>
          <w:numId w:val="7"/>
        </w:numPr>
        <w:tabs>
          <w:tab w:val="clear" w:pos="709"/>
          <w:tab w:val="left" w:pos="2127" w:leader="none"/>
        </w:tabs>
        <w:bidi w:val="0"/>
        <w:ind w:hanging="283" w:start="2127"/>
        <w:jc w:val="start"/>
        <w:rPr/>
      </w:pPr>
      <w:r>
        <w:rPr/>
        <w:t xml:space="preserve">File a </w:t>
      </w:r>
      <w:r>
        <w:rPr>
          <w:rStyle w:val="Strong"/>
        </w:rPr>
        <w:t>Notice of Contest of Lien</w:t>
      </w:r>
      <w:r>
        <w:rPr/>
        <w:t xml:space="preserve"> in court to shorten the foreclosure deadline to 60 days (forcing the lienor to sue quickly or lose the lien).</w:t>
      </w:r>
    </w:p>
    <w:p>
      <w:pPr>
        <w:pStyle w:val="BodyText"/>
        <w:numPr>
          <w:ilvl w:val="2"/>
          <w:numId w:val="7"/>
        </w:numPr>
        <w:tabs>
          <w:tab w:val="clear" w:pos="709"/>
          <w:tab w:val="left" w:pos="2127" w:leader="none"/>
        </w:tabs>
        <w:bidi w:val="0"/>
        <w:ind w:hanging="283" w:start="2127"/>
        <w:jc w:val="start"/>
        <w:rPr/>
      </w:pPr>
      <w:r>
        <w:rPr/>
        <w:t xml:space="preserve">Alternatively, </w:t>
      </w:r>
      <w:r>
        <w:rPr>
          <w:rStyle w:val="Strong"/>
        </w:rPr>
        <w:t>transfer the lien to a bond</w:t>
      </w:r>
      <w:r>
        <w:rPr/>
        <w:t xml:space="preserve"> by obtaining a lien transfer bond (note: HB 331 increased the required bond amount to lien amount + 3 years interest + $5,000 or 25%, up from $1,000 or 25%)</w:t>
      </w:r>
      <w:hyperlink r:id="rId132" w:anchor=":~:text=,lien%20and%20a%20certificate%20of" w:tgtFrame="_blank">
        <w:r>
          <w:rPr>
            <w:rStyle w:val="Hyperlink"/>
          </w:rPr>
          <w:t>flsenate.gov</w:t>
        </w:r>
      </w:hyperlink>
      <w:hyperlink r:id="rId133" w:anchor=":~:text=clerk%E2%80%99s%20office%20to%20transfer%20a,of%20the%20recorded%20notice%20on" w:tgtFrame="_blank">
        <w:r>
          <w:rPr>
            <w:rStyle w:val="Hyperlink"/>
          </w:rPr>
          <w:t>flsenate.gov</w:t>
        </w:r>
      </w:hyperlink>
      <w:r>
        <w:rPr/>
        <w:t>.</w:t>
      </w:r>
    </w:p>
    <w:p>
      <w:pPr>
        <w:pStyle w:val="BodyText"/>
        <w:numPr>
          <w:ilvl w:val="2"/>
          <w:numId w:val="7"/>
        </w:numPr>
        <w:tabs>
          <w:tab w:val="clear" w:pos="709"/>
          <w:tab w:val="left" w:pos="2127" w:leader="none"/>
        </w:tabs>
        <w:bidi w:val="0"/>
        <w:ind w:hanging="283" w:start="2127"/>
        <w:jc w:val="start"/>
        <w:rPr/>
      </w:pPr>
      <w:r>
        <w:rPr/>
        <w:t>Engage in settlement negotiations or withhold payment if the lien is due to a subcontractor not paid by the contractor (the owner may use the contractor’s breach as a defense or counterclaim).</w:t>
      </w:r>
    </w:p>
    <w:p>
      <w:pPr>
        <w:pStyle w:val="BodyText"/>
        <w:numPr>
          <w:ilvl w:val="2"/>
          <w:numId w:val="7"/>
        </w:numPr>
        <w:tabs>
          <w:tab w:val="clear" w:pos="709"/>
          <w:tab w:val="left" w:pos="2127" w:leader="none"/>
        </w:tabs>
        <w:bidi w:val="0"/>
        <w:ind w:hanging="283" w:start="2127"/>
        <w:jc w:val="start"/>
        <w:rPr/>
      </w:pPr>
      <w:r>
        <w:rPr/>
        <w:t>If the lien is invalid or exaggerated, seek its discharge through court (and possibly recover attorney’s fees as prevailing party</w:t>
      </w:r>
      <w:hyperlink r:id="rId134" w:anchor=":~:text=Chapter%20713,have%20been%20transferred%20to%20security" w:tgtFrame="_blank">
        <w:r>
          <w:rPr>
            <w:rStyle w:val="Hyperlink"/>
          </w:rPr>
          <w:t>bilzin.com</w:t>
        </w:r>
      </w:hyperlink>
      <w:r>
        <w:rPr/>
        <w:t>).</w:t>
      </w:r>
    </w:p>
    <w:p>
      <w:pPr>
        <w:pStyle w:val="BodyText"/>
        <w:numPr>
          <w:ilvl w:val="1"/>
          <w:numId w:val="7"/>
        </w:numPr>
        <w:tabs>
          <w:tab w:val="clear" w:pos="709"/>
          <w:tab w:val="left" w:pos="1418" w:leader="none"/>
        </w:tabs>
        <w:bidi w:val="0"/>
        <w:ind w:hanging="283" w:start="1418"/>
        <w:jc w:val="start"/>
        <w:rPr/>
      </w:pPr>
      <w:r>
        <w:rPr>
          <w:rStyle w:val="Strong"/>
        </w:rPr>
        <w:t>Construction Defect claims (Chapter 558):</w:t>
      </w:r>
      <w:r>
        <w:rPr/>
        <w:t xml:space="preserve"> After project completion (or even during warranty period), if the owner discovers any construction defects, they must follow the </w:t>
      </w:r>
      <w:r>
        <w:rPr>
          <w:rStyle w:val="Strong"/>
        </w:rPr>
        <w:t>Chapter 558 notice process</w:t>
      </w:r>
      <w:r>
        <w:rPr/>
        <w:t xml:space="preserve"> </w:t>
      </w:r>
      <w:r>
        <w:rPr>
          <w:rStyle w:val="Emphasis"/>
        </w:rPr>
        <w:t>before</w:t>
      </w:r>
      <w:r>
        <w:rPr/>
        <w:t xml:space="preserve"> filing any lawsuit or arbitration for defects</w:t>
      </w:r>
      <w:hyperlink r:id="rId135" w:anchor=":~:text=,with%20whom%20the%20claimant%20contracted" w:tgtFrame="_blank">
        <w:r>
          <w:rPr>
            <w:rStyle w:val="Hyperlink"/>
          </w:rPr>
          <w:t>flsenate.gov</w:t>
        </w:r>
      </w:hyperlink>
      <w:r>
        <w:rPr/>
        <w:t>.</w:t>
      </w:r>
    </w:p>
    <w:p>
      <w:pPr>
        <w:pStyle w:val="BodyText"/>
        <w:numPr>
          <w:ilvl w:val="2"/>
          <w:numId w:val="7"/>
        </w:numPr>
        <w:tabs>
          <w:tab w:val="clear" w:pos="709"/>
          <w:tab w:val="left" w:pos="2127" w:leader="none"/>
        </w:tabs>
        <w:bidi w:val="0"/>
        <w:ind w:hanging="283" w:start="2127"/>
        <w:jc w:val="start"/>
        <w:rPr/>
      </w:pPr>
      <w:r>
        <w:rPr/>
        <w:t xml:space="preserve">The owner serves a </w:t>
      </w:r>
      <w:r>
        <w:rPr>
          <w:rStyle w:val="Strong"/>
        </w:rPr>
        <w:t>558 Notice of Claim</w:t>
      </w:r>
      <w:r>
        <w:rPr/>
        <w:t xml:space="preserve"> describing defects.</w:t>
      </w:r>
    </w:p>
    <w:p>
      <w:pPr>
        <w:pStyle w:val="BodyText"/>
        <w:numPr>
          <w:ilvl w:val="2"/>
          <w:numId w:val="7"/>
        </w:numPr>
        <w:tabs>
          <w:tab w:val="clear" w:pos="709"/>
          <w:tab w:val="left" w:pos="2127" w:leader="none"/>
        </w:tabs>
        <w:bidi w:val="0"/>
        <w:ind w:hanging="283" w:start="2127"/>
        <w:jc w:val="start"/>
        <w:rPr/>
      </w:pPr>
      <w:r>
        <w:rPr/>
        <w:t>The contractor (and/or subs) have an opportunity to inspect and must respond with an offer to fix or other proposal within 45 days</w:t>
      </w:r>
      <w:hyperlink r:id="rId136" w:anchor=":~:text=How%20does%20a%20contractor%20respond,an%20appropriate%20reply%20may%20be" w:tgtFrame="_blank">
        <w:r>
          <w:rPr>
            <w:rStyle w:val="Hyperlink"/>
          </w:rPr>
          <w:t>floridahardhatlaw.com</w:t>
        </w:r>
      </w:hyperlink>
      <w:r>
        <w:rPr/>
        <w:t>.</w:t>
      </w:r>
    </w:p>
    <w:p>
      <w:pPr>
        <w:pStyle w:val="BodyText"/>
        <w:numPr>
          <w:ilvl w:val="2"/>
          <w:numId w:val="7"/>
        </w:numPr>
        <w:tabs>
          <w:tab w:val="clear" w:pos="709"/>
          <w:tab w:val="left" w:pos="2127" w:leader="none"/>
        </w:tabs>
        <w:bidi w:val="0"/>
        <w:ind w:hanging="283" w:start="2127"/>
        <w:jc w:val="start"/>
        <w:rPr/>
      </w:pPr>
      <w:r>
        <w:rPr/>
        <w:t>This process adds roughly 60 days (single home) or 120 days (for larger associations) to the timeline before any litigation. During that time, the parties might resolve the issue by repairs or settlement.</w:t>
      </w:r>
    </w:p>
    <w:p>
      <w:pPr>
        <w:pStyle w:val="BodyText"/>
        <w:numPr>
          <w:ilvl w:val="2"/>
          <w:numId w:val="7"/>
        </w:numPr>
        <w:tabs>
          <w:tab w:val="clear" w:pos="709"/>
          <w:tab w:val="left" w:pos="2127" w:leader="none"/>
        </w:tabs>
        <w:bidi w:val="0"/>
        <w:ind w:hanging="283" w:start="2127"/>
        <w:jc w:val="start"/>
        <w:rPr/>
      </w:pPr>
      <w:r>
        <w:rPr/>
        <w:t>If unresolved, after the notice period the owner can proceed with a construction defect lawsuit. (The Chapter 558 process does not directly affect lien rights, but often payment disputes and defect disputes intertwine – e.g. an owner might withhold final payment due to defects, triggering both lien claims by the contractor and defect claims by the owner. Both processes must be navigated in parallel.)</w:t>
      </w:r>
    </w:p>
    <w:p>
      <w:pPr>
        <w:pStyle w:val="BodyText"/>
        <w:numPr>
          <w:ilvl w:val="1"/>
          <w:numId w:val="7"/>
        </w:numPr>
        <w:tabs>
          <w:tab w:val="clear" w:pos="709"/>
          <w:tab w:val="left" w:pos="1418" w:leader="none"/>
        </w:tabs>
        <w:bidi w:val="0"/>
        <w:ind w:hanging="283" w:start="1418"/>
        <w:jc w:val="start"/>
        <w:rPr/>
      </w:pPr>
      <w:r>
        <w:rPr>
          <w:rStyle w:val="Strong"/>
        </w:rPr>
        <w:t>Warranty and Close-out:</w:t>
      </w:r>
      <w:r>
        <w:rPr/>
        <w:t xml:space="preserve"> Contractors may provide a separate warranty; any callbacks for repairs typically occur without litigation. If disputes are resolved amicably, no further legal notices are needed.</w:t>
      </w:r>
    </w:p>
    <w:p>
      <w:pPr>
        <w:pStyle w:val="BodyText"/>
        <w:bidi w:val="0"/>
        <w:jc w:val="start"/>
        <w:rPr/>
      </w:pPr>
      <w:r>
        <w:rPr>
          <w:rStyle w:val="Emphasis"/>
        </w:rPr>
        <w:t>(See the Compliance Checklist below for a one-page summary of key steps and responsibilities.)</w:t>
      </w:r>
    </w:p>
    <w:p>
      <w:pPr>
        <w:pStyle w:val="Heading2"/>
        <w:bidi w:val="0"/>
        <w:spacing w:lineRule="auto" w:line="276" w:before="0" w:after="140"/>
        <w:jc w:val="start"/>
        <w:rPr/>
      </w:pPr>
      <w:r>
        <w:rPr/>
        <w:t>Compliance Checklist for Contractors &amp; Platforms</w:t>
      </w:r>
    </w:p>
    <w:p>
      <w:pPr>
        <w:pStyle w:val="BodyText"/>
        <w:bidi w:val="0"/>
        <w:jc w:val="start"/>
        <w:rPr/>
      </w:pPr>
      <w:r>
        <w:rPr/>
        <w:t xml:space="preserve">This concise checklist distills the critical compliance steps under Florida’s lien law. </w:t>
      </w:r>
      <w:r>
        <w:rPr>
          <w:rStyle w:val="Strong"/>
        </w:rPr>
        <w:t>Contractors, project owners, and construction management software platforms</w:t>
      </w:r>
      <w:r>
        <w:rPr/>
        <w:t xml:space="preserve"> can use this as a workflow guide to ensure no statutory requirement is missed. (All references to days are calendar days unless otherwise noted.)</w:t>
      </w:r>
    </w:p>
    <w:p>
      <w:pPr>
        <w:pStyle w:val="BodyText"/>
        <w:numPr>
          <w:ilvl w:val="0"/>
          <w:numId w:val="8"/>
        </w:numPr>
        <w:tabs>
          <w:tab w:val="clear" w:pos="709"/>
          <w:tab w:val="left" w:pos="709" w:leader="none"/>
        </w:tabs>
        <w:bidi w:val="0"/>
        <w:ind w:hanging="283" w:start="709"/>
        <w:jc w:val="start"/>
        <w:rPr/>
      </w:pPr>
      <w:r>
        <w:rPr>
          <w:rStyle w:val="Strong"/>
        </w:rPr>
        <w:t>Before Work Begins:</w:t>
      </w:r>
    </w:p>
    <w:p>
      <w:pPr>
        <w:pStyle w:val="BodyText"/>
        <w:numPr>
          <w:ilvl w:val="1"/>
          <w:numId w:val="8"/>
        </w:numPr>
        <w:tabs>
          <w:tab w:val="clear" w:pos="709"/>
          <w:tab w:val="left" w:pos="1418" w:leader="none"/>
        </w:tabs>
        <w:bidi w:val="0"/>
        <w:ind w:hanging="283" w:start="1418"/>
        <w:jc w:val="start"/>
        <w:rPr/>
      </w:pPr>
      <w:r>
        <w:rPr>
          <w:rStyle w:val="Strong"/>
        </w:rPr>
        <w:t>Record Notice of Commencement (NOC)</w:t>
      </w:r>
      <w:r>
        <w:rPr/>
        <w:t xml:space="preserve"> (Owner to record &amp; sign, before first inspection)</w:t>
      </w:r>
      <w:hyperlink r:id="rId137" w:anchor=":~:text=WARNING%20TO%20OWNER%3A%20ANY%20PAYMENTS,RECORDING%20YOUR%20NOTICE%20OF%20COMMENCEMENT" w:tgtFrame="_blank">
        <w:r>
          <w:rPr>
            <w:rStyle w:val="Hyperlink"/>
          </w:rPr>
          <w:t>m.flsenate.gov</w:t>
        </w:r>
      </w:hyperlink>
      <w:r>
        <w:rPr/>
        <w:t>. Attach any payment bond to the NOC</w:t>
      </w:r>
      <w:hyperlink r:id="rId138" w:anchor=":~:text=,limits%20for%20serving%20any%20required" w:tgtFrame="_blank">
        <w:r>
          <w:rPr>
            <w:rStyle w:val="Hyperlink"/>
          </w:rPr>
          <w:t>m.flsenate.gov</w:t>
        </w:r>
      </w:hyperlink>
      <w:r>
        <w:rPr/>
        <w:t>. Post a copy of NOC at job site.</w:t>
      </w:r>
    </w:p>
    <w:p>
      <w:pPr>
        <w:pStyle w:val="BodyText"/>
        <w:numPr>
          <w:ilvl w:val="1"/>
          <w:numId w:val="8"/>
        </w:numPr>
        <w:tabs>
          <w:tab w:val="clear" w:pos="709"/>
          <w:tab w:val="left" w:pos="1418" w:leader="none"/>
        </w:tabs>
        <w:bidi w:val="0"/>
        <w:ind w:hanging="283" w:start="1418"/>
        <w:jc w:val="start"/>
        <w:rPr/>
      </w:pPr>
      <w:r>
        <w:rPr>
          <w:rStyle w:val="Strong"/>
        </w:rPr>
        <w:t>File NOC with Permit</w:t>
      </w:r>
      <w:r>
        <w:rPr/>
        <w:t xml:space="preserve"> (If contract &gt; $5,000, file certified copy with building department before starting)</w:t>
      </w:r>
      <w:hyperlink r:id="rId139" w:anchor=":~:text=Chapter%20713,amount%20from%20%242%2C500%20to%20%245%2C000" w:tgtFrame="_blank">
        <w:r>
          <w:rPr>
            <w:rStyle w:val="Hyperlink"/>
          </w:rPr>
          <w:t>bilzin.com</w:t>
        </w:r>
      </w:hyperlink>
      <w:r>
        <w:rPr/>
        <w:t>.</w:t>
      </w:r>
    </w:p>
    <w:p>
      <w:pPr>
        <w:pStyle w:val="BodyText"/>
        <w:numPr>
          <w:ilvl w:val="1"/>
          <w:numId w:val="8"/>
        </w:numPr>
        <w:tabs>
          <w:tab w:val="clear" w:pos="709"/>
          <w:tab w:val="left" w:pos="1418" w:leader="none"/>
        </w:tabs>
        <w:bidi w:val="0"/>
        <w:ind w:hanging="283" w:start="1418"/>
        <w:jc w:val="start"/>
        <w:rPr/>
      </w:pPr>
      <w:r>
        <w:rPr>
          <w:rStyle w:val="Strong"/>
        </w:rPr>
        <w:t>Obtain multiple copies</w:t>
      </w:r>
      <w:r>
        <w:rPr/>
        <w:t xml:space="preserve"> of the recorded NOC to distribute to contractor and major subs/suppliers.</w:t>
      </w:r>
    </w:p>
    <w:p>
      <w:pPr>
        <w:pStyle w:val="BodyText"/>
        <w:numPr>
          <w:ilvl w:val="0"/>
          <w:numId w:val="8"/>
        </w:numPr>
        <w:tabs>
          <w:tab w:val="clear" w:pos="709"/>
          <w:tab w:val="left" w:pos="709" w:leader="none"/>
        </w:tabs>
        <w:bidi w:val="0"/>
        <w:ind w:hanging="283" w:start="709"/>
        <w:jc w:val="start"/>
        <w:rPr/>
      </w:pPr>
      <w:r>
        <w:rPr>
          <w:rStyle w:val="Strong"/>
        </w:rPr>
        <w:t>When Subcontractors/Suppliers Begin Work:</w:t>
      </w:r>
    </w:p>
    <w:p>
      <w:pPr>
        <w:pStyle w:val="BodyText"/>
        <w:numPr>
          <w:ilvl w:val="1"/>
          <w:numId w:val="8"/>
        </w:numPr>
        <w:tabs>
          <w:tab w:val="clear" w:pos="709"/>
          <w:tab w:val="left" w:pos="1418" w:leader="none"/>
        </w:tabs>
        <w:bidi w:val="0"/>
        <w:ind w:hanging="283" w:start="1418"/>
        <w:jc w:val="start"/>
        <w:rPr/>
      </w:pPr>
      <w:r>
        <w:rPr>
          <w:rStyle w:val="Strong"/>
        </w:rPr>
        <w:t>Collect Notices to Owner (NTO)</w:t>
      </w:r>
      <w:r>
        <w:rPr/>
        <w:t xml:space="preserve"> from all subs, sub-subs, and suppliers </w:t>
      </w:r>
      <w:r>
        <w:rPr>
          <w:rStyle w:val="Strong"/>
        </w:rPr>
        <w:t>within 45 days of their start</w:t>
      </w:r>
      <w:hyperlink r:id="rId140" w:anchor=":~:text=shall%20serve%20the%20notice%20to,over%20other%20lienors%20in%20the" w:tgtFrame="_blank">
        <w:r>
          <w:rPr>
            <w:rStyle w:val="Hyperlink"/>
          </w:rPr>
          <w:t>flsenate.gov</w:t>
        </w:r>
      </w:hyperlink>
      <w:r>
        <w:rPr/>
        <w:t>. (Subcontractors/Suppliers: ensure you serve the Owner (and copy the Contractor) your NTO by certified mail or delivery).</w:t>
      </w:r>
    </w:p>
    <w:p>
      <w:pPr>
        <w:pStyle w:val="BodyText"/>
        <w:numPr>
          <w:ilvl w:val="1"/>
          <w:numId w:val="8"/>
        </w:numPr>
        <w:tabs>
          <w:tab w:val="clear" w:pos="709"/>
          <w:tab w:val="left" w:pos="1418" w:leader="none"/>
        </w:tabs>
        <w:bidi w:val="0"/>
        <w:ind w:hanging="283" w:start="1418"/>
        <w:jc w:val="start"/>
        <w:rPr/>
      </w:pPr>
      <w:r>
        <w:rPr>
          <w:rStyle w:val="Strong"/>
        </w:rPr>
        <w:t>Log all NTOs</w:t>
      </w:r>
      <w:r>
        <w:rPr/>
        <w:t xml:space="preserve"> in a tracking system (date received, sending party). If an NTO is misaddressed or info is wrong, flag it, but remember even with minor errors an NTO may still be enforceable if not prejudicial</w:t>
      </w:r>
      <w:hyperlink r:id="rId141" w:anchor=":~:text=,a" w:tgtFrame="_blank">
        <w:r>
          <w:rPr>
            <w:rStyle w:val="Hyperlink"/>
          </w:rPr>
          <w:t>flsenate.gov</w:t>
        </w:r>
      </w:hyperlink>
      <w:r>
        <w:rPr/>
        <w:t>.</w:t>
      </w:r>
    </w:p>
    <w:p>
      <w:pPr>
        <w:pStyle w:val="BodyText"/>
        <w:numPr>
          <w:ilvl w:val="1"/>
          <w:numId w:val="8"/>
        </w:numPr>
        <w:tabs>
          <w:tab w:val="clear" w:pos="709"/>
          <w:tab w:val="left" w:pos="1418" w:leader="none"/>
        </w:tabs>
        <w:bidi w:val="0"/>
        <w:ind w:hanging="283" w:start="1418"/>
        <w:jc w:val="start"/>
        <w:rPr/>
      </w:pPr>
      <w:r>
        <w:rPr>
          <w:rStyle w:val="Strong"/>
        </w:rPr>
        <w:t>If no NOC was recorded</w:t>
      </w:r>
      <w:r>
        <w:rPr/>
        <w:t xml:space="preserve"> (e.g., for very small projects), subs can rely on building permit info</w:t>
      </w:r>
      <w:hyperlink r:id="rId142" w:anchor=":~:text=,c" w:tgtFrame="_blank">
        <w:r>
          <w:rPr>
            <w:rStyle w:val="Hyperlink"/>
          </w:rPr>
          <w:t>flsenate.gov</w:t>
        </w:r>
      </w:hyperlink>
      <w:r>
        <w:rPr/>
        <w:t xml:space="preserve"> – but owners should almost always have an NOC for protection.</w:t>
      </w:r>
    </w:p>
    <w:p>
      <w:pPr>
        <w:pStyle w:val="BodyText"/>
        <w:numPr>
          <w:ilvl w:val="0"/>
          <w:numId w:val="8"/>
        </w:numPr>
        <w:tabs>
          <w:tab w:val="clear" w:pos="709"/>
          <w:tab w:val="left" w:pos="709" w:leader="none"/>
        </w:tabs>
        <w:bidi w:val="0"/>
        <w:ind w:hanging="283" w:start="709"/>
        <w:jc w:val="start"/>
        <w:rPr/>
      </w:pPr>
      <w:r>
        <w:rPr>
          <w:rStyle w:val="Strong"/>
        </w:rPr>
        <w:t>During Construction (Each Payment Cycle):</w:t>
      </w:r>
    </w:p>
    <w:p>
      <w:pPr>
        <w:pStyle w:val="BodyText"/>
        <w:numPr>
          <w:ilvl w:val="1"/>
          <w:numId w:val="8"/>
        </w:numPr>
        <w:tabs>
          <w:tab w:val="clear" w:pos="709"/>
          <w:tab w:val="left" w:pos="1418" w:leader="none"/>
        </w:tabs>
        <w:bidi w:val="0"/>
        <w:ind w:hanging="283" w:start="1418"/>
        <w:jc w:val="start"/>
        <w:rPr/>
      </w:pPr>
      <w:r>
        <w:rPr>
          <w:rStyle w:val="Strong"/>
        </w:rPr>
        <w:t>Interim lien waivers</w:t>
      </w:r>
      <w:r>
        <w:rPr/>
        <w:t xml:space="preserve">: Require </w:t>
      </w:r>
      <w:r>
        <w:rPr>
          <w:rStyle w:val="Strong"/>
        </w:rPr>
        <w:t>Partial Lien Waivers</w:t>
      </w:r>
      <w:r>
        <w:rPr/>
        <w:t xml:space="preserve"> from contractor and subs up to amount paid through each draw (use statutory “Progress Payment” waiver form)</w:t>
      </w:r>
      <w:hyperlink r:id="rId143" w:anchor=":~:text=,in%20substantially%20the%20following%20form" w:tgtFrame="_blank">
        <w:r>
          <w:rPr>
            <w:rStyle w:val="Hyperlink"/>
          </w:rPr>
          <w:t>flsenate.gov</w:t>
        </w:r>
      </w:hyperlink>
      <w:r>
        <w:rPr/>
        <w:t>.</w:t>
      </w:r>
    </w:p>
    <w:p>
      <w:pPr>
        <w:pStyle w:val="BodyText"/>
        <w:numPr>
          <w:ilvl w:val="1"/>
          <w:numId w:val="8"/>
        </w:numPr>
        <w:tabs>
          <w:tab w:val="clear" w:pos="709"/>
          <w:tab w:val="left" w:pos="1418" w:leader="none"/>
        </w:tabs>
        <w:bidi w:val="0"/>
        <w:ind w:hanging="283" w:start="1418"/>
        <w:jc w:val="start"/>
        <w:rPr/>
      </w:pPr>
      <w:r>
        <w:rPr>
          <w:rStyle w:val="Strong"/>
        </w:rPr>
        <w:t>Contractor’s interim affidavit (if required)</w:t>
      </w:r>
      <w:r>
        <w:rPr/>
        <w:t>: Owner may request a partial payment affidavit listing any unpaid bills before issuing a progress payment</w:t>
      </w:r>
      <w:hyperlink r:id="rId144" w:anchor=":~:text=except%20the%20final%20payment%3A" w:tgtFrame="_blank">
        <w:r>
          <w:rPr>
            <w:rStyle w:val="Hyperlink"/>
          </w:rPr>
          <w:t>flsenate.gov</w:t>
        </w:r>
      </w:hyperlink>
      <w:r>
        <w:rPr/>
        <w:t>. (Contractors: provide this on request; platforms can automate an affidavit form each pay period.)</w:t>
      </w:r>
    </w:p>
    <w:p>
      <w:pPr>
        <w:pStyle w:val="BodyText"/>
        <w:numPr>
          <w:ilvl w:val="1"/>
          <w:numId w:val="8"/>
        </w:numPr>
        <w:tabs>
          <w:tab w:val="clear" w:pos="709"/>
          <w:tab w:val="left" w:pos="1418" w:leader="none"/>
        </w:tabs>
        <w:bidi w:val="0"/>
        <w:ind w:hanging="283" w:start="1418"/>
        <w:jc w:val="start"/>
        <w:rPr/>
      </w:pPr>
      <w:r>
        <w:rPr>
          <w:rStyle w:val="Strong"/>
        </w:rPr>
        <w:t>Verify Notices to Owner</w:t>
      </w:r>
      <w:r>
        <w:rPr/>
        <w:t xml:space="preserve">: Before releasing a payment, ensure you have NTOs on file for all subs/material suppliers on that pay application. </w:t>
      </w:r>
      <w:r>
        <w:rPr>
          <w:rStyle w:val="Strong"/>
        </w:rPr>
        <w:t>Do not pay for work from an NTO-sub until you have their waiver for prior payments</w:t>
      </w:r>
      <w:r>
        <w:rPr/>
        <w:t xml:space="preserve"> (or will include them in joint check)</w:t>
      </w:r>
      <w:hyperlink r:id="rId145" w:anchor=":~:text=UNDER%20FLORIDA%20LAW%2C%20YOUR%20FAILURE,PROPERTY%20AND%20YOUR%20PAYING%20TWICE" w:tgtFrame="_blank">
        <w:r>
          <w:rPr>
            <w:rStyle w:val="Hyperlink"/>
          </w:rPr>
          <w:t>flsenate.gov</w:t>
        </w:r>
      </w:hyperlink>
      <w:r>
        <w:rPr/>
        <w:t>.</w:t>
      </w:r>
    </w:p>
    <w:p>
      <w:pPr>
        <w:pStyle w:val="BodyText"/>
        <w:numPr>
          <w:ilvl w:val="1"/>
          <w:numId w:val="8"/>
        </w:numPr>
        <w:tabs>
          <w:tab w:val="clear" w:pos="709"/>
          <w:tab w:val="left" w:pos="1418" w:leader="none"/>
        </w:tabs>
        <w:bidi w:val="0"/>
        <w:ind w:hanging="283" w:start="1418"/>
        <w:jc w:val="start"/>
        <w:rPr/>
      </w:pPr>
      <w:r>
        <w:rPr>
          <w:rStyle w:val="Strong"/>
        </w:rPr>
        <w:t>Proper payment distribution</w:t>
      </w:r>
      <w:r>
        <w:rPr/>
        <w:t xml:space="preserve">: For each draw, Owner (or construction loan admin) must </w:t>
      </w:r>
      <w:r>
        <w:rPr>
          <w:rStyle w:val="Strong"/>
        </w:rPr>
        <w:t>pay all lienors who gave NTO</w:t>
      </w:r>
      <w:r>
        <w:rPr/>
        <w:t xml:space="preserve"> to avoid lien exposure</w:t>
      </w:r>
      <w:hyperlink r:id="rId146" w:anchor=":~:text=except%20the%20final%20payment%3A" w:tgtFrame="_blank">
        <w:r>
          <w:rPr>
            <w:rStyle w:val="Hyperlink"/>
          </w:rPr>
          <w:t>flsenate.gov</w:t>
        </w:r>
      </w:hyperlink>
      <w:r>
        <w:rPr/>
        <w:t xml:space="preserve">. If draw funds are limited, </w:t>
      </w:r>
      <w:r>
        <w:rPr>
          <w:rStyle w:val="Strong"/>
        </w:rPr>
        <w:t>prorate payment among NTO lienors</w:t>
      </w:r>
      <w:r>
        <w:rPr/>
        <w:t xml:space="preserve"> as required</w:t>
      </w:r>
      <w:hyperlink r:id="rId147" w:anchor=":~:text=time%20of%20making%20a%20payment" w:tgtFrame="_blank">
        <w:r>
          <w:rPr>
            <w:rStyle w:val="Hyperlink"/>
          </w:rPr>
          <w:t>flsenate.gov</w:t>
        </w:r>
      </w:hyperlink>
      <w:r>
        <w:rPr/>
        <w:t xml:space="preserve"> and document it. Never ignore an NTO and pay the contractor in full without addressing that sub – that would be an improper payment as to that lienor.</w:t>
      </w:r>
    </w:p>
    <w:p>
      <w:pPr>
        <w:pStyle w:val="BodyText"/>
        <w:numPr>
          <w:ilvl w:val="1"/>
          <w:numId w:val="8"/>
        </w:numPr>
        <w:tabs>
          <w:tab w:val="clear" w:pos="709"/>
          <w:tab w:val="left" w:pos="1418" w:leader="none"/>
        </w:tabs>
        <w:bidi w:val="0"/>
        <w:ind w:hanging="283" w:start="1418"/>
        <w:jc w:val="start"/>
        <w:rPr/>
      </w:pPr>
      <w:r>
        <w:rPr>
          <w:rStyle w:val="Strong"/>
        </w:rPr>
        <w:t>Retain receipts</w:t>
      </w:r>
      <w:r>
        <w:rPr/>
        <w:t xml:space="preserve"> of all sent and received notices (NTOs, etc.), and proof of service (certified mail slips, etc.) in the project file.</w:t>
      </w:r>
    </w:p>
    <w:p>
      <w:pPr>
        <w:pStyle w:val="BodyText"/>
        <w:numPr>
          <w:ilvl w:val="0"/>
          <w:numId w:val="8"/>
        </w:numPr>
        <w:tabs>
          <w:tab w:val="clear" w:pos="709"/>
          <w:tab w:val="left" w:pos="709" w:leader="none"/>
        </w:tabs>
        <w:bidi w:val="0"/>
        <w:ind w:hanging="283" w:start="709"/>
        <w:jc w:val="start"/>
        <w:rPr/>
      </w:pPr>
      <w:r>
        <w:rPr>
          <w:rStyle w:val="Strong"/>
        </w:rPr>
        <w:t>Close-Out (Project Completion):</w:t>
      </w:r>
    </w:p>
    <w:p>
      <w:pPr>
        <w:pStyle w:val="BodyText"/>
        <w:numPr>
          <w:ilvl w:val="1"/>
          <w:numId w:val="8"/>
        </w:numPr>
        <w:tabs>
          <w:tab w:val="clear" w:pos="709"/>
          <w:tab w:val="left" w:pos="1418" w:leader="none"/>
        </w:tabs>
        <w:bidi w:val="0"/>
        <w:ind w:hanging="283" w:start="1418"/>
        <w:jc w:val="start"/>
        <w:rPr/>
      </w:pPr>
      <w:r>
        <w:rPr>
          <w:rStyle w:val="Strong"/>
        </w:rPr>
        <w:t>Prepare Contractor’s Final Payment Affidavit</w:t>
      </w:r>
      <w:r>
        <w:rPr/>
        <w:t xml:space="preserve"> (Contractor to Owner) listing all unpaid lienors (with NTOs) and amounts due</w:t>
      </w:r>
      <w:hyperlink r:id="rId148" w:anchor=":~:text=,contract%20becomes%20due%20the%20contractor" w:tgtFrame="_blank">
        <w:r>
          <w:rPr>
            <w:rStyle w:val="Hyperlink"/>
          </w:rPr>
          <w:t>flsenate.gov</w:t>
        </w:r>
      </w:hyperlink>
      <w:r>
        <w:rPr/>
        <w:t xml:space="preserve">. Provide this to Owner </w:t>
      </w:r>
      <w:r>
        <w:rPr>
          <w:rStyle w:val="Emphasis"/>
        </w:rPr>
        <w:t>before final payment is made</w:t>
      </w:r>
      <w:r>
        <w:rPr/>
        <w:t>. (Contractor must also swear to this at least 5 days before filing any lien lawsuit)</w:t>
      </w:r>
      <w:hyperlink r:id="rId149" w:anchor=":~:text=The%20contractor%20shall%20have%20no,terminated%20for%20a%20reason%20other" w:tgtFrame="_blank">
        <w:r>
          <w:rPr>
            <w:rStyle w:val="Hyperlink"/>
          </w:rPr>
          <w:t>flsenate.gov</w:t>
        </w:r>
      </w:hyperlink>
      <w:r>
        <w:rPr/>
        <w:t>.</w:t>
      </w:r>
    </w:p>
    <w:p>
      <w:pPr>
        <w:pStyle w:val="BodyText"/>
        <w:numPr>
          <w:ilvl w:val="1"/>
          <w:numId w:val="8"/>
        </w:numPr>
        <w:tabs>
          <w:tab w:val="clear" w:pos="709"/>
          <w:tab w:val="left" w:pos="1418" w:leader="none"/>
        </w:tabs>
        <w:bidi w:val="0"/>
        <w:ind w:hanging="283" w:start="1418"/>
        <w:jc w:val="start"/>
        <w:rPr/>
      </w:pPr>
      <w:r>
        <w:rPr>
          <w:rStyle w:val="Strong"/>
        </w:rPr>
        <w:t>Collect Final Lien Waivers</w:t>
      </w:r>
      <w:r>
        <w:rPr/>
        <w:t xml:space="preserve"> from all subs/suppliers for whom final payment is being made (use statutory final payment waiver form)</w:t>
      </w:r>
      <w:hyperlink r:id="rId150" w:anchor=":~:text=WAIVER%20AND%20RELEASE%20OF%20LIEN,UPON%20FINAL%20PAYMENT" w:tgtFrame="_blank">
        <w:r>
          <w:rPr>
            <w:rStyle w:val="Hyperlink"/>
          </w:rPr>
          <w:t>flsenate.gov</w:t>
        </w:r>
      </w:hyperlink>
      <w:r>
        <w:rPr/>
        <w:t>. Also obtain a Final Release from the Contractor upon paying them in full.</w:t>
      </w:r>
    </w:p>
    <w:p>
      <w:pPr>
        <w:pStyle w:val="BodyText"/>
        <w:numPr>
          <w:ilvl w:val="1"/>
          <w:numId w:val="8"/>
        </w:numPr>
        <w:tabs>
          <w:tab w:val="clear" w:pos="709"/>
          <w:tab w:val="left" w:pos="1418" w:leader="none"/>
        </w:tabs>
        <w:bidi w:val="0"/>
        <w:ind w:hanging="283" w:start="1418"/>
        <w:jc w:val="start"/>
        <w:rPr/>
      </w:pPr>
      <w:r>
        <w:rPr>
          <w:rStyle w:val="Strong"/>
        </w:rPr>
        <w:t>Owner’s final payment checklist</w:t>
      </w:r>
      <w:r>
        <w:rPr/>
        <w:t>:</w:t>
      </w:r>
    </w:p>
    <w:p>
      <w:pPr>
        <w:pStyle w:val="BodyText"/>
        <w:numPr>
          <w:ilvl w:val="2"/>
          <w:numId w:val="8"/>
        </w:numPr>
        <w:tabs>
          <w:tab w:val="clear" w:pos="709"/>
          <w:tab w:val="left" w:pos="2127" w:leader="none"/>
        </w:tabs>
        <w:bidi w:val="0"/>
        <w:ind w:hanging="283" w:start="2127"/>
        <w:jc w:val="start"/>
        <w:rPr/>
      </w:pPr>
      <w:r>
        <w:rPr/>
        <w:t>Confirm all subs/suppliers with NTO have either been paid in full or are listed on the Contractor’s affidavit with an amount due.</w:t>
      </w:r>
    </w:p>
    <w:p>
      <w:pPr>
        <w:pStyle w:val="BodyText"/>
        <w:numPr>
          <w:ilvl w:val="2"/>
          <w:numId w:val="8"/>
        </w:numPr>
        <w:tabs>
          <w:tab w:val="clear" w:pos="709"/>
          <w:tab w:val="left" w:pos="2127" w:leader="none"/>
        </w:tabs>
        <w:bidi w:val="0"/>
        <w:ind w:hanging="283" w:start="2127"/>
        <w:jc w:val="start"/>
        <w:rPr/>
      </w:pPr>
      <w:r>
        <w:rPr/>
        <w:t xml:space="preserve">If any lienors are listed as unpaid on the affidavit: </w:t>
      </w:r>
      <w:r>
        <w:rPr>
          <w:rStyle w:val="Strong"/>
        </w:rPr>
        <w:t>withhold sufficient funds</w:t>
      </w:r>
      <w:r>
        <w:rPr/>
        <w:t xml:space="preserve"> from the contractor’s payment to pay those lienors</w:t>
      </w:r>
      <w:hyperlink r:id="rId151" w:anchor=":~:text=2,or%20by%20any%20other%20person" w:tgtFrame="_blank">
        <w:r>
          <w:rPr>
            <w:rStyle w:val="Hyperlink"/>
          </w:rPr>
          <w:t>flsenate.gov</w:t>
        </w:r>
      </w:hyperlink>
      <w:r>
        <w:rPr/>
        <w:t>. Either pay them directly (after giving contractor notice and 10 days to pay)</w:t>
      </w:r>
      <w:hyperlink r:id="rId152" w:anchor=":~:text=2,or%20by%20any%20other%20person" w:tgtFrame="_blank">
        <w:r>
          <w:rPr>
            <w:rStyle w:val="Hyperlink"/>
          </w:rPr>
          <w:t>flsenate.gov</w:t>
        </w:r>
      </w:hyperlink>
      <w:r>
        <w:rPr/>
        <w:t xml:space="preserve"> or issue joint checks at closing.</w:t>
      </w:r>
    </w:p>
    <w:p>
      <w:pPr>
        <w:pStyle w:val="BodyText"/>
        <w:numPr>
          <w:ilvl w:val="2"/>
          <w:numId w:val="8"/>
        </w:numPr>
        <w:tabs>
          <w:tab w:val="clear" w:pos="709"/>
          <w:tab w:val="left" w:pos="2127" w:leader="none"/>
        </w:tabs>
        <w:bidi w:val="0"/>
        <w:ind w:hanging="283" w:start="2127"/>
        <w:jc w:val="start"/>
        <w:rPr/>
      </w:pPr>
      <w:r>
        <w:rPr/>
        <w:t>Ensure no new NTOs have arrived late that weren’t accounted for (if so, include them in payment distribution).</w:t>
      </w:r>
    </w:p>
    <w:p>
      <w:pPr>
        <w:pStyle w:val="BodyText"/>
        <w:numPr>
          <w:ilvl w:val="2"/>
          <w:numId w:val="8"/>
        </w:numPr>
        <w:tabs>
          <w:tab w:val="clear" w:pos="709"/>
          <w:tab w:val="left" w:pos="2127" w:leader="none"/>
        </w:tabs>
        <w:bidi w:val="0"/>
        <w:ind w:hanging="283" w:start="2127"/>
        <w:jc w:val="start"/>
        <w:rPr/>
      </w:pPr>
      <w:r>
        <w:rPr/>
        <w:t>Verify the final affidavit has been provided and is signed/notarized.</w:t>
      </w:r>
    </w:p>
    <w:p>
      <w:pPr>
        <w:pStyle w:val="BodyText"/>
        <w:numPr>
          <w:ilvl w:val="1"/>
          <w:numId w:val="8"/>
        </w:numPr>
        <w:tabs>
          <w:tab w:val="clear" w:pos="709"/>
          <w:tab w:val="left" w:pos="1418" w:leader="none"/>
        </w:tabs>
        <w:bidi w:val="0"/>
        <w:ind w:hanging="283" w:start="1418"/>
        <w:jc w:val="start"/>
        <w:rPr/>
      </w:pPr>
      <w:r>
        <w:rPr>
          <w:rStyle w:val="Strong"/>
        </w:rPr>
        <w:t>Make Final Payment</w:t>
      </w:r>
      <w:r>
        <w:rPr/>
        <w:t xml:space="preserve"> to contractor </w:t>
      </w:r>
      <w:r>
        <w:rPr>
          <w:rStyle w:val="Emphasis"/>
        </w:rPr>
        <w:t>only after</w:t>
      </w:r>
      <w:r>
        <w:rPr/>
        <w:t xml:space="preserve"> the above conditions are met</w:t>
      </w:r>
      <w:hyperlink r:id="rId153" w:anchor=":~:text=5,been%20furnished%20to%20the%20owner" w:tgtFrame="_blank">
        <w:r>
          <w:rPr>
            <w:rStyle w:val="Hyperlink"/>
          </w:rPr>
          <w:t>flsenate.gov</w:t>
        </w:r>
      </w:hyperlink>
      <w:r>
        <w:rPr/>
        <w:t xml:space="preserve">. The owner should not release final funds without the final affidavit – by law the owner must </w:t>
      </w:r>
      <w:r>
        <w:rPr>
          <w:rStyle w:val="Strong"/>
        </w:rPr>
        <w:t>retain final payment until affidavit is received</w:t>
      </w:r>
      <w:hyperlink r:id="rId154" w:anchor=":~:text=5,been%20furnished%20to%20the%20owner" w:tgtFrame="_blank">
        <w:r>
          <w:rPr>
            <w:rStyle w:val="Hyperlink"/>
          </w:rPr>
          <w:t>flsenate.gov</w:t>
        </w:r>
      </w:hyperlink>
      <w:r>
        <w:rPr/>
        <w:t>.</w:t>
      </w:r>
    </w:p>
    <w:p>
      <w:pPr>
        <w:pStyle w:val="BodyText"/>
        <w:numPr>
          <w:ilvl w:val="1"/>
          <w:numId w:val="8"/>
        </w:numPr>
        <w:tabs>
          <w:tab w:val="clear" w:pos="709"/>
          <w:tab w:val="left" w:pos="1418" w:leader="none"/>
        </w:tabs>
        <w:bidi w:val="0"/>
        <w:ind w:hanging="283" w:start="1418"/>
        <w:jc w:val="start"/>
        <w:rPr/>
      </w:pPr>
      <w:r>
        <w:rPr>
          <w:rStyle w:val="Strong"/>
        </w:rPr>
        <w:t>Record Notice of Termination</w:t>
      </w:r>
      <w:r>
        <w:rPr/>
        <w:t xml:space="preserve"> of NOC (Owner, optional but recommended if NOC still has long duration). Before recording: </w:t>
      </w:r>
      <w:r>
        <w:rPr>
          <w:rStyle w:val="Strong"/>
        </w:rPr>
        <w:t>serve all known lienors</w:t>
      </w:r>
      <w:r>
        <w:rPr/>
        <w:t xml:space="preserve"> (those with contract or NTO) with a copy</w:t>
      </w:r>
      <w:hyperlink r:id="rId155" w:anchor=":~:text=,termination%20as%20the%20date%20on" w:tgtFrame="_blank">
        <w:r>
          <w:rPr>
            <w:rStyle w:val="Hyperlink"/>
          </w:rPr>
          <w:t>flsenate.gov</w:t>
        </w:r>
      </w:hyperlink>
      <w:r>
        <w:rPr/>
        <w:t>. Attach Contractor’s final affidavit. Specify a termination date ≥30 days out</w:t>
      </w:r>
      <w:hyperlink r:id="rId156" w:anchor=":~:text=,notice%20of%20termination%20is%20recorded" w:tgtFrame="_blank">
        <w:r>
          <w:rPr>
            <w:rStyle w:val="Hyperlink"/>
          </w:rPr>
          <w:t>flsenate.gov</w:t>
        </w:r>
      </w:hyperlink>
      <w:r>
        <w:rPr/>
        <w:t>. Record in county records to officially close the NOC period.</w:t>
      </w:r>
    </w:p>
    <w:p>
      <w:pPr>
        <w:pStyle w:val="BodyText"/>
        <w:numPr>
          <w:ilvl w:val="1"/>
          <w:numId w:val="8"/>
        </w:numPr>
        <w:tabs>
          <w:tab w:val="clear" w:pos="709"/>
          <w:tab w:val="left" w:pos="1418" w:leader="none"/>
        </w:tabs>
        <w:bidi w:val="0"/>
        <w:ind w:hanging="283" w:start="1418"/>
        <w:jc w:val="start"/>
        <w:rPr/>
      </w:pPr>
      <w:r>
        <w:rPr>
          <w:rStyle w:val="Strong"/>
        </w:rPr>
        <w:t>Secure all documentation</w:t>
      </w:r>
      <w:r>
        <w:rPr/>
        <w:t>: Make sure the project file contains: recorded NOC, all NTOs and proofs of service, all interim and final lien waivers, Contractor’s Final Affidavit, Notice of Termination (if any), and any payment bond info. These will be vital if any disputes arise.</w:t>
      </w:r>
    </w:p>
    <w:p>
      <w:pPr>
        <w:pStyle w:val="BodyText"/>
        <w:numPr>
          <w:ilvl w:val="0"/>
          <w:numId w:val="8"/>
        </w:numPr>
        <w:tabs>
          <w:tab w:val="clear" w:pos="709"/>
          <w:tab w:val="left" w:pos="709" w:leader="none"/>
        </w:tabs>
        <w:bidi w:val="0"/>
        <w:ind w:hanging="283" w:start="709"/>
        <w:jc w:val="start"/>
        <w:rPr/>
      </w:pPr>
      <w:r>
        <w:rPr>
          <w:rStyle w:val="Strong"/>
        </w:rPr>
        <w:t>If a Lienor (sub or supplier) goes unpaid and files a Claim of Lien:</w:t>
      </w:r>
    </w:p>
    <w:p>
      <w:pPr>
        <w:pStyle w:val="BodyText"/>
        <w:numPr>
          <w:ilvl w:val="1"/>
          <w:numId w:val="8"/>
        </w:numPr>
        <w:tabs>
          <w:tab w:val="clear" w:pos="709"/>
          <w:tab w:val="left" w:pos="1418" w:leader="none"/>
        </w:tabs>
        <w:bidi w:val="0"/>
        <w:ind w:hanging="283" w:start="1418"/>
        <w:jc w:val="start"/>
        <w:rPr/>
      </w:pPr>
      <w:r>
        <w:rPr>
          <w:rStyle w:val="Strong"/>
        </w:rPr>
        <w:t>Serve Notice of Contest of Lien</w:t>
      </w:r>
      <w:r>
        <w:rPr/>
        <w:t xml:space="preserve"> (optional, to shorten deadline) or be prepared for lien foreclosure timeline (1 year). Consult legal counsel promptly.</w:t>
      </w:r>
    </w:p>
    <w:p>
      <w:pPr>
        <w:pStyle w:val="BodyText"/>
        <w:numPr>
          <w:ilvl w:val="1"/>
          <w:numId w:val="8"/>
        </w:numPr>
        <w:tabs>
          <w:tab w:val="clear" w:pos="709"/>
          <w:tab w:val="left" w:pos="1418" w:leader="none"/>
        </w:tabs>
        <w:bidi w:val="0"/>
        <w:ind w:hanging="283" w:start="1418"/>
        <w:jc w:val="start"/>
        <w:rPr/>
      </w:pPr>
      <w:r>
        <w:rPr>
          <w:rStyle w:val="Strong"/>
        </w:rPr>
        <w:t>Consider bonding off the lien</w:t>
      </w:r>
      <w:r>
        <w:rPr/>
        <w:t xml:space="preserve"> to remove it from property record (requires obtaining a surety bond or cash deposit per §713.24; note new 2023 bond amount increase)</w:t>
      </w:r>
      <w:hyperlink r:id="rId157" w:anchor=":~:text=the%20subject%20lien.%20,the%20lien%2C%20whichever%20is%20greater" w:tgtFrame="_blank">
        <w:r>
          <w:rPr>
            <w:rStyle w:val="Hyperlink"/>
          </w:rPr>
          <w:t>flsenate.gov</w:t>
        </w:r>
      </w:hyperlink>
      <w:hyperlink r:id="rId158" w:anchor=":~:text=Chapter%20713,in%20the%20claim%20of%20lien%E2%80%A6%E2%80%9D" w:tgtFrame="_blank">
        <w:r>
          <w:rPr>
            <w:rStyle w:val="Hyperlink"/>
          </w:rPr>
          <w:t>bilzin.com</w:t>
        </w:r>
      </w:hyperlink>
      <w:r>
        <w:rPr/>
        <w:t>.</w:t>
      </w:r>
    </w:p>
    <w:p>
      <w:pPr>
        <w:pStyle w:val="BodyText"/>
        <w:numPr>
          <w:ilvl w:val="1"/>
          <w:numId w:val="8"/>
        </w:numPr>
        <w:tabs>
          <w:tab w:val="clear" w:pos="709"/>
          <w:tab w:val="left" w:pos="1418" w:leader="none"/>
        </w:tabs>
        <w:bidi w:val="0"/>
        <w:ind w:hanging="283" w:start="1418"/>
        <w:jc w:val="start"/>
        <w:rPr/>
      </w:pPr>
      <w:r>
        <w:rPr>
          <w:rStyle w:val="Strong"/>
        </w:rPr>
        <w:t>Avoid improper payments</w:t>
      </w:r>
      <w:r>
        <w:rPr/>
        <w:t xml:space="preserve">: Do </w:t>
      </w:r>
      <w:r>
        <w:rPr>
          <w:rStyle w:val="Emphasis"/>
        </w:rPr>
        <w:t>not</w:t>
      </w:r>
      <w:r>
        <w:rPr/>
        <w:t xml:space="preserve"> pay the contractor if you know a sub has a valid lien – resolve the lien or ensure joint payment. Remember, </w:t>
      </w:r>
      <w:r>
        <w:rPr>
          <w:rStyle w:val="Strong"/>
        </w:rPr>
        <w:t>misapplication of construction funds is a crime</w:t>
      </w:r>
      <w:r>
        <w:rPr/>
        <w:t xml:space="preserve"> (contractors must use payments to pay subs/suppliers first)</w:t>
      </w:r>
      <w:hyperlink r:id="rId159" w:anchor=":~:text=,such%20services%2C%20labor%2C%20or%20materials" w:tgtFrame="_blank">
        <w:r>
          <w:rPr>
            <w:rStyle w:val="Hyperlink"/>
          </w:rPr>
          <w:t>flsenate.gov</w:t>
        </w:r>
      </w:hyperlink>
      <w:hyperlink r:id="rId160" w:anchor=":~:text=,construction%20funds%2C%20punishable%20as%20follows" w:tgtFrame="_blank">
        <w:r>
          <w:rPr>
            <w:rStyle w:val="Hyperlink"/>
          </w:rPr>
          <w:t>flsenate.gov</w:t>
        </w:r>
      </w:hyperlink>
      <w:r>
        <w:rPr/>
        <w:t>.</w:t>
      </w:r>
    </w:p>
    <w:p>
      <w:pPr>
        <w:pStyle w:val="BodyText"/>
        <w:numPr>
          <w:ilvl w:val="1"/>
          <w:numId w:val="8"/>
        </w:numPr>
        <w:tabs>
          <w:tab w:val="clear" w:pos="709"/>
          <w:tab w:val="left" w:pos="1418" w:leader="none"/>
        </w:tabs>
        <w:bidi w:val="0"/>
        <w:ind w:hanging="283" w:start="1418"/>
        <w:jc w:val="start"/>
        <w:rPr/>
      </w:pPr>
      <w:r>
        <w:rPr>
          <w:rStyle w:val="Strong"/>
        </w:rPr>
        <w:t>Communicate</w:t>
      </w:r>
      <w:r>
        <w:rPr/>
        <w:t>: Often liens can be resolved by direct payment or negotiation. Obtain lien waivers upon any settlement payment.</w:t>
      </w:r>
    </w:p>
    <w:p>
      <w:pPr>
        <w:pStyle w:val="BodyText"/>
        <w:numPr>
          <w:ilvl w:val="0"/>
          <w:numId w:val="8"/>
        </w:numPr>
        <w:tabs>
          <w:tab w:val="clear" w:pos="709"/>
          <w:tab w:val="left" w:pos="709" w:leader="none"/>
        </w:tabs>
        <w:bidi w:val="0"/>
        <w:ind w:hanging="283" w:start="709"/>
        <w:jc w:val="start"/>
        <w:rPr/>
      </w:pPr>
      <w:r>
        <w:rPr>
          <w:rStyle w:val="Strong"/>
        </w:rPr>
        <w:t>If construction defects are alleged by Owner (Chapter 558):</w:t>
      </w:r>
    </w:p>
    <w:p>
      <w:pPr>
        <w:pStyle w:val="BodyText"/>
        <w:numPr>
          <w:ilvl w:val="1"/>
          <w:numId w:val="8"/>
        </w:numPr>
        <w:tabs>
          <w:tab w:val="clear" w:pos="709"/>
          <w:tab w:val="left" w:pos="1418" w:leader="none"/>
        </w:tabs>
        <w:bidi w:val="0"/>
        <w:ind w:hanging="283" w:start="1418"/>
        <w:jc w:val="start"/>
        <w:rPr/>
      </w:pPr>
      <w:r>
        <w:rPr>
          <w:rStyle w:val="Strong"/>
        </w:rPr>
        <w:t>Owner sends 558 Notice of Claim</w:t>
      </w:r>
      <w:r>
        <w:rPr/>
        <w:t xml:space="preserve"> to contractor/design professional </w:t>
      </w:r>
      <w:r>
        <w:rPr>
          <w:rStyle w:val="Strong"/>
        </w:rPr>
        <w:t>at least 60 days before suit</w:t>
      </w:r>
      <w:r>
        <w:rPr/>
        <w:t xml:space="preserve"> (120 days for large HOAs)</w:t>
      </w:r>
      <w:hyperlink r:id="rId161" w:anchor=":~:text=,with%20whom%20the%20claimant%20contracted" w:tgtFrame="_blank">
        <w:r>
          <w:rPr>
            <w:rStyle w:val="Hyperlink"/>
          </w:rPr>
          <w:t>flsenate.gov</w:t>
        </w:r>
      </w:hyperlink>
      <w:r>
        <w:rPr/>
        <w:t>. Include detailed description of defects.</w:t>
      </w:r>
    </w:p>
    <w:p>
      <w:pPr>
        <w:pStyle w:val="BodyText"/>
        <w:numPr>
          <w:ilvl w:val="1"/>
          <w:numId w:val="8"/>
        </w:numPr>
        <w:tabs>
          <w:tab w:val="clear" w:pos="709"/>
          <w:tab w:val="left" w:pos="1418" w:leader="none"/>
        </w:tabs>
        <w:bidi w:val="0"/>
        <w:ind w:hanging="283" w:start="1418"/>
        <w:jc w:val="start"/>
        <w:rPr/>
      </w:pPr>
      <w:r>
        <w:rPr>
          <w:rStyle w:val="Strong"/>
        </w:rPr>
        <w:t>Contractor</w:t>
      </w:r>
      <w:r>
        <w:rPr/>
        <w:t xml:space="preserve"> (upon receiving 558 notice): Acknowledge receipt, notify insurance carrier if needed, and within 30 days arrange inspection of the reported defects</w:t>
      </w:r>
      <w:hyperlink r:id="rId162" w:anchor=":~:text=subcontractor%2C%20or%20other%20party%20that,be%20responsible%20for%20the%20defects" w:tgtFrame="_blank">
        <w:r>
          <w:rPr>
            <w:rStyle w:val="Hyperlink"/>
          </w:rPr>
          <w:t>floridahardhatlaw.com</w:t>
        </w:r>
      </w:hyperlink>
      <w:r>
        <w:rPr/>
        <w:t>.</w:t>
      </w:r>
    </w:p>
    <w:p>
      <w:pPr>
        <w:pStyle w:val="BodyText"/>
        <w:numPr>
          <w:ilvl w:val="1"/>
          <w:numId w:val="8"/>
        </w:numPr>
        <w:tabs>
          <w:tab w:val="clear" w:pos="709"/>
          <w:tab w:val="left" w:pos="1418" w:leader="none"/>
        </w:tabs>
        <w:bidi w:val="0"/>
        <w:ind w:hanging="283" w:start="1418"/>
        <w:jc w:val="start"/>
        <w:rPr/>
      </w:pPr>
      <w:r>
        <w:rPr>
          <w:rStyle w:val="Strong"/>
        </w:rPr>
        <w:t>Contractor’s 558 Response (due in 45 days):</w:t>
      </w:r>
      <w:r>
        <w:rPr/>
        <w:t xml:space="preserve"> Formulate a written offer or refusal as per statute (repair, monetary, combination, or denial)</w:t>
      </w:r>
      <w:hyperlink r:id="rId163" w:anchor=":~:text=How%20does%20a%20contractor%20respond,an%20appropriate%20reply%20may%20be" w:tgtFrame="_blank">
        <w:r>
          <w:rPr>
            <w:rStyle w:val="Hyperlink"/>
          </w:rPr>
          <w:t>floridahardhatlaw.com</w:t>
        </w:r>
      </w:hyperlink>
      <w:r>
        <w:rPr/>
        <w:t>. Serve it on Owner timely.</w:t>
      </w:r>
    </w:p>
    <w:p>
      <w:pPr>
        <w:pStyle w:val="BodyText"/>
        <w:numPr>
          <w:ilvl w:val="1"/>
          <w:numId w:val="8"/>
        </w:numPr>
        <w:tabs>
          <w:tab w:val="clear" w:pos="709"/>
          <w:tab w:val="left" w:pos="1418" w:leader="none"/>
        </w:tabs>
        <w:bidi w:val="0"/>
        <w:ind w:hanging="283" w:start="1418"/>
        <w:jc w:val="start"/>
        <w:rPr/>
      </w:pPr>
      <w:r>
        <w:rPr>
          <w:rStyle w:val="Strong"/>
        </w:rPr>
        <w:t>Owner</w:t>
      </w:r>
      <w:r>
        <w:rPr/>
        <w:t>: evaluate any offer. If accepting, document the agreement and allow repair access. If rejecting or no response, after day 60/120, you may proceed to file suit.</w:t>
      </w:r>
    </w:p>
    <w:p>
      <w:pPr>
        <w:pStyle w:val="BodyText"/>
        <w:numPr>
          <w:ilvl w:val="1"/>
          <w:numId w:val="8"/>
        </w:numPr>
        <w:tabs>
          <w:tab w:val="clear" w:pos="709"/>
          <w:tab w:val="left" w:pos="1418" w:leader="none"/>
        </w:tabs>
        <w:bidi w:val="0"/>
        <w:ind w:hanging="283" w:start="1418"/>
        <w:jc w:val="start"/>
        <w:rPr/>
      </w:pPr>
      <w:r>
        <w:rPr>
          <w:rStyle w:val="Strong"/>
        </w:rPr>
        <w:t>Document resolution</w:t>
      </w:r>
      <w:r>
        <w:rPr/>
        <w:t>: If defects are repaired or settled, have a written release or repair confirmation to close the issue without litigation.</w:t>
      </w:r>
    </w:p>
    <w:p>
      <w:pPr>
        <w:pStyle w:val="BodyText"/>
        <w:bidi w:val="0"/>
        <w:jc w:val="start"/>
        <w:rPr/>
      </w:pPr>
      <w:r>
        <w:rPr/>
        <w:t>This checklist can be integrated into project management software to trigger alerts (e.g., “Day 40 – check if NTO received from all subs;” “Project 99% complete – request Final Affidavit from GC;” “Before final payment – verify lien waivers”). By following these steps, contractors and owners can significantly reduce lien-related risks and ensure compliance with Florida law.</w:t>
      </w:r>
    </w:p>
    <w:p>
      <w:pPr>
        <w:pStyle w:val="Heading2"/>
        <w:bidi w:val="0"/>
        <w:spacing w:lineRule="auto" w:line="276" w:before="0" w:after="140"/>
        <w:jc w:val="start"/>
        <w:rPr/>
      </w:pPr>
      <w:r>
        <w:rPr/>
        <w:t>Statutory Forms and Model Documents</w:t>
      </w:r>
    </w:p>
    <w:p>
      <w:pPr>
        <w:pStyle w:val="BodyText"/>
        <w:bidi w:val="0"/>
        <w:jc w:val="start"/>
        <w:rPr/>
      </w:pPr>
      <w:r>
        <w:rPr/>
        <w:t xml:space="preserve">Florida’s lien statutes include </w:t>
      </w:r>
      <w:r>
        <w:rPr>
          <w:rStyle w:val="Strong"/>
        </w:rPr>
        <w:t>template forms</w:t>
      </w:r>
      <w:r>
        <w:rPr/>
        <w:t xml:space="preserve"> for many of the required notices and documents. Utilizing the statutory language verbatim (or substantially similar) is highly recommended, as the law sometimes mandates specific wording or font emphasis. Below are the key forms and references:</w:t>
      </w:r>
    </w:p>
    <w:p>
      <w:pPr>
        <w:pStyle w:val="BodyText"/>
        <w:numPr>
          <w:ilvl w:val="0"/>
          <w:numId w:val="9"/>
        </w:numPr>
        <w:tabs>
          <w:tab w:val="clear" w:pos="709"/>
          <w:tab w:val="left" w:pos="709" w:leader="none"/>
        </w:tabs>
        <w:bidi w:val="0"/>
        <w:ind w:hanging="283" w:start="709"/>
        <w:jc w:val="start"/>
        <w:rPr/>
      </w:pPr>
      <w:r>
        <w:rPr>
          <w:rStyle w:val="Strong"/>
        </w:rPr>
        <w:t>Notice of Commencement (Form)</w:t>
      </w:r>
      <w:r>
        <w:rPr/>
        <w:t xml:space="preserve"> – The required form is set forth in §713.13(1)(d). It includes spaces for all required information and the Owner’s notarized signature area</w:t>
      </w:r>
      <w:hyperlink r:id="rId164" w:anchor=":~:text=,in%20substantially%20the%20following%20form" w:tgtFrame="_blank">
        <w:r>
          <w:rPr>
            <w:rStyle w:val="Hyperlink"/>
          </w:rPr>
          <w:t>m.flsenate.gov</w:t>
        </w:r>
      </w:hyperlink>
      <w:hyperlink r:id="rId165" w:anchor=":~:text=WARNING%20TO%20OWNER%3A%20ANY%20PAYMENTS,RECORDING%20YOUR%20NOTICE%20OF%20COMMENCEMENT" w:tgtFrame="_blank">
        <w:r>
          <w:rPr>
            <w:rStyle w:val="Hyperlink"/>
          </w:rPr>
          <w:t>codes.findlaw.com</w:t>
        </w:r>
      </w:hyperlink>
      <w:r>
        <w:rPr/>
        <w:t xml:space="preserve">. Most county recorders and building departments provide fillable NOC forms (e.g., </w:t>
      </w:r>
      <w:r>
        <w:rPr>
          <w:rStyle w:val="Strong"/>
        </w:rPr>
        <w:t>County Recorder websites or DBPR</w:t>
      </w:r>
      <w:r>
        <w:rPr/>
        <w:t xml:space="preserve">). </w:t>
      </w:r>
      <w:r>
        <w:rPr>
          <w:rStyle w:val="Strong"/>
        </w:rPr>
        <w:t>Example</w:t>
      </w:r>
      <w:r>
        <w:rPr/>
        <w:t>: The statutory form in §713.13 includes the “WARNING TO OWNER” in 14-point capitalized text</w:t>
      </w:r>
      <w:hyperlink r:id="rId166" w:anchor=":~:text=WARNING%20TO%20OWNER%3A%20ANY%20PAYMENTS,RECORDING%20YOUR%20NOTICE%20OF%20COMMENCEMENT" w:tgtFrame="_blank">
        <w:r>
          <w:rPr>
            <w:rStyle w:val="Hyperlink"/>
          </w:rPr>
          <w:t>codes.findlaw.com</w:t>
        </w:r>
      </w:hyperlink>
      <w:r>
        <w:rPr/>
        <w:t xml:space="preserve">. Always use this format. </w:t>
      </w:r>
      <w:r>
        <w:rPr>
          <w:rStyle w:val="Emphasis"/>
        </w:rPr>
        <w:t>(For a downloadable template, see your local county’s official form – many counties like Broward, Polk, etc., have PDF NOC forms identical to the statute.)</w:t>
      </w:r>
    </w:p>
    <w:p>
      <w:pPr>
        <w:pStyle w:val="BodyText"/>
        <w:numPr>
          <w:ilvl w:val="0"/>
          <w:numId w:val="9"/>
        </w:numPr>
        <w:tabs>
          <w:tab w:val="clear" w:pos="709"/>
          <w:tab w:val="left" w:pos="709" w:leader="none"/>
        </w:tabs>
        <w:bidi w:val="0"/>
        <w:ind w:hanging="283" w:start="709"/>
        <w:jc w:val="start"/>
        <w:rPr/>
      </w:pPr>
      <w:r>
        <w:rPr>
          <w:rStyle w:val="Strong"/>
        </w:rPr>
        <w:t>Notice to Owner (Form)</w:t>
      </w:r>
      <w:r>
        <w:rPr/>
        <w:t xml:space="preserve"> – The statutory “Notice to Owner” form is provided in §713.06(2)(c)</w:t>
      </w:r>
      <w:hyperlink r:id="rId167" w:anchor=":~:text=,contained%20in%20the%20following%20form" w:tgtFrame="_blank">
        <w:r>
          <w:rPr>
            <w:rStyle w:val="Hyperlink"/>
          </w:rPr>
          <w:t>flsenate.gov</w:t>
        </w:r>
      </w:hyperlink>
      <w:r>
        <w:rPr/>
        <w:t xml:space="preserve">. It contains the bold warning heading and the “Important Information for Your Protection” text. </w:t>
      </w:r>
      <w:r>
        <w:rPr>
          <w:rStyle w:val="Strong"/>
        </w:rPr>
        <w:t>Model form</w:t>
      </w:r>
      <w:r>
        <w:rPr/>
        <w:t>: begin with “To [Owner’s Name]…” and include the described services, property, and contractor info, followed by the warnings and the lienor’s signature</w:t>
      </w:r>
      <w:hyperlink r:id="rId168" w:anchor=":~:text=WARNING%21%20FLORIDA%E2%80%99S%20CONSTRUCTION%20LIEN%20LAW,HAVE%20MADE%20PAYMENT%20IN%20FULL" w:tgtFrame="_blank">
        <w:r>
          <w:rPr>
            <w:rStyle w:val="Hyperlink"/>
          </w:rPr>
          <w:t>flsenate.gov</w:t>
        </w:r>
      </w:hyperlink>
      <w:hyperlink r:id="rId169" w:anchor=":~:text=NOTICE%20TO%20OWNER" w:tgtFrame="_blank">
        <w:r>
          <w:rPr>
            <w:rStyle w:val="Hyperlink"/>
          </w:rPr>
          <w:t>flsenate.gov</w:t>
        </w:r>
      </w:hyperlink>
      <w:r>
        <w:rPr/>
        <w:t xml:space="preserve">. Using the exact wording (especially the warning paragraphs) is crucial. </w:t>
      </w:r>
      <w:r>
        <w:rPr>
          <w:rStyle w:val="Strong"/>
        </w:rPr>
        <w:t>Note:</w:t>
      </w:r>
      <w:r>
        <w:rPr/>
        <w:t xml:space="preserve"> This form can be combined with a Notice to Contractor (for bonded jobs) into one “Notice to Owner/Contractor”</w:t>
      </w:r>
      <w:hyperlink r:id="rId170" w:anchor=":~:text=Statutes" w:tgtFrame="_blank">
        <w:r>
          <w:rPr>
            <w:rStyle w:val="Hyperlink"/>
          </w:rPr>
          <w:t>flsenate.gov</w:t>
        </w:r>
      </w:hyperlink>
      <w:r>
        <w:rPr/>
        <w:t xml:space="preserve"> if needed.</w:t>
      </w:r>
    </w:p>
    <w:p>
      <w:pPr>
        <w:pStyle w:val="BodyText"/>
        <w:numPr>
          <w:ilvl w:val="0"/>
          <w:numId w:val="9"/>
        </w:numPr>
        <w:tabs>
          <w:tab w:val="clear" w:pos="709"/>
          <w:tab w:val="left" w:pos="709" w:leader="none"/>
        </w:tabs>
        <w:bidi w:val="0"/>
        <w:ind w:hanging="283" w:start="709"/>
        <w:jc w:val="start"/>
        <w:rPr/>
      </w:pPr>
      <w:r>
        <w:rPr>
          <w:rStyle w:val="Strong"/>
        </w:rPr>
        <w:t>Contractor’s Final Payment Affidavit (Form)</w:t>
      </w:r>
      <w:r>
        <w:rPr/>
        <w:t xml:space="preserve"> – The form is given in §713.06(3)(d)1</w:t>
      </w:r>
      <w:hyperlink r:id="rId171" w:anchor=":~:text=CONTRACTOR%E2%80%99S%20FINAL%20PAYMENT%20AFFIDAVIT" w:tgtFrame="_blank">
        <w:r>
          <w:rPr>
            <w:rStyle w:val="Hyperlink"/>
          </w:rPr>
          <w:t>flsenate.gov</w:t>
        </w:r>
      </w:hyperlink>
      <w:hyperlink r:id="rId172" w:anchor=":~:text=4,except%20the%20following%20listed%20lienors" w:tgtFrame="_blank">
        <w:r>
          <w:rPr>
            <w:rStyle w:val="Hyperlink"/>
          </w:rPr>
          <w:t>flsenate.gov</w:t>
        </w:r>
      </w:hyperlink>
      <w:r>
        <w:rPr/>
        <w:t xml:space="preserve">. It should be on the contractor’s letterhead or form and include: a sworn statement by the contractor listing all unpaid lienors and amounts due (or stating all have been paid). </w:t>
      </w:r>
      <w:r>
        <w:rPr>
          <w:rStyle w:val="Strong"/>
        </w:rPr>
        <w:t>Model form</w:t>
      </w:r>
      <w:r>
        <w:rPr/>
        <w:t>: Titled “Contractor’s Final Payment Affidavit,” with spaces for the contractor’s name, owner’s name, property description, and a list of unpaid lienors (name &amp; amount) or a statement that all lienors have been paid, then signed and notarized</w:t>
      </w:r>
      <w:hyperlink r:id="rId173" w:anchor=":~:text=CONTRACTOR%E2%80%99S%20FINAL%20PAYMENT%20AFFIDAVIT" w:tgtFrame="_blank">
        <w:r>
          <w:rPr>
            <w:rStyle w:val="Hyperlink"/>
          </w:rPr>
          <w:t>flsenate.gov</w:t>
        </w:r>
      </w:hyperlink>
      <w:hyperlink r:id="rId174" w:anchor=":~:text=4,except%20the%20following%20listed%20lienors" w:tgtFrame="_blank">
        <w:r>
          <w:rPr>
            <w:rStyle w:val="Hyperlink"/>
          </w:rPr>
          <w:t>flsenate.gov</w:t>
        </w:r>
      </w:hyperlink>
      <w:r>
        <w:rPr/>
        <w:t>. (Many Florida contractors maintain a template of this affidavit to fill in project-specific info at close-out.)</w:t>
      </w:r>
    </w:p>
    <w:p>
      <w:pPr>
        <w:pStyle w:val="BodyText"/>
        <w:numPr>
          <w:ilvl w:val="0"/>
          <w:numId w:val="9"/>
        </w:numPr>
        <w:tabs>
          <w:tab w:val="clear" w:pos="709"/>
          <w:tab w:val="left" w:pos="709" w:leader="none"/>
        </w:tabs>
        <w:bidi w:val="0"/>
        <w:ind w:hanging="283" w:start="709"/>
        <w:jc w:val="start"/>
        <w:rPr/>
      </w:pPr>
      <w:r>
        <w:rPr>
          <w:rStyle w:val="Strong"/>
        </w:rPr>
        <w:t>Interim/Progress Payment Affidavit</w:t>
      </w:r>
      <w:r>
        <w:rPr/>
        <w:t xml:space="preserve"> – Not a statutory form, but often a scaled-down version of the Final Payment Affidavit used for interim draws. It might state: “All lienors have been paid up through this payment, except the following…”. There’s no mandated text, but using similar language to the final affidavit (minus the 5-day lawsuit clause) is wise. Some owners include a form in the contract.</w:t>
      </w:r>
    </w:p>
    <w:p>
      <w:pPr>
        <w:pStyle w:val="BodyText"/>
        <w:numPr>
          <w:ilvl w:val="0"/>
          <w:numId w:val="9"/>
        </w:numPr>
        <w:tabs>
          <w:tab w:val="clear" w:pos="709"/>
          <w:tab w:val="left" w:pos="709" w:leader="none"/>
        </w:tabs>
        <w:bidi w:val="0"/>
        <w:ind w:hanging="283" w:start="709"/>
        <w:jc w:val="start"/>
        <w:rPr/>
      </w:pPr>
      <w:r>
        <w:rPr>
          <w:rStyle w:val="Strong"/>
        </w:rPr>
        <w:t>Waiver and Release of Lien Upon Progress Payment</w:t>
      </w:r>
      <w:r>
        <w:rPr/>
        <w:t xml:space="preserve"> – Statutory form at §713.20(4)</w:t>
      </w:r>
      <w:hyperlink r:id="rId175" w:anchor=":~:text=,in%20substantially%20the%20following%20form" w:tgtFrame="_blank">
        <w:r>
          <w:rPr>
            <w:rStyle w:val="Hyperlink"/>
          </w:rPr>
          <w:t>flsenate.gov</w:t>
        </w:r>
      </w:hyperlink>
      <w:hyperlink r:id="rId176" w:anchor=":~:text=" w:tgtFrame="_blank">
        <w:r>
          <w:rPr>
            <w:rStyle w:val="Hyperlink"/>
          </w:rPr>
          <w:t>flsenate.gov</w:t>
        </w:r>
      </w:hyperlink>
      <w:r>
        <w:rPr/>
        <w:t xml:space="preserve">. This is the </w:t>
      </w:r>
      <w:r>
        <w:rPr>
          <w:rStyle w:val="Strong"/>
        </w:rPr>
        <w:t>partial lien waiver</w:t>
      </w:r>
      <w:r>
        <w:rPr/>
        <w:t xml:space="preserve"> form. It specifies the amount and through-date of work/materials covered by the payment and leaves exceptions for retainage or later work. It must be </w:t>
      </w:r>
      <w:r>
        <w:rPr>
          <w:rStyle w:val="Strong"/>
        </w:rPr>
        <w:t>substantially in this format</w:t>
      </w:r>
      <w:r>
        <w:rPr/>
        <w:t>, and no one can demand a different form per §713.20(6)</w:t>
      </w:r>
      <w:hyperlink r:id="rId177" w:anchor=":~:text=WAIVER%20AND%20RELEASE%20OF%20LIEN,UPON%20FINAL%20PAYMENT" w:tgtFrame="_blank">
        <w:r>
          <w:rPr>
            <w:rStyle w:val="Hyperlink"/>
          </w:rPr>
          <w:t>flsenate.gov</w:t>
        </w:r>
      </w:hyperlink>
      <w:hyperlink r:id="rId178" w:anchor=":~:text=By%3A" w:tgtFrame="_blank">
        <w:r>
          <w:rPr>
            <w:rStyle w:val="Hyperlink"/>
          </w:rPr>
          <w:t>flsenate.gov</w:t>
        </w:r>
      </w:hyperlink>
      <w:r>
        <w:rPr/>
        <w:t xml:space="preserve">. </w:t>
      </w:r>
      <w:r>
        <w:rPr>
          <w:rStyle w:val="Strong"/>
        </w:rPr>
        <w:t>Obtain these waivers with each payment.</w:t>
      </w:r>
    </w:p>
    <w:p>
      <w:pPr>
        <w:pStyle w:val="BodyText"/>
        <w:numPr>
          <w:ilvl w:val="0"/>
          <w:numId w:val="9"/>
        </w:numPr>
        <w:tabs>
          <w:tab w:val="clear" w:pos="709"/>
          <w:tab w:val="left" w:pos="709" w:leader="none"/>
        </w:tabs>
        <w:bidi w:val="0"/>
        <w:ind w:hanging="283" w:start="709"/>
        <w:jc w:val="start"/>
        <w:rPr/>
      </w:pPr>
      <w:r>
        <w:rPr>
          <w:rStyle w:val="Strong"/>
        </w:rPr>
        <w:t>Waiver and Release of Lien Upon Final Payment</w:t>
      </w:r>
      <w:r>
        <w:rPr/>
        <w:t xml:space="preserve"> – Statutory form at §713.20(5)</w:t>
      </w:r>
      <w:hyperlink r:id="rId179" w:anchor=":~:text=WAIVER%20AND%20RELEASE%20OF%20LIEN,UPON%20FINAL%20PAYMENT" w:tgtFrame="_blank">
        <w:r>
          <w:rPr>
            <w:rStyle w:val="Hyperlink"/>
          </w:rPr>
          <w:t>flsenate.gov</w:t>
        </w:r>
      </w:hyperlink>
      <w:hyperlink r:id="rId180" w:anchor=":~:text=" w:tgtFrame="_blank">
        <w:r>
          <w:rPr>
            <w:rStyle w:val="Hyperlink"/>
          </w:rPr>
          <w:t>flsenate.gov</w:t>
        </w:r>
      </w:hyperlink>
      <w:r>
        <w:rPr/>
        <w:t xml:space="preserve">. This is the </w:t>
      </w:r>
      <w:r>
        <w:rPr>
          <w:rStyle w:val="Strong"/>
        </w:rPr>
        <w:t>final lien waiver</w:t>
      </w:r>
      <w:r>
        <w:rPr/>
        <w:t xml:space="preserve"> stating that in consideration of final payment, the lienor waives and releases its lien rights for the project. Again, this form (or one substantially similar) must be used – a contractor cannot be forced to sign a non-statutory form that waives more rights than the statute allows</w:t>
      </w:r>
      <w:hyperlink r:id="rId181" w:anchor=":~:text=By%3A" w:tgtFrame="_blank">
        <w:r>
          <w:rPr>
            <w:rStyle w:val="Hyperlink"/>
          </w:rPr>
          <w:t>flsenate.gov</w:t>
        </w:r>
      </w:hyperlink>
      <w:r>
        <w:rPr/>
        <w:t>. Make sure the final payment amount is filled in and the lienor signs it upon receipt of the final check.</w:t>
      </w:r>
    </w:p>
    <w:p>
      <w:pPr>
        <w:pStyle w:val="BodyText"/>
        <w:numPr>
          <w:ilvl w:val="0"/>
          <w:numId w:val="9"/>
        </w:numPr>
        <w:tabs>
          <w:tab w:val="clear" w:pos="709"/>
          <w:tab w:val="left" w:pos="709" w:leader="none"/>
        </w:tabs>
        <w:bidi w:val="0"/>
        <w:ind w:hanging="283" w:start="709"/>
        <w:jc w:val="start"/>
        <w:rPr/>
      </w:pPr>
      <w:r>
        <w:rPr>
          <w:rStyle w:val="Strong"/>
        </w:rPr>
        <w:t>Notice of Termination</w:t>
      </w:r>
      <w:r>
        <w:rPr/>
        <w:t xml:space="preserve"> – There is </w:t>
      </w:r>
      <w:r>
        <w:rPr>
          <w:rStyle w:val="Emphasis"/>
        </w:rPr>
        <w:t>no one official pre-filled form in the statute</w:t>
      </w:r>
      <w:r>
        <w:rPr/>
        <w:t>, but §713.132 specifies all required elements</w:t>
      </w:r>
      <w:hyperlink r:id="rId182" w:anchor=":~:text=,contains%20all%20of%20the%20following" w:tgtFrame="_blank">
        <w:r>
          <w:rPr>
            <w:rStyle w:val="Hyperlink"/>
          </w:rPr>
          <w:t>flsenate.gov</w:t>
        </w:r>
      </w:hyperlink>
      <w:hyperlink r:id="rId183" w:anchor=":~:text=,have%20been%20paid%20in%20full" w:tgtFrame="_blank">
        <w:r>
          <w:rPr>
            <w:rStyle w:val="Hyperlink"/>
          </w:rPr>
          <w:t>flsenate.gov</w:t>
        </w:r>
      </w:hyperlink>
      <w:r>
        <w:rPr/>
        <w:t xml:space="preserve">. Many organizations (e.g., the Florida Department of Business &amp; Professional Regulation or local Clerk of Court websites) provide a sample form. </w:t>
      </w:r>
      <w:r>
        <w:rPr>
          <w:rStyle w:val="Strong"/>
        </w:rPr>
        <w:t>Key fields</w:t>
      </w:r>
      <w:r>
        <w:rPr/>
        <w:t>: project name, original NOC recording info, statement that all lienors are paid, termination date (30+ days out), owner’s signature notarized, and a statement about service on lienors. Always attach the contractor’s final affidavit. A reference example can be found in the Florida Construction Lien Law forms provided by some county recorders or in Florida Bar publications.</w:t>
      </w:r>
    </w:p>
    <w:p>
      <w:pPr>
        <w:pStyle w:val="BodyText"/>
        <w:numPr>
          <w:ilvl w:val="0"/>
          <w:numId w:val="9"/>
        </w:numPr>
        <w:tabs>
          <w:tab w:val="clear" w:pos="709"/>
          <w:tab w:val="left" w:pos="709" w:leader="none"/>
        </w:tabs>
        <w:bidi w:val="0"/>
        <w:ind w:hanging="283" w:start="709"/>
        <w:jc w:val="start"/>
        <w:rPr/>
      </w:pPr>
      <w:r>
        <w:rPr>
          <w:rStyle w:val="Strong"/>
        </w:rPr>
        <w:t>Notice of Contest of Lien / Notice of Contest of Bond</w:t>
      </w:r>
      <w:r>
        <w:rPr/>
        <w:t xml:space="preserve"> – Statutory forms in §§713.22 and 713.23. These are short forms the owner files with the court to start the 60-day clock on a lienor to sue. While not asked for in this toolkit, be aware they exist if you need to discharge a lingering lien.</w:t>
      </w:r>
    </w:p>
    <w:p>
      <w:pPr>
        <w:pStyle w:val="BodyText"/>
        <w:numPr>
          <w:ilvl w:val="0"/>
          <w:numId w:val="9"/>
        </w:numPr>
        <w:tabs>
          <w:tab w:val="clear" w:pos="709"/>
          <w:tab w:val="left" w:pos="709" w:leader="none"/>
        </w:tabs>
        <w:bidi w:val="0"/>
        <w:ind w:hanging="283" w:start="709"/>
        <w:jc w:val="start"/>
        <w:rPr/>
      </w:pPr>
      <w:r>
        <w:rPr>
          <w:rStyle w:val="Strong"/>
        </w:rPr>
        <w:t>Chapter 558 Notice of Claim</w:t>
      </w:r>
      <w:r>
        <w:rPr/>
        <w:t xml:space="preserve"> – No statutory form given (since it’s just a letter), but </w:t>
      </w:r>
      <w:r>
        <w:rPr>
          <w:rStyle w:val="Strong"/>
        </w:rPr>
        <w:t>practical tip</w:t>
      </w:r>
      <w:r>
        <w:rPr/>
        <w:t xml:space="preserve">: title your letter “Notice of Claim – Florida Statutes Chapter 558” and include the project, defect details, and recipient’s opportunity to inspect and respond. The </w:t>
      </w:r>
      <w:r>
        <w:rPr>
          <w:rStyle w:val="Strong"/>
        </w:rPr>
        <w:t>Florida Bar</w:t>
      </w:r>
      <w:r>
        <w:rPr/>
        <w:t xml:space="preserve"> or construction law firms often have templates for this pre-suit notice. The key is to include the info required by §558.004(1) (description of defects, location, etc.)</w:t>
      </w:r>
      <w:hyperlink r:id="rId184" w:anchor=":~:text=,for%20purposes%20of%20this%20notice" w:tgtFrame="_blank">
        <w:r>
          <w:rPr>
            <w:rStyle w:val="Hyperlink"/>
          </w:rPr>
          <w:t>flsenate.gov</w:t>
        </w:r>
      </w:hyperlink>
      <w:r>
        <w:rPr/>
        <w:t xml:space="preserve"> in a clear manner.</w:t>
      </w:r>
    </w:p>
    <w:p>
      <w:pPr>
        <w:pStyle w:val="BodyText"/>
        <w:bidi w:val="0"/>
        <w:jc w:val="start"/>
        <w:rPr/>
      </w:pPr>
      <w:r>
        <w:rPr>
          <w:rStyle w:val="Strong"/>
        </w:rPr>
        <w:t>Where to find these forms:</w:t>
      </w:r>
      <w:r>
        <w:rPr/>
        <w:t xml:space="preserve"> Official Florida Statutes (e.g., online at statutes.leg.state.fl.us) publish the text of these forms. The Florida Department of Business &amp; Professional Regulation (DBPR) often distributes a consumer </w:t>
      </w:r>
      <w:r>
        <w:rPr>
          <w:rStyle w:val="Strong"/>
        </w:rPr>
        <w:t>“Summary of the Construction Lien Law”</w:t>
      </w:r>
      <w:r>
        <w:rPr/>
        <w:t xml:space="preserve"> pamphlet (per §713.135) which includes an explanation and sometimes sample forms. Local Clerk of Court or Recorder offices provide </w:t>
      </w:r>
      <w:r>
        <w:rPr>
          <w:rStyle w:val="Strong"/>
        </w:rPr>
        <w:t>fillable PDF forms</w:t>
      </w:r>
      <w:r>
        <w:rPr/>
        <w:t xml:space="preserve"> for NOC, Notice of Termination, and sometimes Contractor’s Affidavits on their websites. Construction industry services (SunRay, Levelset, etc.) also offer free templates that conform to Florida law.</w:t>
      </w:r>
    </w:p>
    <w:p>
      <w:pPr>
        <w:pStyle w:val="BodyText"/>
        <w:bidi w:val="0"/>
        <w:jc w:val="start"/>
        <w:rPr/>
      </w:pPr>
      <w:r>
        <w:rPr/>
        <w:t xml:space="preserve">Always ensure the forms you use reflect the </w:t>
      </w:r>
      <w:r>
        <w:rPr>
          <w:rStyle w:val="Strong"/>
        </w:rPr>
        <w:t>latest statutory language</w:t>
      </w:r>
      <w:r>
        <w:rPr/>
        <w:t xml:space="preserve"> (post-2023 changes). For example, HB 331 updated some forms (NOC, Notice of Termination, and Notice of Nonpayment) – so use updated versions. Using the statutory forms not only ensures compliance but also speeds up approval by permitting authorities and reduces risk of challenges.</w:t>
      </w:r>
    </w:p>
    <w:p>
      <w:pPr>
        <w:pStyle w:val="Heading2"/>
        <w:bidi w:val="0"/>
        <w:spacing w:lineRule="auto" w:line="276" w:before="0" w:after="140"/>
        <w:jc w:val="start"/>
        <w:rPr/>
      </w:pPr>
      <w:r>
        <w:rPr/>
        <w:t>Common Pitfalls and Integration Challenges</w:t>
      </w:r>
    </w:p>
    <w:p>
      <w:pPr>
        <w:pStyle w:val="BodyText"/>
        <w:bidi w:val="0"/>
        <w:jc w:val="start"/>
        <w:rPr/>
      </w:pPr>
      <w:r>
        <w:rPr/>
        <w:t>Even with a roadmap, there are frequent mistakes and misunderstandings that can derail lien rights or defenses. Below are some common integration pitfalls and their consequences under current law:</w:t>
      </w:r>
    </w:p>
    <w:p>
      <w:pPr>
        <w:pStyle w:val="BodyText"/>
        <w:numPr>
          <w:ilvl w:val="0"/>
          <w:numId w:val="10"/>
        </w:numPr>
        <w:tabs>
          <w:tab w:val="clear" w:pos="709"/>
          <w:tab w:val="left" w:pos="709" w:leader="none"/>
        </w:tabs>
        <w:bidi w:val="0"/>
        <w:ind w:hanging="283" w:start="709"/>
        <w:jc w:val="start"/>
        <w:rPr/>
      </w:pPr>
      <w:r>
        <w:rPr>
          <w:rStyle w:val="Strong"/>
        </w:rPr>
        <w:t>NOC Not Recorded or Expired:</w:t>
      </w:r>
      <w:r>
        <w:rPr/>
        <w:t xml:space="preserve"> If an owner fails to record a Notice of Commencement (or it expires during a long project and isn’t extended), payments made by the owner can become “improper payments.” This means an owner who paid the contractor might still have to pay subcontractors who file liens</w:t>
      </w:r>
      <w:hyperlink r:id="rId185" w:anchor=":~:text=commencement%20expresses%20a%20period%20of,commencement%20are%20considered%20improper%20payments" w:tgtFrame="_blank">
        <w:r>
          <w:rPr>
            <w:rStyle w:val="Hyperlink"/>
          </w:rPr>
          <w:t>m.flsenate.gov</w:t>
        </w:r>
      </w:hyperlink>
      <w:hyperlink r:id="rId186" w:anchor=":~:text=WARNING%20TO%20OWNER%3A%20ANY%20PAYMENTS,RECORDING%20YOUR%20NOTICE%20OF%20COMMENCEMENT" w:tgtFrame="_blank">
        <w:r>
          <w:rPr>
            <w:rStyle w:val="Hyperlink"/>
          </w:rPr>
          <w:t>m.flsenate.gov</w:t>
        </w:r>
      </w:hyperlink>
      <w:r>
        <w:rPr/>
        <w:t>. Without a valid NOC, subs aren’t required to serve an NTO (they can rely on the building permit info</w:t>
      </w:r>
      <w:hyperlink r:id="rId187" w:anchor=":~:text=,c" w:tgtFrame="_blank">
        <w:r>
          <w:rPr>
            <w:rStyle w:val="Hyperlink"/>
          </w:rPr>
          <w:t>flsenate.gov</w:t>
        </w:r>
      </w:hyperlink>
      <w:r>
        <w:rPr/>
        <w:t xml:space="preserve">), which can catch an owner by surprise with liens at the end. </w:t>
      </w:r>
      <w:r>
        <w:rPr>
          <w:rStyle w:val="Emphasis"/>
        </w:rPr>
        <w:t>Pitfall fix:</w:t>
      </w:r>
      <w:r>
        <w:rPr/>
        <w:t xml:space="preserve"> Always record the NOC and re-record if the project extends beyond the NOC’s stated expiration. If a NOC expires, </w:t>
      </w:r>
      <w:r>
        <w:rPr>
          <w:rStyle w:val="Strong"/>
        </w:rPr>
        <w:t>do not continue making payments</w:t>
      </w:r>
      <w:r>
        <w:rPr/>
        <w:t xml:space="preserve"> until it’s extended or a new NOC is recorded, otherwise you forfeit the statutory protection against double payment.</w:t>
      </w:r>
    </w:p>
    <w:p>
      <w:pPr>
        <w:pStyle w:val="BodyText"/>
        <w:numPr>
          <w:ilvl w:val="0"/>
          <w:numId w:val="10"/>
        </w:numPr>
        <w:tabs>
          <w:tab w:val="clear" w:pos="709"/>
          <w:tab w:val="left" w:pos="709" w:leader="none"/>
        </w:tabs>
        <w:bidi w:val="0"/>
        <w:ind w:hanging="283" w:start="709"/>
        <w:jc w:val="start"/>
        <w:rPr/>
      </w:pPr>
      <w:r>
        <w:rPr>
          <w:rStyle w:val="Strong"/>
        </w:rPr>
        <w:t>Failure to Update NOC Info:</w:t>
      </w:r>
      <w:r>
        <w:rPr/>
        <w:t xml:space="preserve"> If the NOC’s property description is wrong or parties are misidentified, a lienor could be adversely affected. For instance, an incorrect legal description that misleads a lienor could render an owner’s payments improper as to that lienor</w:t>
      </w:r>
      <w:hyperlink r:id="rId188" w:anchor=":~:text=,property%20where%20the%20improvements%20are" w:tgtFrame="_blank">
        <w:r>
          <w:rPr>
            <w:rStyle w:val="Hyperlink"/>
          </w:rPr>
          <w:t>flsenate.gov</w:t>
        </w:r>
      </w:hyperlink>
      <w:r>
        <w:rPr/>
        <w:t xml:space="preserve">. Also, if the ownership changes or contractor is replaced, not amending the NOC can lead to notices not reaching the correct party. </w:t>
      </w:r>
      <w:r>
        <w:rPr>
          <w:rStyle w:val="Emphasis"/>
        </w:rPr>
        <w:t>Best practice:</w:t>
      </w:r>
      <w:r>
        <w:rPr/>
        <w:t xml:space="preserve"> If any key detail (owner’s name, lender, contractor) changes, record an amended NOC. While the statute doesn’t explicitly require amendment, it helps ensure all lienors have correct information. Remember, a trivial clerical error in NOC is forgiven if it doesn’t mislead, but a substantial error that </w:t>
      </w:r>
      <w:r>
        <w:rPr>
          <w:rStyle w:val="Emphasis"/>
        </w:rPr>
        <w:t>does</w:t>
      </w:r>
      <w:r>
        <w:rPr/>
        <w:t xml:space="preserve"> harm a lienor can strip “proper payment” status</w:t>
      </w:r>
      <w:hyperlink r:id="rId189" w:anchor=":~:text=,property%20where%20the%20improvements%20are" w:tgtFrame="_blank">
        <w:r>
          <w:rPr>
            <w:rStyle w:val="Hyperlink"/>
          </w:rPr>
          <w:t>flsenate.gov</w:t>
        </w:r>
      </w:hyperlink>
      <w:r>
        <w:rPr/>
        <w:t>.</w:t>
      </w:r>
    </w:p>
    <w:p>
      <w:pPr>
        <w:pStyle w:val="BodyText"/>
        <w:numPr>
          <w:ilvl w:val="0"/>
          <w:numId w:val="10"/>
        </w:numPr>
        <w:tabs>
          <w:tab w:val="clear" w:pos="709"/>
          <w:tab w:val="left" w:pos="709" w:leader="none"/>
        </w:tabs>
        <w:bidi w:val="0"/>
        <w:ind w:hanging="283" w:start="709"/>
        <w:jc w:val="start"/>
        <w:rPr/>
      </w:pPr>
      <w:r>
        <w:rPr>
          <w:rStyle w:val="Strong"/>
        </w:rPr>
        <w:t>Missed Notice to Owner (NTO):</w:t>
      </w:r>
      <w:r>
        <w:rPr/>
        <w:t xml:space="preserve"> Subcontractors or suppliers sometimes forget to send the Notice to Owner or send it late (after 45 days). The consequence is severe: </w:t>
      </w:r>
      <w:r>
        <w:rPr>
          <w:rStyle w:val="Strong"/>
        </w:rPr>
        <w:t>no lien rights</w:t>
      </w:r>
      <w:r>
        <w:rPr/>
        <w:t xml:space="preserve"> whatsoever</w:t>
      </w:r>
      <w:hyperlink r:id="rId190" w:anchor=":~:text=commencing%2C%20or%20not%20later%20than,The%20serving%20of%20the" w:tgtFrame="_blank">
        <w:r>
          <w:rPr>
            <w:rStyle w:val="Hyperlink"/>
          </w:rPr>
          <w:t>flsenate.gov</w:t>
        </w:r>
      </w:hyperlink>
      <w:r>
        <w:rPr/>
        <w:t xml:space="preserve">. A judge will dismiss their lien claim as a matter of law. From the general contractor’s perspective, this can also harm relationships – the owner isn’t obligated to pay a sub who missed the notice, meaning the GC might have to cover it. </w:t>
      </w:r>
      <w:r>
        <w:rPr>
          <w:rStyle w:val="Emphasis"/>
        </w:rPr>
        <w:t>Solution:</w:t>
      </w:r>
      <w:r>
        <w:rPr/>
        <w:t xml:space="preserve"> </w:t>
      </w:r>
      <w:r>
        <w:rPr>
          <w:rStyle w:val="Strong"/>
        </w:rPr>
        <w:t>Platforms should auto-remind subs</w:t>
      </w:r>
      <w:r>
        <w:rPr/>
        <w:t xml:space="preserve"> of the NTO deadline as soon as they’re added to the job. Use certified mail logs or electronic delivery with confirmation (Florida allows certain e-delivery by agreement). Owners and GCs can also be proactive: if you hire a sub, and you don’t receive their NTO within, say, 30 days, send a friendly reminder – preserving their lien rights keeps everyone honest and the project funded.</w:t>
      </w:r>
    </w:p>
    <w:p>
      <w:pPr>
        <w:pStyle w:val="BodyText"/>
        <w:numPr>
          <w:ilvl w:val="0"/>
          <w:numId w:val="10"/>
        </w:numPr>
        <w:tabs>
          <w:tab w:val="clear" w:pos="709"/>
          <w:tab w:val="left" w:pos="709" w:leader="none"/>
        </w:tabs>
        <w:bidi w:val="0"/>
        <w:ind w:hanging="283" w:start="709"/>
        <w:jc w:val="start"/>
        <w:rPr/>
      </w:pPr>
      <w:r>
        <w:rPr>
          <w:rStyle w:val="Strong"/>
        </w:rPr>
        <w:t>Improper Service of Notices:</w:t>
      </w:r>
      <w:r>
        <w:rPr/>
        <w:t xml:space="preserve"> All notices (NTO, NOC copies, termination notices, etc.) must be served by authorized methods (hand delivery, certified/registered mail, overnight with delivery confirmation, or posting when others fail)</w:t>
      </w:r>
      <w:hyperlink r:id="rId191" w:anchor=":~:text=The%20bill%20provides%20that%20documents,Law%20must%20be%20served%20by" w:tgtFrame="_blank">
        <w:r>
          <w:rPr>
            <w:rStyle w:val="Hyperlink"/>
          </w:rPr>
          <w:t>flsenate.gov</w:t>
        </w:r>
      </w:hyperlink>
      <w:r>
        <w:rPr/>
        <w:t xml:space="preserve">. Using regular email or standard mail (unless followed up properly) could be deemed insufficient. Not serving a required party (like not sending the NTO copy to the designated person on NOC, or an owner failing to serve all lienors a Notice of Termination) can undermine the notice. </w:t>
      </w:r>
      <w:r>
        <w:rPr>
          <w:rStyle w:val="Emphasis"/>
        </w:rPr>
        <w:t>Consequence:</w:t>
      </w:r>
      <w:r>
        <w:rPr/>
        <w:t xml:space="preserve"> The notice might be considered not given at all. For instance, a Notice of Termination not served on a known sub is ineffective as to that sub’s lien window</w:t>
      </w:r>
      <w:hyperlink r:id="rId192" w:anchor=":~:text=,termination%20as%20the%20date%20on" w:tgtFrame="_blank">
        <w:r>
          <w:rPr>
            <w:rStyle w:val="Hyperlink"/>
          </w:rPr>
          <w:t>flsenate.gov</w:t>
        </w:r>
      </w:hyperlink>
      <w:hyperlink r:id="rId193" w:anchor=":~:text=which%20the%20notice%20of%20commencement,of%20the%20notice%20of%20termination" w:tgtFrame="_blank">
        <w:r>
          <w:rPr>
            <w:rStyle w:val="Hyperlink"/>
          </w:rPr>
          <w:t>flsenate.gov</w:t>
        </w:r>
      </w:hyperlink>
      <w:r>
        <w:rPr/>
        <w:t>. Always document service (certified mail receipts, etc.). If posting on site (last resort), take a photo of the posted notice with a timestamp.</w:t>
      </w:r>
    </w:p>
    <w:p>
      <w:pPr>
        <w:pStyle w:val="BodyText"/>
        <w:numPr>
          <w:ilvl w:val="0"/>
          <w:numId w:val="10"/>
        </w:numPr>
        <w:tabs>
          <w:tab w:val="clear" w:pos="709"/>
          <w:tab w:val="left" w:pos="709" w:leader="none"/>
        </w:tabs>
        <w:bidi w:val="0"/>
        <w:ind w:hanging="283" w:start="709"/>
        <w:jc w:val="start"/>
        <w:rPr/>
      </w:pPr>
      <w:r>
        <w:rPr>
          <w:rStyle w:val="Strong"/>
        </w:rPr>
        <w:t>Ignoring the Contractor’s Final Affidavit:</w:t>
      </w:r>
      <w:r>
        <w:rPr/>
        <w:t xml:space="preserve"> Owners sometimes are unaware they should obtain this affidavit and thus make final payment without it. That is a </w:t>
      </w:r>
      <w:r>
        <w:rPr>
          <w:rStyle w:val="Strong"/>
        </w:rPr>
        <w:t>big mistake</w:t>
      </w:r>
      <w:r>
        <w:rPr/>
        <w:t>. If a final affidavit wasn’t provided, the contractor is actually not entitled to enforce a lien</w:t>
      </w:r>
      <w:hyperlink r:id="rId194" w:anchor=":~:text=The%20contractor%20shall%20have%20no,terminated%20for%20a%20reason%20other" w:tgtFrame="_blank">
        <w:r>
          <w:rPr>
            <w:rStyle w:val="Hyperlink"/>
          </w:rPr>
          <w:t>flsenate.gov</w:t>
        </w:r>
      </w:hyperlink>
      <w:r>
        <w:rPr/>
        <w:t xml:space="preserve">, but if the owner pays in full and later a sub lien pops up, the owner loses the “rely on affidavit” defense. In fact, by statute if the owner doesn’t get the affidavit and still pays, </w:t>
      </w:r>
      <w:r>
        <w:rPr>
          <w:rStyle w:val="Strong"/>
        </w:rPr>
        <w:t>the property becomes subject to liens for any subs who haven’t been paid</w:t>
      </w:r>
      <w:r>
        <w:rPr/>
        <w:t xml:space="preserve"> (that the owner knew of)</w:t>
      </w:r>
      <w:hyperlink r:id="rId195" w:anchor=":~:text=6,furnishes%20his%20or%20her%20affidavit" w:tgtFrame="_blank">
        <w:r>
          <w:rPr>
            <w:rStyle w:val="Hyperlink"/>
          </w:rPr>
          <w:t>flsenate.gov</w:t>
        </w:r>
      </w:hyperlink>
      <w:r>
        <w:rPr/>
        <w:t xml:space="preserve">. </w:t>
      </w:r>
      <w:r>
        <w:rPr>
          <w:rStyle w:val="Emphasis"/>
        </w:rPr>
        <w:t>Mitigation:</w:t>
      </w:r>
      <w:r>
        <w:rPr/>
        <w:t xml:space="preserve"> Never issue final payment until the contractor delivers the affidavit. If the contractor refuses, the owner can withhold payment (and the contractor then cannot lien because they’re in default of providing the affidavit). This affidavit essentially locks in who can lien; without it, the owner is flying blind.</w:t>
      </w:r>
    </w:p>
    <w:p>
      <w:pPr>
        <w:pStyle w:val="BodyText"/>
        <w:numPr>
          <w:ilvl w:val="0"/>
          <w:numId w:val="10"/>
        </w:numPr>
        <w:tabs>
          <w:tab w:val="clear" w:pos="709"/>
          <w:tab w:val="left" w:pos="709" w:leader="none"/>
        </w:tabs>
        <w:bidi w:val="0"/>
        <w:ind w:hanging="283" w:start="709"/>
        <w:jc w:val="start"/>
        <w:rPr/>
      </w:pPr>
      <w:r>
        <w:rPr>
          <w:rStyle w:val="Strong"/>
        </w:rPr>
        <w:t>Lien Waiver Pitfalls:</w:t>
      </w:r>
      <w:r>
        <w:rPr/>
        <w:t xml:space="preserve"> Using non-statutory lien waiver forms can be problematic. Florida law says you </w:t>
      </w:r>
      <w:r>
        <w:rPr>
          <w:rStyle w:val="Strong"/>
        </w:rPr>
        <w:t>cannot demand a lien waiver that’s broader than the statutory form</w:t>
      </w:r>
      <w:hyperlink r:id="rId196" w:anchor=":~:text=By%3A" w:tgtFrame="_blank">
        <w:r>
          <w:rPr>
            <w:rStyle w:val="Hyperlink"/>
          </w:rPr>
          <w:t>flsenate.gov</w:t>
        </w:r>
      </w:hyperlink>
      <w:r>
        <w:rPr/>
        <w:t>. Sometimes contracts provide overly broad waiver forms (waiving all claims, etc.). Such waivers might be void or unenforceable in court. Also, not understanding that a conditional waiver (conditioned on the check clearing) is allowed – lienors can write that condition in if needed</w:t>
      </w:r>
      <w:hyperlink r:id="rId197" w:anchor=":~:text=lien%20that%20is%20different%20from,5" w:tgtFrame="_blank">
        <w:r>
          <w:rPr>
            <w:rStyle w:val="Hyperlink"/>
          </w:rPr>
          <w:t>flsenate.gov</w:t>
        </w:r>
      </w:hyperlink>
      <w:r>
        <w:rPr/>
        <w:t xml:space="preserve">. </w:t>
      </w:r>
      <w:r>
        <w:rPr>
          <w:rStyle w:val="Emphasis"/>
        </w:rPr>
        <w:t>Tip:</w:t>
      </w:r>
      <w:r>
        <w:rPr/>
        <w:t xml:space="preserve"> Stick to the statutory forms and add clarifying language about conditional payment if applicable. And ensure the through-date on partial waivers is correct (subs have been caught by signing waivers through the current date, which inadvertently waived lien rights for work performed </w:t>
      </w:r>
      <w:r>
        <w:rPr>
          <w:rStyle w:val="Emphasis"/>
        </w:rPr>
        <w:t>after</w:t>
      </w:r>
      <w:r>
        <w:rPr/>
        <w:t xml:space="preserve"> the payment period).</w:t>
      </w:r>
    </w:p>
    <w:p>
      <w:pPr>
        <w:pStyle w:val="BodyText"/>
        <w:numPr>
          <w:ilvl w:val="0"/>
          <w:numId w:val="10"/>
        </w:numPr>
        <w:tabs>
          <w:tab w:val="clear" w:pos="709"/>
          <w:tab w:val="left" w:pos="709" w:leader="none"/>
        </w:tabs>
        <w:bidi w:val="0"/>
        <w:ind w:hanging="283" w:start="709"/>
        <w:jc w:val="start"/>
        <w:rPr/>
      </w:pPr>
      <w:r>
        <w:rPr>
          <w:rStyle w:val="Strong"/>
        </w:rPr>
        <w:t>Payment Mistakes &amp; Misapplication of Funds:</w:t>
      </w:r>
      <w:r>
        <w:rPr/>
        <w:t xml:space="preserve"> By law, a contractor (or anyone receiving funds for construction) must use those funds to pay down the project’s bills first</w:t>
      </w:r>
      <w:hyperlink r:id="rId198" w:anchor=":~:text=,such%20services%2C%20labor%2C%20or%20materials" w:tgtFrame="_blank">
        <w:r>
          <w:rPr>
            <w:rStyle w:val="Hyperlink"/>
          </w:rPr>
          <w:t>flsenate.gov</w:t>
        </w:r>
      </w:hyperlink>
      <w:r>
        <w:rPr/>
        <w:t xml:space="preserve">. </w:t>
      </w:r>
      <w:r>
        <w:rPr>
          <w:rStyle w:val="Strong"/>
        </w:rPr>
        <w:t>Using money from Project A to cover Project B</w:t>
      </w:r>
      <w:r>
        <w:rPr/>
        <w:t xml:space="preserve"> or failing to pay subs while taking payment can be deemed </w:t>
      </w:r>
      <w:r>
        <w:rPr>
          <w:rStyle w:val="Strong"/>
        </w:rPr>
        <w:t>misapplication of construction funds</w:t>
      </w:r>
      <w:r>
        <w:rPr/>
        <w:t xml:space="preserve">. Under §713.345, if done </w:t>
      </w:r>
      <w:r>
        <w:rPr>
          <w:rStyle w:val="Strong"/>
        </w:rPr>
        <w:t>knowingly and intentionally</w:t>
      </w:r>
      <w:r>
        <w:rPr/>
        <w:t>, it’s a crime – potentially a felony for larger amounts</w:t>
      </w:r>
      <w:hyperlink r:id="rId199" w:anchor=":~:text=,construction%20funds%2C%20punishable%20as%20follows" w:tgtFrame="_blank">
        <w:r>
          <w:rPr>
            <w:rStyle w:val="Hyperlink"/>
          </w:rPr>
          <w:t>flsenate.gov</w:t>
        </w:r>
      </w:hyperlink>
      <w:r>
        <w:rPr/>
        <w:t xml:space="preserve">. Owners don’t want a contractor in that situation (work may stop, project could get liened by many). Contractors should have robust accounting to apply all owner payments to the job’s expenses. Owners, if paying via a title company or construction escrow, may require proof that previous funds were used to pay subs. </w:t>
      </w:r>
      <w:r>
        <w:rPr>
          <w:rStyle w:val="Emphasis"/>
        </w:rPr>
        <w:t>Significance:</w:t>
      </w:r>
      <w:r>
        <w:rPr/>
        <w:t xml:space="preserve"> Aside from criminal risk, misapplication often leads to liens (the funds didn’t reach the people who did the work). It also can result in license discipline for licensed contractors</w:t>
      </w:r>
      <w:hyperlink r:id="rId200" w:anchor=":~:text=,129%281%29%28r" w:tgtFrame="_blank">
        <w:r>
          <w:rPr>
            <w:rStyle w:val="Hyperlink"/>
          </w:rPr>
          <w:t>flsenate.gov</w:t>
        </w:r>
      </w:hyperlink>
      <w:r>
        <w:rPr/>
        <w:t xml:space="preserve">. </w:t>
      </w:r>
      <w:r>
        <w:rPr>
          <w:rStyle w:val="Strong"/>
        </w:rPr>
        <w:t>Bottom line:</w:t>
      </w:r>
      <w:r>
        <w:rPr/>
        <w:t xml:space="preserve"> always use construction funds for their intended project and pay all “downstream” parties promptly. Owners, if you suspect misapplication (e.g., subs complain of non-payment while GC was paid), you might remind the contractor of §713.345 – it tends to get their attention.</w:t>
      </w:r>
    </w:p>
    <w:p>
      <w:pPr>
        <w:pStyle w:val="BodyText"/>
        <w:numPr>
          <w:ilvl w:val="0"/>
          <w:numId w:val="10"/>
        </w:numPr>
        <w:tabs>
          <w:tab w:val="clear" w:pos="709"/>
          <w:tab w:val="left" w:pos="709" w:leader="none"/>
        </w:tabs>
        <w:bidi w:val="0"/>
        <w:ind w:hanging="283" w:start="709"/>
        <w:jc w:val="start"/>
        <w:rPr/>
      </w:pPr>
      <w:r>
        <w:rPr>
          <w:rStyle w:val="Strong"/>
        </w:rPr>
        <w:t>Not Responding to a 558 Notice (Defect claims):</w:t>
      </w:r>
      <w:r>
        <w:rPr/>
        <w:t xml:space="preserve"> If an owner serves a Chapter 558 notice and the contractor ignores it or delays beyond 45 days, the owner can directly sue, and the contractor loses the chance to fix the issue first</w:t>
      </w:r>
      <w:hyperlink r:id="rId201" w:anchor=":~:text=,unresolved%20portions%20of%20the%20claim" w:tgtFrame="_blank">
        <w:r>
          <w:rPr>
            <w:rStyle w:val="Hyperlink"/>
          </w:rPr>
          <w:t>flsenate.gov</w:t>
        </w:r>
      </w:hyperlink>
      <w:r>
        <w:rPr/>
        <w:t xml:space="preserve">. This can also sour relations and end any hope of an easy resolution. Conversely, owners who don’t send the 558 notice and go straight to suing can have their case paused. </w:t>
      </w:r>
      <w:r>
        <w:rPr>
          <w:rStyle w:val="Emphasis"/>
        </w:rPr>
        <w:t>Integration:</w:t>
      </w:r>
      <w:r>
        <w:rPr/>
        <w:t xml:space="preserve"> Project management teams should have a task for any warranty/defect complaint: “Initiate 558 process.” Contractors should treat it formally – log the deadline, send a response by day 45, even if it’s a denial. Many claims get settled in this window if handled correctly, saving everyone time and money.</w:t>
      </w:r>
    </w:p>
    <w:p>
      <w:pPr>
        <w:pStyle w:val="BodyText"/>
        <w:numPr>
          <w:ilvl w:val="0"/>
          <w:numId w:val="10"/>
        </w:numPr>
        <w:tabs>
          <w:tab w:val="clear" w:pos="709"/>
          <w:tab w:val="left" w:pos="709" w:leader="none"/>
        </w:tabs>
        <w:bidi w:val="0"/>
        <w:ind w:hanging="283" w:start="709"/>
        <w:jc w:val="start"/>
        <w:rPr/>
      </w:pPr>
      <w:r>
        <w:rPr>
          <w:rStyle w:val="Strong"/>
        </w:rPr>
        <w:t>Lack of Documentation:</w:t>
      </w:r>
      <w:r>
        <w:rPr/>
        <w:t xml:space="preserve"> In lien disputes, paper (or digital) trail is everything. If a contractor claims they sent an NTO or a final affidavit, but has no proof, it can lead to factual fights or loss of rights. If an owner says “I never got a Notice to Owner from that supplier,” but the supplier has a signed certified mail green card, the supplier will prevail on that issue. Not keeping copies of releases can mean an owner can’t prove a defense of payment. </w:t>
      </w:r>
      <w:r>
        <w:rPr>
          <w:rStyle w:val="Emphasis"/>
        </w:rPr>
        <w:t>Solution:</w:t>
      </w:r>
      <w:r>
        <w:rPr/>
        <w:t xml:space="preserve"> Implement a documentation protocol: every notice or waiver that comes in is scanned and stored in a dedicated project folder (and maybe cross-cataloged by date and type). Every outgoing notice – send it with a trackable method and save the proof (certified mail tracking, etc.). Use project management software to store these files where all stakeholders (owner, GC, perhaps lender) can access if needed. This not only prevents things from falling through cracks but also provides evidence if a lien foreclosure or other dispute occurs.</w:t>
      </w:r>
    </w:p>
    <w:p>
      <w:pPr>
        <w:pStyle w:val="BodyText"/>
        <w:bidi w:val="0"/>
        <w:jc w:val="start"/>
        <w:rPr/>
      </w:pPr>
      <w:r>
        <w:rPr/>
        <w:t xml:space="preserve">By anticipating these pitfalls, parties can adjust their processes. In sum, </w:t>
      </w:r>
      <w:r>
        <w:rPr>
          <w:rStyle w:val="Strong"/>
        </w:rPr>
        <w:t>strict compliance</w:t>
      </w:r>
      <w:r>
        <w:rPr/>
        <w:t xml:space="preserve"> with notice deadlines, service methods, and form requirements is the safest path – Florida courts enforce these lien law requirements literally. At the same time, owners and contractors should communicate: for example, if an owner hasn’t seen an NTO from a known sub, ask the contractor (maybe it was mis-addressed). Everyone’s goal should be a well-documented project where, at the end, the owner pays once and all those who provided work are paid in full – following the statute’s roadmap is the best way to get there.</w:t>
      </w:r>
    </w:p>
    <w:p>
      <w:pPr>
        <w:pStyle w:val="Heading2"/>
        <w:bidi w:val="0"/>
        <w:spacing w:lineRule="auto" w:line="276" w:before="0" w:after="140"/>
        <w:jc w:val="start"/>
        <w:rPr/>
      </w:pPr>
      <w:r>
        <w:rPr/>
        <w:t>Additional Resources and Best Practice Guides</w:t>
      </w:r>
    </w:p>
    <w:p>
      <w:pPr>
        <w:pStyle w:val="BodyText"/>
        <w:bidi w:val="0"/>
        <w:jc w:val="start"/>
        <w:rPr/>
      </w:pPr>
      <w:r>
        <w:rPr/>
        <w:t>For further guidance and authoritative commentary on Florida’s construction lien law and related processes, consider the following resources:</w:t>
      </w:r>
    </w:p>
    <w:p>
      <w:pPr>
        <w:pStyle w:val="BodyText"/>
        <w:numPr>
          <w:ilvl w:val="0"/>
          <w:numId w:val="11"/>
        </w:numPr>
        <w:tabs>
          <w:tab w:val="clear" w:pos="709"/>
          <w:tab w:val="left" w:pos="709" w:leader="none"/>
        </w:tabs>
        <w:bidi w:val="0"/>
        <w:ind w:hanging="283" w:start="709"/>
        <w:jc w:val="start"/>
        <w:rPr/>
      </w:pPr>
      <w:r>
        <w:rPr>
          <w:rStyle w:val="Strong"/>
        </w:rPr>
        <w:t>Florida Bar – Construction Law Committee/Section:</w:t>
      </w:r>
      <w:r>
        <w:rPr/>
        <w:t xml:space="preserve"> The Florida Bar’s Real Property, Probate and Trust Law Section has a Construction Law Committee that produces seminars and materials. The Florida Bar also publishes a </w:t>
      </w:r>
      <w:r>
        <w:rPr>
          <w:rStyle w:val="Strong"/>
        </w:rPr>
        <w:t>Florida Construction Law Manual</w:t>
      </w:r>
      <w:r>
        <w:rPr/>
        <w:t xml:space="preserve"> and Bar Journal articles. </w:t>
      </w:r>
      <w:r>
        <w:rPr>
          <w:rStyle w:val="Emphasis"/>
        </w:rPr>
        <w:t>For example, see</w:t>
      </w:r>
      <w:r>
        <w:rPr/>
        <w:t xml:space="preserve"> “Florida’s Unwieldy But Effective Construction Lien Law” (Florida Bar Journal, Jan/Feb 2019) for a deep dive into lien principles</w:t>
      </w:r>
      <w:hyperlink r:id="rId202" w:anchor=":~:text=Of%20these%2C%20construction%20liens%20are,as%20long%20as%20a%20novel" w:tgtFrame="_blank">
        <w:r>
          <w:rPr>
            <w:rStyle w:val="Hyperlink"/>
          </w:rPr>
          <w:t>floridabar.org</w:t>
        </w:r>
      </w:hyperlink>
      <w:hyperlink r:id="rId203" w:anchor=":~:text=among%20the%20most%20Byzantine%2C%20and,as%20long%20as%20a%20novel" w:tgtFrame="_blank">
        <w:r>
          <w:rPr>
            <w:rStyle w:val="Hyperlink"/>
          </w:rPr>
          <w:t>floridabar.org</w:t>
        </w:r>
      </w:hyperlink>
      <w:r>
        <w:rPr/>
        <w:t>. While a bit dated (pre-2023 changes), it provides a thorough grounding in lien concepts and the policy behind them.</w:t>
      </w:r>
    </w:p>
    <w:p>
      <w:pPr>
        <w:pStyle w:val="BodyText"/>
        <w:numPr>
          <w:ilvl w:val="0"/>
          <w:numId w:val="11"/>
        </w:numPr>
        <w:tabs>
          <w:tab w:val="clear" w:pos="709"/>
          <w:tab w:val="left" w:pos="709" w:leader="none"/>
        </w:tabs>
        <w:bidi w:val="0"/>
        <w:ind w:hanging="283" w:start="709"/>
        <w:jc w:val="start"/>
        <w:rPr/>
      </w:pPr>
      <w:r>
        <w:rPr>
          <w:rStyle w:val="Strong"/>
        </w:rPr>
        <w:t>Florida Department of Business and Professional Regulation (DBPR):</w:t>
      </w:r>
      <w:r>
        <w:rPr/>
        <w:t xml:space="preserve"> The DBPR provides a **“Notice of Commencement Information” sheet and a </w:t>
      </w:r>
      <w:r>
        <w:rPr>
          <w:rStyle w:val="Strong"/>
        </w:rPr>
        <w:t>summary of the Construction Lien Law</w:t>
      </w:r>
      <w:r>
        <w:rPr/>
        <w:t xml:space="preserve"> (required by §713.135 to be given to permit applicants)</w:t>
      </w:r>
      <w:hyperlink r:id="rId204" w:anchor=":~:text=right%2C%20title%2C%20and%20interest%20of,with%20a%20notice%20as%20provided" w:tgtFrame="_blank">
        <w:r>
          <w:rPr>
            <w:rStyle w:val="Hyperlink"/>
          </w:rPr>
          <w:t>deltonafl.gov</w:t>
        </w:r>
      </w:hyperlink>
      <w:r>
        <w:rPr/>
        <w:t xml:space="preserve">. This summary is a handy overview for owners in plain language. Check the DBPR website or ask your local building department for the </w:t>
      </w:r>
      <w:r>
        <w:rPr>
          <w:rStyle w:val="Emphasis"/>
        </w:rPr>
        <w:t>Construction Lien Law Summary pamphlet</w:t>
      </w:r>
      <w:r>
        <w:rPr/>
        <w:t>. It covers basics like recording/posting NOC, the importance of NTOs, and steps to take if a lien is filed.</w:t>
      </w:r>
    </w:p>
    <w:p>
      <w:pPr>
        <w:pStyle w:val="BodyText"/>
        <w:numPr>
          <w:ilvl w:val="0"/>
          <w:numId w:val="11"/>
        </w:numPr>
        <w:tabs>
          <w:tab w:val="clear" w:pos="709"/>
          <w:tab w:val="left" w:pos="709" w:leader="none"/>
        </w:tabs>
        <w:bidi w:val="0"/>
        <w:ind w:hanging="283" w:start="709"/>
        <w:jc w:val="start"/>
        <w:rPr/>
      </w:pPr>
      <w:r>
        <w:rPr>
          <w:rStyle w:val="Strong"/>
        </w:rPr>
        <w:t>Florida Construction Law treatises and guides:</w:t>
      </w:r>
      <w:r>
        <w:rPr/>
        <w:t xml:space="preserve"> Books like </w:t>
      </w:r>
      <w:r>
        <w:rPr>
          <w:rStyle w:val="Emphasis"/>
        </w:rPr>
        <w:t>“Florida Construction Lien and Bond Law” by The Florida Bar Continuing Legal Education</w:t>
      </w:r>
      <w:r>
        <w:rPr/>
        <w:t xml:space="preserve"> are invaluable for in-depth understanding. They often include checklists and form samples, and discuss recent case law interpreting Chapter 713.</w:t>
      </w:r>
    </w:p>
    <w:p>
      <w:pPr>
        <w:pStyle w:val="BodyText"/>
        <w:numPr>
          <w:ilvl w:val="0"/>
          <w:numId w:val="11"/>
        </w:numPr>
        <w:tabs>
          <w:tab w:val="clear" w:pos="709"/>
          <w:tab w:val="left" w:pos="709" w:leader="none"/>
        </w:tabs>
        <w:bidi w:val="0"/>
        <w:ind w:hanging="283" w:start="709"/>
        <w:jc w:val="start"/>
        <w:rPr/>
      </w:pPr>
      <w:r>
        <w:rPr>
          <w:rStyle w:val="Strong"/>
        </w:rPr>
        <w:t>Construction Law Blogs / Practitioner Articles:</w:t>
      </w:r>
      <w:r>
        <w:rPr/>
        <w:t xml:space="preserve"> Florida has a vibrant construction law community. Websites like </w:t>
      </w:r>
      <w:r>
        <w:rPr>
          <w:rStyle w:val="Strong"/>
        </w:rPr>
        <w:t>TheLienZone.com</w:t>
      </w:r>
      <w:r>
        <w:rPr/>
        <w:t xml:space="preserve">, </w:t>
      </w:r>
      <w:r>
        <w:rPr>
          <w:rStyle w:val="Strong"/>
        </w:rPr>
        <w:t>SunRayNotice.com (SunRay’s blog)</w:t>
      </w:r>
      <w:r>
        <w:rPr/>
        <w:t xml:space="preserve">, </w:t>
      </w:r>
      <w:r>
        <w:rPr>
          <w:rStyle w:val="Strong"/>
        </w:rPr>
        <w:t>Levelset’s Florida lien law guides</w:t>
      </w:r>
      <w:r>
        <w:rPr/>
        <w:t xml:space="preserve">, and law firm blogs (e.g., </w:t>
      </w:r>
      <w:r>
        <w:rPr>
          <w:rStyle w:val="Strong"/>
        </w:rPr>
        <w:t>Jimerson Birr’s Construction Law FAQ</w:t>
      </w:r>
      <w:r>
        <w:rPr/>
        <w:t xml:space="preserve">, </w:t>
      </w:r>
      <w:r>
        <w:rPr>
          <w:rStyle w:val="Strong"/>
        </w:rPr>
        <w:t>Alex Barthet’s The Lien Zone</w:t>
      </w:r>
      <w:r>
        <w:rPr/>
        <w:t xml:space="preserve">, </w:t>
      </w:r>
      <w:r>
        <w:rPr>
          <w:rStyle w:val="Strong"/>
        </w:rPr>
        <w:t>Florida Hard Hat Law</w:t>
      </w:r>
      <w:r>
        <w:rPr/>
        <w:t xml:space="preserve">) frequently post updates and practical tips. For instance, SunRay’s guide on </w:t>
      </w:r>
      <w:r>
        <w:rPr>
          <w:rStyle w:val="Strong"/>
        </w:rPr>
        <w:t>Notice to Owner Best Practices</w:t>
      </w:r>
      <w:r>
        <w:rPr/>
        <w:t xml:space="preserve"> emphasizes prompt service and correct information</w:t>
      </w:r>
      <w:hyperlink r:id="rId205" w:anchor=":~:text=Notice%20to%20Owner%20Best%20Practices,submits%20a%20Final%20Payment" w:tgtFrame="_blank">
        <w:r>
          <w:rPr>
            <w:rStyle w:val="Hyperlink"/>
          </w:rPr>
          <w:t>sunraynotice.com</w:t>
        </w:r>
      </w:hyperlink>
      <w:r>
        <w:rPr/>
        <w:t xml:space="preserve">, and Levelset’s article on </w:t>
      </w:r>
      <w:r>
        <w:rPr>
          <w:rStyle w:val="Strong"/>
        </w:rPr>
        <w:t>Contractor’s Final Payment Affidavit</w:t>
      </w:r>
      <w:r>
        <w:rPr/>
        <w:t xml:space="preserve"> explains how failing to provide the affidavit can forfeit lien rights</w:t>
      </w:r>
      <w:hyperlink r:id="rId206" w:anchor=":~:text=Florida%20Court%20Clarifies%20When%20Contractor%27s,days%E2%80%9D%20before%20filing%20a" w:tgtFrame="_blank">
        <w:r>
          <w:rPr>
            <w:rStyle w:val="Hyperlink"/>
          </w:rPr>
          <w:t>hammerngavel.com</w:t>
        </w:r>
      </w:hyperlink>
      <w:r>
        <w:rPr/>
        <w:t>. Such commentaries can confirm how the statute is applied in real scenarios.</w:t>
      </w:r>
    </w:p>
    <w:p>
      <w:pPr>
        <w:pStyle w:val="BodyText"/>
        <w:numPr>
          <w:ilvl w:val="0"/>
          <w:numId w:val="11"/>
        </w:numPr>
        <w:tabs>
          <w:tab w:val="clear" w:pos="709"/>
          <w:tab w:val="left" w:pos="709" w:leader="none"/>
        </w:tabs>
        <w:bidi w:val="0"/>
        <w:ind w:hanging="283" w:start="709"/>
        <w:jc w:val="start"/>
        <w:rPr/>
      </w:pPr>
      <w:r>
        <w:rPr>
          <w:rStyle w:val="Strong"/>
        </w:rPr>
        <w:t>Florida Bar Construction Law Institute / Seminars:</w:t>
      </w:r>
      <w:r>
        <w:rPr/>
        <w:t xml:space="preserve"> Each year, the Construction Law Institute (or local bar CLEs) discuss new developments like HB 331’s changes. Slide decks or materials from these seminars often contain flowcharts and examples. If you can obtain seminar materials from late 2023 or 2024, they likely illustrate the new Notice of Termination process and other HB 331 updates.</w:t>
      </w:r>
    </w:p>
    <w:p>
      <w:pPr>
        <w:pStyle w:val="BodyText"/>
        <w:numPr>
          <w:ilvl w:val="0"/>
          <w:numId w:val="11"/>
        </w:numPr>
        <w:tabs>
          <w:tab w:val="clear" w:pos="709"/>
          <w:tab w:val="left" w:pos="709" w:leader="none"/>
        </w:tabs>
        <w:bidi w:val="0"/>
        <w:ind w:hanging="283" w:start="709"/>
        <w:jc w:val="start"/>
        <w:rPr/>
      </w:pPr>
      <w:r>
        <w:rPr>
          <w:rStyle w:val="Strong"/>
        </w:rPr>
        <w:t>Official Statutes and Legislative Staff Analyses:</w:t>
      </w:r>
      <w:r>
        <w:rPr/>
        <w:t xml:space="preserve"> For the exact statutory text, always refer to the current Florida Statutes (Title XL, Chapter 713 for liens; Chapter 558 for defects). The 2023 House Bill 331 Staff Analysis</w:t>
      </w:r>
      <w:hyperlink r:id="rId207" w:anchor=":~:text=The%20bill%3A" w:tgtFrame="_blank">
        <w:r>
          <w:rPr>
            <w:rStyle w:val="Hyperlink"/>
          </w:rPr>
          <w:t>flsenate.gov</w:t>
        </w:r>
      </w:hyperlink>
      <w:hyperlink r:id="rId208" w:anchor=":~:text=satisfaction%20or%20release%20must%20include,enforce%20a%20lien%20transferred%20to" w:tgtFrame="_blank">
        <w:r>
          <w:rPr>
            <w:rStyle w:val="Hyperlink"/>
          </w:rPr>
          <w:t>flsenate.gov</w:t>
        </w:r>
      </w:hyperlink>
      <w:r>
        <w:rPr/>
        <w:t xml:space="preserve"> and the Florida Senate Bill Summary</w:t>
      </w:r>
      <w:hyperlink r:id="rId209" w:anchor=":~:text=Presently%2C%20an%20owner%20may%20record,a%20notice%20of%20termination%20after" w:tgtFrame="_blank">
        <w:r>
          <w:rPr>
            <w:rStyle w:val="Hyperlink"/>
          </w:rPr>
          <w:t>flsenate.gov</w:t>
        </w:r>
      </w:hyperlink>
      <w:hyperlink r:id="rId210" w:anchor=":~:text=,also%20specifies%20that%2C%20if%20a" w:tgtFrame="_blank">
        <w:r>
          <w:rPr>
            <w:rStyle w:val="Hyperlink"/>
          </w:rPr>
          <w:t>flsenate.gov</w:t>
        </w:r>
      </w:hyperlink>
      <w:r>
        <w:rPr/>
        <w:t xml:space="preserve"> outline in plain terms what was changed (e.g., expanded definition of “Contractor,” new notice requirements to sureties, etc.). This legislative history can be useful to understand intent. For example, the Senate summary confirms that </w:t>
      </w:r>
      <w:r>
        <w:rPr>
          <w:rStyle w:val="Emphasis"/>
        </w:rPr>
        <w:t>“the bill modifies the notice of commencement, notice of termination, and notice of nonpayment forms”</w:t>
      </w:r>
      <w:r>
        <w:rPr/>
        <w:t xml:space="preserve"> and details the new service methods</w:t>
      </w:r>
      <w:hyperlink r:id="rId211" w:anchor=":~:text=,also%20specifies%20that%2C%20if%20a" w:tgtFrame="_blank">
        <w:r>
          <w:rPr>
            <w:rStyle w:val="Hyperlink"/>
          </w:rPr>
          <w:t>flsenate.gov</w:t>
        </w:r>
      </w:hyperlink>
      <w:r>
        <w:rPr/>
        <w:t>.</w:t>
      </w:r>
    </w:p>
    <w:p>
      <w:pPr>
        <w:pStyle w:val="BodyText"/>
        <w:numPr>
          <w:ilvl w:val="0"/>
          <w:numId w:val="11"/>
        </w:numPr>
        <w:tabs>
          <w:tab w:val="clear" w:pos="709"/>
          <w:tab w:val="left" w:pos="709" w:leader="none"/>
        </w:tabs>
        <w:bidi w:val="0"/>
        <w:ind w:hanging="283" w:start="709"/>
        <w:jc w:val="start"/>
        <w:rPr/>
      </w:pPr>
      <w:r>
        <w:rPr>
          <w:rStyle w:val="Strong"/>
        </w:rPr>
        <w:t>Local Clerk of Court websites:</w:t>
      </w:r>
      <w:r>
        <w:rPr/>
        <w:t xml:space="preserve"> Many county clerks in Florida have dedicated pages on </w:t>
      </w:r>
      <w:r>
        <w:rPr>
          <w:rStyle w:val="Strong"/>
        </w:rPr>
        <w:t>Construction Liens</w:t>
      </w:r>
      <w:r>
        <w:rPr/>
        <w:t xml:space="preserve"> explaining how to record a Claim of Lien, how to contest a lien, etc., often in Q&amp;A format for the public. They can serve as a quick reference for procedural questions (e.g., “Where do I send a Notice of Contest?”).</w:t>
      </w:r>
    </w:p>
    <w:p>
      <w:pPr>
        <w:pStyle w:val="BodyText"/>
        <w:bidi w:val="0"/>
        <w:jc w:val="start"/>
        <w:rPr/>
      </w:pPr>
      <w:r>
        <w:rPr/>
        <w:t xml:space="preserve">In implementing a compliance toolkit, it’s wise to cross-reference multiple sources: the statute for the letter of the law, the Florida Bar/DBPR materials for simplified explanations, and practitioner commentary for practical insights. By staying informed through these resources, you’ll ensure your processes not only meet legal requirements but also reflect </w:t>
      </w:r>
      <w:r>
        <w:rPr>
          <w:rStyle w:val="Strong"/>
        </w:rPr>
        <w:t>best practices</w:t>
      </w:r>
      <w:r>
        <w:rPr/>
        <w:t xml:space="preserve"> endorsed by experts in the field.</w:t>
      </w:r>
    </w:p>
    <w:p>
      <w:pPr>
        <w:pStyle w:val="BodyText"/>
        <w:bidi w:val="0"/>
        <w:jc w:val="start"/>
        <w:rPr/>
      </w:pPr>
      <w:r>
        <w:rPr/>
        <w:t xml:space="preserve">Finally, remember that Florida’s lien laws were significantly updated in 2023 – always verify that any guide or form you use is updated </w:t>
      </w:r>
      <w:r>
        <w:rPr>
          <w:rStyle w:val="Strong"/>
        </w:rPr>
        <w:t>post-October 1, 2023</w:t>
      </w:r>
      <w:r>
        <w:rPr/>
        <w:t xml:space="preserve">. The forward-looking approach (as we’ve taken here) will keep your toolkit in line with current law, helping both in </w:t>
      </w:r>
      <w:r>
        <w:rPr>
          <w:rStyle w:val="Strong"/>
        </w:rPr>
        <w:t>reactive situations</w:t>
      </w:r>
      <w:r>
        <w:rPr/>
        <w:t xml:space="preserve"> (like handling a lien or defect claim dispute) and </w:t>
      </w:r>
      <w:r>
        <w:rPr>
          <w:rStyle w:val="Strong"/>
        </w:rPr>
        <w:t>proactive planning</w:t>
      </w:r>
      <w:r>
        <w:rPr/>
        <w:t xml:space="preserve"> (like setting up your project’s notice schedule and documentation workflow from day one). Compliance may seem complex, but with this roadmap and resources, you can navigate Florida’s construction lien law with confidence and avoid the common traps that lead to expensive problems.</w:t>
      </w:r>
    </w:p>
    <w:p>
      <w:pPr>
        <w:pStyle w:val="BodyText"/>
        <w:bidi w:val="0"/>
        <w:spacing w:before="0" w:after="0"/>
        <w:jc w:val="start"/>
        <w:rPr/>
      </w:pPr>
      <w:r>
        <w:rPr/>
        <w:drawing>
          <wp:inline distT="0" distB="0" distL="0" distR="0">
            <wp:extent cx="304800" cy="304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12"/>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13"/>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214"/>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215"/>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16"/>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t>Sources</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Yes, Florida's Notice of Commencement (NOC) requirements underwent significant changes effective October 1, 2023, due to House Bill 331. These amendments impact various aspects of the construction lien process. </w:t>
      </w:r>
      <w:hyperlink r:id="rId217" w:tgtFrame="_blank">
        <w:r>
          <w:rPr>
            <w:rStyle w:val="Hyperlink"/>
          </w:rPr>
          <w:t>ZoomLien - construction payment process+3Kirwin Norris+3ZoomLien - construction payment process+3</w:t>
        </w:r>
      </w:hyperlink>
      <w:hyperlink r:id="rId218" w:tgtFrame="_blank">
        <w:r>
          <w:rPr>
            <w:rStyle w:val="Hyperlink"/>
          </w:rPr>
          <w:t>ZoomLien - construction payment process+3buildersnotice+3hammerngavel.substack.com+3</w:t>
        </w:r>
      </w:hyperlink>
    </w:p>
    <w:p>
      <w:pPr>
        <w:pStyle w:val="BodyText"/>
        <w:bidi w:val="0"/>
        <w:spacing w:lineRule="auto" w:line="276" w:before="0" w:after="140"/>
        <w:jc w:val="start"/>
        <w:rPr/>
      </w:pPr>
      <w:r>
        <w:rPr>
          <w:rStyle w:val="Strong"/>
        </w:rPr>
        <w:t>Key Changes Include:</w:t>
      </w:r>
    </w:p>
    <w:p>
      <w:pPr>
        <w:pStyle w:val="BodyText"/>
        <w:numPr>
          <w:ilvl w:val="0"/>
          <w:numId w:val="1"/>
        </w:numPr>
        <w:tabs>
          <w:tab w:val="clear" w:pos="709"/>
          <w:tab w:val="left" w:pos="709" w:leader="none"/>
        </w:tabs>
        <w:bidi w:val="0"/>
        <w:ind w:hanging="283" w:start="709"/>
        <w:jc w:val="start"/>
        <w:rPr/>
      </w:pPr>
      <w:r>
        <w:rPr>
          <w:rStyle w:val="Strong"/>
        </w:rPr>
        <w:t>Increased Threshold for NOC Requirement:</w:t>
      </w:r>
    </w:p>
    <w:p>
      <w:pPr>
        <w:pStyle w:val="BodyText"/>
        <w:numPr>
          <w:ilvl w:val="1"/>
          <w:numId w:val="1"/>
        </w:numPr>
        <w:tabs>
          <w:tab w:val="clear" w:pos="709"/>
          <w:tab w:val="left" w:pos="1418" w:leader="none"/>
        </w:tabs>
        <w:bidi w:val="0"/>
        <w:ind w:hanging="283" w:start="1418"/>
        <w:jc w:val="start"/>
        <w:rPr/>
      </w:pPr>
      <w:r>
        <w:rPr/>
        <w:t xml:space="preserve">The contract amount threshold requiring a Notice of Commencement increased from $2,500 to $5,000. </w:t>
      </w:r>
      <w:hyperlink r:id="rId219" w:tgtFrame="_blank">
        <w:r>
          <w:rPr>
            <w:rStyle w:val="Hyperlink"/>
          </w:rPr>
          <w:t>buildersnotice+1</w:t>
        </w:r>
      </w:hyperlink>
    </w:p>
    <w:p>
      <w:pPr>
        <w:pStyle w:val="BodyText"/>
        <w:numPr>
          <w:ilvl w:val="0"/>
          <w:numId w:val="1"/>
        </w:numPr>
        <w:tabs>
          <w:tab w:val="clear" w:pos="709"/>
          <w:tab w:val="left" w:pos="709" w:leader="none"/>
        </w:tabs>
        <w:bidi w:val="0"/>
        <w:ind w:hanging="283" w:start="709"/>
        <w:jc w:val="start"/>
        <w:rPr/>
      </w:pPr>
      <w:r>
        <w:rPr>
          <w:rStyle w:val="Strong"/>
        </w:rPr>
        <w:t>Updated Notarization Process:</w:t>
      </w:r>
    </w:p>
    <w:p>
      <w:pPr>
        <w:pStyle w:val="BodyText"/>
        <w:numPr>
          <w:ilvl w:val="1"/>
          <w:numId w:val="1"/>
        </w:numPr>
        <w:tabs>
          <w:tab w:val="clear" w:pos="709"/>
          <w:tab w:val="left" w:pos="1418" w:leader="none"/>
        </w:tabs>
        <w:bidi w:val="0"/>
        <w:ind w:hanging="283" w:start="1418"/>
        <w:jc w:val="start"/>
        <w:rPr/>
      </w:pPr>
      <w:r>
        <w:rPr/>
        <w:t xml:space="preserve">The NOC form now accommodates online notarization, reflecting advancements in digital documentation. </w:t>
      </w:r>
    </w:p>
    <w:p>
      <w:pPr>
        <w:pStyle w:val="BodyText"/>
        <w:numPr>
          <w:ilvl w:val="0"/>
          <w:numId w:val="1"/>
        </w:numPr>
        <w:tabs>
          <w:tab w:val="clear" w:pos="709"/>
          <w:tab w:val="left" w:pos="709" w:leader="none"/>
        </w:tabs>
        <w:bidi w:val="0"/>
        <w:ind w:hanging="283" w:start="709"/>
        <w:jc w:val="start"/>
        <w:rPr/>
      </w:pPr>
      <w:r>
        <w:rPr>
          <w:rStyle w:val="Strong"/>
        </w:rPr>
        <w:t>Permit Issuance Procedures:</w:t>
      </w:r>
    </w:p>
    <w:p>
      <w:pPr>
        <w:pStyle w:val="BodyText"/>
        <w:numPr>
          <w:ilvl w:val="1"/>
          <w:numId w:val="1"/>
        </w:numPr>
        <w:tabs>
          <w:tab w:val="clear" w:pos="709"/>
          <w:tab w:val="left" w:pos="1418" w:leader="none"/>
        </w:tabs>
        <w:bidi w:val="0"/>
        <w:ind w:hanging="283" w:start="1418"/>
        <w:jc w:val="start"/>
        <w:rPr/>
      </w:pPr>
      <w:r>
        <w:rPr/>
        <w:t xml:space="preserve">Authorities issuing building permits must accept a recorded NOC from an owner or the owner's agent if it's in the statutorily specified form. </w:t>
      </w:r>
      <w:hyperlink r:id="rId220" w:tgtFrame="_blank">
        <w:r>
          <w:rPr>
            <w:rStyle w:val="Hyperlink"/>
          </w:rPr>
          <w:t>Florida Legislature+4Hammer and Gavel+4Florida Senate+4</w:t>
        </w:r>
      </w:hyperlink>
    </w:p>
    <w:p>
      <w:pPr>
        <w:pStyle w:val="BodyText"/>
        <w:numPr>
          <w:ilvl w:val="0"/>
          <w:numId w:val="1"/>
        </w:numPr>
        <w:tabs>
          <w:tab w:val="clear" w:pos="709"/>
          <w:tab w:val="left" w:pos="709" w:leader="none"/>
        </w:tabs>
        <w:bidi w:val="0"/>
        <w:ind w:hanging="283" w:start="709"/>
        <w:jc w:val="start"/>
        <w:rPr/>
      </w:pPr>
      <w:r>
        <w:rPr>
          <w:rStyle w:val="Strong"/>
        </w:rPr>
        <w:t>Notice of Termination Requirements:</w:t>
      </w:r>
    </w:p>
    <w:p>
      <w:pPr>
        <w:pStyle w:val="BodyText"/>
        <w:numPr>
          <w:ilvl w:val="1"/>
          <w:numId w:val="1"/>
        </w:numPr>
        <w:tabs>
          <w:tab w:val="clear" w:pos="709"/>
          <w:tab w:val="left" w:pos="1418" w:leader="none"/>
        </w:tabs>
        <w:bidi w:val="0"/>
        <w:ind w:hanging="283" w:start="1418"/>
        <w:jc w:val="start"/>
        <w:rPr/>
      </w:pPr>
      <w:r>
        <w:rPr/>
        <w:t xml:space="preserve">Enhanced requirements for terminating a NOC include serving the notice on all lienors with direct contracts or those who have timely served a Notice to Owner. </w:t>
      </w:r>
      <w:hyperlink r:id="rId221" w:tgtFrame="_blank">
        <w:r>
          <w:rPr>
            <w:rStyle w:val="Hyperlink"/>
          </w:rPr>
          <w:t>Hammer and Gavel+2ZoomLien - construction payment process+2</w:t>
        </w:r>
      </w:hyperlink>
    </w:p>
    <w:p>
      <w:pPr>
        <w:pStyle w:val="BodyText"/>
        <w:numPr>
          <w:ilvl w:val="0"/>
          <w:numId w:val="1"/>
        </w:numPr>
        <w:tabs>
          <w:tab w:val="clear" w:pos="709"/>
          <w:tab w:val="left" w:pos="709" w:leader="none"/>
        </w:tabs>
        <w:bidi w:val="0"/>
        <w:ind w:hanging="283" w:start="709"/>
        <w:jc w:val="start"/>
        <w:rPr/>
      </w:pPr>
      <w:r>
        <w:rPr>
          <w:rStyle w:val="Strong"/>
        </w:rPr>
        <w:t>Definition of Contractor Expanded:</w:t>
      </w:r>
    </w:p>
    <w:p>
      <w:pPr>
        <w:pStyle w:val="BodyText"/>
        <w:numPr>
          <w:ilvl w:val="1"/>
          <w:numId w:val="1"/>
        </w:numPr>
        <w:tabs>
          <w:tab w:val="clear" w:pos="709"/>
          <w:tab w:val="left" w:pos="1418" w:leader="none"/>
        </w:tabs>
        <w:bidi w:val="0"/>
        <w:ind w:hanging="283" w:start="1418"/>
        <w:jc w:val="start"/>
        <w:rPr/>
      </w:pPr>
      <w:r>
        <w:rPr/>
        <w:t xml:space="preserve">The term "contractor" now includes licensed general or building contractors providing construction management services. </w:t>
      </w:r>
      <w:hyperlink r:id="rId222" w:tgtFrame="_blank">
        <w:r>
          <w:rPr>
            <w:rStyle w:val="Hyperlink"/>
          </w:rPr>
          <w:t>Kirwin Norris+4buildersnotice+4ZoomLien - construction payment process+4</w:t>
        </w:r>
      </w:hyperlink>
    </w:p>
    <w:p>
      <w:pPr>
        <w:pStyle w:val="BodyText"/>
        <w:bidi w:val="0"/>
        <w:jc w:val="start"/>
        <w:rPr/>
      </w:pPr>
      <w:r>
        <w:rPr/>
        <w:t>These changes aim to modernize and clarify the construction lien process in Florida. It's crucial for contractors, property owners, and other stakeholders to familiarize themselves with these updates to ensure compliance and protect their legal rights.</w:t>
      </w:r>
    </w:p>
    <w:p>
      <w:pPr>
        <w:pStyle w:val="BodyText"/>
        <w:bidi w:val="0"/>
        <w:jc w:val="start"/>
        <w:rPr/>
      </w:pPr>
      <w:r>
        <w:rPr/>
        <w:t>For a comprehensive understanding, you may refer to the full text of the amended statutes and consult with a legal professional specializing in Florida construction law.</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Unicode MS"/>
      <w:b/>
      <w:bCs/>
      <w:sz w:val="28"/>
      <w:szCs w:val="28"/>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lzin.com/insights/publications/2023/06/florida-enacts-changes-to-construction-lien-law" TargetMode="External"/><Relationship Id="rId3" Type="http://schemas.openxmlformats.org/officeDocument/2006/relationships/hyperlink" Target="https://m.flsenate.gov/statutes/713.13" TargetMode="External"/><Relationship Id="rId4" Type="http://schemas.openxmlformats.org/officeDocument/2006/relationships/hyperlink" Target="https://m.flsenate.gov/statutes/713.13" TargetMode="External"/><Relationship Id="rId5" Type="http://schemas.openxmlformats.org/officeDocument/2006/relationships/hyperlink" Target="https://m.flsenate.gov/statutes/713.13" TargetMode="External"/><Relationship Id="rId6" Type="http://schemas.openxmlformats.org/officeDocument/2006/relationships/hyperlink" Target="https://www.bilzin.com/insights/publications/2023/06/florida-enacts-changes-to-construction-lien-law" TargetMode="External"/><Relationship Id="rId7" Type="http://schemas.openxmlformats.org/officeDocument/2006/relationships/hyperlink" Target="https://m.flsenate.gov/statutes/713.13" TargetMode="External"/><Relationship Id="rId8" Type="http://schemas.openxmlformats.org/officeDocument/2006/relationships/hyperlink" Target="https://m.flsenate.gov/statutes/713.13" TargetMode="External"/><Relationship Id="rId9" Type="http://schemas.openxmlformats.org/officeDocument/2006/relationships/hyperlink" Target="https://m.flsenate.gov/statutes/713.13" TargetMode="External"/><Relationship Id="rId10" Type="http://schemas.openxmlformats.org/officeDocument/2006/relationships/hyperlink" Target="https://codes.findlaw.com/fl/title-xl-real-and-personal-property/fl-st-sect-713-13/" TargetMode="External"/><Relationship Id="rId11" Type="http://schemas.openxmlformats.org/officeDocument/2006/relationships/hyperlink" Target="https://m.flsenate.gov/statutes/713.13" TargetMode="External"/><Relationship Id="rId12" Type="http://schemas.openxmlformats.org/officeDocument/2006/relationships/hyperlink" Target="https://m.flsenate.gov/statutes/713.13" TargetMode="External"/><Relationship Id="rId13" Type="http://schemas.openxmlformats.org/officeDocument/2006/relationships/hyperlink" Target="https://m.flsenate.gov/statutes/713.13" TargetMode="External"/><Relationship Id="rId14" Type="http://schemas.openxmlformats.org/officeDocument/2006/relationships/hyperlink" Target="https://m.flsenate.gov/statutes/713.13" TargetMode="External"/><Relationship Id="rId15" Type="http://schemas.openxmlformats.org/officeDocument/2006/relationships/hyperlink" Target="https://m.flsenate.gov/statutes/713.13" TargetMode="External"/><Relationship Id="rId16" Type="http://schemas.openxmlformats.org/officeDocument/2006/relationships/hyperlink" Target="https://deltonafl.gov/183/Florida-Lien-Law-for-Homeowners" TargetMode="External"/><Relationship Id="rId17" Type="http://schemas.openxmlformats.org/officeDocument/2006/relationships/hyperlink" Target="https://www.flsenate.gov/Laws/Statutes/2023/713.06" TargetMode="External"/><Relationship Id="rId18" Type="http://schemas.openxmlformats.org/officeDocument/2006/relationships/hyperlink" Target="https://m.flsenate.gov/statutes/713.13" TargetMode="External"/><Relationship Id="rId19" Type="http://schemas.openxmlformats.org/officeDocument/2006/relationships/hyperlink" Target="https://www.flsenate.gov/Laws/Statutes/2023/Chapter713/All" TargetMode="External"/><Relationship Id="rId20" Type="http://schemas.openxmlformats.org/officeDocument/2006/relationships/hyperlink" Target="https://www.flsenate.gov/Laws/Statutes/2023/713.06" TargetMode="External"/><Relationship Id="rId21" Type="http://schemas.openxmlformats.org/officeDocument/2006/relationships/hyperlink" Target="https://www.flsenate.gov/Laws/Statutes/2023/713.06" TargetMode="External"/><Relationship Id="rId22" Type="http://schemas.openxmlformats.org/officeDocument/2006/relationships/hyperlink" Target="https://www.flsenate.gov/Laws/Statutes/2023/713.06" TargetMode="External"/><Relationship Id="rId23" Type="http://schemas.openxmlformats.org/officeDocument/2006/relationships/hyperlink" Target="https://www.flsenate.gov/Laws/Statutes/2023/713.06" TargetMode="External"/><Relationship Id="rId24" Type="http://schemas.openxmlformats.org/officeDocument/2006/relationships/hyperlink" Target="https://www.flsenate.gov/Laws/Statutes/2023/713.06" TargetMode="External"/><Relationship Id="rId25" Type="http://schemas.openxmlformats.org/officeDocument/2006/relationships/hyperlink" Target="https://www.flsenate.gov/Laws/Statutes/2023/713.06" TargetMode="External"/><Relationship Id="rId26" Type="http://schemas.openxmlformats.org/officeDocument/2006/relationships/hyperlink" Target="https://www.flsenate.gov/Laws/Statutes/2023/713.06" TargetMode="External"/><Relationship Id="rId27" Type="http://schemas.openxmlformats.org/officeDocument/2006/relationships/hyperlink" Target="https://www.flsenate.gov/Laws/Statutes/2023/713.06" TargetMode="External"/><Relationship Id="rId28" Type="http://schemas.openxmlformats.org/officeDocument/2006/relationships/hyperlink" Target="https://www.flsenate.gov/Laws/Statutes/2023/713.06" TargetMode="External"/><Relationship Id="rId29" Type="http://schemas.openxmlformats.org/officeDocument/2006/relationships/hyperlink" Target="https://www.flsenate.gov/Committees/billsummaries/2023/html/3198" TargetMode="External"/><Relationship Id="rId30" Type="http://schemas.openxmlformats.org/officeDocument/2006/relationships/hyperlink" Target="https://www.flsenate.gov/Laws/Statutes/2023/713.06" TargetMode="External"/><Relationship Id="rId31" Type="http://schemas.openxmlformats.org/officeDocument/2006/relationships/hyperlink" Target="https://www.flsenate.gov/Laws/Statutes/2023/713.06" TargetMode="External"/><Relationship Id="rId32" Type="http://schemas.openxmlformats.org/officeDocument/2006/relationships/hyperlink" Target="https://www.flsenate.gov/Laws/Statutes/2023/713.06" TargetMode="External"/><Relationship Id="rId33" Type="http://schemas.openxmlformats.org/officeDocument/2006/relationships/hyperlink" Target="https://www.flsenate.gov/Laws/Statutes/2023/713.06" TargetMode="External"/><Relationship Id="rId34" Type="http://schemas.openxmlformats.org/officeDocument/2006/relationships/hyperlink" Target="https://www.flsenate.gov/Laws/Statutes/2023/713.06" TargetMode="External"/><Relationship Id="rId35" Type="http://schemas.openxmlformats.org/officeDocument/2006/relationships/hyperlink" Target="https://www.flsenate.gov/Laws/Statutes/2023/713.06" TargetMode="External"/><Relationship Id="rId36" Type="http://schemas.openxmlformats.org/officeDocument/2006/relationships/hyperlink" Target="https://www.flsenate.gov/Laws/Statutes/2023/713.06" TargetMode="External"/><Relationship Id="rId37" Type="http://schemas.openxmlformats.org/officeDocument/2006/relationships/hyperlink" Target="https://www.flsenate.gov/Laws/Statutes/2023/713.06" TargetMode="External"/><Relationship Id="rId38" Type="http://schemas.openxmlformats.org/officeDocument/2006/relationships/hyperlink" Target="https://www.flsenate.gov/Laws/Statutes/2023/713.06" TargetMode="External"/><Relationship Id="rId39" Type="http://schemas.openxmlformats.org/officeDocument/2006/relationships/hyperlink" Target="https://www.flsenate.gov/Laws/Statutes/2023/713.06" TargetMode="External"/><Relationship Id="rId40" Type="http://schemas.openxmlformats.org/officeDocument/2006/relationships/hyperlink" Target="https://www.flsenate.gov/Laws/Statutes/2023/713.06" TargetMode="External"/><Relationship Id="rId41" Type="http://schemas.openxmlformats.org/officeDocument/2006/relationships/hyperlink" Target="https://www.flsenate.gov/Laws/Statutes/2023/713.06" TargetMode="External"/><Relationship Id="rId42" Type="http://schemas.openxmlformats.org/officeDocument/2006/relationships/hyperlink" Target="https://www.flsenate.gov/Laws/Statutes/2023/713.06" TargetMode="External"/><Relationship Id="rId43" Type="http://schemas.openxmlformats.org/officeDocument/2006/relationships/hyperlink" Target="https://www.flsenate.gov/Laws/Statutes/2023/713.06" TargetMode="External"/><Relationship Id="rId44" Type="http://schemas.openxmlformats.org/officeDocument/2006/relationships/hyperlink" Target="https://www.flsenate.gov/Laws/Statutes/2023/713.06" TargetMode="External"/><Relationship Id="rId45" Type="http://schemas.openxmlformats.org/officeDocument/2006/relationships/hyperlink" Target="https://www.flsenate.gov/Laws/Statutes/2023/713.06" TargetMode="External"/><Relationship Id="rId46" Type="http://schemas.openxmlformats.org/officeDocument/2006/relationships/hyperlink" Target="https://www.flsenate.gov/Laws/Statutes/2023/713.06" TargetMode="External"/><Relationship Id="rId47" Type="http://schemas.openxmlformats.org/officeDocument/2006/relationships/hyperlink" Target="https://www.flsenate.gov/Laws/Statutes/2023/713.06" TargetMode="External"/><Relationship Id="rId48" Type="http://schemas.openxmlformats.org/officeDocument/2006/relationships/hyperlink" Target="https://www.flsenate.gov/Laws/Statutes/2023/713.06" TargetMode="External"/><Relationship Id="rId49" Type="http://schemas.openxmlformats.org/officeDocument/2006/relationships/hyperlink" Target="https://www.flsenate.gov/Laws/Statutes/2023/713.06" TargetMode="External"/><Relationship Id="rId50" Type="http://schemas.openxmlformats.org/officeDocument/2006/relationships/hyperlink" Target="https://www.flsenate.gov/Laws/Statutes/2023/713.06" TargetMode="External"/><Relationship Id="rId51" Type="http://schemas.openxmlformats.org/officeDocument/2006/relationships/hyperlink" Target="https://www.flsenate.gov/Laws/Statutes/2023/713.06" TargetMode="External"/><Relationship Id="rId52" Type="http://schemas.openxmlformats.org/officeDocument/2006/relationships/hyperlink" Target="https://www.flsenate.gov/Laws/Statutes/2023/713.06" TargetMode="External"/><Relationship Id="rId53" Type="http://schemas.openxmlformats.org/officeDocument/2006/relationships/hyperlink" Target="https://www.flsenate.gov/Laws/Statutes/2023/713.06" TargetMode="External"/><Relationship Id="rId54" Type="http://schemas.openxmlformats.org/officeDocument/2006/relationships/hyperlink" Target="https://www.flsenate.gov/Laws/Statutes/2023/713.06" TargetMode="External"/><Relationship Id="rId55" Type="http://schemas.openxmlformats.org/officeDocument/2006/relationships/hyperlink" Target="https://www.flsenate.gov/Laws/Statutes/2023/713.06" TargetMode="External"/><Relationship Id="rId56" Type="http://schemas.openxmlformats.org/officeDocument/2006/relationships/hyperlink" Target="https://www.flsenate.gov/Laws/Statutes/2023/713.06" TargetMode="External"/><Relationship Id="rId57" Type="http://schemas.openxmlformats.org/officeDocument/2006/relationships/hyperlink" Target="https://www.flsenate.gov/Laws/Statutes/2023/713.06" TargetMode="External"/><Relationship Id="rId58" Type="http://schemas.openxmlformats.org/officeDocument/2006/relationships/hyperlink" Target="https://www.flsenate.gov/Laws/Statutes/2023/713.06" TargetMode="External"/><Relationship Id="rId59" Type="http://schemas.openxmlformats.org/officeDocument/2006/relationships/hyperlink" Target="https://www.flsenate.gov/Laws/Statutes/2023/713.06" TargetMode="External"/><Relationship Id="rId60" Type="http://schemas.openxmlformats.org/officeDocument/2006/relationships/hyperlink" Target="https://www.flsenate.gov/Laws/Statutes/2023/713.06" TargetMode="External"/><Relationship Id="rId61" Type="http://schemas.openxmlformats.org/officeDocument/2006/relationships/hyperlink" Target="https://www.flsenate.gov/Laws/Statutes/2023/713.06" TargetMode="External"/><Relationship Id="rId62" Type="http://schemas.openxmlformats.org/officeDocument/2006/relationships/hyperlink" Target="https://www.flsenate.gov/Laws/Statutes/2023/713.06" TargetMode="External"/><Relationship Id="rId63" Type="http://schemas.openxmlformats.org/officeDocument/2006/relationships/hyperlink" Target="https://www.flsenate.gov/Laws/Statutes/2023/Chapter713/All" TargetMode="External"/><Relationship Id="rId64" Type="http://schemas.openxmlformats.org/officeDocument/2006/relationships/hyperlink" Target="https://www.flsenate.gov/Laws/Statutes/2023/Chapter713/All" TargetMode="External"/><Relationship Id="rId65" Type="http://schemas.openxmlformats.org/officeDocument/2006/relationships/hyperlink" Target="https://www.flsenate.gov/Laws/Statutes/2023/Chapter713/All" TargetMode="External"/><Relationship Id="rId66" Type="http://schemas.openxmlformats.org/officeDocument/2006/relationships/hyperlink" Target="https://www.flsenate.gov/Laws/Statutes/2023/Chapter713/All" TargetMode="External"/><Relationship Id="rId67" Type="http://schemas.openxmlformats.org/officeDocument/2006/relationships/hyperlink" Target="https://www.flsenate.gov/Laws/Statutes/2023/Chapter713/All" TargetMode="External"/><Relationship Id="rId68" Type="http://schemas.openxmlformats.org/officeDocument/2006/relationships/hyperlink" Target="https://www.flsenate.gov/Laws/Statutes/2023/Chapter713/All" TargetMode="External"/><Relationship Id="rId69" Type="http://schemas.openxmlformats.org/officeDocument/2006/relationships/hyperlink" Target="https://www.flsenate.gov/Laws/Statutes/2023/Chapter713/All" TargetMode="External"/><Relationship Id="rId70" Type="http://schemas.openxmlformats.org/officeDocument/2006/relationships/hyperlink" Target="https://www.flsenate.gov/Laws/Statutes/2023/Chapter713/All" TargetMode="External"/><Relationship Id="rId71" Type="http://schemas.openxmlformats.org/officeDocument/2006/relationships/hyperlink" Target="https://www.flsenate.gov/Laws/Statutes/2023/Chapter713/All" TargetMode="External"/><Relationship Id="rId72" Type="http://schemas.openxmlformats.org/officeDocument/2006/relationships/hyperlink" Target="https://www.flsenate.gov/Laws/Statutes/2023/Chapter713/All" TargetMode="External"/><Relationship Id="rId73" Type="http://schemas.openxmlformats.org/officeDocument/2006/relationships/hyperlink" Target="https://www.flsenate.gov/Laws/Statutes/2023/Chapter713/All" TargetMode="External"/><Relationship Id="rId74" Type="http://schemas.openxmlformats.org/officeDocument/2006/relationships/hyperlink" Target="https://www.flsenate.gov/Laws/Statutes/2023/Chapter713/All" TargetMode="External"/><Relationship Id="rId75" Type="http://schemas.openxmlformats.org/officeDocument/2006/relationships/hyperlink" Target="https://www.flsenate.gov/Laws/Statutes/2023/Chapter713/All" TargetMode="External"/><Relationship Id="rId76" Type="http://schemas.openxmlformats.org/officeDocument/2006/relationships/hyperlink" Target="https://www.flsenate.gov/Laws/Statutes/2023/Chapter713/All" TargetMode="External"/><Relationship Id="rId77" Type="http://schemas.openxmlformats.org/officeDocument/2006/relationships/hyperlink" Target="https://www.flsenate.gov/Laws/Statutes/2023/Chapter713/All" TargetMode="External"/><Relationship Id="rId78" Type="http://schemas.openxmlformats.org/officeDocument/2006/relationships/hyperlink" Target="https://www.flsenate.gov/Laws/Statutes/2023/Chapter713/All" TargetMode="External"/><Relationship Id="rId79" Type="http://schemas.openxmlformats.org/officeDocument/2006/relationships/hyperlink" Target="https://www.flsenate.gov/Laws/Statutes/2023/Chapter713/All" TargetMode="External"/><Relationship Id="rId80" Type="http://schemas.openxmlformats.org/officeDocument/2006/relationships/hyperlink" Target="https://www.flsenate.gov/Laws/Statutes/2023/Chapter713/All" TargetMode="External"/><Relationship Id="rId81" Type="http://schemas.openxmlformats.org/officeDocument/2006/relationships/hyperlink" Target="https://www.flsenate.gov/Laws/Statutes/2023/Chapter713/All" TargetMode="External"/><Relationship Id="rId82" Type="http://schemas.openxmlformats.org/officeDocument/2006/relationships/hyperlink" Target="https://www.flsenate.gov/laws/statutes/2018/558.004" TargetMode="External"/><Relationship Id="rId83" Type="http://schemas.openxmlformats.org/officeDocument/2006/relationships/hyperlink" Target="https://www.flsenate.gov/laws/statutes/2018/558.004" TargetMode="External"/><Relationship Id="rId84" Type="http://schemas.openxmlformats.org/officeDocument/2006/relationships/hyperlink" Target="https://www.flsenate.gov/laws/statutes/2018/558.004" TargetMode="External"/><Relationship Id="rId85" Type="http://schemas.openxmlformats.org/officeDocument/2006/relationships/hyperlink" Target="https://www.floridahardhatlaw.com/faqs-about-chapter-558-under-floridas-construction-defects-statute/" TargetMode="External"/><Relationship Id="rId86" Type="http://schemas.openxmlformats.org/officeDocument/2006/relationships/hyperlink" Target="https://www.floridahardhatlaw.com/faqs-about-chapter-558-under-floridas-construction-defects-statute/" TargetMode="External"/><Relationship Id="rId87" Type="http://schemas.openxmlformats.org/officeDocument/2006/relationships/hyperlink" Target="https://www.flsenate.gov/laws/statutes/2018/558.004" TargetMode="External"/><Relationship Id="rId88" Type="http://schemas.openxmlformats.org/officeDocument/2006/relationships/hyperlink" Target="https://www.flsenate.gov/laws/statutes/2018/558.004" TargetMode="External"/><Relationship Id="rId89" Type="http://schemas.openxmlformats.org/officeDocument/2006/relationships/hyperlink" Target="https://www.flsenate.gov/laws/statutes/2018/558.004" TargetMode="External"/><Relationship Id="rId90" Type="http://schemas.openxmlformats.org/officeDocument/2006/relationships/hyperlink" Target="https://www.flsenate.gov/laws/statutes/2018/558.004" TargetMode="External"/><Relationship Id="rId91" Type="http://schemas.openxmlformats.org/officeDocument/2006/relationships/hyperlink" Target="https://www.flsenate.gov/laws/statutes/2018/558.004" TargetMode="External"/><Relationship Id="rId92" Type="http://schemas.openxmlformats.org/officeDocument/2006/relationships/hyperlink" Target="https://www.flsenate.gov/laws/statutes/2018/558.004" TargetMode="External"/><Relationship Id="rId93" Type="http://schemas.openxmlformats.org/officeDocument/2006/relationships/hyperlink" Target="https://www.floridahardhatlaw.com/faqs-about-chapter-558-under-floridas-construction-defects-statute/" TargetMode="External"/><Relationship Id="rId94" Type="http://schemas.openxmlformats.org/officeDocument/2006/relationships/hyperlink" Target="https://www.flsenate.gov/laws/statutes/2018/558.004" TargetMode="External"/><Relationship Id="rId95" Type="http://schemas.openxmlformats.org/officeDocument/2006/relationships/hyperlink" Target="https://www.flsenate.gov/laws/statutes/2018/558.004" TargetMode="External"/><Relationship Id="rId96" Type="http://schemas.openxmlformats.org/officeDocument/2006/relationships/hyperlink" Target="https://www.flsenate.gov/laws/statutes/2018/558.004" TargetMode="External"/><Relationship Id="rId97" Type="http://schemas.openxmlformats.org/officeDocument/2006/relationships/hyperlink" Target="https://www.flsenate.gov/laws/statutes/2018/558.004" TargetMode="External"/><Relationship Id="rId98" Type="http://schemas.openxmlformats.org/officeDocument/2006/relationships/hyperlink" Target="https://www.flsenate.gov/laws/statutes/2018/558.004" TargetMode="External"/><Relationship Id="rId99" Type="http://schemas.openxmlformats.org/officeDocument/2006/relationships/hyperlink" Target="https://www.flsenate.gov/laws/statutes/2018/558.004" TargetMode="External"/><Relationship Id="rId100" Type="http://schemas.openxmlformats.org/officeDocument/2006/relationships/hyperlink" Target="https://www.flsenate.gov/laws/statutes/2018/558.004" TargetMode="External"/><Relationship Id="rId101" Type="http://schemas.openxmlformats.org/officeDocument/2006/relationships/hyperlink" Target="https://www.flsenate.gov/laws/statutes/2018/558.004" TargetMode="External"/><Relationship Id="rId102" Type="http://schemas.openxmlformats.org/officeDocument/2006/relationships/hyperlink" Target="https://www.flsenate.gov/laws/statutes/2018/558.004" TargetMode="External"/><Relationship Id="rId103" Type="http://schemas.openxmlformats.org/officeDocument/2006/relationships/hyperlink" Target="https://www.flsenate.gov/laws/statutes/2018/558.004" TargetMode="External"/><Relationship Id="rId104" Type="http://schemas.openxmlformats.org/officeDocument/2006/relationships/hyperlink" Target="https://www.floridahardhatlaw.com/faqs-about-chapter-558-under-floridas-construction-defects-statute/" TargetMode="External"/><Relationship Id="rId105" Type="http://schemas.openxmlformats.org/officeDocument/2006/relationships/hyperlink" Target="https://www.floridahardhatlaw.com/faqs-about-chapter-558-under-floridas-construction-defects-statute/" TargetMode="External"/><Relationship Id="rId106" Type="http://schemas.openxmlformats.org/officeDocument/2006/relationships/hyperlink" Target="https://m.flsenate.gov/statutes/713.13" TargetMode="External"/><Relationship Id="rId107" Type="http://schemas.openxmlformats.org/officeDocument/2006/relationships/hyperlink" Target="https://www.bilzin.com/insights/publications/2023/06/florida-enacts-changes-to-construction-lien-law" TargetMode="External"/><Relationship Id="rId108" Type="http://schemas.openxmlformats.org/officeDocument/2006/relationships/hyperlink" Target="https://m.flsenate.gov/statutes/713.13" TargetMode="External"/><Relationship Id="rId109" Type="http://schemas.openxmlformats.org/officeDocument/2006/relationships/hyperlink" Target="https://www.flsenate.gov/Laws/Statutes/2023/713.06" TargetMode="External"/><Relationship Id="rId110" Type="http://schemas.openxmlformats.org/officeDocument/2006/relationships/hyperlink" Target="https://www.flsenate.gov/Laws/Statutes/2023/713.06" TargetMode="External"/><Relationship Id="rId111" Type="http://schemas.openxmlformats.org/officeDocument/2006/relationships/hyperlink" Target="https://www.flsenate.gov/Laws/Statutes/2023/713.06" TargetMode="External"/><Relationship Id="rId112" Type="http://schemas.openxmlformats.org/officeDocument/2006/relationships/hyperlink" Target="https://www.flsenate.gov/Laws/Statutes/2023/713.06" TargetMode="External"/><Relationship Id="rId113" Type="http://schemas.openxmlformats.org/officeDocument/2006/relationships/hyperlink" Target="https://www.flsenate.gov/Laws/Statutes/2023/713.06" TargetMode="External"/><Relationship Id="rId114" Type="http://schemas.openxmlformats.org/officeDocument/2006/relationships/hyperlink" Target="https://www.flsenate.gov/Laws/Statutes/2023/Chapter713/All" TargetMode="External"/><Relationship Id="rId115" Type="http://schemas.openxmlformats.org/officeDocument/2006/relationships/hyperlink" Target="https://www.flsenate.gov/Laws/Statutes/2023/Chapter713/All" TargetMode="External"/><Relationship Id="rId116" Type="http://schemas.openxmlformats.org/officeDocument/2006/relationships/hyperlink" Target="https://www.flsenate.gov/Laws/Statutes/2023/Chapter713/All" TargetMode="External"/><Relationship Id="rId117" Type="http://schemas.openxmlformats.org/officeDocument/2006/relationships/hyperlink" Target="https://www.flsenate.gov/Laws/Statutes/2023/Chapter713/All" TargetMode="External"/><Relationship Id="rId118" Type="http://schemas.openxmlformats.org/officeDocument/2006/relationships/hyperlink" Target="https://www.flsenate.gov/Laws/Statutes/2023/713.06" TargetMode="External"/><Relationship Id="rId119" Type="http://schemas.openxmlformats.org/officeDocument/2006/relationships/hyperlink" Target="https://www.flsenate.gov/Laws/Statutes/2023/713.06" TargetMode="External"/><Relationship Id="rId120" Type="http://schemas.openxmlformats.org/officeDocument/2006/relationships/hyperlink" Target="https://www.flsenate.gov/Laws/Statutes/2023/713.06" TargetMode="External"/><Relationship Id="rId121" Type="http://schemas.openxmlformats.org/officeDocument/2006/relationships/hyperlink" Target="https://www.flsenate.gov/Laws/Statutes/2023/713.06" TargetMode="External"/><Relationship Id="rId122" Type="http://schemas.openxmlformats.org/officeDocument/2006/relationships/hyperlink" Target="https://www.flsenate.gov/Laws/Statutes/2023/713.06" TargetMode="External"/><Relationship Id="rId123" Type="http://schemas.openxmlformats.org/officeDocument/2006/relationships/hyperlink" Target="https://www.flsenate.gov/Laws/Statutes/2023/Chapter713/All" TargetMode="External"/><Relationship Id="rId124" Type="http://schemas.openxmlformats.org/officeDocument/2006/relationships/hyperlink" Target="https://www.flsenate.gov/Laws/Statutes/2023/Chapter713/All" TargetMode="External"/><Relationship Id="rId125" Type="http://schemas.openxmlformats.org/officeDocument/2006/relationships/hyperlink" Target="https://www.flsenate.gov/Laws/Statutes/2023/713.06" TargetMode="External"/><Relationship Id="rId126" Type="http://schemas.openxmlformats.org/officeDocument/2006/relationships/hyperlink" Target="https://www.flsenate.gov/Laws/Statutes/2023/713.06" TargetMode="External"/><Relationship Id="rId127" Type="http://schemas.openxmlformats.org/officeDocument/2006/relationships/hyperlink" Target="https://www.flsenate.gov/Laws/Statutes/2023/713.06" TargetMode="External"/><Relationship Id="rId128" Type="http://schemas.openxmlformats.org/officeDocument/2006/relationships/hyperlink" Target="https://www.flsenate.gov/Laws/Statutes/2023/Chapter713/All" TargetMode="External"/><Relationship Id="rId129" Type="http://schemas.openxmlformats.org/officeDocument/2006/relationships/hyperlink" Target="https://www.flsenate.gov/Laws/Statutes/2023/Chapter713/All" TargetMode="External"/><Relationship Id="rId130" Type="http://schemas.openxmlformats.org/officeDocument/2006/relationships/hyperlink" Target="https://www.flsenate.gov/Laws/Statutes/2023/Chapter713/All" TargetMode="External"/><Relationship Id="rId131" Type="http://schemas.openxmlformats.org/officeDocument/2006/relationships/hyperlink" Target="https://www.flsenate.gov/Laws/Statutes/2023/Chapter713/All" TargetMode="External"/><Relationship Id="rId132" Type="http://schemas.openxmlformats.org/officeDocument/2006/relationships/hyperlink" Target="https://www.flsenate.gov/Committees/billsummaries/2023/html/3198" TargetMode="External"/><Relationship Id="rId133" Type="http://schemas.openxmlformats.org/officeDocument/2006/relationships/hyperlink" Target="https://www.flsenate.gov/Committees/billsummaries/2023/html/3198" TargetMode="External"/><Relationship Id="rId134" Type="http://schemas.openxmlformats.org/officeDocument/2006/relationships/hyperlink" Target="https://www.bilzin.com/insights/publications/2023/06/florida-enacts-changes-to-construction-lien-law" TargetMode="External"/><Relationship Id="rId135" Type="http://schemas.openxmlformats.org/officeDocument/2006/relationships/hyperlink" Target="https://www.flsenate.gov/laws/statutes/2018/558.004" TargetMode="External"/><Relationship Id="rId136" Type="http://schemas.openxmlformats.org/officeDocument/2006/relationships/hyperlink" Target="https://www.floridahardhatlaw.com/faqs-about-chapter-558-under-floridas-construction-defects-statute/" TargetMode="External"/><Relationship Id="rId137" Type="http://schemas.openxmlformats.org/officeDocument/2006/relationships/hyperlink" Target="https://m.flsenate.gov/statutes/713.13" TargetMode="External"/><Relationship Id="rId138" Type="http://schemas.openxmlformats.org/officeDocument/2006/relationships/hyperlink" Target="https://m.flsenate.gov/statutes/713.13" TargetMode="External"/><Relationship Id="rId139" Type="http://schemas.openxmlformats.org/officeDocument/2006/relationships/hyperlink" Target="https://www.bilzin.com/insights/publications/2023/06/florida-enacts-changes-to-construction-lien-law" TargetMode="External"/><Relationship Id="rId140" Type="http://schemas.openxmlformats.org/officeDocument/2006/relationships/hyperlink" Target="https://www.flsenate.gov/Laws/Statutes/2023/713.06" TargetMode="External"/><Relationship Id="rId141" Type="http://schemas.openxmlformats.org/officeDocument/2006/relationships/hyperlink" Target="https://www.flsenate.gov/Laws/Statutes/2023/713.06" TargetMode="External"/><Relationship Id="rId142" Type="http://schemas.openxmlformats.org/officeDocument/2006/relationships/hyperlink" Target="https://www.flsenate.gov/Laws/Statutes/2023/713.06" TargetMode="External"/><Relationship Id="rId143" Type="http://schemas.openxmlformats.org/officeDocument/2006/relationships/hyperlink" Target="https://www.flsenate.gov/Laws/Statutes/2023/Chapter713/All" TargetMode="External"/><Relationship Id="rId144" Type="http://schemas.openxmlformats.org/officeDocument/2006/relationships/hyperlink" Target="https://www.flsenate.gov/Laws/Statutes/2023/713.06" TargetMode="External"/><Relationship Id="rId145" Type="http://schemas.openxmlformats.org/officeDocument/2006/relationships/hyperlink" Target="https://www.flsenate.gov/Laws/Statutes/2023/713.06" TargetMode="External"/><Relationship Id="rId146" Type="http://schemas.openxmlformats.org/officeDocument/2006/relationships/hyperlink" Target="https://www.flsenate.gov/Laws/Statutes/2023/713.06" TargetMode="External"/><Relationship Id="rId147" Type="http://schemas.openxmlformats.org/officeDocument/2006/relationships/hyperlink" Target="https://www.flsenate.gov/Laws/Statutes/2023/713.06" TargetMode="External"/><Relationship Id="rId148" Type="http://schemas.openxmlformats.org/officeDocument/2006/relationships/hyperlink" Target="https://www.flsenate.gov/Laws/Statutes/2023/713.06" TargetMode="External"/><Relationship Id="rId149" Type="http://schemas.openxmlformats.org/officeDocument/2006/relationships/hyperlink" Target="https://www.flsenate.gov/Laws/Statutes/2023/713.06" TargetMode="External"/><Relationship Id="rId150" Type="http://schemas.openxmlformats.org/officeDocument/2006/relationships/hyperlink" Target="https://www.flsenate.gov/Laws/Statutes/2023/Chapter713/All" TargetMode="External"/><Relationship Id="rId151" Type="http://schemas.openxmlformats.org/officeDocument/2006/relationships/hyperlink" Target="https://www.flsenate.gov/Laws/Statutes/2023/713.06" TargetMode="External"/><Relationship Id="rId152" Type="http://schemas.openxmlformats.org/officeDocument/2006/relationships/hyperlink" Target="https://www.flsenate.gov/Laws/Statutes/2023/713.06" TargetMode="External"/><Relationship Id="rId153" Type="http://schemas.openxmlformats.org/officeDocument/2006/relationships/hyperlink" Target="https://www.flsenate.gov/Laws/Statutes/2023/713.06" TargetMode="External"/><Relationship Id="rId154" Type="http://schemas.openxmlformats.org/officeDocument/2006/relationships/hyperlink" Target="https://www.flsenate.gov/Laws/Statutes/2023/713.06" TargetMode="External"/><Relationship Id="rId155" Type="http://schemas.openxmlformats.org/officeDocument/2006/relationships/hyperlink" Target="https://www.flsenate.gov/Laws/Statutes/2023/Chapter713/All" TargetMode="External"/><Relationship Id="rId156" Type="http://schemas.openxmlformats.org/officeDocument/2006/relationships/hyperlink" Target="https://www.flsenate.gov/Laws/Statutes/2023/Chapter713/All" TargetMode="External"/><Relationship Id="rId157" Type="http://schemas.openxmlformats.org/officeDocument/2006/relationships/hyperlink" Target="https://www.flsenate.gov/Committees/billsummaries/2023/html/3198" TargetMode="External"/><Relationship Id="rId158" Type="http://schemas.openxmlformats.org/officeDocument/2006/relationships/hyperlink" Target="https://www.bilzin.com/insights/publications/2023/06/florida-enacts-changes-to-construction-lien-law" TargetMode="External"/><Relationship Id="rId159" Type="http://schemas.openxmlformats.org/officeDocument/2006/relationships/hyperlink" Target="https://www.flsenate.gov/Laws/Statutes/2023/Chapter713/All" TargetMode="External"/><Relationship Id="rId160" Type="http://schemas.openxmlformats.org/officeDocument/2006/relationships/hyperlink" Target="https://www.flsenate.gov/Laws/Statutes/2023/Chapter713/All" TargetMode="External"/><Relationship Id="rId161" Type="http://schemas.openxmlformats.org/officeDocument/2006/relationships/hyperlink" Target="https://www.flsenate.gov/laws/statutes/2018/558.004" TargetMode="External"/><Relationship Id="rId162" Type="http://schemas.openxmlformats.org/officeDocument/2006/relationships/hyperlink" Target="https://www.floridahardhatlaw.com/faqs-about-chapter-558-under-floridas-construction-defects-statute/" TargetMode="External"/><Relationship Id="rId163" Type="http://schemas.openxmlformats.org/officeDocument/2006/relationships/hyperlink" Target="https://www.floridahardhatlaw.com/faqs-about-chapter-558-under-floridas-construction-defects-statute/" TargetMode="External"/><Relationship Id="rId164" Type="http://schemas.openxmlformats.org/officeDocument/2006/relationships/hyperlink" Target="https://m.flsenate.gov/statutes/713.13" TargetMode="External"/><Relationship Id="rId165" Type="http://schemas.openxmlformats.org/officeDocument/2006/relationships/hyperlink" Target="https://codes.findlaw.com/fl/title-xl-real-and-personal-property/fl-st-sect-713-13/" TargetMode="External"/><Relationship Id="rId166" Type="http://schemas.openxmlformats.org/officeDocument/2006/relationships/hyperlink" Target="https://codes.findlaw.com/fl/title-xl-real-and-personal-property/fl-st-sect-713-13/" TargetMode="External"/><Relationship Id="rId167" Type="http://schemas.openxmlformats.org/officeDocument/2006/relationships/hyperlink" Target="https://www.flsenate.gov/Laws/Statutes/2023/713.06" TargetMode="External"/><Relationship Id="rId168" Type="http://schemas.openxmlformats.org/officeDocument/2006/relationships/hyperlink" Target="https://www.flsenate.gov/Laws/Statutes/2023/713.06" TargetMode="External"/><Relationship Id="rId169" Type="http://schemas.openxmlformats.org/officeDocument/2006/relationships/hyperlink" Target="https://www.flsenate.gov/Laws/Statutes/2023/713.06" TargetMode="External"/><Relationship Id="rId170" Type="http://schemas.openxmlformats.org/officeDocument/2006/relationships/hyperlink" Target="https://www.flsenate.gov/Laws/Statutes/2023/713.06" TargetMode="External"/><Relationship Id="rId171" Type="http://schemas.openxmlformats.org/officeDocument/2006/relationships/hyperlink" Target="https://www.flsenate.gov/Laws/Statutes/2023/713.06" TargetMode="External"/><Relationship Id="rId172" Type="http://schemas.openxmlformats.org/officeDocument/2006/relationships/hyperlink" Target="https://www.flsenate.gov/Laws/Statutes/2023/713.06" TargetMode="External"/><Relationship Id="rId173" Type="http://schemas.openxmlformats.org/officeDocument/2006/relationships/hyperlink" Target="https://www.flsenate.gov/Laws/Statutes/2023/713.06" TargetMode="External"/><Relationship Id="rId174" Type="http://schemas.openxmlformats.org/officeDocument/2006/relationships/hyperlink" Target="https://www.flsenate.gov/Laws/Statutes/2023/713.06" TargetMode="External"/><Relationship Id="rId175" Type="http://schemas.openxmlformats.org/officeDocument/2006/relationships/hyperlink" Target="https://www.flsenate.gov/Laws/Statutes/2023/Chapter713/All" TargetMode="External"/><Relationship Id="rId176" Type="http://schemas.openxmlformats.org/officeDocument/2006/relationships/hyperlink" Target="https://www.flsenate.gov/Laws/Statutes/2023/Chapter713/All" TargetMode="External"/><Relationship Id="rId177" Type="http://schemas.openxmlformats.org/officeDocument/2006/relationships/hyperlink" Target="https://www.flsenate.gov/Laws/Statutes/2023/Chapter713/All" TargetMode="External"/><Relationship Id="rId178" Type="http://schemas.openxmlformats.org/officeDocument/2006/relationships/hyperlink" Target="https://www.flsenate.gov/Laws/Statutes/2023/Chapter713/All" TargetMode="External"/><Relationship Id="rId179" Type="http://schemas.openxmlformats.org/officeDocument/2006/relationships/hyperlink" Target="https://www.flsenate.gov/Laws/Statutes/2023/Chapter713/All" TargetMode="External"/><Relationship Id="rId180" Type="http://schemas.openxmlformats.org/officeDocument/2006/relationships/hyperlink" Target="https://www.flsenate.gov/Laws/Statutes/2023/Chapter713/All" TargetMode="External"/><Relationship Id="rId181" Type="http://schemas.openxmlformats.org/officeDocument/2006/relationships/hyperlink" Target="https://www.flsenate.gov/Laws/Statutes/2023/Chapter713/All" TargetMode="External"/><Relationship Id="rId182" Type="http://schemas.openxmlformats.org/officeDocument/2006/relationships/hyperlink" Target="https://www.flsenate.gov/Laws/Statutes/2023/Chapter713/All" TargetMode="External"/><Relationship Id="rId183" Type="http://schemas.openxmlformats.org/officeDocument/2006/relationships/hyperlink" Target="https://www.flsenate.gov/Laws/Statutes/2023/Chapter713/All" TargetMode="External"/><Relationship Id="rId184" Type="http://schemas.openxmlformats.org/officeDocument/2006/relationships/hyperlink" Target="https://www.flsenate.gov/laws/statutes/2018/558.004" TargetMode="External"/><Relationship Id="rId185" Type="http://schemas.openxmlformats.org/officeDocument/2006/relationships/hyperlink" Target="https://m.flsenate.gov/statutes/713.13" TargetMode="External"/><Relationship Id="rId186" Type="http://schemas.openxmlformats.org/officeDocument/2006/relationships/hyperlink" Target="https://m.flsenate.gov/statutes/713.13" TargetMode="External"/><Relationship Id="rId187" Type="http://schemas.openxmlformats.org/officeDocument/2006/relationships/hyperlink" Target="https://www.flsenate.gov/Laws/Statutes/2023/713.06" TargetMode="External"/><Relationship Id="rId188" Type="http://schemas.openxmlformats.org/officeDocument/2006/relationships/hyperlink" Target="https://www.flsenate.gov/Laws/Statutes/2023/713.06" TargetMode="External"/><Relationship Id="rId189" Type="http://schemas.openxmlformats.org/officeDocument/2006/relationships/hyperlink" Target="https://www.flsenate.gov/Laws/Statutes/2023/713.06" TargetMode="External"/><Relationship Id="rId190" Type="http://schemas.openxmlformats.org/officeDocument/2006/relationships/hyperlink" Target="https://www.flsenate.gov/Laws/Statutes/2023/713.06" TargetMode="External"/><Relationship Id="rId191" Type="http://schemas.openxmlformats.org/officeDocument/2006/relationships/hyperlink" Target="https://www.flsenate.gov/Committees/billsummaries/2023/html/3198" TargetMode="External"/><Relationship Id="rId192" Type="http://schemas.openxmlformats.org/officeDocument/2006/relationships/hyperlink" Target="https://www.flsenate.gov/Laws/Statutes/2023/Chapter713/All" TargetMode="External"/><Relationship Id="rId193" Type="http://schemas.openxmlformats.org/officeDocument/2006/relationships/hyperlink" Target="https://www.flsenate.gov/Laws/Statutes/2023/Chapter713/All" TargetMode="External"/><Relationship Id="rId194" Type="http://schemas.openxmlformats.org/officeDocument/2006/relationships/hyperlink" Target="https://www.flsenate.gov/Laws/Statutes/2023/713.06" TargetMode="External"/><Relationship Id="rId195" Type="http://schemas.openxmlformats.org/officeDocument/2006/relationships/hyperlink" Target="https://www.flsenate.gov/Laws/Statutes/2023/713.06" TargetMode="External"/><Relationship Id="rId196" Type="http://schemas.openxmlformats.org/officeDocument/2006/relationships/hyperlink" Target="https://www.flsenate.gov/Laws/Statutes/2023/Chapter713/All" TargetMode="External"/><Relationship Id="rId197" Type="http://schemas.openxmlformats.org/officeDocument/2006/relationships/hyperlink" Target="https://www.flsenate.gov/Laws/Statutes/2023/Chapter713/All" TargetMode="External"/><Relationship Id="rId198" Type="http://schemas.openxmlformats.org/officeDocument/2006/relationships/hyperlink" Target="https://www.flsenate.gov/Laws/Statutes/2023/Chapter713/All" TargetMode="External"/><Relationship Id="rId199" Type="http://schemas.openxmlformats.org/officeDocument/2006/relationships/hyperlink" Target="https://www.flsenate.gov/Laws/Statutes/2023/Chapter713/All" TargetMode="External"/><Relationship Id="rId200" Type="http://schemas.openxmlformats.org/officeDocument/2006/relationships/hyperlink" Target="https://www.flsenate.gov/Laws/Statutes/2023/Chapter713/All" TargetMode="External"/><Relationship Id="rId201" Type="http://schemas.openxmlformats.org/officeDocument/2006/relationships/hyperlink" Target="https://www.flsenate.gov/laws/statutes/2018/558.004" TargetMode="External"/><Relationship Id="rId202" Type="http://schemas.openxmlformats.org/officeDocument/2006/relationships/hyperlink" Target="https://www.floridabar.org/the-florida-bar-journal/floridas-unwieldy-but-effective-construction-lien-law/" TargetMode="External"/><Relationship Id="rId203" Type="http://schemas.openxmlformats.org/officeDocument/2006/relationships/hyperlink" Target="https://www.floridabar.org/the-florida-bar-journal/floridas-unwieldy-but-effective-construction-lien-law/" TargetMode="External"/><Relationship Id="rId204" Type="http://schemas.openxmlformats.org/officeDocument/2006/relationships/hyperlink" Target="https://deltonafl.gov/183/Florida-Lien-Law-for-Homeowners" TargetMode="External"/><Relationship Id="rId205" Type="http://schemas.openxmlformats.org/officeDocument/2006/relationships/hyperlink" Target="https://www.sunraynotice.com/blog/notice-to-owner-best-practices-in-florida-safeguarding-your-payment-rights-in-the-construction-industry" TargetMode="External"/><Relationship Id="rId206" Type="http://schemas.openxmlformats.org/officeDocument/2006/relationships/hyperlink" Target="https://hammerngavel.com/blog/florida-court-clarifies-when-contractors-final-payment-affidavit-must-be-delivered-pre-suit" TargetMode="External"/><Relationship Id="rId207" Type="http://schemas.openxmlformats.org/officeDocument/2006/relationships/hyperlink" Target="https://www.flsenate.gov/Committees/billsummaries/2023/html/3198" TargetMode="External"/><Relationship Id="rId208" Type="http://schemas.openxmlformats.org/officeDocument/2006/relationships/hyperlink" Target="https://www.flsenate.gov/Committees/billsummaries/2023/html/3198" TargetMode="External"/><Relationship Id="rId209" Type="http://schemas.openxmlformats.org/officeDocument/2006/relationships/hyperlink" Target="https://www.flsenate.gov/Committees/billsummaries/2023/html/3198" TargetMode="External"/><Relationship Id="rId210" Type="http://schemas.openxmlformats.org/officeDocument/2006/relationships/hyperlink" Target="https://www.flsenate.gov/Committees/billsummaries/2023/html/3198" TargetMode="External"/><Relationship Id="rId211" Type="http://schemas.openxmlformats.org/officeDocument/2006/relationships/hyperlink" Target="https://www.flsenate.gov/Committees/billsummaries/2023/html/3198" TargetMode="External"/><Relationship Id="rId212" Type="http://schemas.openxmlformats.org/officeDocument/2006/relationships/image" Target="media/image1.png"/><Relationship Id="rId213" Type="http://schemas.openxmlformats.org/officeDocument/2006/relationships/image" Target="media/image2.png"/><Relationship Id="rId214" Type="http://schemas.openxmlformats.org/officeDocument/2006/relationships/image" Target="media/image3.jpeg"/><Relationship Id="rId215" Type="http://schemas.openxmlformats.org/officeDocument/2006/relationships/image" Target="media/image1.png"/><Relationship Id="rId216" Type="http://schemas.openxmlformats.org/officeDocument/2006/relationships/image" Target="media/image4.png"/><Relationship Id="rId217" Type="http://schemas.openxmlformats.org/officeDocument/2006/relationships/hyperlink" Target="https://www.kirwinnorris.com/significant-updates-to-floridas-lien-law-from-house-bill-331/?utm_source=chatgpt.com" TargetMode="External"/><Relationship Id="rId218" Type="http://schemas.openxmlformats.org/officeDocument/2006/relationships/hyperlink" Target="https://www.buildersnotice.com/blog-post/florida-construction-lien-law-key-updates-effective-july-1-2025?utm_source=chatgpt.com" TargetMode="External"/><Relationship Id="rId219" Type="http://schemas.openxmlformats.org/officeDocument/2006/relationships/hyperlink" Target="https://www.buildersnotice.com/blog-post/florida-construction-lien-law-key-updates-effective-july-1-2025?utm_source=chatgpt.com" TargetMode="External"/><Relationship Id="rId220" Type="http://schemas.openxmlformats.org/officeDocument/2006/relationships/hyperlink" Target="https://hammerngavel.com/blog/many-changes-to-floridas-construction-lien-law-take-effect-october-1-2023?utm_source=chatgpt.com" TargetMode="External"/><Relationship Id="rId221" Type="http://schemas.openxmlformats.org/officeDocument/2006/relationships/hyperlink" Target="https://hammerngavel.com/blog/many-changes-to-floridas-construction-lien-law-take-effect-october-1-2023?utm_source=chatgpt.com" TargetMode="External"/><Relationship Id="rId222" Type="http://schemas.openxmlformats.org/officeDocument/2006/relationships/hyperlink" Target="https://www.buildersnotice.com/blog-post/florida-construction-lien-law-key-updates-effective-july-1-2025?utm_source=chatgpt.com" TargetMode="External"/><Relationship Id="rId223" Type="http://schemas.openxmlformats.org/officeDocument/2006/relationships/numbering" Target="numbering.xml"/><Relationship Id="rId224" Type="http://schemas.openxmlformats.org/officeDocument/2006/relationships/fontTable" Target="fontTable.xml"/><Relationship Id="rId225" Type="http://schemas.openxmlformats.org/officeDocument/2006/relationships/settings" Target="settings.xml"/><Relationship Id="rId2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LibreOffice/25.2.6.2$Windows_X86_64 LibreOffice_project/729c5bfe710f5eb71ed3bbde9e06a6065e9c6c5d</Application>
  <AppVersion>15.0000</AppVersion>
  <Pages>21</Pages>
  <Words>9465</Words>
  <Characters>52129</Characters>
  <CharactersWithSpaces>61355</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2025-11-30T21:42:30Z</dcterms:created>
  <dc:creator/>
  <dc:description/>
  <dc:language>en-US</dc:language>
  <cp:lastModifiedBy/>
  <dcterms:modified xsi:type="dcterms:W3CDTF">2025-11-30T21:46:58Z</dcterms:modified>
  <cp:revision>1</cp:revision>
  <dc:subject/>
  <dc:title/>
</cp:coreProperties>
</file>