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Florida Lien Release Bonds (§ 713.24) – Case Law and Practical Guidance</w:t>
      </w:r>
    </w:p>
    <w:p>
      <w:pPr>
        <w:pStyle w:val="Heading2"/>
        <w:bidi w:val="0"/>
        <w:jc w:val="start"/>
        <w:rPr/>
      </w:pPr>
      <w:r>
        <w:rPr/>
        <w:t>Overview of Lien Release (Discharge) Bonds in Florida</w:t>
      </w:r>
    </w:p>
    <w:p>
      <w:pPr>
        <w:pStyle w:val="BodyText"/>
        <w:bidi w:val="0"/>
        <w:jc w:val="start"/>
        <w:rPr/>
      </w:pPr>
      <w:r>
        <w:rPr/>
        <w:t xml:space="preserve">Florida’s Construction Lien Law allows property interests encumbered by a mechanics’ lien to be </w:t>
      </w:r>
      <w:r>
        <w:rPr>
          <w:rStyle w:val="Strong"/>
        </w:rPr>
        <w:t>“bonded off”</w:t>
      </w:r>
      <w:r>
        <w:rPr/>
        <w:t xml:space="preserve"> – meaning the lien is transferred from the real property to an alternate security (cash or surety bond) under Florida Statutes § 713.24</w:t>
      </w:r>
      <w:hyperlink r:id="rId2" w:anchor=":~:text=an%20amount%20equal%20to%20the,7" w:tgtFrame="_blank">
        <w:r>
          <w:rPr>
            <w:rStyle w:val="Hyperlink"/>
          </w:rPr>
          <w:t>floridabar.org</w:t>
        </w:r>
      </w:hyperlink>
      <w:r>
        <w:rPr/>
        <w:t xml:space="preserve">. </w:t>
      </w:r>
      <w:r>
        <w:rPr>
          <w:rStyle w:val="Strong"/>
        </w:rPr>
        <w:t>Any interested party (typically the owner or general contractor)</w:t>
      </w:r>
      <w:r>
        <w:rPr/>
        <w:t xml:space="preserve"> may post a </w:t>
      </w:r>
      <w:r>
        <w:rPr>
          <w:rStyle w:val="Strong"/>
        </w:rPr>
        <w:t>lien transfer bond</w:t>
      </w:r>
      <w:r>
        <w:rPr/>
        <w:t xml:space="preserve"> in the required amount (the lien amount </w:t>
      </w:r>
      <w:r>
        <w:rPr>
          <w:rStyle w:val="Strong"/>
        </w:rPr>
        <w:t>plus</w:t>
      </w:r>
      <w:r>
        <w:rPr/>
        <w:t xml:space="preserve"> 3 years’ interest </w:t>
      </w:r>
      <w:r>
        <w:rPr>
          <w:rStyle w:val="Strong"/>
        </w:rPr>
        <w:t>plus</w:t>
      </w:r>
      <w:r>
        <w:rPr/>
        <w:t xml:space="preserve"> the greater of $1,000 or 25% of the lien amount for costs)</w:t>
      </w:r>
      <w:hyperlink r:id="rId3" w:anchor=":~:text=an%20amount%20equal%20to%20the,7" w:tgtFrame="_blank">
        <w:r>
          <w:rPr>
            <w:rStyle w:val="Hyperlink"/>
          </w:rPr>
          <w:t>floridabar.org</w:t>
        </w:r>
      </w:hyperlink>
      <w:r>
        <w:rPr/>
        <w:t xml:space="preserve">. Once this bond (or cash deposit) is filed with the clerk, </w:t>
      </w:r>
      <w:r>
        <w:rPr>
          <w:rStyle w:val="Emphasis"/>
        </w:rPr>
        <w:t>“the real property shall thereupon be released from the lien…and such lien shall be transferred to said security”</w:t>
      </w:r>
      <w:hyperlink r:id="rId4" w:anchor=":~:text=permit%20any%20owner%2C%20whether%20or,the%20time%20it%20was%20transferred" w:tgtFrame="_blank">
        <w:r>
          <w:rPr>
            <w:rStyle w:val="Hyperlink"/>
          </w:rPr>
          <w:t>caselaw.findlaw.com</w:t>
        </w:r>
      </w:hyperlink>
      <w:r>
        <w:rPr/>
        <w:t>. In practical terms, the property’s title is cleared and the lien attaches to the bond instead, enabling owners to refinance or sell despite the dispute</w:t>
      </w:r>
      <w:hyperlink r:id="rId5" w:anchor=":~:text=Since%20this%20course%20of%20action,who%20posted%20or%20deposited%20it" w:tgtFrame="_blank">
        <w:r>
          <w:rPr>
            <w:rStyle w:val="Hyperlink"/>
          </w:rPr>
          <w:t>paveselaw.com</w:t>
        </w:r>
      </w:hyperlink>
      <w:r>
        <w:rPr/>
        <w:t>. The clerk of court records a certificate of transfer and must mail a copy to the lienor, notifying them that the lien is now against the bond</w:t>
      </w:r>
      <w:hyperlink r:id="rId6" w:anchor=":~:text=Once%20the%20transfer%20has%20taken,insufficient%20to%20pay%20the%20lienor%E2%80%99s" w:tgtFrame="_blank">
        <w:r>
          <w:rPr>
            <w:rStyle w:val="Hyperlink"/>
          </w:rPr>
          <w:t>floridabar.org</w:t>
        </w:r>
      </w:hyperlink>
      <w:r>
        <w:rPr/>
        <w:t>. From that point forward, the bond (and its surety) replaces the property as the source of recovery for the lienor</w:t>
      </w:r>
      <w:hyperlink r:id="rId7" w:anchor=":~:text=permit%20any%20owner%2C%20whether%20or,the%20time%20it%20was%20transferred" w:tgtFrame="_blank">
        <w:r>
          <w:rPr>
            <w:rStyle w:val="Hyperlink"/>
          </w:rPr>
          <w:t>caselaw.findlaw.com</w:t>
        </w:r>
      </w:hyperlink>
      <w:r>
        <w:rPr/>
        <w:t>.</w:t>
      </w:r>
    </w:p>
    <w:p>
      <w:pPr>
        <w:pStyle w:val="BodyText"/>
        <w:bidi w:val="0"/>
        <w:jc w:val="start"/>
        <w:rPr/>
      </w:pPr>
      <w:r>
        <w:rPr>
          <w:rStyle w:val="Strong"/>
        </w:rPr>
        <w:t>Key Effects:</w:t>
      </w:r>
      <w:r>
        <w:rPr/>
        <w:t xml:space="preserve"> The owner gains clear title free of the lien, and the lienor gains a security (often backed by a surety company’s credit) in place of the property. However, the lienor’s rights against that bond are strictly governed by statute and Florida case law, as discussed below. The bond’s </w:t>
      </w:r>
      <w:r>
        <w:rPr>
          <w:rStyle w:val="Strong"/>
        </w:rPr>
        <w:t>requirements and proper procedures</w:t>
      </w:r>
      <w:r>
        <w:rPr/>
        <w:t xml:space="preserve"> have been a central issue in many Florida cases, which clarify how to correctly execute and enforce a lien transfer bond.</w:t>
      </w:r>
    </w:p>
    <w:p>
      <w:pPr>
        <w:pStyle w:val="Heading2"/>
        <w:bidi w:val="0"/>
        <w:jc w:val="start"/>
        <w:rPr/>
      </w:pPr>
      <w:r>
        <w:rPr/>
        <w:t>Strict Compliance with Deadlines for Enforcing Transferred Liens</w:t>
      </w:r>
    </w:p>
    <w:p>
      <w:pPr>
        <w:pStyle w:val="BodyText"/>
        <w:bidi w:val="0"/>
        <w:jc w:val="start"/>
        <w:rPr/>
      </w:pPr>
      <w:r>
        <w:rPr/>
        <w:t xml:space="preserve">Florida courts emphasize that </w:t>
      </w:r>
      <w:r>
        <w:rPr>
          <w:rStyle w:val="Strong"/>
        </w:rPr>
        <w:t>mechanics’ lien remedies are strictly statutory</w:t>
      </w:r>
      <w:r>
        <w:rPr/>
        <w:t xml:space="preserve"> and must be enforced within definite time frames</w:t>
      </w:r>
      <w:hyperlink r:id="rId8" w:anchor=":~:text=Our%20supreme%20court%20has%20specified,%E2%80%9D%20Id" w:tgtFrame="_blank">
        <w:r>
          <w:rPr>
            <w:rStyle w:val="Hyperlink"/>
          </w:rPr>
          <w:t>caselaw.findlaw.com</w:t>
        </w:r>
      </w:hyperlink>
      <w:hyperlink r:id="rId9" w:anchor=":~:text=To%20that%20end%2C%20%E2%80%9C,not%20comply%20with%20the%20time" w:tgtFrame="_blank">
        <w:r>
          <w:rPr>
            <w:rStyle w:val="Hyperlink"/>
          </w:rPr>
          <w:t>caselaw.findlaw.com</w:t>
        </w:r>
      </w:hyperlink>
      <w:r>
        <w:rPr/>
        <w:t xml:space="preserve">. Under § 713.22, a lienor generally has one year from recording the lien to file an action to enforce it (foreclose) unless this period is </w:t>
      </w:r>
      <w:r>
        <w:rPr>
          <w:rStyle w:val="Strong"/>
        </w:rPr>
        <w:t>“otherwise shortened by operation of law.”</w:t>
      </w:r>
      <w:r>
        <w:rPr/>
        <w:t xml:space="preserve"> An owner (or other interested party) can shorten the deadline by recording a </w:t>
      </w:r>
      <w:r>
        <w:rPr>
          <w:rStyle w:val="Strong"/>
        </w:rPr>
        <w:t>Notice of Contest of Lien</w:t>
      </w:r>
      <w:r>
        <w:rPr/>
        <w:t xml:space="preserve">, which triggers a </w:t>
      </w:r>
      <w:r>
        <w:rPr>
          <w:rStyle w:val="Strong"/>
        </w:rPr>
        <w:t>60-day deadline</w:t>
      </w:r>
      <w:r>
        <w:rPr/>
        <w:t xml:space="preserve"> for the lienor to file suit</w:t>
      </w:r>
      <w:hyperlink r:id="rId10" w:anchor=":~:text=Option%202%3A%20%C2%A0The%20property%20owner,Claim%20of%20Lien%20is%20extinguished" w:tgtFrame="_blank">
        <w:r>
          <w:rPr>
            <w:rStyle w:val="Hyperlink"/>
          </w:rPr>
          <w:t>paveselaw.com</w:t>
        </w:r>
      </w:hyperlink>
      <w:r>
        <w:rPr/>
        <w:t xml:space="preserve">. When a lien has been transferred to a bond, the Notice of Contest similarly shortens the time to sue </w:t>
      </w:r>
      <w:r>
        <w:rPr>
          <w:rStyle w:val="Strong"/>
        </w:rPr>
        <w:t>“to enforce any claim of lien or claim against a bond”</w:t>
      </w:r>
      <w:r>
        <w:rPr/>
        <w:t xml:space="preserve"> to 60 days</w:t>
      </w:r>
      <w:hyperlink r:id="rId11" w:anchor=":~:text=Section%20713,the%20lien%20is%20extinguished%20automatically" w:tgtFrame="_blank">
        <w:r>
          <w:rPr>
            <w:rStyle w:val="Hyperlink"/>
          </w:rPr>
          <w:t>hammerngavel.com</w:t>
        </w:r>
      </w:hyperlink>
      <w:hyperlink r:id="rId12" w:anchor=":~:text=,%E2%80%9D" w:tgtFrame="_blank">
        <w:r>
          <w:rPr>
            <w:rStyle w:val="Hyperlink"/>
          </w:rPr>
          <w:t>hammerngavel.com</w:t>
        </w:r>
      </w:hyperlink>
      <w:r>
        <w:rPr/>
        <w:t xml:space="preserve">. Florida courts have consistently held that if the lienor fails to </w:t>
      </w:r>
      <w:r>
        <w:rPr>
          <w:rStyle w:val="Strong"/>
        </w:rPr>
        <w:t>commence an action against the bond</w:t>
      </w:r>
      <w:r>
        <w:rPr/>
        <w:t xml:space="preserve"> within that 60-day window, </w:t>
      </w:r>
      <w:r>
        <w:rPr>
          <w:rStyle w:val="Emphasis"/>
        </w:rPr>
        <w:t>“the lien…shall be extinguished automatically”</w:t>
      </w:r>
      <w:r>
        <w:rPr/>
        <w:t xml:space="preserve"> by operation of law</w:t>
      </w:r>
      <w:hyperlink r:id="rId13" w:anchor=":~:text=to%20commence%20an%20action%20on,60%20days%20after%20service%20of" w:tgtFrame="_blank">
        <w:r>
          <w:rPr>
            <w:rStyle w:val="Hyperlink"/>
          </w:rPr>
          <w:t>caselaw.findlaw.com</w:t>
        </w:r>
      </w:hyperlink>
      <w:hyperlink r:id="rId14" w:anchor=":~:text=The%20legislature%20has%20provided%20a,LLC%2C%2084" w:tgtFrame="_blank">
        <w:r>
          <w:rPr>
            <w:rStyle w:val="Hyperlink"/>
          </w:rPr>
          <w:t>caselaw.findlaw.com</w:t>
        </w:r>
      </w:hyperlink>
      <w:r>
        <w:rPr/>
        <w:t xml:space="preserve">. In such cases, the lien is null, and the clerk </w:t>
      </w:r>
      <w:r>
        <w:rPr>
          <w:rStyle w:val="Strong"/>
        </w:rPr>
        <w:t>must release the bond</w:t>
      </w:r>
      <w:r>
        <w:rPr/>
        <w:t xml:space="preserve"> back to the principal or surety</w:t>
      </w:r>
      <w:hyperlink r:id="rId15" w:anchor=":~:text=The%20legislature%20has%20provided%20a,LLC%2C%2084" w:tgtFrame="_blank">
        <w:r>
          <w:rPr>
            <w:rStyle w:val="Hyperlink"/>
          </w:rPr>
          <w:t>caselaw.findlaw.com</w:t>
        </w:r>
      </w:hyperlink>
      <w:r>
        <w:rPr/>
        <w:t>.</w:t>
      </w:r>
    </w:p>
    <w:p>
      <w:pPr>
        <w:pStyle w:val="BodyText"/>
        <w:bidi w:val="0"/>
        <w:jc w:val="start"/>
        <w:rPr/>
      </w:pPr>
      <w:r>
        <w:rPr>
          <w:rStyle w:val="Strong"/>
        </w:rPr>
        <w:t>Case Illustration – Hiller and Rabil:</w:t>
      </w:r>
      <w:r>
        <w:rPr/>
        <w:t xml:space="preserve"> In </w:t>
      </w:r>
      <w:r>
        <w:rPr>
          <w:rStyle w:val="Strong"/>
        </w:rPr>
        <w:t>Hiller v. Phoenix Assocs. of S. Fla., Inc.</w:t>
      </w:r>
      <w:r>
        <w:rPr/>
        <w:t xml:space="preserve">, a homeowner bonded off a contractor’s lien </w:t>
      </w:r>
      <w:r>
        <w:rPr>
          <w:rStyle w:val="Emphasis"/>
        </w:rPr>
        <w:t>after</w:t>
      </w:r>
      <w:r>
        <w:rPr/>
        <w:t xml:space="preserve"> the contractor had filed a foreclosure lawsuit, and then served a notice of contest of lien</w:t>
      </w:r>
      <w:hyperlink r:id="rId16" w:anchor=":~:text=After%20Phoenix%20commenced%20the%20action,filed%20a%20motion%20for%20leave" w:tgtFrame="_blank">
        <w:r>
          <w:rPr>
            <w:rStyle w:val="Hyperlink"/>
          </w:rPr>
          <w:t>caselaw.findlaw.com</w:t>
        </w:r>
      </w:hyperlink>
      <w:hyperlink r:id="rId17" w:anchor=":~:text=Pursuant%20to%20the%20%E2%80%9Cunless%20otherwise,service%20of%20the%20notice%20of" w:tgtFrame="_blank">
        <w:r>
          <w:rPr>
            <w:rStyle w:val="Hyperlink"/>
          </w:rPr>
          <w:t>caselaw.findlaw.com</w:t>
        </w:r>
      </w:hyperlink>
      <w:r>
        <w:rPr/>
        <w:t xml:space="preserve">. The contractor did not sue the surety within 60 days, instead attempting to add the surety to the case after the deadline. The Second DCA strictly enforced the statute: because the contractor </w:t>
      </w:r>
      <w:r>
        <w:rPr>
          <w:rStyle w:val="Emphasis"/>
        </w:rPr>
        <w:t>“failed to commence an action on the surety within the shortened time period,”</w:t>
      </w:r>
      <w:r>
        <w:rPr/>
        <w:t xml:space="preserve"> the lien transfer bond was deemed automatically extinguished and had to be released</w:t>
      </w:r>
      <w:hyperlink r:id="rId18" w:anchor=":~:text=to%20commence%20an%20action%20on,60%20days%20after%20service%20of" w:tgtFrame="_blank">
        <w:r>
          <w:rPr>
            <w:rStyle w:val="Hyperlink"/>
          </w:rPr>
          <w:t>caselaw.findlaw.com</w:t>
        </w:r>
      </w:hyperlink>
      <w:r>
        <w:rPr/>
        <w:t xml:space="preserve">. Similarly, in </w:t>
      </w:r>
      <w:r>
        <w:rPr>
          <w:rStyle w:val="Strong"/>
        </w:rPr>
        <w:t>Rabil v. Seaside Builders, LLC</w:t>
      </w:r>
      <w:r>
        <w:rPr/>
        <w:t>, a contractor recorded a lien and sued the owners, but the owners then transferred the lien to a bond and filed a notice of contest</w:t>
      </w:r>
      <w:hyperlink r:id="rId19" w:anchor=":~:text=and%20filed%20suit%20against%20the,lis%20pendens%20against%20the%20property" w:tgtFrame="_blank">
        <w:r>
          <w:rPr>
            <w:rStyle w:val="Hyperlink"/>
          </w:rPr>
          <w:t>caselaw.findlaw.com</w:t>
        </w:r>
      </w:hyperlink>
      <w:hyperlink r:id="rId20" w:anchor=":~:text=The%20homeowners%20subsequently%20posted%20a,with%20the%20notice%20of%20contest" w:tgtFrame="_blank">
        <w:r>
          <w:rPr>
            <w:rStyle w:val="Hyperlink"/>
          </w:rPr>
          <w:t>caselaw.findlaw.com</w:t>
        </w:r>
      </w:hyperlink>
      <w:r>
        <w:rPr/>
        <w:t xml:space="preserve">. The contractor’s counsel claimed they weren’t aware of the bond and therefore didn’t sue the surety in time. The Fourth DCA reversed the trial court’s leniency and held that </w:t>
      </w:r>
      <w:r>
        <w:rPr>
          <w:rStyle w:val="Strong"/>
        </w:rPr>
        <w:t>strict compliance</w:t>
      </w:r>
      <w:r>
        <w:rPr/>
        <w:t xml:space="preserve"> with the statute was required: the owners </w:t>
      </w:r>
      <w:r>
        <w:rPr>
          <w:rStyle w:val="Strong"/>
        </w:rPr>
        <w:t>followed the statutory scheme</w:t>
      </w:r>
      <w:r>
        <w:rPr/>
        <w:t xml:space="preserve"> by recording the bond and contest and having the clerk serve the lienor at the address on the lien, which is all the law requires</w:t>
      </w:r>
      <w:hyperlink r:id="rId21" w:anchor=":~:text=those%20arguments" w:tgtFrame="_blank">
        <w:r>
          <w:rPr>
            <w:rStyle w:val="Hyperlink"/>
          </w:rPr>
          <w:t>caselaw.findlaw.com</w:t>
        </w:r>
      </w:hyperlink>
      <w:r>
        <w:rPr/>
        <w:t xml:space="preserve">. Because the contractor </w:t>
      </w:r>
      <w:r>
        <w:rPr>
          <w:rStyle w:val="Emphasis"/>
        </w:rPr>
        <w:t>“did not file suit against the surety within sixty days,”</w:t>
      </w:r>
      <w:r>
        <w:rPr/>
        <w:t xml:space="preserve"> the lien was </w:t>
      </w:r>
      <w:r>
        <w:rPr>
          <w:rStyle w:val="Emphasis"/>
        </w:rPr>
        <w:t>“extinguished automatically by operation of law,”</w:t>
      </w:r>
      <w:r>
        <w:rPr/>
        <w:t xml:space="preserve"> and the bond had to be released as a matter of law</w:t>
      </w:r>
      <w:hyperlink r:id="rId22" w:anchor=":~:text=The%20legislature%20has%20provided%20a,LLC%2C%2084" w:tgtFrame="_blank">
        <w:r>
          <w:rPr>
            <w:rStyle w:val="Hyperlink"/>
          </w:rPr>
          <w:t>caselaw.findlaw.com</w:t>
        </w:r>
      </w:hyperlink>
      <w:r>
        <w:rPr/>
        <w:t>. The court explicitly rejected arguments about lack of notice to counsel or due process, noting that the statute’s notice provisions (mailing to the lienor’s address of record) were followed and must be strictly construed</w:t>
      </w:r>
      <w:hyperlink r:id="rId23" w:anchor=":~:text=No%20one%20disputes%20the%20homeowners,We%20reject%20those%20arguments" w:tgtFrame="_blank">
        <w:r>
          <w:rPr>
            <w:rStyle w:val="Hyperlink"/>
          </w:rPr>
          <w:t>caselaw.findlaw.com</w:t>
        </w:r>
      </w:hyperlink>
      <w:hyperlink r:id="rId24" w:anchor=":~:text=The%20legislature%20has%20provided%20a,LLC%2C%2084" w:tgtFrame="_blank">
        <w:r>
          <w:rPr>
            <w:rStyle w:val="Hyperlink"/>
          </w:rPr>
          <w:t>caselaw.findlaw.com</w:t>
        </w:r>
      </w:hyperlink>
      <w:r>
        <w:rPr/>
        <w:t>.</w:t>
      </w:r>
    </w:p>
    <w:p>
      <w:pPr>
        <w:pStyle w:val="BodyText"/>
        <w:bidi w:val="0"/>
        <w:jc w:val="start"/>
        <w:rPr/>
      </w:pPr>
      <w:r>
        <w:rPr>
          <w:rStyle w:val="Strong"/>
        </w:rPr>
        <w:t>Case Illustration – Jon M. Hall Co. v. Canoe Creek:</w:t>
      </w:r>
      <w:r>
        <w:rPr/>
        <w:t xml:space="preserve"> This 2024 Second DCA decision underscores the unforgiving nature of these deadlines in a complex scenario. The contractor (Hall) recorded an initial lien (~$825k) and the owner bonded it off and filed a contest, then Hall recorded an </w:t>
      </w:r>
      <w:r>
        <w:rPr>
          <w:rStyle w:val="Strong"/>
        </w:rPr>
        <w:t>amended lien</w:t>
      </w:r>
      <w:r>
        <w:rPr/>
        <w:t xml:space="preserve"> for a much higher amount (~$1.8 million)</w:t>
      </w:r>
      <w:hyperlink r:id="rId25" w:anchor=":~:text=Jon%20M,notice%20of%20contest%20of%20lien" w:tgtFrame="_blank">
        <w:r>
          <w:rPr>
            <w:rStyle w:val="Hyperlink"/>
          </w:rPr>
          <w:t>hammerngavel.com</w:t>
        </w:r>
      </w:hyperlink>
      <w:hyperlink r:id="rId26" w:anchor=":~:text=Two%20weeks%20later%2C%20the%20property,the%20amended%20claim%20of%20lien" w:tgtFrame="_blank">
        <w:r>
          <w:rPr>
            <w:rStyle w:val="Hyperlink"/>
          </w:rPr>
          <w:t>hammerngavel.com</w:t>
        </w:r>
      </w:hyperlink>
      <w:r>
        <w:rPr/>
        <w:t xml:space="preserve">. The owner likewise bonded off the amended lien and filed a second notice of contest </w:t>
      </w:r>
      <w:r>
        <w:rPr>
          <w:rStyle w:val="Emphasis"/>
        </w:rPr>
        <w:t>during</w:t>
      </w:r>
      <w:r>
        <w:rPr/>
        <w:t xml:space="preserve"> the ongoing litigation</w:t>
      </w:r>
      <w:hyperlink r:id="rId27" w:anchor=":~:text=Two%20weeks%20later%2C%20the%20property,the%20amended%20claim%20of%20lien" w:tgtFrame="_blank">
        <w:r>
          <w:rPr>
            <w:rStyle w:val="Hyperlink"/>
          </w:rPr>
          <w:t>hammerngavel.com</w:t>
        </w:r>
      </w:hyperlink>
      <w:hyperlink r:id="rId28" w:anchor=":~:text=Five%20months%20later%2C%20the%20property,as%20a%20matter%20of%20law" w:tgtFrame="_blank">
        <w:r>
          <w:rPr>
            <w:rStyle w:val="Hyperlink"/>
          </w:rPr>
          <w:t>hammerngavel.com</w:t>
        </w:r>
      </w:hyperlink>
      <w:r>
        <w:rPr/>
        <w:t xml:space="preserve">. Hall filed suit against the owner for the amended lien but </w:t>
      </w:r>
      <w:r>
        <w:rPr>
          <w:rStyle w:val="Strong"/>
        </w:rPr>
        <w:t>neglected to join the surety</w:t>
      </w:r>
      <w:r>
        <w:rPr/>
        <w:t xml:space="preserve"> on the bond. After 60 days passed, the trial court granted summary judgment for the owner, finding the lien extinguished</w:t>
      </w:r>
      <w:hyperlink r:id="rId29" w:anchor=":~:text=Following%20a%20hearing%20on%20May,and%20Hall%27s%20petition%20timely%20followed" w:tgtFrame="_blank">
        <w:r>
          <w:rPr>
            <w:rStyle w:val="Hyperlink"/>
          </w:rPr>
          <w:t>caselaw.findlaw.com</w:t>
        </w:r>
      </w:hyperlink>
      <w:hyperlink r:id="rId30" w:anchor=":~:text=Thus%2C%20as%20illustrated%20by%20Hiller,22%282" w:tgtFrame="_blank">
        <w:r>
          <w:rPr>
            <w:rStyle w:val="Hyperlink"/>
          </w:rPr>
          <w:t>caselaw.findlaw.com</w:t>
        </w:r>
      </w:hyperlink>
      <w:r>
        <w:rPr/>
        <w:t xml:space="preserve">. On appeal, Hall argued that because its original suit was timely, it thought there was </w:t>
      </w:r>
      <w:r>
        <w:rPr>
          <w:rStyle w:val="Emphasis"/>
        </w:rPr>
        <w:t>“no time limit”</w:t>
      </w:r>
      <w:r>
        <w:rPr/>
        <w:t xml:space="preserve"> to add the surety for the amended lien. The Second DCA disagreed: once the </w:t>
      </w:r>
      <w:r>
        <w:rPr>
          <w:rStyle w:val="Strong"/>
        </w:rPr>
        <w:t>Amended Claim of Lien</w:t>
      </w:r>
      <w:r>
        <w:rPr/>
        <w:t xml:space="preserve"> had been transferred to a bond and contested during litigation, the plain language of §§ 713.22(2) and 713.24(4) gave Hall </w:t>
      </w:r>
      <w:r>
        <w:rPr>
          <w:rStyle w:val="Strong"/>
        </w:rPr>
        <w:t>60 days</w:t>
      </w:r>
      <w:r>
        <w:rPr/>
        <w:t xml:space="preserve"> to bring an action against the bond (i.e. add the surety)</w:t>
      </w:r>
      <w:hyperlink r:id="rId31" w:anchor=":~:text=Thus%2C%20as%20illustrated%20by%20Hiller,22%282" w:tgtFrame="_blank">
        <w:r>
          <w:rPr>
            <w:rStyle w:val="Hyperlink"/>
          </w:rPr>
          <w:t>caselaw.findlaw.com</w:t>
        </w:r>
      </w:hyperlink>
      <w:hyperlink r:id="rId32" w:anchor=":~:text=,%E2%80%9D" w:tgtFrame="_blank">
        <w:r>
          <w:rPr>
            <w:rStyle w:val="Hyperlink"/>
          </w:rPr>
          <w:t>hammerngavel.com</w:t>
        </w:r>
      </w:hyperlink>
      <w:r>
        <w:rPr/>
        <w:t>. Hall’s failure to do so within the statutory window meant the lien was automatically extinguished, despite the pending lawsuit</w:t>
      </w:r>
      <w:hyperlink r:id="rId33" w:anchor=":~:text=Thus%2C%20as%20illustrated%20by%20Hiller,22%282" w:tgtFrame="_blank">
        <w:r>
          <w:rPr>
            <w:rStyle w:val="Hyperlink"/>
          </w:rPr>
          <w:t>caselaw.findlaw.com</w:t>
        </w:r>
      </w:hyperlink>
      <w:hyperlink r:id="rId34" w:anchor=":~:text=The%20court%20then%20turned%20back,as%20a%20matter%20of%20law" w:tgtFrame="_blank">
        <w:r>
          <w:rPr>
            <w:rStyle w:val="Hyperlink"/>
          </w:rPr>
          <w:t>hammerngavel.com</w:t>
        </w:r>
      </w:hyperlink>
      <w:r>
        <w:rPr/>
        <w:t xml:space="preserve">. The court emphasized that lien deadlines are designed to be </w:t>
      </w:r>
      <w:r>
        <w:rPr>
          <w:rStyle w:val="Strong"/>
        </w:rPr>
        <w:t>“definite and certain”</w:t>
      </w:r>
      <w:r>
        <w:rPr/>
        <w:t xml:space="preserve"> not just for the parties but for lenders and buyers relying on clear records</w:t>
      </w:r>
      <w:hyperlink r:id="rId35" w:anchor=":~:text=In%20giving%20its%20ruling%2C%20Florida%E2%80%99s,24%20Florida%20Statutes" w:tgtFrame="_blank">
        <w:r>
          <w:rPr>
            <w:rStyle w:val="Hyperlink"/>
          </w:rPr>
          <w:t>hammerngavel.com</w:t>
        </w:r>
      </w:hyperlink>
      <w:hyperlink r:id="rId36" w:anchor=":~:text=Our%20supreme%20court%20has%20specified,%E2%80%9D%20Id" w:tgtFrame="_blank">
        <w:r>
          <w:rPr>
            <w:rStyle w:val="Hyperlink"/>
          </w:rPr>
          <w:t>caselaw.findlaw.com</w:t>
        </w:r>
      </w:hyperlink>
      <w:r>
        <w:rPr/>
        <w:t>. Allowing an “open-ended” extension by way of an amended lien or belated joinder of the surety would undermine the certainty of the statutory scheme</w:t>
      </w:r>
      <w:hyperlink r:id="rId37" w:anchor=":~:text=The%20court%20rejected%20the%20argument,08%284%29%28b%29%2C%20Florida%20Statutes%2C%20as%20follows" w:tgtFrame="_blank">
        <w:r>
          <w:rPr>
            <w:rStyle w:val="Hyperlink"/>
          </w:rPr>
          <w:t>hammerngavel.com</w:t>
        </w:r>
      </w:hyperlink>
      <w:r>
        <w:rPr/>
        <w:t xml:space="preserve">. In sum, </w:t>
      </w:r>
      <w:r>
        <w:rPr>
          <w:rStyle w:val="Strong"/>
        </w:rPr>
        <w:t>a lienor cannot ignore the shortened deadline on the theory that an earlier filing (or original lien) tolled the time</w:t>
      </w:r>
      <w:r>
        <w:rPr/>
        <w:t xml:space="preserve"> – Florida law </w:t>
      </w:r>
      <w:r>
        <w:rPr>
          <w:rStyle w:val="Emphasis"/>
        </w:rPr>
        <w:t>“cannot be bent”</w:t>
      </w:r>
      <w:r>
        <w:rPr/>
        <w:t xml:space="preserve"> to accommodate such delays</w:t>
      </w:r>
      <w:hyperlink r:id="rId38" w:anchor=":~:text=To%20that%20end%2C%20%E2%80%9C,not%20comply%20with%20the%20time" w:tgtFrame="_blank">
        <w:r>
          <w:rPr>
            <w:rStyle w:val="Hyperlink"/>
          </w:rPr>
          <w:t>caselaw.findlaw.com</w:t>
        </w:r>
      </w:hyperlink>
      <w:r>
        <w:rPr/>
        <w:t>.</w:t>
      </w:r>
    </w:p>
    <w:p>
      <w:pPr>
        <w:pStyle w:val="BodyText"/>
        <w:bidi w:val="0"/>
        <w:jc w:val="start"/>
        <w:rPr/>
      </w:pPr>
      <w:r>
        <w:rPr>
          <w:rStyle w:val="Strong"/>
        </w:rPr>
        <w:t>Takeaway:</w:t>
      </w:r>
      <w:r>
        <w:rPr/>
        <w:t xml:space="preserve"> Courts demand </w:t>
      </w:r>
      <w:r>
        <w:rPr>
          <w:rStyle w:val="Strong"/>
        </w:rPr>
        <w:t>strict compliance</w:t>
      </w:r>
      <w:r>
        <w:rPr/>
        <w:t xml:space="preserve"> with Chapter 713’s time limits when a lien is transferred to a bond</w:t>
      </w:r>
      <w:hyperlink r:id="rId39" w:anchor=":~:text=To%20that%20end%2C%20%E2%80%9C,not%20comply%20with%20the%20time" w:tgtFrame="_blank">
        <w:r>
          <w:rPr>
            <w:rStyle w:val="Hyperlink"/>
          </w:rPr>
          <w:t>caselaw.findlaw.com</w:t>
        </w:r>
      </w:hyperlink>
      <w:r>
        <w:rPr/>
        <w:t xml:space="preserve">. Filing a timely foreclosure lawsuit against the property owner is not enough if the lien gets bonded off – the lienor must timely initiate an action </w:t>
      </w:r>
      <w:r>
        <w:rPr>
          <w:rStyle w:val="Strong"/>
        </w:rPr>
        <w:t>against the bond (surety)</w:t>
      </w:r>
      <w:r>
        <w:rPr/>
        <w:t xml:space="preserve"> itself. Failing to sue the proper party within the statutory period </w:t>
      </w:r>
      <w:r>
        <w:rPr>
          <w:rStyle w:val="Strong"/>
        </w:rPr>
        <w:t>extinguishes the lien rights completely</w:t>
      </w:r>
      <w:r>
        <w:rPr/>
        <w:t>, and neither the trial court’s equitable powers nor excuses of ignorance will save the lien</w:t>
      </w:r>
      <w:hyperlink r:id="rId40" w:anchor=":~:text=The%20legislature%20has%20provided%20a,LLC%2C%2084" w:tgtFrame="_blank">
        <w:r>
          <w:rPr>
            <w:rStyle w:val="Hyperlink"/>
          </w:rPr>
          <w:t>caselaw.findlaw.com</w:t>
        </w:r>
      </w:hyperlink>
      <w:hyperlink r:id="rId41" w:anchor=":~:text=To%20that%20end%2C%20%E2%80%9C,not%20comply%20with%20the%20time" w:tgtFrame="_blank">
        <w:r>
          <w:rPr>
            <w:rStyle w:val="Hyperlink"/>
          </w:rPr>
          <w:t>caselaw.findlaw.com</w:t>
        </w:r>
      </w:hyperlink>
      <w:r>
        <w:rPr/>
        <w:t>. Judges have no discretion to extend these deadlines in lien cases, unlike ordinary civil cases</w:t>
      </w:r>
      <w:hyperlink r:id="rId42" w:anchor=":~:text=To%20that%20end%2C%20%E2%80%9C,not%20comply%20with%20the%20time" w:tgtFrame="_blank">
        <w:r>
          <w:rPr>
            <w:rStyle w:val="Hyperlink"/>
          </w:rPr>
          <w:t>caselaw.findlaw.com</w:t>
        </w:r>
      </w:hyperlink>
      <w:r>
        <w:rPr/>
        <w:t xml:space="preserve">. The consistent message in Florida precedent is that </w:t>
      </w:r>
      <w:r>
        <w:rPr>
          <w:rStyle w:val="Strong"/>
        </w:rPr>
        <w:t>“recovery may not be allowed”</w:t>
      </w:r>
      <w:r>
        <w:rPr/>
        <w:t xml:space="preserve"> where the lienor does not strictly comply with the time limits and notice requirements of the lien law</w:t>
      </w:r>
      <w:hyperlink r:id="rId43" w:anchor=":~:text=seeking%20affirmative%20relief%20under%20the,4th%20DCA%201999" w:tgtFrame="_blank">
        <w:r>
          <w:rPr>
            <w:rStyle w:val="Hyperlink"/>
          </w:rPr>
          <w:t>caselaw.findlaw.com</w:t>
        </w:r>
      </w:hyperlink>
      <w:r>
        <w:rPr/>
        <w:t>.</w:t>
      </w:r>
    </w:p>
    <w:p>
      <w:pPr>
        <w:pStyle w:val="Heading2"/>
        <w:bidi w:val="0"/>
        <w:jc w:val="start"/>
        <w:rPr/>
      </w:pPr>
      <w:r>
        <w:rPr/>
        <w:t>Transfers of Liens During Pending Litigation – One-Year Rule vs. 60 Days</w:t>
      </w:r>
    </w:p>
    <w:p>
      <w:pPr>
        <w:pStyle w:val="BodyText"/>
        <w:bidi w:val="0"/>
        <w:jc w:val="start"/>
        <w:rPr/>
      </w:pPr>
      <w:r>
        <w:rPr/>
        <w:t xml:space="preserve">A special scenario arises when a lien is </w:t>
      </w:r>
      <w:r>
        <w:rPr>
          <w:rStyle w:val="Strong"/>
        </w:rPr>
        <w:t>bonded off in the midst of an ongoing lien foreclosure lawsuit</w:t>
      </w:r>
      <w:r>
        <w:rPr/>
        <w:t xml:space="preserve"> (as in Hiller, Rabil, and Jon M. Hall above). Historically, lienors faced a trap: before 2005, § 713.24 lacked clarity on time limits if the transfer happened after a suit was already filed. Some owners exploited this by defending the lien suit until the one-year period nearly ran, then </w:t>
      </w:r>
      <w:r>
        <w:rPr>
          <w:rStyle w:val="Strong"/>
        </w:rPr>
        <w:t>transferring the lien to a bond after the year expired</w:t>
      </w:r>
      <w:r>
        <w:rPr/>
        <w:t>, arguing that the lienor’s bond claim was time-barred</w:t>
      </w:r>
      <w:hyperlink r:id="rId44" w:anchor=":~:text=lien%2C%20the%20clerk%20was%20required,legislature%20amended%20Florida%20Statute%2C%20Section" w:tgtFrame="_blank">
        <w:r>
          <w:rPr>
            <w:rStyle w:val="Hyperlink"/>
          </w:rPr>
          <w:t>cotneycl.com</w:t>
        </w:r>
      </w:hyperlink>
      <w:r>
        <w:rPr/>
        <w:t>. Florida courts refused to allow such maneuvers, recognizing it would unfairly let owners evade liability by a late bond transfer</w:t>
      </w:r>
      <w:hyperlink r:id="rId45" w:anchor=":~:text=lien%2C%20the%20clerk%20was%20required,legislature%20amended%20Florida%20Statute%2C%20Section" w:tgtFrame="_blank">
        <w:r>
          <w:rPr>
            <w:rStyle w:val="Hyperlink"/>
          </w:rPr>
          <w:t>cotneycl.com</w:t>
        </w:r>
      </w:hyperlink>
      <w:r>
        <w:rPr/>
        <w:t xml:space="preserve">. In </w:t>
      </w:r>
      <w:r>
        <w:rPr>
          <w:rStyle w:val="Strong"/>
        </w:rPr>
        <w:t>2005</w:t>
      </w:r>
      <w:r>
        <w:rPr/>
        <w:t>, the legislature closed this loophole by amending § 713.24(4)</w:t>
      </w:r>
      <w:hyperlink r:id="rId46" w:anchor=":~:text=Consequently%2C%20in%202005%2C%20the%20Florida,by%20adding%20the%20following%20sentence" w:tgtFrame="_blank">
        <w:r>
          <w:rPr>
            <w:rStyle w:val="Hyperlink"/>
          </w:rPr>
          <w:t>cotneycl.com</w:t>
        </w:r>
      </w:hyperlink>
      <w:r>
        <w:rPr/>
        <w:t xml:space="preserve">. The statute now provides that if a lien is transferred to security </w:t>
      </w:r>
      <w:r>
        <w:rPr>
          <w:rStyle w:val="Strong"/>
        </w:rPr>
        <w:t>“during [an enforcement] proceeding,”</w:t>
      </w:r>
      <w:r>
        <w:rPr/>
        <w:t xml:space="preserve"> the lienor has </w:t>
      </w:r>
      <w:r>
        <w:rPr>
          <w:rStyle w:val="Strong"/>
        </w:rPr>
        <w:t>one year from the transfer</w:t>
      </w:r>
      <w:r>
        <w:rPr/>
        <w:t xml:space="preserve"> to initiate an action against the bond (unless shortened by a notice of contest)</w:t>
      </w:r>
      <w:hyperlink r:id="rId47" w:anchor=":~:text=%E2%80%9CIf%20a%20proceeding%20to%20enforce,%E2%80%9D" w:tgtFrame="_blank">
        <w:r>
          <w:rPr>
            <w:rStyle w:val="Hyperlink"/>
          </w:rPr>
          <w:t>cotneycl.com</w:t>
        </w:r>
      </w:hyperlink>
      <w:hyperlink r:id="rId48" w:anchor=":~:text=The%20appellate%20court%20reasoned%20that,one%20year%20of%20the%20transfer" w:tgtFrame="_blank">
        <w:r>
          <w:rPr>
            <w:rStyle w:val="Hyperlink"/>
          </w:rPr>
          <w:t>cotneycl.com</w:t>
        </w:r>
      </w:hyperlink>
      <w:r>
        <w:rPr/>
        <w:t>. Moreover, if the lienor does sue the bond within that year, the law treats it as relating back to the original lien action’s filing date, ensuring continuity of jurisdiction</w:t>
      </w:r>
      <w:hyperlink r:id="rId49" w:anchor=":~:text=%E2%80%9CIf%20a%20proceeding%20to%20enforce,%E2%80%9D" w:tgtFrame="_blank">
        <w:r>
          <w:rPr>
            <w:rStyle w:val="Hyperlink"/>
          </w:rPr>
          <w:t>cotneycl.com</w:t>
        </w:r>
      </w:hyperlink>
      <w:r>
        <w:rPr/>
        <w:t>.</w:t>
      </w:r>
    </w:p>
    <w:p>
      <w:pPr>
        <w:pStyle w:val="BodyText"/>
        <w:bidi w:val="0"/>
        <w:jc w:val="start"/>
        <w:rPr/>
      </w:pPr>
      <w:r>
        <w:rPr/>
        <w:t xml:space="preserve">Florida courts have enforced this </w:t>
      </w:r>
      <w:r>
        <w:rPr>
          <w:rStyle w:val="Strong"/>
        </w:rPr>
        <w:t>one-year-from-transfer rule</w:t>
      </w:r>
      <w:r>
        <w:rPr/>
        <w:t xml:space="preserve">. For example, in </w:t>
      </w:r>
      <w:r>
        <w:rPr>
          <w:rStyle w:val="Strong"/>
        </w:rPr>
        <w:t>The Cool Guys, LLC v. Jomar Properties, LLC</w:t>
      </w:r>
      <w:r>
        <w:rPr/>
        <w:t xml:space="preserve"> (Fla. 4th DCA 2012), a contractor counterclaimed to foreclose a lien, the owner bonded off the lien during the suit, and the contractor then waited </w:t>
      </w:r>
      <w:r>
        <w:rPr>
          <w:rStyle w:val="Strong"/>
        </w:rPr>
        <w:t>two years</w:t>
      </w:r>
      <w:r>
        <w:rPr/>
        <w:t xml:space="preserve"> before filing a claim against the bond</w:t>
      </w:r>
      <w:hyperlink r:id="rId50" w:anchor=":~:text=716084%20%28Fla,surety%20moved%20for%20summary%20judgment" w:tgtFrame="_blank">
        <w:r>
          <w:rPr>
            <w:rStyle w:val="Hyperlink"/>
          </w:rPr>
          <w:t>cotneycl.com</w:t>
        </w:r>
      </w:hyperlink>
      <w:r>
        <w:rPr/>
        <w:t xml:space="preserve">. The trial court granted summary judgment to the owner, and the Fourth DCA affirmed, finding </w:t>
      </w:r>
      <w:r>
        <w:rPr>
          <w:rStyle w:val="Emphasis"/>
        </w:rPr>
        <w:t>“no ambiguity”</w:t>
      </w:r>
      <w:r>
        <w:rPr/>
        <w:t xml:space="preserve"> in § 713.24(4)’s language</w:t>
      </w:r>
      <w:hyperlink r:id="rId51" w:anchor=":~:text=The%20appellate%20court%20reasoned%20that,one%20year%20of%20the%20transfer" w:tgtFrame="_blank">
        <w:r>
          <w:rPr>
            <w:rStyle w:val="Hyperlink"/>
          </w:rPr>
          <w:t>cotneycl.com</w:t>
        </w:r>
      </w:hyperlink>
      <w:r>
        <w:rPr/>
        <w:t xml:space="preserve">. Because the lien was transferred during pending litigation, the contractor </w:t>
      </w:r>
      <w:r>
        <w:rPr>
          <w:rStyle w:val="Strong"/>
        </w:rPr>
        <w:t>“must bring a claim on the transfer bond within one year of the transfer”</w:t>
      </w:r>
      <w:r>
        <w:rPr/>
        <w:t>, and waiting two years was fatal</w:t>
      </w:r>
      <w:hyperlink r:id="rId52" w:anchor=":~:text=The%20appellate%20court%20reasoned%20that,one%20year%20of%20the%20transfer" w:tgtFrame="_blank">
        <w:r>
          <w:rPr>
            <w:rStyle w:val="Hyperlink"/>
          </w:rPr>
          <w:t>cotneycl.com</w:t>
        </w:r>
      </w:hyperlink>
      <w:r>
        <w:rPr/>
        <w:t>. The appellate court flatly rejected the argument that the statute only applied to separate actions; even within the same case, the lienor had to timely amend or sue on the bond</w:t>
      </w:r>
      <w:hyperlink r:id="rId53" w:anchor=":~:text=until%20two%20years%20after%20such,of%20the%20Owner%20and%20Surety" w:tgtFrame="_blank">
        <w:r>
          <w:rPr>
            <w:rStyle w:val="Hyperlink"/>
          </w:rPr>
          <w:t>cotneycl.com</w:t>
        </w:r>
      </w:hyperlink>
      <w:hyperlink r:id="rId54" w:anchor=":~:text=that%20if%20a%20lien%20foreclosure,one%20year%20of%20the%20transfer" w:tgtFrame="_blank">
        <w:r>
          <w:rPr>
            <w:rStyle w:val="Hyperlink"/>
          </w:rPr>
          <w:t>cotneycl.com</w:t>
        </w:r>
      </w:hyperlink>
      <w:r>
        <w:rPr/>
        <w:t xml:space="preserve">. In essence, </w:t>
      </w:r>
      <w:r>
        <w:rPr>
          <w:rStyle w:val="Strong"/>
        </w:rPr>
        <w:t>the added sentence in § 713.24(4)</w:t>
      </w:r>
      <w:r>
        <w:rPr/>
        <w:t xml:space="preserve"> means exactly what it says – if the lien gets bonded off during a lawsuit, the lienor must assert rights against the bond within one year of that event</w:t>
      </w:r>
      <w:hyperlink r:id="rId55" w:anchor=":~:text=The%20appellate%20court%20reasoned%20that,one%20year%20of%20the%20transfer" w:tgtFrame="_blank">
        <w:r>
          <w:rPr>
            <w:rStyle w:val="Hyperlink"/>
          </w:rPr>
          <w:t>cotneycl.com</w:t>
        </w:r>
      </w:hyperlink>
      <w:hyperlink r:id="rId56" w:anchor=":~:text=This%20case%20demonstrates%20the%20clear,of%20the%20lien%20being%20transferred" w:tgtFrame="_blank">
        <w:r>
          <w:rPr>
            <w:rStyle w:val="Hyperlink"/>
          </w:rPr>
          <w:t>cotneycl.com</w:t>
        </w:r>
      </w:hyperlink>
      <w:r>
        <w:rPr/>
        <w:t xml:space="preserve"> (unless the time is further shortened to 60 days by a contest, as discussed).</w:t>
      </w:r>
    </w:p>
    <w:p>
      <w:pPr>
        <w:pStyle w:val="BodyText"/>
        <w:bidi w:val="0"/>
        <w:jc w:val="start"/>
        <w:rPr/>
      </w:pPr>
      <w:r>
        <w:rPr>
          <w:rStyle w:val="Strong"/>
        </w:rPr>
        <w:t>Practical implication:</w:t>
      </w:r>
      <w:r>
        <w:rPr/>
        <w:t xml:space="preserve"> When a lienor is already in court and the owner “bonds off” the lien, the battlefront shifts to the bond. The lienor should </w:t>
      </w:r>
      <w:r>
        <w:rPr>
          <w:rStyle w:val="Strong"/>
        </w:rPr>
        <w:t>immediately amend the complaint to add the surety (and any new bond principal)</w:t>
      </w:r>
      <w:r>
        <w:rPr/>
        <w:t xml:space="preserve"> as defendants or file a new action on the bond, </w:t>
      </w:r>
      <w:r>
        <w:rPr>
          <w:rStyle w:val="Emphasis"/>
        </w:rPr>
        <w:t>and must do so within one year at the very latest</w:t>
      </w:r>
      <w:hyperlink r:id="rId57" w:anchor=":~:text=This%20case%20demonstrates%20the%20clear,of%20the%20lien%20being%20transferred" w:tgtFrame="_blank">
        <w:r>
          <w:rPr>
            <w:rStyle w:val="Hyperlink"/>
          </w:rPr>
          <w:t>cotneycl.com</w:t>
        </w:r>
      </w:hyperlink>
      <w:r>
        <w:rPr/>
        <w:t xml:space="preserve">. If the owner also files a Notice of Contest of Lien along with the bond (a common tactic), the deadline truncates to </w:t>
      </w:r>
      <w:r>
        <w:rPr>
          <w:rStyle w:val="Strong"/>
        </w:rPr>
        <w:t>60 days</w:t>
      </w:r>
      <w:r>
        <w:rPr/>
        <w:t xml:space="preserve"> even in this scenario</w:t>
      </w:r>
      <w:hyperlink r:id="rId58" w:anchor=":~:text=Thus%2C%20as%20illustrated%20by%20Hiller,22%282" w:tgtFrame="_blank">
        <w:r>
          <w:rPr>
            <w:rStyle w:val="Hyperlink"/>
          </w:rPr>
          <w:t>caselaw.findlaw.com</w:t>
        </w:r>
      </w:hyperlink>
      <w:hyperlink r:id="rId59" w:anchor=":~:text=,%E2%80%9D" w:tgtFrame="_blank">
        <w:r>
          <w:rPr>
            <w:rStyle w:val="Hyperlink"/>
          </w:rPr>
          <w:t>hammerngavel.com</w:t>
        </w:r>
      </w:hyperlink>
      <w:r>
        <w:rPr/>
        <w:t xml:space="preserve">. As the Hall, Hiller, and Cool Guys cases illustrate, Florida courts will not give lienors leeway simply because an original suit was timely filed – the onus is on the lienor to </w:t>
      </w:r>
      <w:r>
        <w:rPr>
          <w:rStyle w:val="Strong"/>
        </w:rPr>
        <w:t>keep up with the procedural changes</w:t>
      </w:r>
      <w:r>
        <w:rPr/>
        <w:t xml:space="preserve"> once a lien is transferred to a bond during litigation. In short, </w:t>
      </w:r>
      <w:r>
        <w:rPr>
          <w:rStyle w:val="Strong"/>
        </w:rPr>
        <w:t>transferring a lien to a bond does not pause or extend the enforcement period – it either keeps it at one year from transfer or shrinks it to 60 days if contested</w:t>
      </w:r>
      <w:hyperlink r:id="rId60" w:anchor=":~:text=,%E2%80%9D" w:tgtFrame="_blank">
        <w:r>
          <w:rPr>
            <w:rStyle w:val="Hyperlink"/>
          </w:rPr>
          <w:t>hammerngavel.com</w:t>
        </w:r>
      </w:hyperlink>
      <w:hyperlink r:id="rId61" w:anchor=":~:text=Pursuant%20to%20the%20%E2%80%9Cunless%20otherwise,service%20of%20the%20notice%20of" w:tgtFrame="_blank">
        <w:r>
          <w:rPr>
            <w:rStyle w:val="Hyperlink"/>
          </w:rPr>
          <w:t>caselaw.findlaw.com</w:t>
        </w:r>
      </w:hyperlink>
      <w:r>
        <w:rPr/>
        <w:t>. Lienors who fail to appreciate this will find their liens dissolved and their bond claims lost. Owners, conversely, can confidently use the transfer bond and notice of contest in tandem to expedite the resolution or expiration of lien claims.</w:t>
      </w:r>
    </w:p>
    <w:p>
      <w:pPr>
        <w:pStyle w:val="Heading2"/>
        <w:bidi w:val="0"/>
        <w:jc w:val="start"/>
        <w:rPr/>
      </w:pPr>
      <w:r>
        <w:rPr/>
        <w:t>Surety Liability and Bond Amount Limitations</w:t>
      </w:r>
    </w:p>
    <w:p>
      <w:pPr>
        <w:pStyle w:val="BodyText"/>
        <w:bidi w:val="0"/>
        <w:jc w:val="start"/>
        <w:rPr/>
      </w:pPr>
      <w:r>
        <w:rPr/>
        <w:t xml:space="preserve">A </w:t>
      </w:r>
      <w:r>
        <w:rPr>
          <w:rStyle w:val="Strong"/>
        </w:rPr>
        <w:t>lien discharge bond’s surety</w:t>
      </w:r>
      <w:r>
        <w:rPr/>
        <w:t xml:space="preserve"> promises to pay whatever sum the lienor would have been entitled to from the property, up to the penal amount of the bond. Florida Statutes § 713.24 sets the required bond amount to ensure it covers the lien plus a cushion for interest, costs, and attorneys’ fees</w:t>
      </w:r>
      <w:hyperlink r:id="rId62" w:anchor=":~:text=an%20amount%20equal%20to%20the,7" w:tgtFrame="_blank">
        <w:r>
          <w:rPr>
            <w:rStyle w:val="Hyperlink"/>
          </w:rPr>
          <w:t>floridabar.org</w:t>
        </w:r>
      </w:hyperlink>
      <w:r>
        <w:rPr/>
        <w:t xml:space="preserve">. Importantly, </w:t>
      </w:r>
      <w:r>
        <w:rPr>
          <w:rStyle w:val="Strong"/>
        </w:rPr>
        <w:t>Florida law permits recovery of reasonable attorneys’ fees by the prevailing party in a lien foreclosure</w:t>
      </w:r>
      <w:r>
        <w:rPr/>
        <w:t xml:space="preserve"> (including actions on a transfer bond)</w:t>
      </w:r>
      <w:hyperlink r:id="rId63" w:anchor=":~:text=of%20the%20Florida%20Statutes3%20make,Sec" w:tgtFrame="_blank">
        <w:r>
          <w:rPr>
            <w:rStyle w:val="Hyperlink"/>
          </w:rPr>
          <w:t>case-law.vlex.com</w:t>
        </w:r>
      </w:hyperlink>
      <w:r>
        <w:rPr/>
        <w:t>. Thus, one recurring issue is whether a surety can be liable for attorneys’ fees exceeding the nominal bond amount.</w:t>
      </w:r>
    </w:p>
    <w:p>
      <w:pPr>
        <w:pStyle w:val="BodyText"/>
        <w:bidi w:val="0"/>
        <w:jc w:val="start"/>
        <w:rPr/>
      </w:pPr>
      <w:r>
        <w:rPr/>
        <w:t xml:space="preserve">Florida courts have held that a lien transfer bond </w:t>
      </w:r>
      <w:r>
        <w:rPr>
          <w:rStyle w:val="Strong"/>
        </w:rPr>
        <w:t>must cover the lienor’s full judgment, including interest and any court-awarded fees, up to the bond’s face value</w:t>
      </w:r>
      <w:hyperlink r:id="rId64" w:anchor=":~:text=court%27s%20interpretation%20that%20section%20713,v" w:tgtFrame="_blank">
        <w:r>
          <w:rPr>
            <w:rStyle w:val="Hyperlink"/>
          </w:rPr>
          <w:t>case-law.vlex.com</w:t>
        </w:r>
      </w:hyperlink>
      <w:r>
        <w:rPr/>
        <w:t>. Historically, older versions of § 713.24 capped the costs (including fees) to a small sum (e.g. $100, later $500), and courts prior to 1987 enforced those caps strictly</w:t>
      </w:r>
      <w:hyperlink r:id="rId65" w:anchor=":~:text=attorney%27s%20fees%20incurred%20by%20a,Inc" w:tgtFrame="_blank">
        <w:r>
          <w:rPr>
            <w:rStyle w:val="Hyperlink"/>
          </w:rPr>
          <w:t>case-law.vlex.com</w:t>
        </w:r>
      </w:hyperlink>
      <w:hyperlink r:id="rId66" w:anchor=":~:text=In%201987%2C%20the%20legislature%20amended,to%20limit%20an%20award%20of" w:tgtFrame="_blank">
        <w:r>
          <w:rPr>
            <w:rStyle w:val="Hyperlink"/>
          </w:rPr>
          <w:t>case-law.vlex.com</w:t>
        </w:r>
      </w:hyperlink>
      <w:r>
        <w:rPr/>
        <w:t xml:space="preserve">. However, the legislature amended the statute in 1987 to delete the explicit cap language and increase the cost allocation, signaling that sureties should be exposed to </w:t>
      </w:r>
      <w:r>
        <w:rPr>
          <w:rStyle w:val="Emphasis"/>
        </w:rPr>
        <w:t>“all reasonable attorney’s fees”</w:t>
      </w:r>
      <w:r>
        <w:rPr/>
        <w:t xml:space="preserve"> incurred by a lien claimant</w:t>
      </w:r>
      <w:hyperlink r:id="rId67" w:anchor=":~:text=In%201987%2C%20the%20legislature%20amended,to%20limit%20an%20award%20of" w:tgtFrame="_blank">
        <w:r>
          <w:rPr>
            <w:rStyle w:val="Hyperlink"/>
          </w:rPr>
          <w:t>case-law.vlex.com</w:t>
        </w:r>
      </w:hyperlink>
      <w:hyperlink r:id="rId68" w:anchor=":~:text=liability%20for%20all%20reasonable%20attorney%27s,We%20disagree%20with%20Aetna%27s%20interpretation" w:tgtFrame="_blank">
        <w:r>
          <w:rPr>
            <w:rStyle w:val="Hyperlink"/>
          </w:rPr>
          <w:t>case-law.vlex.com</w:t>
        </w:r>
      </w:hyperlink>
      <w:r>
        <w:rPr/>
        <w:t xml:space="preserve">. In </w:t>
      </w:r>
      <w:r>
        <w:rPr>
          <w:rStyle w:val="Strong"/>
        </w:rPr>
        <w:t>Aetna Cas. &amp; Sur. Co. v. Buck</w:t>
      </w:r>
      <w:r>
        <w:rPr/>
        <w:t xml:space="preserve"> (Fla. 1992), the Florida Supreme Court confirmed that under the amended § 713.24, an award of fees </w:t>
      </w:r>
      <w:r>
        <w:rPr>
          <w:rStyle w:val="Strong"/>
        </w:rPr>
        <w:t>is not limited to $500</w:t>
      </w:r>
      <w:r>
        <w:rPr/>
        <w:t xml:space="preserve"> or any arbitrary cap</w:t>
      </w:r>
      <w:hyperlink r:id="rId69" w:anchor=":~:text=liability%20for%20all%20reasonable%20attorney%27s,We%20disagree%20with%20Aetna%27s%20interpretation" w:tgtFrame="_blank">
        <w:r>
          <w:rPr>
            <w:rStyle w:val="Hyperlink"/>
          </w:rPr>
          <w:t>case-law.vlex.com</w:t>
        </w:r>
      </w:hyperlink>
      <w:hyperlink r:id="rId70" w:anchor=":~:text=court%27s%20interpretation%20that%20section%20713,v" w:tgtFrame="_blank">
        <w:r>
          <w:rPr>
            <w:rStyle w:val="Hyperlink"/>
          </w:rPr>
          <w:t>case-law.vlex.com</w:t>
        </w:r>
      </w:hyperlink>
      <w:r>
        <w:rPr/>
        <w:t>. The Court reasoned that the deletion of the old cap evinced an intent to make the surety fully liable for reasonable fees as taxed by the court</w:t>
      </w:r>
      <w:hyperlink r:id="rId71" w:anchor=":~:text=liability%20for%20all%20reasonable%20attorney%27s,We%20disagree%20with%20Aetna%27s%20interpretation" w:tgtFrame="_blank">
        <w:r>
          <w:rPr>
            <w:rStyle w:val="Hyperlink"/>
          </w:rPr>
          <w:t>case-law.vlex.com</w:t>
        </w:r>
      </w:hyperlink>
      <w:r>
        <w:rPr/>
        <w:t>.</w:t>
      </w:r>
    </w:p>
    <w:p>
      <w:pPr>
        <w:pStyle w:val="BodyText"/>
        <w:bidi w:val="0"/>
        <w:jc w:val="start"/>
        <w:rPr/>
      </w:pPr>
      <w:r>
        <w:rPr/>
        <w:t xml:space="preserve">Critically, however, the Supreme Court in </w:t>
      </w:r>
      <w:r>
        <w:rPr>
          <w:rStyle w:val="Emphasis"/>
        </w:rPr>
        <w:t>Buck</w:t>
      </w:r>
      <w:r>
        <w:rPr/>
        <w:t xml:space="preserve"> also held that the statute </w:t>
      </w:r>
      <w:r>
        <w:rPr>
          <w:rStyle w:val="Strong"/>
        </w:rPr>
        <w:t>“does not permit the trial court to increase the liability of the surety beyond the amount of the bond.”</w:t>
      </w:r>
      <w:hyperlink r:id="rId72" w:anchor=":~:text=court%27s%20interpretation%20that%20section%20713,v" w:tgtFrame="_blank">
        <w:r>
          <w:rPr>
            <w:rStyle w:val="Hyperlink"/>
          </w:rPr>
          <w:t>case-law.vlex.com</w:t>
        </w:r>
      </w:hyperlink>
      <w:r>
        <w:rPr/>
        <w:t xml:space="preserve"> In other words, while a prevailing lienor can obtain a judgment for the entire amount due (including accrued interest and attorneys’ fees), the surety’s obligation is capped at the bond’s penal sum unless additional security is posted</w:t>
      </w:r>
      <w:hyperlink r:id="rId73" w:anchor=":~:text=court%27s%20interpretation%20that%20section%20713,v" w:tgtFrame="_blank">
        <w:r>
          <w:rPr>
            <w:rStyle w:val="Hyperlink"/>
          </w:rPr>
          <w:t>case-law.vlex.com</w:t>
        </w:r>
      </w:hyperlink>
      <w:r>
        <w:rPr/>
        <w:t>. The court cited the rule that any part of a final judgment exceeding the bond amount leaves the lienor as a general unsecured creditor for the overage</w:t>
      </w:r>
      <w:hyperlink r:id="rId74" w:anchor=":~:text=in%20order%20to%20cover%20costs,is%20left%20with%20an%20unsecured" w:tgtFrame="_blank">
        <w:r>
          <w:rPr>
            <w:rStyle w:val="Hyperlink"/>
          </w:rPr>
          <w:t>case-law.vlex.com</w:t>
        </w:r>
      </w:hyperlink>
      <w:r>
        <w:rPr/>
        <w:t xml:space="preserve">. This means if a lienor’s total recovery (lien principal, interest, and fees) ends up higher than the original bond, the </w:t>
      </w:r>
      <w:r>
        <w:rPr>
          <w:rStyle w:val="Strong"/>
        </w:rPr>
        <w:t>surety pays up to the bond limit</w:t>
      </w:r>
      <w:r>
        <w:rPr/>
        <w:t xml:space="preserve"> and no more – </w:t>
      </w:r>
      <w:r>
        <w:rPr>
          <w:rStyle w:val="Strong"/>
        </w:rPr>
        <w:t>unless</w:t>
      </w:r>
      <w:r>
        <w:rPr/>
        <w:t xml:space="preserve"> the bond has been increased pursuant to § 713.24(3)</w:t>
      </w:r>
      <w:hyperlink r:id="rId75" w:anchor=":~:text=court%27s%20interpretation%20that%20section%20713,v" w:tgtFrame="_blank">
        <w:r>
          <w:rPr>
            <w:rStyle w:val="Hyperlink"/>
          </w:rPr>
          <w:t>case-law.vlex.com</w:t>
        </w:r>
      </w:hyperlink>
      <w:r>
        <w:rPr/>
        <w:t xml:space="preserve">. For example, in </w:t>
      </w:r>
      <w:r>
        <w:rPr>
          <w:rStyle w:val="Emphasis"/>
        </w:rPr>
        <w:t>Buck</w:t>
      </w:r>
      <w:r>
        <w:rPr/>
        <w:t>, the trial court had ordered the bond amount increased post-judgment to cover added fees, and the surety challenged having to pay more than the bond’s face value</w:t>
      </w:r>
      <w:hyperlink r:id="rId76" w:anchor=":~:text=The%20trial%20court%20held%20that,court%27s%20final%20judgment%20and%20order" w:tgtFrame="_blank">
        <w:r>
          <w:rPr>
            <w:rStyle w:val="Hyperlink"/>
          </w:rPr>
          <w:t>case-law.vlex.com</w:t>
        </w:r>
      </w:hyperlink>
      <w:hyperlink r:id="rId77" w:anchor=":~:text=of%20the%20Florida%20Statutes3%20make,Sec" w:tgtFrame="_blank">
        <w:r>
          <w:rPr>
            <w:rStyle w:val="Hyperlink"/>
          </w:rPr>
          <w:t>case-law.vlex.com</w:t>
        </w:r>
      </w:hyperlink>
      <w:r>
        <w:rPr/>
        <w:t xml:space="preserve">. The Supreme Court agreed with the surety on that point: the proper course is to require </w:t>
      </w:r>
      <w:r>
        <w:rPr>
          <w:rStyle w:val="Strong"/>
        </w:rPr>
        <w:t>posting of an additional bond</w:t>
      </w:r>
      <w:r>
        <w:rPr/>
        <w:t xml:space="preserve"> if needed, rather than simply making the surety pay beyond the original bond amount</w:t>
      </w:r>
      <w:hyperlink r:id="rId78" w:anchor=":~:text=court%27s%20interpretation%20that%20section%20713,v" w:tgtFrame="_blank">
        <w:r>
          <w:rPr>
            <w:rStyle w:val="Hyperlink"/>
          </w:rPr>
          <w:t>case-law.vlex.com</w:t>
        </w:r>
      </w:hyperlink>
      <w:r>
        <w:rPr/>
        <w:t xml:space="preserve">. Thus, Florida law strikes a balance – </w:t>
      </w:r>
      <w:r>
        <w:rPr>
          <w:rStyle w:val="Strong"/>
        </w:rPr>
        <w:t>sureties are liable for the full measure of a lienor’s damages, but only up to the security actually provided</w:t>
      </w:r>
      <w:r>
        <w:rPr/>
        <w:t>.</w:t>
      </w:r>
    </w:p>
    <w:p>
      <w:pPr>
        <w:pStyle w:val="BodyText"/>
        <w:bidi w:val="0"/>
        <w:jc w:val="start"/>
        <w:rPr/>
      </w:pPr>
      <w:r>
        <w:rPr>
          <w:rStyle w:val="Strong"/>
        </w:rPr>
        <w:t>Practical implications:</w:t>
      </w:r>
      <w:r>
        <w:rPr/>
        <w:t xml:space="preserve"> A lienor who prevails on a bonded-off lien can recover fees and costs from the bond, but must be mindful of the bond’s limits. If it appears the initial 25% (or $1,000) added for fees will be insufficient (very common on smaller liens</w:t>
      </w:r>
      <w:hyperlink r:id="rId79" w:anchor=":~:text=lien,cost%20the%20same%20to%20litigate" w:tgtFrame="_blank">
        <w:r>
          <w:rPr>
            <w:rStyle w:val="Hyperlink"/>
          </w:rPr>
          <w:t>floridabar.org</w:t>
        </w:r>
      </w:hyperlink>
      <w:r>
        <w:rPr/>
        <w:t xml:space="preserve">), the lienor should timely invoke the procedure to </w:t>
      </w:r>
      <w:r>
        <w:rPr>
          <w:rStyle w:val="Strong"/>
        </w:rPr>
        <w:t>increase the bond</w:t>
      </w:r>
      <w:r>
        <w:rPr/>
        <w:t xml:space="preserve"> (discussed below). Otherwise, any award above the bond amount may require pursuing the bond principal (e.g. the owner or contractor who procured the bond) directly for the shortfall, since the surety can </w:t>
      </w:r>
      <w:r>
        <w:rPr>
          <w:rStyle w:val="Emphasis"/>
        </w:rPr>
        <w:t>discharge its obligation in full by paying the bond amount</w:t>
      </w:r>
      <w:r>
        <w:rPr/>
        <w:t xml:space="preserve">. Owners and sureties, on the other hand, should understand that </w:t>
      </w:r>
      <w:r>
        <w:rPr>
          <w:rStyle w:val="Strong"/>
        </w:rPr>
        <w:t>the bond is not a hard cap on exposure if the court orders an increase</w:t>
      </w:r>
      <w:r>
        <w:rPr/>
        <w:t xml:space="preserve"> – failing to increase a bond when warranted could leave the principal personally liable for excess judgment amounts (and in some cases interest continuing to accrue on the unpaid portion). In short, a valid lien release bond guarantees payment to the extent of its penal sum, and Florida precedent (from </w:t>
      </w:r>
      <w:r>
        <w:rPr>
          <w:rStyle w:val="Emphasis"/>
        </w:rPr>
        <w:t>Buck</w:t>
      </w:r>
      <w:r>
        <w:rPr/>
        <w:t xml:space="preserve"> and others) ensures lienors can recover their entitled sums </w:t>
      </w:r>
      <w:r>
        <w:rPr>
          <w:rStyle w:val="Emphasis"/>
        </w:rPr>
        <w:t>within</w:t>
      </w:r>
      <w:r>
        <w:rPr/>
        <w:t xml:space="preserve"> that security</w:t>
      </w:r>
      <w:hyperlink r:id="rId80" w:anchor=":~:text=court%27s%20interpretation%20that%20section%20713,v" w:tgtFrame="_blank">
        <w:r>
          <w:rPr>
            <w:rStyle w:val="Hyperlink"/>
          </w:rPr>
          <w:t>case-law.vlex.com</w:t>
        </w:r>
      </w:hyperlink>
      <w:r>
        <w:rPr/>
        <w:t>. But without proactive adjustments to the bond, the surety will not be on the hook beyond the bond, even if the lienor’s actual losses are greater</w:t>
      </w:r>
      <w:hyperlink r:id="rId81" w:anchor=":~:text=court%27s%20interpretation%20that%20section%20713,v" w:tgtFrame="_blank">
        <w:r>
          <w:rPr>
            <w:rStyle w:val="Hyperlink"/>
          </w:rPr>
          <w:t>case-law.vlex.com</w:t>
        </w:r>
      </w:hyperlink>
      <w:r>
        <w:rPr/>
        <w:t>.</w:t>
      </w:r>
    </w:p>
    <w:p>
      <w:pPr>
        <w:pStyle w:val="Heading2"/>
        <w:bidi w:val="0"/>
        <w:jc w:val="start"/>
        <w:rPr/>
      </w:pPr>
      <w:r>
        <w:rPr/>
        <w:t>Increasing the Bond: Adequacy of Security and Common Issues</w:t>
      </w:r>
    </w:p>
    <w:p>
      <w:pPr>
        <w:pStyle w:val="BodyText"/>
        <w:bidi w:val="0"/>
        <w:jc w:val="start"/>
        <w:rPr/>
      </w:pPr>
      <w:r>
        <w:rPr/>
        <w:t xml:space="preserve">Section 713.24(3) allows a court to </w:t>
      </w:r>
      <w:r>
        <w:rPr>
          <w:rStyle w:val="Strong"/>
        </w:rPr>
        <w:t>increase the amount of a lien transfer bond</w:t>
      </w:r>
      <w:r>
        <w:rPr/>
        <w:t xml:space="preserve"> upon motion by any interested party, if the initial bond (or deposit) is </w:t>
      </w:r>
      <w:r>
        <w:rPr>
          <w:rStyle w:val="Strong"/>
        </w:rPr>
        <w:t>insufficient to cover the lienor’s attorneys’ fees and court costs</w:t>
      </w:r>
      <w:hyperlink r:id="rId82" w:anchor=":~:text=transferred.,security%20to%20be%20warranted%2C%20the" w:tgtFrame="_blank">
        <w:r>
          <w:rPr>
            <w:rStyle w:val="Hyperlink"/>
          </w:rPr>
          <w:t>floridabar.org</w:t>
        </w:r>
      </w:hyperlink>
      <w:hyperlink r:id="rId83" w:anchor=":~:text=require%20an%20increase%20in%20the,construction%20lien%20foreclosure%20and%20which" w:tgtFrame="_blank">
        <w:r>
          <w:rPr>
            <w:rStyle w:val="Hyperlink"/>
          </w:rPr>
          <w:t>floridabar.org</w:t>
        </w:r>
      </w:hyperlink>
      <w:r>
        <w:rPr/>
        <w:t>. This provision is crucial in practice because the statutory 25% margin for fees is often too low for small lien claims</w:t>
      </w:r>
      <w:hyperlink r:id="rId84" w:anchor=":~:text=lien,cost%20the%20same%20to%20litigate" w:tgtFrame="_blank">
        <w:r>
          <w:rPr>
            <w:rStyle w:val="Hyperlink"/>
          </w:rPr>
          <w:t>floridabar.org</w:t>
        </w:r>
      </w:hyperlink>
      <w:r>
        <w:rPr/>
        <w:t>. Several cases illustrate how courts handle requests to increase bond security, and the pitfalls in enforcement:</w:t>
      </w:r>
    </w:p>
    <w:p>
      <w:pPr>
        <w:pStyle w:val="BodyText"/>
        <w:numPr>
          <w:ilvl w:val="0"/>
          <w:numId w:val="1"/>
        </w:numPr>
        <w:tabs>
          <w:tab w:val="clear" w:pos="709"/>
          <w:tab w:val="left" w:pos="709" w:leader="none"/>
        </w:tabs>
        <w:bidi w:val="0"/>
        <w:ind w:hanging="283" w:start="709"/>
        <w:jc w:val="start"/>
        <w:rPr/>
      </w:pPr>
      <w:r>
        <w:rPr>
          <w:rStyle w:val="Strong"/>
        </w:rPr>
        <w:t>Evidence and Reasonableness:</w:t>
      </w:r>
      <w:r>
        <w:rPr/>
        <w:t xml:space="preserve"> Courts require competent evidence of </w:t>
      </w:r>
      <w:r>
        <w:rPr>
          <w:rStyle w:val="Strong"/>
        </w:rPr>
        <w:t>actually incurred</w:t>
      </w:r>
      <w:r>
        <w:rPr/>
        <w:t xml:space="preserve"> fees and costs related to enforcing the lien, and will not increase a bond based on speculative future fees</w:t>
      </w:r>
      <w:hyperlink r:id="rId85" w:anchor=":~:text=was%20addressed%20in%20Lake%20Eola,court%20denied%20the%20requested%20bond" w:tgtFrame="_blank">
        <w:r>
          <w:rPr>
            <w:rStyle w:val="Hyperlink"/>
          </w:rPr>
          <w:t>floridabar.org</w:t>
        </w:r>
      </w:hyperlink>
      <w:r>
        <w:rPr/>
        <w:t xml:space="preserve">. For instance, a federal court in </w:t>
      </w:r>
      <w:r>
        <w:rPr>
          <w:rStyle w:val="Emphasis"/>
        </w:rPr>
        <w:t>Lake Eola Builders v. Metro. at Lake Eola</w:t>
      </w:r>
      <w:r>
        <w:rPr/>
        <w:t xml:space="preserve"> (M.D. Fla. 2006) denied a bond increase because the lienor failed to prove the amount of fees </w:t>
      </w:r>
      <w:r>
        <w:rPr>
          <w:rStyle w:val="Emphasis"/>
        </w:rPr>
        <w:t>already incurred</w:t>
      </w:r>
      <w:r>
        <w:rPr/>
        <w:t xml:space="preserve"> and directly tied to the lien foreclosure; anticipated future fees could not be included</w:t>
      </w:r>
      <w:hyperlink r:id="rId86" w:anchor=":~:text=was%20addressed%20in%20Lake%20Eola,court%20denied%20the%20requested%20bond" w:tgtFrame="_blank">
        <w:r>
          <w:rPr>
            <w:rStyle w:val="Hyperlink"/>
          </w:rPr>
          <w:t>floridabar.org</w:t>
        </w:r>
      </w:hyperlink>
      <w:r>
        <w:rPr/>
        <w:t xml:space="preserve">. Similarly, in </w:t>
      </w:r>
      <w:r>
        <w:rPr>
          <w:rStyle w:val="Emphasis"/>
        </w:rPr>
        <w:t>Royal Marble, Inc. v. Innovative Flooring &amp; Stonecrafters</w:t>
      </w:r>
      <w:r>
        <w:rPr/>
        <w:t xml:space="preserve"> (Fla. 2d DCA 2005), the trial court refused to increase a bond after finding the lienor’s evidence of fees was insufficient to establish reasonableness</w:t>
      </w:r>
      <w:hyperlink r:id="rId87" w:anchor=":~:text=was%20addressed%20in%20Lake%20Eola,court%20denied%20the%20requested%20bond" w:tgtFrame="_blank">
        <w:r>
          <w:rPr>
            <w:rStyle w:val="Hyperlink"/>
          </w:rPr>
          <w:t>floridabar.org</w:t>
        </w:r>
      </w:hyperlink>
      <w:hyperlink r:id="rId88" w:anchor=":~:text=transfer%20bond%20is%20limited%20to,22" w:tgtFrame="_blank">
        <w:r>
          <w:rPr>
            <w:rStyle w:val="Hyperlink"/>
          </w:rPr>
          <w:t>floridabar.org</w:t>
        </w:r>
      </w:hyperlink>
      <w:r>
        <w:rPr/>
        <w:t xml:space="preserve">. On appeal, the Second DCA dismissed the lienor’s certiorari petition, noting that </w:t>
      </w:r>
      <w:r>
        <w:rPr>
          <w:rStyle w:val="Strong"/>
        </w:rPr>
        <w:t>no irreparable harm</w:t>
      </w:r>
      <w:r>
        <w:rPr/>
        <w:t xml:space="preserve"> was shown – implying the issue could be addressed in a final judgment (i.e. the lienor might still recover fees from the bond up to its limit, and any excess could be sought from the defendant outside the bond)</w:t>
      </w:r>
      <w:hyperlink r:id="rId89" w:anchor=":~:text=transfer%20bond%20is%20limited%20to,22" w:tgtFrame="_blank">
        <w:r>
          <w:rPr>
            <w:rStyle w:val="Hyperlink"/>
          </w:rPr>
          <w:t>floridabar.org</w:t>
        </w:r>
      </w:hyperlink>
      <w:r>
        <w:rPr/>
        <w:t xml:space="preserve">. The upshot is that to successfully obtain a bond increase, a lienor must present solid proof (testimony, affidavits, expert opinion if needed) of the </w:t>
      </w:r>
      <w:r>
        <w:rPr>
          <w:rStyle w:val="Strong"/>
        </w:rPr>
        <w:t>amount of fees already accrued and their reasonableness</w:t>
      </w:r>
      <w:r>
        <w:rPr/>
        <w:t xml:space="preserve"> in the lien enforcement action.</w:t>
      </w:r>
    </w:p>
    <w:p>
      <w:pPr>
        <w:pStyle w:val="BodyText"/>
        <w:numPr>
          <w:ilvl w:val="0"/>
          <w:numId w:val="1"/>
        </w:numPr>
        <w:tabs>
          <w:tab w:val="clear" w:pos="709"/>
          <w:tab w:val="left" w:pos="709" w:leader="none"/>
        </w:tabs>
        <w:bidi w:val="0"/>
        <w:ind w:hanging="283" w:start="709"/>
        <w:jc w:val="start"/>
        <w:rPr/>
      </w:pPr>
      <w:r>
        <w:rPr>
          <w:rStyle w:val="Strong"/>
        </w:rPr>
        <w:t>Enforcement of Increase Orders:</w:t>
      </w:r>
      <w:r>
        <w:rPr/>
        <w:t xml:space="preserve"> A more vexing problem is what happens if a court </w:t>
      </w:r>
      <w:r>
        <w:rPr>
          <w:rStyle w:val="Emphasis"/>
        </w:rPr>
        <w:t>does</w:t>
      </w:r>
      <w:r>
        <w:rPr/>
        <w:t xml:space="preserve"> order the bond amount increased, but the party who posted the bond (owner/contractor or surety) fails or refuses to provide the additional security. The statute does not explicitly prescribe a remedy in that event</w:t>
      </w:r>
      <w:hyperlink r:id="rId90" w:anchor=":~:text=%C2%A7713,its%20order%20increasing%20the%20bond" w:tgtFrame="_blank">
        <w:r>
          <w:rPr>
            <w:rStyle w:val="Hyperlink"/>
          </w:rPr>
          <w:t>floridabar.org</w:t>
        </w:r>
      </w:hyperlink>
      <w:hyperlink r:id="rId91" w:anchor=":~:text=the%20home%20builder%E2%80%99s%20pleadings%2C%20which,16" w:tgtFrame="_blank">
        <w:r>
          <w:rPr>
            <w:rStyle w:val="Hyperlink"/>
          </w:rPr>
          <w:t>floridabar.org</w:t>
        </w:r>
      </w:hyperlink>
      <w:r>
        <w:rPr/>
        <w:t xml:space="preserve">. In </w:t>
      </w:r>
      <w:r>
        <w:rPr>
          <w:rStyle w:val="Strong"/>
        </w:rPr>
        <w:t>Smith Original Homes, Inc. v. Carpet King, Inc.</w:t>
      </w:r>
      <w:r>
        <w:rPr/>
        <w:t xml:space="preserve"> (the </w:t>
      </w:r>
      <w:r>
        <w:rPr>
          <w:rStyle w:val="Emphasis"/>
        </w:rPr>
        <w:t>Carpet King</w:t>
      </w:r>
      <w:r>
        <w:rPr/>
        <w:t xml:space="preserve"> case, 2d DCA 2005)</w:t>
      </w:r>
      <w:hyperlink r:id="rId92" w:anchor=":~:text=This%20was%20precisely%20the%20issue,for%20attorneys%E2%80%99%20fees%20and%20costs" w:tgtFrame="_blank">
        <w:r>
          <w:rPr>
            <w:rStyle w:val="Hyperlink"/>
          </w:rPr>
          <w:t>floridabar.org</w:t>
        </w:r>
      </w:hyperlink>
      <w:hyperlink r:id="rId93" w:anchor=":~:text=the%20home%20builder%E2%80%99s%20pleadings%2C%20which,16" w:tgtFrame="_blank">
        <w:r>
          <w:rPr>
            <w:rStyle w:val="Hyperlink"/>
          </w:rPr>
          <w:t>floridabar.org</w:t>
        </w:r>
      </w:hyperlink>
      <w:r>
        <w:rPr/>
        <w:t>, a carpet supplier’s $7,000 lien was bonded off by a home builder. The lienor’s legal fees quickly exceeded the $1,700 provided for costs, so it moved to increase the bond by $28,000</w:t>
      </w:r>
      <w:hyperlink r:id="rId94" w:anchor=":~:text=of%20contract%20and%20sought%20to,15%7D%20The%20home" w:tgtFrame="_blank">
        <w:r>
          <w:rPr>
            <w:rStyle w:val="Hyperlink"/>
          </w:rPr>
          <w:t>floridabar.org</w:t>
        </w:r>
      </w:hyperlink>
      <w:r>
        <w:rPr/>
        <w:t>. The circuit court agreed and ordered the builder to deposit the additional $28k</w:t>
      </w:r>
      <w:hyperlink r:id="rId95" w:anchor=":~:text=percent%20of%20the%20lien%20statutory,16" w:tgtFrame="_blank">
        <w:r>
          <w:rPr>
            <w:rStyle w:val="Hyperlink"/>
          </w:rPr>
          <w:t>floridabar.org</w:t>
        </w:r>
      </w:hyperlink>
      <w:r>
        <w:rPr/>
        <w:t xml:space="preserve">. The builder, however, </w:t>
      </w:r>
      <w:r>
        <w:rPr>
          <w:rStyle w:val="Strong"/>
        </w:rPr>
        <w:t>failed to pay</w:t>
      </w:r>
      <w:r>
        <w:rPr/>
        <w:t>, claiming it couldn’t afford the increase</w:t>
      </w:r>
      <w:hyperlink r:id="rId96" w:anchor=":~:text=the%20circuit%20court%20to%20which,16" w:tgtFrame="_blank">
        <w:r>
          <w:rPr>
            <w:rStyle w:val="Hyperlink"/>
          </w:rPr>
          <w:t>floridabar.org</w:t>
        </w:r>
      </w:hyperlink>
      <w:r>
        <w:rPr/>
        <w:t>. The trial court then imposed sanctions – striking the builder’s pleadings – for failure to post the security</w:t>
      </w:r>
      <w:hyperlink r:id="rId97" w:anchor=":~:text=builder%20failed%20to%20pay%20the,16" w:tgtFrame="_blank">
        <w:r>
          <w:rPr>
            <w:rStyle w:val="Hyperlink"/>
          </w:rPr>
          <w:t>floridabar.org</w:t>
        </w:r>
      </w:hyperlink>
      <w:r>
        <w:rPr/>
        <w:t xml:space="preserve">. On appeal, the Second DCA reversed, finding the court </w:t>
      </w:r>
      <w:r>
        <w:rPr>
          <w:rStyle w:val="Emphasis"/>
        </w:rPr>
        <w:t>abused its discretion</w:t>
      </w:r>
      <w:r>
        <w:rPr/>
        <w:t xml:space="preserve">: </w:t>
      </w:r>
      <w:r>
        <w:rPr>
          <w:rStyle w:val="Strong"/>
        </w:rPr>
        <w:t>“There is no express authority for sanctions for failure to pay an ordered increase in a surety bond.”</w:t>
      </w:r>
      <w:hyperlink r:id="rId98" w:anchor=":~:text=The%20home%20builder%20appealed,trial%20court%20lacked%20authority%20to" w:tgtFrame="_blank">
        <w:r>
          <w:rPr>
            <w:rStyle w:val="Hyperlink"/>
          </w:rPr>
          <w:t>floridabar.org</w:t>
        </w:r>
      </w:hyperlink>
      <w:r>
        <w:rPr/>
        <w:t xml:space="preserve"> Although courts have inherent power to enforce orders, the appellate court noted the trial court made no finding of willful or bad-faith disregard (the builder’s nonpayment was based on claimed inability)</w:t>
      </w:r>
      <w:hyperlink r:id="rId99" w:anchor=":~:text=The%20home%20builder%20appealed,trial%20court%20lacked%20authority%20to" w:tgtFrame="_blank">
        <w:r>
          <w:rPr>
            <w:rStyle w:val="Hyperlink"/>
          </w:rPr>
          <w:t>floridabar.org</w:t>
        </w:r>
      </w:hyperlink>
      <w:hyperlink r:id="rId100" w:anchor=":~:text=effect%20of%20the%20reversal%20immunized,court%20was%20deferring%20to%20the" w:tgtFrame="_blank">
        <w:r>
          <w:rPr>
            <w:rStyle w:val="Hyperlink"/>
          </w:rPr>
          <w:t>floridabar.org</w:t>
        </w:r>
      </w:hyperlink>
      <w:r>
        <w:rPr/>
        <w:t>. Absent evidence of willful contempt, severe sanctions like striking defenses were deemed improper – and indeed the statute itself is silent on penalties for non-compliance</w:t>
      </w:r>
      <w:hyperlink r:id="rId101" w:anchor=":~:text=The%20home%20builder%20appealed,trial%20court%20lacked%20authority%20to" w:tgtFrame="_blank">
        <w:r>
          <w:rPr>
            <w:rStyle w:val="Hyperlink"/>
          </w:rPr>
          <w:t>floridabar.org</w:t>
        </w:r>
      </w:hyperlink>
      <w:hyperlink r:id="rId102" w:anchor=":~:text=no%20finding%20of%20willful%20disobedience,24" w:tgtFrame="_blank">
        <w:r>
          <w:rPr>
            <w:rStyle w:val="Hyperlink"/>
          </w:rPr>
          <w:t>floridabar.org</w:t>
        </w:r>
      </w:hyperlink>
      <w:r>
        <w:rPr/>
        <w:t xml:space="preserve">. The </w:t>
      </w:r>
      <w:r>
        <w:rPr>
          <w:rStyle w:val="Emphasis"/>
        </w:rPr>
        <w:t>Carpet King</w:t>
      </w:r>
      <w:r>
        <w:rPr/>
        <w:t xml:space="preserve"> decision essentially left the lienor without the extra security and </w:t>
      </w:r>
      <w:r>
        <w:rPr>
          <w:rStyle w:val="Strong"/>
        </w:rPr>
        <w:t>“immunized the home builder from paying the statutorily-required additional security”</w:t>
      </w:r>
      <w:r>
        <w:rPr/>
        <w:t xml:space="preserve"> in that interlocutory stage</w:t>
      </w:r>
      <w:hyperlink r:id="rId103" w:anchor=":~:text=The%20home%20builder%20appealed,trial%20court%20lacked%20authority%20to" w:tgtFrame="_blank">
        <w:r>
          <w:rPr>
            <w:rStyle w:val="Hyperlink"/>
          </w:rPr>
          <w:t>floridabar.org</w:t>
        </w:r>
      </w:hyperlink>
      <w:hyperlink r:id="rId104" w:anchor=":~:text=effect%20of%20the%20reversal%20immunized,court%20was%20deferring%20to%20the" w:tgtFrame="_blank">
        <w:r>
          <w:rPr>
            <w:rStyle w:val="Hyperlink"/>
          </w:rPr>
          <w:t>floridabar.org</w:t>
        </w:r>
      </w:hyperlink>
      <w:r>
        <w:rPr/>
        <w:t>. The appellate court implied that it is up to the legislature to provide a clear remedy or sanction in such cases</w:t>
      </w:r>
      <w:hyperlink r:id="rId105" w:anchor=":~:text=no%20finding%20of%20willful%20disobedience,24" w:tgtFrame="_blank">
        <w:r>
          <w:rPr>
            <w:rStyle w:val="Hyperlink"/>
          </w:rPr>
          <w:t>floridabar.org</w:t>
        </w:r>
      </w:hyperlink>
      <w:r>
        <w:rPr/>
        <w:t>.</w:t>
      </w:r>
    </w:p>
    <w:p>
      <w:pPr>
        <w:pStyle w:val="BodyText"/>
        <w:bidi w:val="0"/>
        <w:jc w:val="start"/>
        <w:rPr/>
      </w:pPr>
      <w:r>
        <w:rPr/>
        <w:t xml:space="preserve">From </w:t>
      </w:r>
      <w:r>
        <w:rPr>
          <w:rStyle w:val="Emphasis"/>
        </w:rPr>
        <w:t>Carpet King</w:t>
      </w:r>
      <w:r>
        <w:rPr/>
        <w:t xml:space="preserve"> and related commentary, a lienor in this situation can attempt other measures: for example, move for an </w:t>
      </w:r>
      <w:r>
        <w:rPr>
          <w:rStyle w:val="Strong"/>
        </w:rPr>
        <w:t>order to show cause</w:t>
      </w:r>
      <w:r>
        <w:rPr/>
        <w:t xml:space="preserve"> why the bond poster shouldn’t be held in contempt, giving the court a chance to find willful disobedience if the party actually has the ability to pay</w:t>
      </w:r>
      <w:hyperlink r:id="rId106" w:anchor=":~:text=failure%20to%20increase%20the%20amount,24" w:tgtFrame="_blank">
        <w:r>
          <w:rPr>
            <w:rStyle w:val="Hyperlink"/>
          </w:rPr>
          <w:t>floridabar.org</w:t>
        </w:r>
      </w:hyperlink>
      <w:r>
        <w:rPr/>
        <w:t xml:space="preserve">. If willfulness is shown, a court could then strike pleadings or enter default. But if the bond poster truly lacks funds (a “financial inability” scenario), non-compliance is not willful contempt, and the lienor may be </w:t>
      </w:r>
      <w:r>
        <w:rPr>
          <w:rStyle w:val="Emphasis"/>
        </w:rPr>
        <w:t>“left holding the bag”</w:t>
      </w:r>
      <w:r>
        <w:rPr/>
        <w:t xml:space="preserve"> – an order for more security that cannot be enforced</w:t>
      </w:r>
      <w:hyperlink r:id="rId107" w:anchor=":~:text=failure%20to%20increase%20the%20amount,24" w:tgtFrame="_blank">
        <w:r>
          <w:rPr>
            <w:rStyle w:val="Hyperlink"/>
          </w:rPr>
          <w:t>floridabar.org</w:t>
        </w:r>
      </w:hyperlink>
      <w:r>
        <w:rPr/>
        <w:t>. In practical terms, this means the lienor’s additional fee recovery is unsecured unless the bond provider later becomes able to pay. This gap in the statute’s enforcement mechanism has been criticized for undermining the very protection the bond is supposed to afford “the little guy” (small subcontractors/suppliers)</w:t>
      </w:r>
      <w:hyperlink r:id="rId108" w:anchor=":~:text=lien,cost%20the%20same%20to%20litigate" w:tgtFrame="_blank">
        <w:r>
          <w:rPr>
            <w:rStyle w:val="Hyperlink"/>
          </w:rPr>
          <w:t>floridabar.org</w:t>
        </w:r>
      </w:hyperlink>
      <w:hyperlink r:id="rId109" w:anchor=":~:text=effect%20of%20the%20reversal%20immunized,court%20was%20deferring%20to%20the" w:tgtFrame="_blank">
        <w:r>
          <w:rPr>
            <w:rStyle w:val="Hyperlink"/>
          </w:rPr>
          <w:t>floridabar.org</w:t>
        </w:r>
      </w:hyperlink>
      <w:r>
        <w:rPr/>
        <w:t>.</w:t>
      </w:r>
    </w:p>
    <w:p>
      <w:pPr>
        <w:pStyle w:val="BodyText"/>
        <w:bidi w:val="0"/>
        <w:jc w:val="start"/>
        <w:rPr/>
      </w:pPr>
      <w:r>
        <w:rPr>
          <w:rStyle w:val="Strong"/>
        </w:rPr>
        <w:t>Practice Pointers:</w:t>
      </w:r>
      <w:r>
        <w:rPr/>
        <w:t xml:space="preserve"> When seeking a bond increase, lienors should: (1) file the motion </w:t>
      </w:r>
      <w:r>
        <w:rPr>
          <w:rStyle w:val="Strong"/>
        </w:rPr>
        <w:t>well before</w:t>
      </w:r>
      <w:r>
        <w:rPr/>
        <w:t xml:space="preserve"> final judgment, as soon as it’s clear fees will surpass the included 25%; (2) present detailed affidavits or testimony to justify the amount; and (3) request the court set a deadline for posting the increase. If the opposing party does not comply, lienors should promptly pursue contempt proceedings and build a record of that party’s ability to pay (e.g. evidence of assets or other expenditures) to support a finding of willfulness if possible. On the flip side, owners/contractors and sureties should </w:t>
      </w:r>
      <w:r>
        <w:rPr>
          <w:rStyle w:val="Strong"/>
        </w:rPr>
        <w:t>take court-ordered increases seriously</w:t>
      </w:r>
      <w:r>
        <w:rPr/>
        <w:t xml:space="preserve"> – failure to post additional bond could lead to contempt sanctions (if deemed willful) or, at the very least, leave the owner personally exposed for attorney fee judgments beyond the bond. Notably, the </w:t>
      </w:r>
      <w:r>
        <w:rPr>
          <w:rStyle w:val="Emphasis"/>
        </w:rPr>
        <w:t>Buck</w:t>
      </w:r>
      <w:r>
        <w:rPr/>
        <w:t xml:space="preserve"> decision confirms that </w:t>
      </w:r>
      <w:r>
        <w:rPr>
          <w:rStyle w:val="Strong"/>
        </w:rPr>
        <w:t>courts cannot simply make the surety pay over the bond amount absent an increased bond</w:t>
      </w:r>
      <w:hyperlink r:id="rId110" w:anchor=":~:text=court%27s%20interpretation%20that%20section%20713,v" w:tgtFrame="_blank">
        <w:r>
          <w:rPr>
            <w:rStyle w:val="Hyperlink"/>
          </w:rPr>
          <w:t>case-law.vlex.com</w:t>
        </w:r>
      </w:hyperlink>
      <w:r>
        <w:rPr/>
        <w:t>. Therefore, an owner who cannot increase a bond might face the prospect of a personal judgment for fees, while the surety’s liability would remain capped at the original bond. It’s far better to avoid this predicament by accurately estimating potential fees or promptly topping up the bond when ordered.</w:t>
      </w:r>
    </w:p>
    <w:p>
      <w:pPr>
        <w:pStyle w:val="Heading2"/>
        <w:bidi w:val="0"/>
        <w:jc w:val="start"/>
        <w:rPr/>
      </w:pPr>
      <w:r>
        <w:rPr/>
        <w:t>Procedural Requirements and Common Pitfalls</w:t>
      </w:r>
    </w:p>
    <w:p>
      <w:pPr>
        <w:pStyle w:val="BodyText"/>
        <w:bidi w:val="0"/>
        <w:jc w:val="start"/>
        <w:rPr/>
      </w:pPr>
      <w:r>
        <w:rPr>
          <w:rStyle w:val="Strong"/>
        </w:rPr>
        <w:t>Florida courts expect strict adherence to the procedural steps</w:t>
      </w:r>
      <w:r>
        <w:rPr/>
        <w:t xml:space="preserve"> outlined in the lien transfer statute. Several recurring issues have emerged in case law regarding compliance (or lack thereof) with these procedures:</w:t>
      </w:r>
    </w:p>
    <w:p>
      <w:pPr>
        <w:pStyle w:val="BodyText"/>
        <w:numPr>
          <w:ilvl w:val="0"/>
          <w:numId w:val="2"/>
        </w:numPr>
        <w:tabs>
          <w:tab w:val="clear" w:pos="709"/>
          <w:tab w:val="left" w:pos="709" w:leader="none"/>
        </w:tabs>
        <w:bidi w:val="0"/>
        <w:ind w:hanging="283" w:start="709"/>
        <w:jc w:val="start"/>
        <w:rPr/>
      </w:pPr>
      <w:r>
        <w:rPr>
          <w:rStyle w:val="Strong"/>
        </w:rPr>
        <w:t>Proper Execution and Recording of the Bond:</w:t>
      </w:r>
      <w:r>
        <w:rPr/>
        <w:t xml:space="preserve"> Section 713.24 requires that the bond be issued by a </w:t>
      </w:r>
      <w:r>
        <w:rPr>
          <w:rStyle w:val="Strong"/>
        </w:rPr>
        <w:t>surety authorized to do business in Florida</w:t>
      </w:r>
      <w:r>
        <w:rPr/>
        <w:t xml:space="preserve"> and generally follow a statutory form (including identifying the lien, parties, and conditioned on payment of any sum found due). While published cases rarely focus on defective bond forms, a bond </w:t>
      </w:r>
      <w:r>
        <w:rPr>
          <w:rStyle w:val="Strong"/>
        </w:rPr>
        <w:t>not signed by the principal and surety, or not properly conditioned, could be deemed invalid</w:t>
      </w:r>
      <w:r>
        <w:rPr/>
        <w:t xml:space="preserve"> (making the transfer ineffective). In practice, clerks will usually refuse to accept an obviously nonconforming bond. To be safe, owners/contractors should use the Florida statutory bond form or a clerk-provided form to avoid any argument that the transfer was void. Once the bond (or cash deposit) is ready, it must be filed with the clerk, who will then issue a </w:t>
      </w:r>
      <w:r>
        <w:rPr>
          <w:rStyle w:val="Strong"/>
        </w:rPr>
        <w:t>Certificate of Transfer</w:t>
      </w:r>
      <w:r>
        <w:rPr/>
        <w:t xml:space="preserve"> and mail a copy to the lienor’s address as shown on the lien</w:t>
      </w:r>
      <w:hyperlink r:id="rId111" w:anchor=":~:text=Once%20the%20transfer%20has%20taken,insufficient%20to%20pay%20the%20lienor%E2%80%99s" w:tgtFrame="_blank">
        <w:r>
          <w:rPr>
            <w:rStyle w:val="Hyperlink"/>
          </w:rPr>
          <w:t>floridabar.org</w:t>
        </w:r>
      </w:hyperlink>
      <w:r>
        <w:rPr/>
        <w:t xml:space="preserve">. </w:t>
      </w:r>
      <w:r>
        <w:rPr>
          <w:rStyle w:val="Strong"/>
        </w:rPr>
        <w:t>Failing to record the transfer or obtain the certificate means the lien is not officially transferred</w:t>
      </w:r>
      <w:r>
        <w:rPr/>
        <w:t>, and the property may still be encumbered. This is a straightforward step, but it’s crucial.</w:t>
      </w:r>
    </w:p>
    <w:p>
      <w:pPr>
        <w:pStyle w:val="BodyText"/>
        <w:numPr>
          <w:ilvl w:val="0"/>
          <w:numId w:val="2"/>
        </w:numPr>
        <w:tabs>
          <w:tab w:val="clear" w:pos="709"/>
          <w:tab w:val="left" w:pos="709" w:leader="none"/>
        </w:tabs>
        <w:bidi w:val="0"/>
        <w:ind w:hanging="283" w:start="709"/>
        <w:jc w:val="start"/>
        <w:rPr/>
      </w:pPr>
      <w:r>
        <w:rPr>
          <w:rStyle w:val="Strong"/>
        </w:rPr>
        <w:t>Serving Notice to the Lienor:</w:t>
      </w:r>
      <w:r>
        <w:rPr/>
        <w:t xml:space="preserve"> The statute mandates that the clerk send the transfer certificate to the lienor (at the address in the claim of lien). In </w:t>
      </w:r>
      <w:r>
        <w:rPr>
          <w:rStyle w:val="Emphasis"/>
        </w:rPr>
        <w:t>Rabil</w:t>
      </w:r>
      <w:r>
        <w:rPr/>
        <w:t xml:space="preserve">, the contractor’s counsel complained they never received direct notice of the bond and contest, but the court noted the </w:t>
      </w:r>
      <w:r>
        <w:rPr>
          <w:rStyle w:val="Strong"/>
        </w:rPr>
        <w:t>clerk did mail notice to the address on the lien</w:t>
      </w:r>
      <w:r>
        <w:rPr/>
        <w:t xml:space="preserve"> (which happened to be the contractor’s office) as required</w:t>
      </w:r>
      <w:hyperlink r:id="rId112" w:anchor=":~:text=The%20homeowners%20maintain%20that%2C%20when,See%20id" w:tgtFrame="_blank">
        <w:r>
          <w:rPr>
            <w:rStyle w:val="Hyperlink"/>
          </w:rPr>
          <w:t>caselaw.findlaw.com</w:t>
        </w:r>
      </w:hyperlink>
      <w:hyperlink r:id="rId113" w:anchor=":~:text=No%20one%20disputes%20the%20homeowners,We%20reject%20those%20arguments" w:tgtFrame="_blank">
        <w:r>
          <w:rPr>
            <w:rStyle w:val="Hyperlink"/>
          </w:rPr>
          <w:t>caselaw.findlaw.com</w:t>
        </w:r>
      </w:hyperlink>
      <w:r>
        <w:rPr/>
        <w:t xml:space="preserve">. That was sufficient service under § 713.22(2). The lesson: </w:t>
      </w:r>
      <w:r>
        <w:rPr>
          <w:rStyle w:val="Strong"/>
        </w:rPr>
        <w:t>Lienors must keep their mailing address on the recorded lien up to date and monitor any mail</w:t>
      </w:r>
      <w:r>
        <w:rPr/>
        <w:t xml:space="preserve">. If a lienor moves or prefers notice to go to counsel, they should ensure the lien reflects that or otherwise track the public records. Once a Notice of Contest is recorded, </w:t>
      </w:r>
      <w:r>
        <w:rPr>
          <w:rStyle w:val="Strong"/>
        </w:rPr>
        <w:t>the 60-day clock starts upon service of that notice by the clerk</w:t>
      </w:r>
      <w:hyperlink r:id="rId114" w:anchor=":~:text=to%20enforce%20the%20lien,1%29%20within%20which" w:tgtFrame="_blank">
        <w:r>
          <w:rPr>
            <w:rStyle w:val="Hyperlink"/>
          </w:rPr>
          <w:t>law.justia.com</w:t>
        </w:r>
      </w:hyperlink>
      <w:r>
        <w:rPr/>
        <w:t xml:space="preserve"> – and service by mail to the lienor’s last known address is legally effective. A lienor who fails to receive or act on the notice will still be bound by the 60-day deadline (barring extremely unusual circumstances). There is </w:t>
      </w:r>
      <w:r>
        <w:rPr>
          <w:rStyle w:val="Strong"/>
        </w:rPr>
        <w:t>no requirement</w:t>
      </w:r>
      <w:r>
        <w:rPr/>
        <w:t xml:space="preserve"> that the owner or clerk serve the lienor’s attorney or provide a courtesy warning like “you must sue the surety” – the statute is deemed to put the lienor on notice of that obligation</w:t>
      </w:r>
      <w:hyperlink r:id="rId115" w:anchor=":~:text=No%20one%20disputes%20the%20homeowners,We%20reject%20those%20arguments" w:tgtFrame="_blank">
        <w:r>
          <w:rPr>
            <w:rStyle w:val="Hyperlink"/>
          </w:rPr>
          <w:t>caselaw.findlaw.com</w:t>
        </w:r>
      </w:hyperlink>
      <w:r>
        <w:rPr/>
        <w:t>. Accordingly, lienors should treat any transfer notification as urgent, and owners would be wise (though not required) to send an extra copy to the lienor’s attorney to preempt later arguments.</w:t>
      </w:r>
    </w:p>
    <w:p>
      <w:pPr>
        <w:pStyle w:val="BodyText"/>
        <w:numPr>
          <w:ilvl w:val="0"/>
          <w:numId w:val="2"/>
        </w:numPr>
        <w:tabs>
          <w:tab w:val="clear" w:pos="709"/>
          <w:tab w:val="left" w:pos="709" w:leader="none"/>
        </w:tabs>
        <w:bidi w:val="0"/>
        <w:ind w:hanging="283" w:start="709"/>
        <w:jc w:val="start"/>
        <w:rPr/>
      </w:pPr>
      <w:r>
        <w:rPr>
          <w:rStyle w:val="Strong"/>
        </w:rPr>
        <w:t>Bringing the Correct Action (Joining the Surety):</w:t>
      </w:r>
      <w:r>
        <w:rPr/>
        <w:t xml:space="preserve"> A very common pitfall is lienors not </w:t>
      </w:r>
      <w:r>
        <w:rPr>
          <w:rStyle w:val="Strong"/>
        </w:rPr>
        <w:t>properly adjusting their lawsuit after a lien is transferred to bond</w:t>
      </w:r>
      <w:r>
        <w:rPr/>
        <w:t xml:space="preserve">. Florida law is clear that once the lien is on a bond, any foreclosure action must be directed </w:t>
      </w:r>
      <w:r>
        <w:rPr>
          <w:rStyle w:val="Strong"/>
        </w:rPr>
        <w:t>against the bond and its surety</w:t>
      </w:r>
      <w:r>
        <w:rPr/>
        <w:t xml:space="preserve"> (and the principal who posted the bond) rather than the property</w:t>
      </w:r>
      <w:hyperlink r:id="rId116" w:anchor=":~:text=Pursuant%20to%20the%20%E2%80%9Cunless%20otherwise,service%20of%20the%20notice%20of" w:tgtFrame="_blank">
        <w:r>
          <w:rPr>
            <w:rStyle w:val="Hyperlink"/>
          </w:rPr>
          <w:t>caselaw.findlaw.com</w:t>
        </w:r>
      </w:hyperlink>
      <w:hyperlink r:id="rId117" w:anchor=":~:text=to%20commence%20an%20action%20on,60%20days%20after%20service%20of" w:tgtFrame="_blank">
        <w:r>
          <w:rPr>
            <w:rStyle w:val="Hyperlink"/>
          </w:rPr>
          <w:t>caselaw.findlaw.com</w:t>
        </w:r>
      </w:hyperlink>
      <w:r>
        <w:rPr/>
        <w:t xml:space="preserve">. In practical terms, that means if a lienor has already sued to foreclose the lien on the property, they need to </w:t>
      </w:r>
      <w:r>
        <w:rPr>
          <w:rStyle w:val="Strong"/>
        </w:rPr>
        <w:t>amend the complaint</w:t>
      </w:r>
      <w:r>
        <w:rPr/>
        <w:t xml:space="preserve"> to substitute a claim on the bond and add the surety as a defendant, or file a new action on the bond if no suit existed yet</w:t>
      </w:r>
      <w:hyperlink r:id="rId118" w:anchor=":~:text=Pursuant%20to%20the%20%E2%80%9Cunless%20otherwise,service%20of%20the%20notice%20of" w:tgtFrame="_blank">
        <w:r>
          <w:rPr>
            <w:rStyle w:val="Hyperlink"/>
          </w:rPr>
          <w:t>caselaw.findlaw.com</w:t>
        </w:r>
      </w:hyperlink>
      <w:r>
        <w:rPr/>
        <w:t xml:space="preserve">. Simply continuing the case against the owner without naming the surety is insufficient – the judgment must be against the bond security (else the lienor could end up with a judgment against an owner who may not be personally liable, especially if the owner was not in privity). The Hiller, Rabil, and Hall cases all involved lienors who </w:t>
      </w:r>
      <w:r>
        <w:rPr>
          <w:rStyle w:val="Strong"/>
        </w:rPr>
        <w:t>delayed adding the surety</w:t>
      </w:r>
      <w:r>
        <w:rPr/>
        <w:t xml:space="preserve">, with disastrous results. For example, in </w:t>
      </w:r>
      <w:r>
        <w:rPr>
          <w:rStyle w:val="Emphasis"/>
        </w:rPr>
        <w:t>Hiller</w:t>
      </w:r>
      <w:r>
        <w:rPr/>
        <w:t>, the lienor filed suit timely against the owner, but after the bond was posted and contested, the lienor still needed to sue the surety within 60 days. The lienor’s attempt to add the surety late was rejected and the bond released</w:t>
      </w:r>
      <w:hyperlink r:id="rId119" w:anchor=":~:text=to%20commence%20an%20action%20on,60%20days%20after%20service%20of" w:tgtFrame="_blank">
        <w:r>
          <w:rPr>
            <w:rStyle w:val="Hyperlink"/>
          </w:rPr>
          <w:t>caselaw.findlaw.com</w:t>
        </w:r>
      </w:hyperlink>
      <w:r>
        <w:rPr/>
        <w:t xml:space="preserve">. In </w:t>
      </w:r>
      <w:r>
        <w:rPr>
          <w:rStyle w:val="Emphasis"/>
        </w:rPr>
        <w:t>Hall</w:t>
      </w:r>
      <w:r>
        <w:rPr/>
        <w:t>, the lienor filed suit on the amended lien but neglected to name the bond or surety until many months later – far beyond the 60-day limit – so the lien claim was lost</w:t>
      </w:r>
      <w:hyperlink r:id="rId120" w:anchor=":~:text=Thus%2C%20as%20illustrated%20by%20Hiller,22%282" w:tgtFrame="_blank">
        <w:r>
          <w:rPr>
            <w:rStyle w:val="Hyperlink"/>
          </w:rPr>
          <w:t>caselaw.findlaw.com</w:t>
        </w:r>
      </w:hyperlink>
      <w:r>
        <w:rPr/>
        <w:t xml:space="preserve">. The </w:t>
      </w:r>
      <w:r>
        <w:rPr>
          <w:rStyle w:val="Strong"/>
        </w:rPr>
        <w:t>correct approach</w:t>
      </w:r>
      <w:r>
        <w:rPr/>
        <w:t xml:space="preserve"> is: as soon as you learn of the bond transfer, </w:t>
      </w:r>
      <w:r>
        <w:rPr>
          <w:rStyle w:val="Strong"/>
        </w:rPr>
        <w:t>bring the surety into the lawsuit and assert your claim directly against the bond</w:t>
      </w:r>
      <w:r>
        <w:rPr/>
        <w:t xml:space="preserve">. Florida law even allows the action on the bond to </w:t>
      </w:r>
      <w:r>
        <w:rPr>
          <w:rStyle w:val="Emphasis"/>
        </w:rPr>
        <w:t>relate back</w:t>
      </w:r>
      <w:r>
        <w:rPr/>
        <w:t xml:space="preserve"> to the original filing date if done within one year of transfer</w:t>
      </w:r>
      <w:hyperlink r:id="rId121" w:anchor=":~:text=%E2%80%9CIf%20a%20proceeding%20to%20enforce,%E2%80%9D" w:tgtFrame="_blank">
        <w:r>
          <w:rPr>
            <w:rStyle w:val="Hyperlink"/>
          </w:rPr>
          <w:t>cotneycl.com</w:t>
        </w:r>
      </w:hyperlink>
      <w:r>
        <w:rPr/>
        <w:t>, preserving priority, but only if you actually file it in time. If a lienor is unsure of the surety’s identity, they should obtain the recorded transfer documents from the clerk immediately (these will list the surety and bond number). Failing to include the surety means any judgment would not bind the surety, and after a year (or 60 days if contested) the lien itself vanishes</w:t>
      </w:r>
      <w:hyperlink r:id="rId122" w:anchor=":~:text=The%20legislature%20has%20provided%20a,LLC%2C%2084" w:tgtFrame="_blank">
        <w:r>
          <w:rPr>
            <w:rStyle w:val="Hyperlink"/>
          </w:rPr>
          <w:t>caselaw.findlaw.com</w:t>
        </w:r>
      </w:hyperlink>
      <w:r>
        <w:rPr/>
        <w:t>.</w:t>
      </w:r>
    </w:p>
    <w:p>
      <w:pPr>
        <w:pStyle w:val="BodyText"/>
        <w:numPr>
          <w:ilvl w:val="0"/>
          <w:numId w:val="2"/>
        </w:numPr>
        <w:tabs>
          <w:tab w:val="clear" w:pos="709"/>
          <w:tab w:val="left" w:pos="709" w:leader="none"/>
        </w:tabs>
        <w:bidi w:val="0"/>
        <w:ind w:hanging="283" w:start="709"/>
        <w:jc w:val="start"/>
        <w:rPr/>
      </w:pPr>
      <w:r>
        <w:rPr>
          <w:rStyle w:val="Strong"/>
        </w:rPr>
        <w:t>Amended Liens and Multiple Bonds:</w:t>
      </w:r>
      <w:r>
        <w:rPr/>
        <w:t xml:space="preserve"> Lienors sometimes record </w:t>
      </w:r>
      <w:r>
        <w:rPr>
          <w:rStyle w:val="Strong"/>
        </w:rPr>
        <w:t>amended liens</w:t>
      </w:r>
      <w:r>
        <w:rPr/>
        <w:t xml:space="preserve"> (to correct errors or adjust the amount) during the 90-day lien recording period. An amended lien is essentially a new lien claim. As seen in </w:t>
      </w:r>
      <w:r>
        <w:rPr>
          <w:rStyle w:val="Emphasis"/>
        </w:rPr>
        <w:t>Jon M. Hall Co. v. Canoe Creek</w:t>
      </w:r>
      <w:r>
        <w:rPr/>
        <w:t xml:space="preserve">, if the lien amount increases, the owner has the right to </w:t>
      </w:r>
      <w:r>
        <w:rPr>
          <w:rStyle w:val="Strong"/>
        </w:rPr>
        <w:t>bond off the amended lien as well</w:t>
      </w:r>
      <w:hyperlink r:id="rId123" w:anchor=":~:text=Two%20weeks%20later%2C%20the%20property,the%20amended%20claim%20of%20lien" w:tgtFrame="_blank">
        <w:r>
          <w:rPr>
            <w:rStyle w:val="Hyperlink"/>
          </w:rPr>
          <w:t>hammerngavel.com</w:t>
        </w:r>
      </w:hyperlink>
      <w:hyperlink r:id="rId124" w:anchor=":~:text=%3E%20%5BThe%20contractor%E2%80%99s%5D%20argument%20,to%20take%20%E2%80%9Cadvantage%20of%20these" w:tgtFrame="_blank">
        <w:r>
          <w:rPr>
            <w:rStyle w:val="Hyperlink"/>
          </w:rPr>
          <w:t>hammerngavel.com</w:t>
        </w:r>
      </w:hyperlink>
      <w:r>
        <w:rPr/>
        <w:t xml:space="preserve">. A mistake by Hall was assuming that the original bond covered the amended lien or that the original suit’s timing controlled – the court made clear that the </w:t>
      </w:r>
      <w:r>
        <w:rPr>
          <w:rStyle w:val="Strong"/>
        </w:rPr>
        <w:t>amended lien was a separate encumbrance</w:t>
      </w:r>
      <w:r>
        <w:rPr/>
        <w:t xml:space="preserve"> that had to be bonded off and contested, and that started a new 60-day clock for the </w:t>
      </w:r>
      <w:r>
        <w:rPr>
          <w:rStyle w:val="Strong"/>
        </w:rPr>
        <w:t>amended lien’s bond</w:t>
      </w:r>
      <w:hyperlink r:id="rId125" w:anchor=":~:text=The%20court%20then%20turned%20back,as%20a%20matter%20of%20law" w:tgtFrame="_blank">
        <w:r>
          <w:rPr>
            <w:rStyle w:val="Hyperlink"/>
          </w:rPr>
          <w:t>hammerngavel.com</w:t>
        </w:r>
      </w:hyperlink>
      <w:hyperlink r:id="rId126" w:anchor=":~:text=%3E%20%5BThe%20contractor%E2%80%99s%5D%20argument%20,to%20take%20%E2%80%9Cadvantage%20of%20these" w:tgtFrame="_blank">
        <w:r>
          <w:rPr>
            <w:rStyle w:val="Hyperlink"/>
          </w:rPr>
          <w:t>hammerngavel.com</w:t>
        </w:r>
      </w:hyperlink>
      <w:r>
        <w:rPr/>
        <w:t xml:space="preserve">. Owners and contractors should promptly bond off any </w:t>
      </w:r>
      <w:r>
        <w:rPr>
          <w:rStyle w:val="Emphasis"/>
        </w:rPr>
        <w:t>new or modified liens</w:t>
      </w:r>
      <w:r>
        <w:rPr/>
        <w:t xml:space="preserve"> to avoid leaving part of the claim on the property. Lienors must treat an amended lien as a new lien for enforcement timing: it does </w:t>
      </w:r>
      <w:r>
        <w:rPr>
          <w:rStyle w:val="Strong"/>
        </w:rPr>
        <w:t>not</w:t>
      </w:r>
      <w:r>
        <w:rPr/>
        <w:t xml:space="preserve"> relate back to an earlier lien for purposes of the owner’s right to contest or the deadline to sue on the bond</w:t>
      </w:r>
      <w:hyperlink r:id="rId127" w:anchor=":~:text=The%20court%20rejected%20the%20argument,08%284%29%28b%29%2C%20Florida%20Statutes%2C%20as%20follows" w:tgtFrame="_blank">
        <w:r>
          <w:rPr>
            <w:rStyle w:val="Hyperlink"/>
          </w:rPr>
          <w:t>hammerngavel.com</w:t>
        </w:r>
      </w:hyperlink>
      <w:r>
        <w:rPr/>
        <w:t>. In short, each lien (original or amended) that is transferred to security must be enforced against that security within the applicable period or it will expire. If multiple liens from different lienors are filed, an owner can either post separate bonds for each lien or a blanket bond covering all (the statute doesn’t explicitly provide for a single blanket bond, so separate bonds are more common for clarity). Each lienor then has to pursue their own claim accordingly.</w:t>
      </w:r>
    </w:p>
    <w:p>
      <w:pPr>
        <w:pStyle w:val="BodyText"/>
        <w:numPr>
          <w:ilvl w:val="0"/>
          <w:numId w:val="2"/>
        </w:numPr>
        <w:tabs>
          <w:tab w:val="clear" w:pos="709"/>
          <w:tab w:val="left" w:pos="709" w:leader="none"/>
        </w:tabs>
        <w:bidi w:val="0"/>
        <w:ind w:hanging="283" w:start="709"/>
        <w:jc w:val="start"/>
        <w:rPr/>
      </w:pPr>
      <w:r>
        <w:rPr>
          <w:rStyle w:val="Strong"/>
        </w:rPr>
        <w:t>Fraudulent or Invalid Lien Claims:</w:t>
      </w:r>
      <w:r>
        <w:rPr/>
        <w:t xml:space="preserve"> While not directly about the bond mechanism, it’s worth noting that if a lien itself is deemed </w:t>
      </w:r>
      <w:r>
        <w:rPr>
          <w:rStyle w:val="Strong"/>
        </w:rPr>
        <w:t>fraudulent or unenforceable</w:t>
      </w:r>
      <w:r>
        <w:rPr/>
        <w:t xml:space="preserve">, that defense is equally good against the bond. For example, if a lienor failed to serve a </w:t>
      </w:r>
      <w:r>
        <w:rPr>
          <w:rStyle w:val="Strong"/>
        </w:rPr>
        <w:t>Notice to Owner</w:t>
      </w:r>
      <w:r>
        <w:rPr/>
        <w:t xml:space="preserve"> when required (as was the issue in </w:t>
      </w:r>
      <w:r>
        <w:rPr>
          <w:rStyle w:val="Emphasis"/>
        </w:rPr>
        <w:t>Aetna v. Buck</w:t>
      </w:r>
      <w:hyperlink r:id="rId128" w:anchor=":~:text=BUCK%E2%80%98S%20lien%20is%20invalid%20since,owner%20requirement%20since%20he%20was" w:tgtFrame="_blank">
        <w:r>
          <w:rPr>
            <w:rStyle w:val="Hyperlink"/>
          </w:rPr>
          <w:t>library.law.fsu.edu</w:t>
        </w:r>
      </w:hyperlink>
      <w:hyperlink r:id="rId129" w:anchor=":~:text=this%20Court,to%20owner%20to%20perfect%20their" w:tgtFrame="_blank">
        <w:r>
          <w:rPr>
            <w:rStyle w:val="Hyperlink"/>
          </w:rPr>
          <w:t>library.law.fsu.edu</w:t>
        </w:r>
      </w:hyperlink>
      <w:r>
        <w:rPr/>
        <w:t xml:space="preserve">), the lien is invalid and the lienor cannot recover from the bond any more than they could from the property. In </w:t>
      </w:r>
      <w:r>
        <w:rPr>
          <w:rStyle w:val="Emphasis"/>
        </w:rPr>
        <w:t>Buck</w:t>
      </w:r>
      <w:r>
        <w:rPr/>
        <w:t>, although the lien had been transferred to a surety bond, the Supreme Court focused on whether the lienor was in privity or had given notice to owner; they ultimately held the lien was unenforceable due to lack of notice (since the owner and contractor were distinct despite common ownership)</w:t>
      </w:r>
      <w:hyperlink r:id="rId130" w:anchor=":~:text=We%20have%20for%20review%20Pappalardo,4%29%2C%20Florida%20Constitution" w:tgtFrame="_blank">
        <w:r>
          <w:rPr>
            <w:rStyle w:val="Hyperlink"/>
          </w:rPr>
          <w:t>case-law.vlex.com</w:t>
        </w:r>
      </w:hyperlink>
      <w:hyperlink r:id="rId131" w:anchor=":~:text=The%20trial%20court%20held%20that,court%27s%20final%20judgment%20and%20order" w:tgtFrame="_blank">
        <w:r>
          <w:rPr>
            <w:rStyle w:val="Hyperlink"/>
          </w:rPr>
          <w:t>case-law.vlex.com</w:t>
        </w:r>
      </w:hyperlink>
      <w:r>
        <w:rPr/>
        <w:t>. Thus, posting a bond doesn’t cure substantive defects in the lien claim – it only moves the security. Owners often assert the same defenses (defective lien, exaggeration, etc.) in the bond context. A bonded-off lien can also be challenged via a § 713.21 show-cause proceeding or on summary judgment, just like a regular lien. If declared fraudulent, the lienor can even lose the right to any recovery and face damages, causing the bond to be released. Sureties should be aware they can raise the owner’s defenses too, and if a lien is declared fraudulent or extinguished, the surety is off the hook.</w:t>
      </w:r>
    </w:p>
    <w:p>
      <w:pPr>
        <w:pStyle w:val="BodyText"/>
        <w:bidi w:val="0"/>
        <w:jc w:val="start"/>
        <w:rPr/>
      </w:pPr>
      <w:r>
        <w:rPr/>
        <w:t xml:space="preserve">In all these situations, </w:t>
      </w:r>
      <w:r>
        <w:rPr>
          <w:rStyle w:val="Strong"/>
        </w:rPr>
        <w:t>procedural precision</w:t>
      </w:r>
      <w:r>
        <w:rPr/>
        <w:t xml:space="preserve"> is vital. Chapter 713 is technical, and courts will not excuse non-compliance even if it leads to harsh results</w:t>
      </w:r>
      <w:hyperlink r:id="rId132" w:anchor=":~:text=To%20that%20end%2C%20%E2%80%9C,not%20comply%20with%20the%20time" w:tgtFrame="_blank">
        <w:r>
          <w:rPr>
            <w:rStyle w:val="Hyperlink"/>
          </w:rPr>
          <w:t>caselaw.findlaw.com</w:t>
        </w:r>
      </w:hyperlink>
      <w:r>
        <w:rPr/>
        <w:t xml:space="preserve">. For attorneys and parties, the best practice is to create </w:t>
      </w:r>
      <w:r>
        <w:rPr>
          <w:rStyle w:val="Strong"/>
        </w:rPr>
        <w:t>diary deadlines</w:t>
      </w:r>
      <w:r>
        <w:rPr/>
        <w:t xml:space="preserve"> for any 60-day contest period and one-year periods, double-check that </w:t>
      </w:r>
      <w:r>
        <w:rPr>
          <w:rStyle w:val="Strong"/>
        </w:rPr>
        <w:t>all necessary parties are in the lawsuit</w:t>
      </w:r>
      <w:r>
        <w:rPr/>
        <w:t xml:space="preserve">, and ensure that </w:t>
      </w:r>
      <w:r>
        <w:rPr>
          <w:rStyle w:val="Strong"/>
        </w:rPr>
        <w:t>paperwork is properly served and recorded</w:t>
      </w:r>
      <w:r>
        <w:rPr/>
        <w:t xml:space="preserve"> at each step. The cases show that most “lien transfer bond” disasters are avoidable with diligent adherence to the statute.</w:t>
      </w:r>
    </w:p>
    <w:p>
      <w:pPr>
        <w:pStyle w:val="Heading2"/>
        <w:bidi w:val="0"/>
        <w:jc w:val="start"/>
        <w:rPr/>
      </w:pPr>
      <w:r>
        <w:rPr/>
        <w:t>Practical Recommendations for Stakeholders</w:t>
      </w:r>
    </w:p>
    <w:p>
      <w:pPr>
        <w:pStyle w:val="BodyText"/>
        <w:numPr>
          <w:ilvl w:val="0"/>
          <w:numId w:val="3"/>
        </w:numPr>
        <w:tabs>
          <w:tab w:val="clear" w:pos="709"/>
          <w:tab w:val="left" w:pos="709" w:leader="none"/>
        </w:tabs>
        <w:bidi w:val="0"/>
        <w:ind w:hanging="283" w:start="709"/>
        <w:jc w:val="start"/>
        <w:rPr/>
      </w:pPr>
      <w:r>
        <w:rPr>
          <w:rStyle w:val="Strong"/>
        </w:rPr>
        <w:t>For Owners/Contractors (Posting a Discharge Bond):</w:t>
      </w:r>
      <w:r>
        <w:rPr/>
        <w:t xml:space="preserve"> To effectively “bond off” a lien, make sure to </w:t>
      </w:r>
      <w:r>
        <w:rPr>
          <w:rStyle w:val="Strong"/>
        </w:rPr>
        <w:t>calculate the bond amount correctly</w:t>
      </w:r>
      <w:r>
        <w:rPr/>
        <w:t xml:space="preserve"> (100% of lien + 3 years’ interest + 25% or $1,000)</w:t>
      </w:r>
      <w:hyperlink r:id="rId133" w:anchor=":~:text=Option%201%3A%20The%20property%20owner,for%20costs%20and%20attorney%20fees" w:tgtFrame="_blank">
        <w:r>
          <w:rPr>
            <w:rStyle w:val="Hyperlink"/>
          </w:rPr>
          <w:t>paveselaw.com</w:t>
        </w:r>
      </w:hyperlink>
      <w:r>
        <w:rPr/>
        <w:t xml:space="preserve"> and use a reputable surety company. </w:t>
      </w:r>
      <w:r>
        <w:rPr>
          <w:rStyle w:val="Strong"/>
        </w:rPr>
        <w:t>Record the bond and obtain the clerk’s certificate</w:t>
      </w:r>
      <w:r>
        <w:rPr/>
        <w:t xml:space="preserve"> of transfer; verify the clerk sends notice to the lienor’s address</w:t>
      </w:r>
      <w:hyperlink r:id="rId134" w:anchor=":~:text=The%20homeowners%20maintain%20that%2C%20when,See%20id" w:tgtFrame="_blank">
        <w:r>
          <w:rPr>
            <w:rStyle w:val="Hyperlink"/>
          </w:rPr>
          <w:t>caselaw.findlaw.com</w:t>
        </w:r>
      </w:hyperlink>
      <w:r>
        <w:rPr/>
        <w:t xml:space="preserve">. It’s wise to </w:t>
      </w:r>
      <w:r>
        <w:rPr>
          <w:rStyle w:val="Strong"/>
        </w:rPr>
        <w:t>immediately record a Notice of Contest of Lien</w:t>
      </w:r>
      <w:r>
        <w:rPr/>
        <w:t xml:space="preserve"> after bonding off – this will shorten the lienor’s window to 60 days</w:t>
      </w:r>
      <w:hyperlink r:id="rId135" w:anchor=":~:text=Option%202%3A%20%C2%A0The%20property%20owner,Claim%20of%20Lien%20is%20extinguished" w:tgtFrame="_blank">
        <w:r>
          <w:rPr>
            <w:rStyle w:val="Hyperlink"/>
          </w:rPr>
          <w:t>paveselaw.com</w:t>
        </w:r>
      </w:hyperlink>
      <w:r>
        <w:rPr/>
        <w:t xml:space="preserve"> and force them to act or lose the lien. Keep proof of mailing/service of the contest notice by the clerk in case of any dispute. If the lienor amends their lien or files additional liens, be prepared to </w:t>
      </w:r>
      <w:r>
        <w:rPr>
          <w:rStyle w:val="Strong"/>
        </w:rPr>
        <w:t>post additional bonds</w:t>
      </w:r>
      <w:r>
        <w:rPr/>
        <w:t xml:space="preserve"> or increase the existing bond to cover the new amount</w:t>
      </w:r>
      <w:hyperlink r:id="rId136" w:anchor=":~:text=%3E%20%5BThe%20contractor%E2%80%99s%5D%20argument%20,to%20take%20%E2%80%9Cadvantage%20of%20these" w:tgtFrame="_blank">
        <w:r>
          <w:rPr>
            <w:rStyle w:val="Hyperlink"/>
          </w:rPr>
          <w:t>hammerngavel.com</w:t>
        </w:r>
      </w:hyperlink>
      <w:r>
        <w:rPr/>
        <w:t xml:space="preserve">. And if a court orders an increase in the bond, </w:t>
      </w:r>
      <w:r>
        <w:rPr>
          <w:rStyle w:val="Strong"/>
        </w:rPr>
        <w:t>comply promptly</w:t>
      </w:r>
      <w:r>
        <w:rPr/>
        <w:t xml:space="preserve"> – not only to avoid potential sanctions, but to ensure the bond covers the full exposure (otherwise the owner’s personal assets might later be targeted for any shortfall). In summary, by diligently following the statute (and perhaps giving the lienor or their counsel a courtesy notice of the bond/contest), an owner or contractor can leverage § 713.24 to clear the property’s title and put significant </w:t>
      </w:r>
      <w:r>
        <w:rPr>
          <w:rStyle w:val="Strong"/>
        </w:rPr>
        <w:t>time pressure on the lienor</w:t>
      </w:r>
      <w:r>
        <w:rPr/>
        <w:t xml:space="preserve"> to prosecute their claim</w:t>
      </w:r>
      <w:hyperlink r:id="rId137" w:anchor=":~:text=The%20legislature%20has%20provided%20a,LLC%2C%2084" w:tgtFrame="_blank">
        <w:r>
          <w:rPr>
            <w:rStyle w:val="Hyperlink"/>
          </w:rPr>
          <w:t>caselaw.findlaw.com</w:t>
        </w:r>
      </w:hyperlink>
      <w:r>
        <w:rPr/>
        <w:t>.</w:t>
      </w:r>
    </w:p>
    <w:p>
      <w:pPr>
        <w:pStyle w:val="BodyText"/>
        <w:numPr>
          <w:ilvl w:val="0"/>
          <w:numId w:val="3"/>
        </w:numPr>
        <w:tabs>
          <w:tab w:val="clear" w:pos="709"/>
          <w:tab w:val="left" w:pos="709" w:leader="none"/>
        </w:tabs>
        <w:bidi w:val="0"/>
        <w:ind w:hanging="283" w:start="709"/>
        <w:jc w:val="start"/>
        <w:rPr/>
      </w:pPr>
      <w:r>
        <w:rPr>
          <w:rStyle w:val="Strong"/>
        </w:rPr>
        <w:t>For Lienors (Contractors, Subcontractors, Suppliers):</w:t>
      </w:r>
      <w:r>
        <w:rPr/>
        <w:t xml:space="preserve"> The moment you receive notice (or learn) that your lien has been transferred to a bond, </w:t>
      </w:r>
      <w:r>
        <w:rPr>
          <w:rStyle w:val="Strong"/>
        </w:rPr>
        <w:t>act decisively</w:t>
      </w:r>
      <w:r>
        <w:rPr/>
        <w:t xml:space="preserve">. First, ensure you have a copy of the transfer bond and any Notice of Contest – check the public records or clerk’s mailing. </w:t>
      </w:r>
      <w:r>
        <w:rPr>
          <w:rStyle w:val="Strong"/>
        </w:rPr>
        <w:t>Diary the 60-day deadline</w:t>
      </w:r>
      <w:r>
        <w:rPr/>
        <w:t xml:space="preserve"> from the contest recording (or the one-year deadline from bond recording if no contest). If you already have a foreclosure lawsuit pending, </w:t>
      </w:r>
      <w:r>
        <w:rPr>
          <w:rStyle w:val="Strong"/>
        </w:rPr>
        <w:t>amend your complaint immediately to add a count against the bond and name the surety as a defendant</w:t>
      </w:r>
      <w:hyperlink r:id="rId138" w:anchor=":~:text=Pursuant%20to%20the%20%E2%80%9Cunless%20otherwise,service%20of%20the%20notice%20of" w:tgtFrame="_blank">
        <w:r>
          <w:rPr>
            <w:rStyle w:val="Hyperlink"/>
          </w:rPr>
          <w:t>caselaw.findlaw.com</w:t>
        </w:r>
      </w:hyperlink>
      <w:r>
        <w:rPr/>
        <w:t xml:space="preserve">. If no suit is filed yet, you must file a lawsuit on the bond before the deadline – suing the owner alone is not enough; explicitly sue for judgment against the bond/surety. Do </w:t>
      </w:r>
      <w:r>
        <w:rPr>
          <w:rStyle w:val="Emphasis"/>
        </w:rPr>
        <w:t>not</w:t>
      </w:r>
      <w:r>
        <w:rPr/>
        <w:t xml:space="preserve"> assume that because you sued the owner within one year, you can wait to add the surety later – you </w:t>
      </w:r>
      <w:r>
        <w:rPr>
          <w:rStyle w:val="Strong"/>
        </w:rPr>
        <w:t>cannot</w:t>
      </w:r>
      <w:r>
        <w:rPr/>
        <w:t xml:space="preserve"> under current law</w:t>
      </w:r>
      <w:hyperlink r:id="rId139" w:anchor=":~:text=to%20commence%20an%20action%20on,60%20days%20after%20service%20of" w:tgtFrame="_blank">
        <w:r>
          <w:rPr>
            <w:rStyle w:val="Hyperlink"/>
          </w:rPr>
          <w:t>caselaw.findlaw.com</w:t>
        </w:r>
      </w:hyperlink>
      <w:hyperlink r:id="rId140" w:anchor=":~:text=Thus%2C%20as%20illustrated%20by%20Hiller,22%282" w:tgtFrame="_blank">
        <w:r>
          <w:rPr>
            <w:rStyle w:val="Hyperlink"/>
          </w:rPr>
          <w:t>caselaw.findlaw.com</w:t>
        </w:r>
      </w:hyperlink>
      <w:r>
        <w:rPr/>
        <w:t xml:space="preserve">. Next, be meticulous with </w:t>
      </w:r>
      <w:r>
        <w:rPr>
          <w:rStyle w:val="Strong"/>
        </w:rPr>
        <w:t>statutory notices</w:t>
      </w:r>
      <w:r>
        <w:rPr/>
        <w:t xml:space="preserve">: for example, continue serving the owner (now bond principal) with pleadings, and serve the surety via the Florida Department of Financial Services if required by Florida law. In preparing your case, </w:t>
      </w:r>
      <w:r>
        <w:rPr>
          <w:rStyle w:val="Strong"/>
        </w:rPr>
        <w:t>document your attorneys’ fees and costs</w:t>
      </w:r>
      <w:r>
        <w:rPr/>
        <w:t xml:space="preserve"> related to the lien foreclosure – if it becomes clear those will exceed the bond’s 25% cushion, file a § 713.24(3) motion to increase the bond </w:t>
      </w:r>
      <w:r>
        <w:rPr>
          <w:rStyle w:val="Strong"/>
        </w:rPr>
        <w:t>sooner rather than later</w:t>
      </w:r>
      <w:r>
        <w:rPr/>
        <w:t>. Provide affidavits or testimony to substantiate the fees incurred</w:t>
      </w:r>
      <w:hyperlink r:id="rId141" w:anchor=":~:text=was%20addressed%20in%20Lake%20Eola,court%20denied%20the%20requested%20bond" w:tgtFrame="_blank">
        <w:r>
          <w:rPr>
            <w:rStyle w:val="Hyperlink"/>
          </w:rPr>
          <w:t>floridabar.org</w:t>
        </w:r>
      </w:hyperlink>
      <w:r>
        <w:rPr/>
        <w:t xml:space="preserve">. This not only protects your ability to recover fees but also signals to the other side the strength of your claim. Finally, be aware of your lien’s underlying validity: a transfer bond doesn’t fix a bad lien. If there was a mistake (like no Notice to Owner when required), consider whether you can still correct it or if you should pursue other remedies (e.g., a breach of contract claim without the lien). </w:t>
      </w:r>
      <w:r>
        <w:rPr>
          <w:rStyle w:val="Strong"/>
        </w:rPr>
        <w:t>Preserve all lien rights</w:t>
      </w:r>
      <w:r>
        <w:rPr/>
        <w:t xml:space="preserve"> by following every procedural step – Florida courts will not give leeway for “excusable neglect” in lien cases</w:t>
      </w:r>
      <w:hyperlink r:id="rId142" w:anchor=":~:text=No%20one%20disputes%20the%20homeowners,We%20reject%20those%20arguments" w:tgtFrame="_blank">
        <w:r>
          <w:rPr>
            <w:rStyle w:val="Hyperlink"/>
          </w:rPr>
          <w:t>caselaw.findlaw.com</w:t>
        </w:r>
      </w:hyperlink>
      <w:hyperlink r:id="rId143" w:anchor=":~:text=To%20that%20end%2C%20%E2%80%9C,not%20comply%20with%20the%20time" w:tgtFrame="_blank">
        <w:r>
          <w:rPr>
            <w:rStyle w:val="Hyperlink"/>
          </w:rPr>
          <w:t>caselaw.findlaw.com</w:t>
        </w:r>
      </w:hyperlink>
      <w:r>
        <w:rPr/>
        <w:t xml:space="preserve">. Keeping a checklist for bonded-off liens – confirm bond recorded, contest served, suit filed against surety timely – can save your claim. In short, </w:t>
      </w:r>
      <w:r>
        <w:rPr>
          <w:rStyle w:val="Strong"/>
        </w:rPr>
        <w:t>treat a lien transfer bond as a new defendant and a ticking clock</w:t>
      </w:r>
      <w:r>
        <w:rPr/>
        <w:t>: adjust your strategy to sue that bond quickly and accurately.</w:t>
      </w:r>
    </w:p>
    <w:p>
      <w:pPr>
        <w:pStyle w:val="BodyText"/>
        <w:numPr>
          <w:ilvl w:val="0"/>
          <w:numId w:val="3"/>
        </w:numPr>
        <w:tabs>
          <w:tab w:val="clear" w:pos="709"/>
          <w:tab w:val="left" w:pos="709" w:leader="none"/>
        </w:tabs>
        <w:bidi w:val="0"/>
        <w:ind w:hanging="283" w:start="709"/>
        <w:jc w:val="start"/>
        <w:rPr/>
      </w:pPr>
      <w:r>
        <w:rPr>
          <w:rStyle w:val="Strong"/>
        </w:rPr>
        <w:t>For Sureties (Issuers of Lien Release Bonds):</w:t>
      </w:r>
      <w:r>
        <w:rPr/>
        <w:t xml:space="preserve"> Ensure that any bond you execute under § 713.24 meets the statutory requirements in form and amount, as an improperly executed bond could be challenged. Once the bond is in place, recognize that under Florida law you may be liable for the </w:t>
      </w:r>
      <w:r>
        <w:rPr>
          <w:rStyle w:val="Strong"/>
        </w:rPr>
        <w:t>full amount of any lien judgment (including interest and the claimant’s attorney fees)</w:t>
      </w:r>
      <w:r>
        <w:rPr/>
        <w:t xml:space="preserve"> up to the bond’s penal sum</w:t>
      </w:r>
      <w:hyperlink r:id="rId144" w:anchor=":~:text=liability%20for%20all%20reasonable%20attorney%27s,We%20disagree%20with%20Aetna%27s%20interpretation" w:tgtFrame="_blank">
        <w:r>
          <w:rPr>
            <w:rStyle w:val="Hyperlink"/>
          </w:rPr>
          <w:t>case-law.vlex.com</w:t>
        </w:r>
      </w:hyperlink>
      <w:hyperlink r:id="rId145" w:anchor=":~:text=court%27s%20interpretation%20that%20section%20713,v" w:tgtFrame="_blank">
        <w:r>
          <w:rPr>
            <w:rStyle w:val="Hyperlink"/>
          </w:rPr>
          <w:t>case-law.vlex.com</w:t>
        </w:r>
      </w:hyperlink>
      <w:r>
        <w:rPr/>
        <w:t>. You cannot assume a $500 or small cap on fees – that was abolished in 1987</w:t>
      </w:r>
      <w:hyperlink r:id="rId146" w:anchor=":~:text=liability%20for%20all%20reasonable%20attorney%27s,We%20disagree%20with%20Aetna%27s%20interpretation" w:tgtFrame="_blank">
        <w:r>
          <w:rPr>
            <w:rStyle w:val="Hyperlink"/>
          </w:rPr>
          <w:t>case-law.vlex.com</w:t>
        </w:r>
      </w:hyperlink>
      <w:r>
        <w:rPr/>
        <w:t>. Your liability, however, will not exceed the bond amount, so your risk is defined by the bond’s size</w:t>
      </w:r>
      <w:hyperlink r:id="rId147" w:anchor=":~:text=court%27s%20interpretation%20that%20section%20713,v" w:tgtFrame="_blank">
        <w:r>
          <w:rPr>
            <w:rStyle w:val="Hyperlink"/>
          </w:rPr>
          <w:t>case-law.vlex.com</w:t>
        </w:r>
      </w:hyperlink>
      <w:r>
        <w:rPr/>
        <w:t xml:space="preserve">. Be alert to any motions to increase the bond: if the court orders additional security, coordinate with the bond principal to post the increase, or clarify whether a new bond is being filed, to avoid confusion about your total exposure. During litigation, it’s prudent for the surety (or its counsel) to </w:t>
      </w:r>
      <w:r>
        <w:rPr>
          <w:rStyle w:val="Strong"/>
        </w:rPr>
        <w:t>monitor the lien foreclosure proceedings</w:t>
      </w:r>
      <w:r>
        <w:rPr/>
        <w:t xml:space="preserve"> even before being formally joined, as an early heads-up can facilitate a smoother defense once you are named. Sureties can and should raise any defenses the bond principal had to the lien (e.g., payment, fraud, invalid lien) because if the lien is defeated, the surety owes nothing. Finally, keep in mind that if the lienor misses the enforcement deadline (60 days or one year as applicable) and the lien is extinguished, the surety’s obligation dissolves. In cases like </w:t>
      </w:r>
      <w:r>
        <w:rPr>
          <w:rStyle w:val="Emphasis"/>
        </w:rPr>
        <w:t>Rabil</w:t>
      </w:r>
      <w:r>
        <w:rPr/>
        <w:t>, once the lien was automatically extinguished, the court directed the bond be released back to the principal/surety</w:t>
      </w:r>
      <w:hyperlink r:id="rId148" w:anchor=":~:text=The%20legislature%20has%20provided%20a,LLC%2C%2084" w:tgtFrame="_blank">
        <w:r>
          <w:rPr>
            <w:rStyle w:val="Hyperlink"/>
          </w:rPr>
          <w:t>caselaw.findlaw.com</w:t>
        </w:r>
      </w:hyperlink>
      <w:r>
        <w:rPr/>
        <w:t>. Thus, a surety has an interest in the owner utilizing the Notice of Contest to accelerate the deadline, since a lapse by the lienor means the surety is off the hook sooner. In sum, by writing the bond in the correct amount and staying vigilant in the ensuing litigation, sureties can fulfill their obligations and avoid surprises – their worst-case liability is paying a valid lien judgment (up to the bond limit), and their best case is that the lienor drops the ball and the bond is exonerated without payment.</w:t>
      </w:r>
    </w:p>
    <w:p>
      <w:pPr>
        <w:pStyle w:val="BodyText"/>
        <w:bidi w:val="0"/>
        <w:jc w:val="start"/>
        <w:rPr/>
      </w:pPr>
      <w:r>
        <w:rPr>
          <w:rStyle w:val="Strong"/>
        </w:rPr>
        <w:t>Conclusion:</w:t>
      </w:r>
      <w:r>
        <w:rPr/>
        <w:t xml:space="preserve"> Lien release bonds under § 713.24 are a powerful tool in Florida construction disputes. Courts have developed a body of case law that </w:t>
      </w:r>
      <w:r>
        <w:rPr>
          <w:rStyle w:val="Strong"/>
        </w:rPr>
        <w:t>strictly construes the statute’s technical requirements</w:t>
      </w:r>
      <w:r>
        <w:rPr/>
        <w:t xml:space="preserve">: from timely filing and notice to the proper parties, to limits on recovery and bond increases. The overarching trend is one of </w:t>
      </w:r>
      <w:r>
        <w:rPr>
          <w:rStyle w:val="Strong"/>
        </w:rPr>
        <w:t>predictability and balance</w:t>
      </w:r>
      <w:r>
        <w:rPr/>
        <w:t xml:space="preserve"> – owners and other bond posters can remove clouds on title and hasten the resolution of lien claims, but they must fully comply with the statute and provide adequate security; lienors can still secure payment via the bond, but they must be meticulous and prompt in enforcing their rights against that substitute security. The consistent message in recent precedent (Hiller, Rabil, Hall, etc.) is that </w:t>
      </w:r>
      <w:r>
        <w:rPr>
          <w:rStyle w:val="Strong"/>
        </w:rPr>
        <w:t>procedural missteps can be fatal to lien rights once a bond is in play</w:t>
      </w:r>
      <w:r>
        <w:rPr/>
        <w:t>. By understanding these decisions and heeding the practical lessons, all stakeholders – owners, contractors, lienors, and sureties – can navigate the lien transfer bond process with greater confidence and avoid the pitfalls that have ensnared others.</w:t>
      </w:r>
      <w:hyperlink r:id="rId149" w:anchor=":~:text=To%20that%20end%2C%20%E2%80%9C,not%20comply%20with%20the%20time" w:tgtFrame="_blank">
        <w:r>
          <w:rPr>
            <w:rStyle w:val="Hyperlink"/>
          </w:rPr>
          <w:t>caselaw.findlaw.com</w:t>
        </w:r>
      </w:hyperlink>
      <w:hyperlink r:id="rId150" w:anchor=":~:text=The%20legislature%20has%20provided%20a,LLC%2C%2084" w:tgtFrame="_blank">
        <w:r>
          <w:rPr>
            <w:rStyle w:val="Hyperlink"/>
          </w:rPr>
          <w:t>caselaw.findlaw.com</w:t>
        </w:r>
      </w:hyperlink>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Unicode M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Unicode M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Unicode MS"/>
      <w:b/>
      <w:bCs/>
      <w:sz w:val="36"/>
      <w:szCs w:val="36"/>
    </w:rPr>
  </w:style>
  <w:style w:type="character" w:styleId="Strong">
    <w:name w:val="Strong"/>
    <w:qFormat/>
    <w:rPr>
      <w:b/>
      <w:bCs/>
    </w:rPr>
  </w:style>
  <w:style w:type="character" w:styleId="Hyperlink">
    <w:name w:val="Hyperlink"/>
    <w:rPr>
      <w:color w:val="000080"/>
      <w:u w:val="single"/>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floridabar.org/the-florida-bar-journal/practical-solutions-to-the-problems-resulting-from-the-real-life-application-of-floridas-construction-lien-transfer-bond-statute/" TargetMode="External"/><Relationship Id="rId3" Type="http://schemas.openxmlformats.org/officeDocument/2006/relationships/hyperlink" Target="https://www.floridabar.org/the-florida-bar-journal/practical-solutions-to-the-problems-resulting-from-the-real-life-application-of-floridas-construction-lien-transfer-bond-statute/" TargetMode="External"/><Relationship Id="rId4" Type="http://schemas.openxmlformats.org/officeDocument/2006/relationships/hyperlink" Target="https://caselaw.findlaw.com/court/fl-district-court-of-appeal/1731298.html" TargetMode="External"/><Relationship Id="rId5" Type="http://schemas.openxmlformats.org/officeDocument/2006/relationships/hyperlink" Target="https://paveselaw.com/five-options-for-responding-to-a-construction-lien/" TargetMode="External"/><Relationship Id="rId6" Type="http://schemas.openxmlformats.org/officeDocument/2006/relationships/hyperlink" Target="https://www.floridabar.org/the-florida-bar-journal/practical-solutions-to-the-problems-resulting-from-the-real-life-application-of-floridas-construction-lien-transfer-bond-statute/" TargetMode="External"/><Relationship Id="rId7" Type="http://schemas.openxmlformats.org/officeDocument/2006/relationships/hyperlink" Target="https://caselaw.findlaw.com/court/fl-district-court-of-appeal/1731298.html" TargetMode="External"/><Relationship Id="rId8" Type="http://schemas.openxmlformats.org/officeDocument/2006/relationships/hyperlink" Target="https://caselaw.findlaw.com/court/fl-district-court-of-appeal/116041959.html" TargetMode="External"/><Relationship Id="rId9" Type="http://schemas.openxmlformats.org/officeDocument/2006/relationships/hyperlink" Target="https://caselaw.findlaw.com/court/fl-district-court-of-appeal/116041959.html" TargetMode="External"/><Relationship Id="rId10" Type="http://schemas.openxmlformats.org/officeDocument/2006/relationships/hyperlink" Target="https://paveselaw.com/five-options-for-responding-to-a-construction-lien/" TargetMode="External"/><Relationship Id="rId11" Type="http://schemas.openxmlformats.org/officeDocument/2006/relationships/hyperlink" Target="https://hammerngavel.com/blog/court-affirms-extinguishment-of-18-million-construction-lien-over-failure-to-timely-add-surety-to-lawsuit" TargetMode="External"/><Relationship Id="rId12" Type="http://schemas.openxmlformats.org/officeDocument/2006/relationships/hyperlink" Target="https://hammerngavel.com/blog/court-affirms-extinguishment-of-18-million-construction-lien-over-failure-to-timely-add-surety-to-lawsuit" TargetMode="External"/><Relationship Id="rId13" Type="http://schemas.openxmlformats.org/officeDocument/2006/relationships/hyperlink" Target="https://caselaw.findlaw.com/court/fl-district-court-of-appeal/1731298.html" TargetMode="External"/><Relationship Id="rId14" Type="http://schemas.openxmlformats.org/officeDocument/2006/relationships/hyperlink" Target="https://caselaw.findlaw.com/court/fl-district-court-of-appeal/1872693.html" TargetMode="External"/><Relationship Id="rId15" Type="http://schemas.openxmlformats.org/officeDocument/2006/relationships/hyperlink" Target="https://caselaw.findlaw.com/court/fl-district-court-of-appeal/1872693.html" TargetMode="External"/><Relationship Id="rId16" Type="http://schemas.openxmlformats.org/officeDocument/2006/relationships/hyperlink" Target="https://caselaw.findlaw.com/court/fl-district-court-of-appeal/1731298.html" TargetMode="External"/><Relationship Id="rId17" Type="http://schemas.openxmlformats.org/officeDocument/2006/relationships/hyperlink" Target="https://caselaw.findlaw.com/court/fl-district-court-of-appeal/1731298.html" TargetMode="External"/><Relationship Id="rId18" Type="http://schemas.openxmlformats.org/officeDocument/2006/relationships/hyperlink" Target="https://caselaw.findlaw.com/court/fl-district-court-of-appeal/1731298.html" TargetMode="External"/><Relationship Id="rId19" Type="http://schemas.openxmlformats.org/officeDocument/2006/relationships/hyperlink" Target="https://caselaw.findlaw.com/court/fl-district-court-of-appeal/1872693.html" TargetMode="External"/><Relationship Id="rId20" Type="http://schemas.openxmlformats.org/officeDocument/2006/relationships/hyperlink" Target="https://caselaw.findlaw.com/court/fl-district-court-of-appeal/1872693.html" TargetMode="External"/><Relationship Id="rId21" Type="http://schemas.openxmlformats.org/officeDocument/2006/relationships/hyperlink" Target="https://caselaw.findlaw.com/court/fl-district-court-of-appeal/1872693.html" TargetMode="External"/><Relationship Id="rId22" Type="http://schemas.openxmlformats.org/officeDocument/2006/relationships/hyperlink" Target="https://caselaw.findlaw.com/court/fl-district-court-of-appeal/1872693.html" TargetMode="External"/><Relationship Id="rId23" Type="http://schemas.openxmlformats.org/officeDocument/2006/relationships/hyperlink" Target="https://caselaw.findlaw.com/court/fl-district-court-of-appeal/1872693.html" TargetMode="External"/><Relationship Id="rId24" Type="http://schemas.openxmlformats.org/officeDocument/2006/relationships/hyperlink" Target="https://caselaw.findlaw.com/court/fl-district-court-of-appeal/1872693.html" TargetMode="External"/><Relationship Id="rId25" Type="http://schemas.openxmlformats.org/officeDocument/2006/relationships/hyperlink" Target="https://hammerngavel.com/blog/court-affirms-extinguishment-of-18-million-construction-lien-over-failure-to-timely-add-surety-to-lawsuit" TargetMode="External"/><Relationship Id="rId26" Type="http://schemas.openxmlformats.org/officeDocument/2006/relationships/hyperlink" Target="https://hammerngavel.com/blog/court-affirms-extinguishment-of-18-million-construction-lien-over-failure-to-timely-add-surety-to-lawsuit" TargetMode="External"/><Relationship Id="rId27" Type="http://schemas.openxmlformats.org/officeDocument/2006/relationships/hyperlink" Target="https://hammerngavel.com/blog/court-affirms-extinguishment-of-18-million-construction-lien-over-failure-to-timely-add-surety-to-lawsuit" TargetMode="External"/><Relationship Id="rId28" Type="http://schemas.openxmlformats.org/officeDocument/2006/relationships/hyperlink" Target="https://hammerngavel.com/blog/court-affirms-extinguishment-of-18-million-construction-lien-over-failure-to-timely-add-surety-to-lawsuit" TargetMode="External"/><Relationship Id="rId29" Type="http://schemas.openxmlformats.org/officeDocument/2006/relationships/hyperlink" Target="https://caselaw.findlaw.com/court/fl-district-court-of-appeal/116041959.html" TargetMode="External"/><Relationship Id="rId30" Type="http://schemas.openxmlformats.org/officeDocument/2006/relationships/hyperlink" Target="https://caselaw.findlaw.com/court/fl-district-court-of-appeal/116041959.html" TargetMode="External"/><Relationship Id="rId31" Type="http://schemas.openxmlformats.org/officeDocument/2006/relationships/hyperlink" Target="https://caselaw.findlaw.com/court/fl-district-court-of-appeal/116041959.html" TargetMode="External"/><Relationship Id="rId32" Type="http://schemas.openxmlformats.org/officeDocument/2006/relationships/hyperlink" Target="https://hammerngavel.com/blog/court-affirms-extinguishment-of-18-million-construction-lien-over-failure-to-timely-add-surety-to-lawsuit" TargetMode="External"/><Relationship Id="rId33" Type="http://schemas.openxmlformats.org/officeDocument/2006/relationships/hyperlink" Target="https://caselaw.findlaw.com/court/fl-district-court-of-appeal/116041959.html" TargetMode="External"/><Relationship Id="rId34" Type="http://schemas.openxmlformats.org/officeDocument/2006/relationships/hyperlink" Target="https://hammerngavel.com/blog/court-affirms-extinguishment-of-18-million-construction-lien-over-failure-to-timely-add-surety-to-lawsuit" TargetMode="External"/><Relationship Id="rId35" Type="http://schemas.openxmlformats.org/officeDocument/2006/relationships/hyperlink" Target="https://hammerngavel.com/blog/court-affirms-extinguishment-of-18-million-construction-lien-over-failure-to-timely-add-surety-to-lawsuit" TargetMode="External"/><Relationship Id="rId36" Type="http://schemas.openxmlformats.org/officeDocument/2006/relationships/hyperlink" Target="https://caselaw.findlaw.com/court/fl-district-court-of-appeal/116041959.html" TargetMode="External"/><Relationship Id="rId37" Type="http://schemas.openxmlformats.org/officeDocument/2006/relationships/hyperlink" Target="https://hammerngavel.com/blog/court-affirms-extinguishment-of-18-million-construction-lien-over-failure-to-timely-add-surety-to-lawsuit" TargetMode="External"/><Relationship Id="rId38" Type="http://schemas.openxmlformats.org/officeDocument/2006/relationships/hyperlink" Target="https://caselaw.findlaw.com/court/fl-district-court-of-appeal/116041959.html" TargetMode="External"/><Relationship Id="rId39" Type="http://schemas.openxmlformats.org/officeDocument/2006/relationships/hyperlink" Target="https://caselaw.findlaw.com/court/fl-district-court-of-appeal/116041959.html" TargetMode="External"/><Relationship Id="rId40" Type="http://schemas.openxmlformats.org/officeDocument/2006/relationships/hyperlink" Target="https://caselaw.findlaw.com/court/fl-district-court-of-appeal/1872693.html" TargetMode="External"/><Relationship Id="rId41" Type="http://schemas.openxmlformats.org/officeDocument/2006/relationships/hyperlink" Target="https://caselaw.findlaw.com/court/fl-district-court-of-appeal/116041959.html" TargetMode="External"/><Relationship Id="rId42" Type="http://schemas.openxmlformats.org/officeDocument/2006/relationships/hyperlink" Target="https://caselaw.findlaw.com/court/fl-district-court-of-appeal/116041959.html" TargetMode="External"/><Relationship Id="rId43" Type="http://schemas.openxmlformats.org/officeDocument/2006/relationships/hyperlink" Target="https://caselaw.findlaw.com/court/fl-district-court-of-appeal/116041959.html" TargetMode="External"/><Relationship Id="rId44" Type="http://schemas.openxmlformats.org/officeDocument/2006/relationships/hyperlink" Target="https://www.cotneycl.com/lien-transfer-with-no-surety/" TargetMode="External"/><Relationship Id="rId45" Type="http://schemas.openxmlformats.org/officeDocument/2006/relationships/hyperlink" Target="https://www.cotneycl.com/lien-transfer-with-no-surety/" TargetMode="External"/><Relationship Id="rId46" Type="http://schemas.openxmlformats.org/officeDocument/2006/relationships/hyperlink" Target="https://www.cotneycl.com/lien-transfer-with-no-surety/" TargetMode="External"/><Relationship Id="rId47" Type="http://schemas.openxmlformats.org/officeDocument/2006/relationships/hyperlink" Target="https://www.cotneycl.com/lien-transfer-with-no-surety/" TargetMode="External"/><Relationship Id="rId48" Type="http://schemas.openxmlformats.org/officeDocument/2006/relationships/hyperlink" Target="https://www.cotneycl.com/lien-transfer-with-no-surety/" TargetMode="External"/><Relationship Id="rId49" Type="http://schemas.openxmlformats.org/officeDocument/2006/relationships/hyperlink" Target="https://www.cotneycl.com/lien-transfer-with-no-surety/" TargetMode="External"/><Relationship Id="rId50" Type="http://schemas.openxmlformats.org/officeDocument/2006/relationships/hyperlink" Target="https://www.cotneycl.com/lien-transfer-with-no-surety/" TargetMode="External"/><Relationship Id="rId51" Type="http://schemas.openxmlformats.org/officeDocument/2006/relationships/hyperlink" Target="https://www.cotneycl.com/lien-transfer-with-no-surety/" TargetMode="External"/><Relationship Id="rId52" Type="http://schemas.openxmlformats.org/officeDocument/2006/relationships/hyperlink" Target="https://www.cotneycl.com/lien-transfer-with-no-surety/" TargetMode="External"/><Relationship Id="rId53" Type="http://schemas.openxmlformats.org/officeDocument/2006/relationships/hyperlink" Target="https://www.cotneycl.com/lien-transfer-with-no-surety/" TargetMode="External"/><Relationship Id="rId54" Type="http://schemas.openxmlformats.org/officeDocument/2006/relationships/hyperlink" Target="https://www.cotneycl.com/lien-transfer-with-no-surety/" TargetMode="External"/><Relationship Id="rId55" Type="http://schemas.openxmlformats.org/officeDocument/2006/relationships/hyperlink" Target="https://www.cotneycl.com/lien-transfer-with-no-surety/" TargetMode="External"/><Relationship Id="rId56" Type="http://schemas.openxmlformats.org/officeDocument/2006/relationships/hyperlink" Target="https://www.cotneycl.com/lien-transfer-with-no-surety/" TargetMode="External"/><Relationship Id="rId57" Type="http://schemas.openxmlformats.org/officeDocument/2006/relationships/hyperlink" Target="https://www.cotneycl.com/lien-transfer-with-no-surety/" TargetMode="External"/><Relationship Id="rId58" Type="http://schemas.openxmlformats.org/officeDocument/2006/relationships/hyperlink" Target="https://caselaw.findlaw.com/court/fl-district-court-of-appeal/116041959.html" TargetMode="External"/><Relationship Id="rId59" Type="http://schemas.openxmlformats.org/officeDocument/2006/relationships/hyperlink" Target="https://hammerngavel.com/blog/court-affirms-extinguishment-of-18-million-construction-lien-over-failure-to-timely-add-surety-to-lawsuit" TargetMode="External"/><Relationship Id="rId60" Type="http://schemas.openxmlformats.org/officeDocument/2006/relationships/hyperlink" Target="https://hammerngavel.com/blog/court-affirms-extinguishment-of-18-million-construction-lien-over-failure-to-timely-add-surety-to-lawsuit" TargetMode="External"/><Relationship Id="rId61" Type="http://schemas.openxmlformats.org/officeDocument/2006/relationships/hyperlink" Target="https://caselaw.findlaw.com/court/fl-district-court-of-appeal/1731298.html" TargetMode="External"/><Relationship Id="rId62" Type="http://schemas.openxmlformats.org/officeDocument/2006/relationships/hyperlink" Target="https://www.floridabar.org/the-florida-bar-journal/practical-solutions-to-the-problems-resulting-from-the-real-life-application-of-floridas-construction-lien-transfer-bond-statute/" TargetMode="External"/><Relationship Id="rId63" Type="http://schemas.openxmlformats.org/officeDocument/2006/relationships/hyperlink" Target="https://case-law.vlex.com/vid/aetna-cas-and-sur-892947243" TargetMode="External"/><Relationship Id="rId64" Type="http://schemas.openxmlformats.org/officeDocument/2006/relationships/hyperlink" Target="https://case-law.vlex.com/vid/aetna-cas-and-sur-892947243" TargetMode="External"/><Relationship Id="rId65" Type="http://schemas.openxmlformats.org/officeDocument/2006/relationships/hyperlink" Target="https://case-law.vlex.com/vid/aetna-cas-and-sur-892947243" TargetMode="External"/><Relationship Id="rId66" Type="http://schemas.openxmlformats.org/officeDocument/2006/relationships/hyperlink" Target="https://case-law.vlex.com/vid/aetna-cas-and-sur-892947243" TargetMode="External"/><Relationship Id="rId67" Type="http://schemas.openxmlformats.org/officeDocument/2006/relationships/hyperlink" Target="https://case-law.vlex.com/vid/aetna-cas-and-sur-892947243" TargetMode="External"/><Relationship Id="rId68" Type="http://schemas.openxmlformats.org/officeDocument/2006/relationships/hyperlink" Target="https://case-law.vlex.com/vid/aetna-cas-and-sur-892947243" TargetMode="External"/><Relationship Id="rId69" Type="http://schemas.openxmlformats.org/officeDocument/2006/relationships/hyperlink" Target="https://case-law.vlex.com/vid/aetna-cas-and-sur-892947243" TargetMode="External"/><Relationship Id="rId70" Type="http://schemas.openxmlformats.org/officeDocument/2006/relationships/hyperlink" Target="https://case-law.vlex.com/vid/aetna-cas-and-sur-892947243" TargetMode="External"/><Relationship Id="rId71" Type="http://schemas.openxmlformats.org/officeDocument/2006/relationships/hyperlink" Target="https://case-law.vlex.com/vid/aetna-cas-and-sur-892947243" TargetMode="External"/><Relationship Id="rId72" Type="http://schemas.openxmlformats.org/officeDocument/2006/relationships/hyperlink" Target="https://case-law.vlex.com/vid/aetna-cas-and-sur-892947243" TargetMode="External"/><Relationship Id="rId73" Type="http://schemas.openxmlformats.org/officeDocument/2006/relationships/hyperlink" Target="https://case-law.vlex.com/vid/aetna-cas-and-sur-892947243" TargetMode="External"/><Relationship Id="rId74" Type="http://schemas.openxmlformats.org/officeDocument/2006/relationships/hyperlink" Target="https://case-law.vlex.com/vid/aetna-cas-and-sur-892947243" TargetMode="External"/><Relationship Id="rId75" Type="http://schemas.openxmlformats.org/officeDocument/2006/relationships/hyperlink" Target="https://case-law.vlex.com/vid/aetna-cas-and-sur-892947243" TargetMode="External"/><Relationship Id="rId76" Type="http://schemas.openxmlformats.org/officeDocument/2006/relationships/hyperlink" Target="https://case-law.vlex.com/vid/aetna-cas-and-sur-892947243" TargetMode="External"/><Relationship Id="rId77" Type="http://schemas.openxmlformats.org/officeDocument/2006/relationships/hyperlink" Target="https://case-law.vlex.com/vid/aetna-cas-and-sur-892947243" TargetMode="External"/><Relationship Id="rId78" Type="http://schemas.openxmlformats.org/officeDocument/2006/relationships/hyperlink" Target="https://case-law.vlex.com/vid/aetna-cas-and-sur-892947243" TargetMode="External"/><Relationship Id="rId79" Type="http://schemas.openxmlformats.org/officeDocument/2006/relationships/hyperlink" Target="https://www.floridabar.org/the-florida-bar-journal/practical-solutions-to-the-problems-resulting-from-the-real-life-application-of-floridas-construction-lien-transfer-bond-statute/" TargetMode="External"/><Relationship Id="rId80" Type="http://schemas.openxmlformats.org/officeDocument/2006/relationships/hyperlink" Target="https://case-law.vlex.com/vid/aetna-cas-and-sur-892947243" TargetMode="External"/><Relationship Id="rId81" Type="http://schemas.openxmlformats.org/officeDocument/2006/relationships/hyperlink" Target="https://case-law.vlex.com/vid/aetna-cas-and-sur-892947243" TargetMode="External"/><Relationship Id="rId82" Type="http://schemas.openxmlformats.org/officeDocument/2006/relationships/hyperlink" Target="https://www.floridabar.org/the-florida-bar-journal/practical-solutions-to-the-problems-resulting-from-the-real-life-application-of-floridas-construction-lien-transfer-bond-statute/" TargetMode="External"/><Relationship Id="rId83" Type="http://schemas.openxmlformats.org/officeDocument/2006/relationships/hyperlink" Target="https://www.floridabar.org/the-florida-bar-journal/practical-solutions-to-the-problems-resulting-from-the-real-life-application-of-floridas-construction-lien-transfer-bond-statute/" TargetMode="External"/><Relationship Id="rId84" Type="http://schemas.openxmlformats.org/officeDocument/2006/relationships/hyperlink" Target="https://www.floridabar.org/the-florida-bar-journal/practical-solutions-to-the-problems-resulting-from-the-real-life-application-of-floridas-construction-lien-transfer-bond-statute/" TargetMode="External"/><Relationship Id="rId85" Type="http://schemas.openxmlformats.org/officeDocument/2006/relationships/hyperlink" Target="https://www.floridabar.org/the-florida-bar-journal/practical-solutions-to-the-problems-resulting-from-the-real-life-application-of-floridas-construction-lien-transfer-bond-statute/" TargetMode="External"/><Relationship Id="rId86" Type="http://schemas.openxmlformats.org/officeDocument/2006/relationships/hyperlink" Target="https://www.floridabar.org/the-florida-bar-journal/practical-solutions-to-the-problems-resulting-from-the-real-life-application-of-floridas-construction-lien-transfer-bond-statute/" TargetMode="External"/><Relationship Id="rId87" Type="http://schemas.openxmlformats.org/officeDocument/2006/relationships/hyperlink" Target="https://www.floridabar.org/the-florida-bar-journal/practical-solutions-to-the-problems-resulting-from-the-real-life-application-of-floridas-construction-lien-transfer-bond-statute/" TargetMode="External"/><Relationship Id="rId88" Type="http://schemas.openxmlformats.org/officeDocument/2006/relationships/hyperlink" Target="https://www.floridabar.org/the-florida-bar-journal/practical-solutions-to-the-problems-resulting-from-the-real-life-application-of-floridas-construction-lien-transfer-bond-statute/" TargetMode="External"/><Relationship Id="rId89" Type="http://schemas.openxmlformats.org/officeDocument/2006/relationships/hyperlink" Target="https://www.floridabar.org/the-florida-bar-journal/practical-solutions-to-the-problems-resulting-from-the-real-life-application-of-floridas-construction-lien-transfer-bond-statute/" TargetMode="External"/><Relationship Id="rId90" Type="http://schemas.openxmlformats.org/officeDocument/2006/relationships/hyperlink" Target="https://www.floridabar.org/the-florida-bar-journal/practical-solutions-to-the-problems-resulting-from-the-real-life-application-of-floridas-construction-lien-transfer-bond-statute/" TargetMode="External"/><Relationship Id="rId91" Type="http://schemas.openxmlformats.org/officeDocument/2006/relationships/hyperlink" Target="https://www.floridabar.org/the-florida-bar-journal/practical-solutions-to-the-problems-resulting-from-the-real-life-application-of-floridas-construction-lien-transfer-bond-statute/" TargetMode="External"/><Relationship Id="rId92" Type="http://schemas.openxmlformats.org/officeDocument/2006/relationships/hyperlink" Target="https://www.floridabar.org/the-florida-bar-journal/practical-solutions-to-the-problems-resulting-from-the-real-life-application-of-floridas-construction-lien-transfer-bond-statute/" TargetMode="External"/><Relationship Id="rId93" Type="http://schemas.openxmlformats.org/officeDocument/2006/relationships/hyperlink" Target="https://www.floridabar.org/the-florida-bar-journal/practical-solutions-to-the-problems-resulting-from-the-real-life-application-of-floridas-construction-lien-transfer-bond-statute/" TargetMode="External"/><Relationship Id="rId94" Type="http://schemas.openxmlformats.org/officeDocument/2006/relationships/hyperlink" Target="https://www.floridabar.org/the-florida-bar-journal/practical-solutions-to-the-problems-resulting-from-the-real-life-application-of-floridas-construction-lien-transfer-bond-statute/" TargetMode="External"/><Relationship Id="rId95" Type="http://schemas.openxmlformats.org/officeDocument/2006/relationships/hyperlink" Target="https://www.floridabar.org/the-florida-bar-journal/practical-solutions-to-the-problems-resulting-from-the-real-life-application-of-floridas-construction-lien-transfer-bond-statute/" TargetMode="External"/><Relationship Id="rId96" Type="http://schemas.openxmlformats.org/officeDocument/2006/relationships/hyperlink" Target="https://www.floridabar.org/the-florida-bar-journal/practical-solutions-to-the-problems-resulting-from-the-real-life-application-of-floridas-construction-lien-transfer-bond-statute/" TargetMode="External"/><Relationship Id="rId97" Type="http://schemas.openxmlformats.org/officeDocument/2006/relationships/hyperlink" Target="https://www.floridabar.org/the-florida-bar-journal/practical-solutions-to-the-problems-resulting-from-the-real-life-application-of-floridas-construction-lien-transfer-bond-statute/" TargetMode="External"/><Relationship Id="rId98" Type="http://schemas.openxmlformats.org/officeDocument/2006/relationships/hyperlink" Target="https://www.floridabar.org/the-florida-bar-journal/practical-solutions-to-the-problems-resulting-from-the-real-life-application-of-floridas-construction-lien-transfer-bond-statute/" TargetMode="External"/><Relationship Id="rId99" Type="http://schemas.openxmlformats.org/officeDocument/2006/relationships/hyperlink" Target="https://www.floridabar.org/the-florida-bar-journal/practical-solutions-to-the-problems-resulting-from-the-real-life-application-of-floridas-construction-lien-transfer-bond-statute/" TargetMode="External"/><Relationship Id="rId100" Type="http://schemas.openxmlformats.org/officeDocument/2006/relationships/hyperlink" Target="https://www.floridabar.org/the-florida-bar-journal/practical-solutions-to-the-problems-resulting-from-the-real-life-application-of-floridas-construction-lien-transfer-bond-statute/" TargetMode="External"/><Relationship Id="rId101" Type="http://schemas.openxmlformats.org/officeDocument/2006/relationships/hyperlink" Target="https://www.floridabar.org/the-florida-bar-journal/practical-solutions-to-the-problems-resulting-from-the-real-life-application-of-floridas-construction-lien-transfer-bond-statute/" TargetMode="External"/><Relationship Id="rId102" Type="http://schemas.openxmlformats.org/officeDocument/2006/relationships/hyperlink" Target="https://www.floridabar.org/the-florida-bar-journal/practical-solutions-to-the-problems-resulting-from-the-real-life-application-of-floridas-construction-lien-transfer-bond-statute/" TargetMode="External"/><Relationship Id="rId103" Type="http://schemas.openxmlformats.org/officeDocument/2006/relationships/hyperlink" Target="https://www.floridabar.org/the-florida-bar-journal/practical-solutions-to-the-problems-resulting-from-the-real-life-application-of-floridas-construction-lien-transfer-bond-statute/" TargetMode="External"/><Relationship Id="rId104" Type="http://schemas.openxmlformats.org/officeDocument/2006/relationships/hyperlink" Target="https://www.floridabar.org/the-florida-bar-journal/practical-solutions-to-the-problems-resulting-from-the-real-life-application-of-floridas-construction-lien-transfer-bond-statute/" TargetMode="External"/><Relationship Id="rId105" Type="http://schemas.openxmlformats.org/officeDocument/2006/relationships/hyperlink" Target="https://www.floridabar.org/the-florida-bar-journal/practical-solutions-to-the-problems-resulting-from-the-real-life-application-of-floridas-construction-lien-transfer-bond-statute/" TargetMode="External"/><Relationship Id="rId106" Type="http://schemas.openxmlformats.org/officeDocument/2006/relationships/hyperlink" Target="https://www.floridabar.org/the-florida-bar-journal/practical-solutions-to-the-problems-resulting-from-the-real-life-application-of-floridas-construction-lien-transfer-bond-statute/" TargetMode="External"/><Relationship Id="rId107" Type="http://schemas.openxmlformats.org/officeDocument/2006/relationships/hyperlink" Target="https://www.floridabar.org/the-florida-bar-journal/practical-solutions-to-the-problems-resulting-from-the-real-life-application-of-floridas-construction-lien-transfer-bond-statute/" TargetMode="External"/><Relationship Id="rId108" Type="http://schemas.openxmlformats.org/officeDocument/2006/relationships/hyperlink" Target="https://www.floridabar.org/the-florida-bar-journal/practical-solutions-to-the-problems-resulting-from-the-real-life-application-of-floridas-construction-lien-transfer-bond-statute/" TargetMode="External"/><Relationship Id="rId109" Type="http://schemas.openxmlformats.org/officeDocument/2006/relationships/hyperlink" Target="https://www.floridabar.org/the-florida-bar-journal/practical-solutions-to-the-problems-resulting-from-the-real-life-application-of-floridas-construction-lien-transfer-bond-statute/" TargetMode="External"/><Relationship Id="rId110" Type="http://schemas.openxmlformats.org/officeDocument/2006/relationships/hyperlink" Target="https://case-law.vlex.com/vid/aetna-cas-and-sur-892947243" TargetMode="External"/><Relationship Id="rId111" Type="http://schemas.openxmlformats.org/officeDocument/2006/relationships/hyperlink" Target="https://www.floridabar.org/the-florida-bar-journal/practical-solutions-to-the-problems-resulting-from-the-real-life-application-of-floridas-construction-lien-transfer-bond-statute/" TargetMode="External"/><Relationship Id="rId112" Type="http://schemas.openxmlformats.org/officeDocument/2006/relationships/hyperlink" Target="https://caselaw.findlaw.com/court/fl-district-court-of-appeal/1872693.html" TargetMode="External"/><Relationship Id="rId113" Type="http://schemas.openxmlformats.org/officeDocument/2006/relationships/hyperlink" Target="https://caselaw.findlaw.com/court/fl-district-court-of-appeal/1872693.html" TargetMode="External"/><Relationship Id="rId114" Type="http://schemas.openxmlformats.org/officeDocument/2006/relationships/hyperlink" Target="https://law.justia.com/cases/florida/second-district-court-of-appeal/2024/23-1368.html" TargetMode="External"/><Relationship Id="rId115" Type="http://schemas.openxmlformats.org/officeDocument/2006/relationships/hyperlink" Target="https://caselaw.findlaw.com/court/fl-district-court-of-appeal/1872693.html" TargetMode="External"/><Relationship Id="rId116" Type="http://schemas.openxmlformats.org/officeDocument/2006/relationships/hyperlink" Target="https://caselaw.findlaw.com/court/fl-district-court-of-appeal/1731298.html" TargetMode="External"/><Relationship Id="rId117" Type="http://schemas.openxmlformats.org/officeDocument/2006/relationships/hyperlink" Target="https://caselaw.findlaw.com/court/fl-district-court-of-appeal/1731298.html" TargetMode="External"/><Relationship Id="rId118" Type="http://schemas.openxmlformats.org/officeDocument/2006/relationships/hyperlink" Target="https://caselaw.findlaw.com/court/fl-district-court-of-appeal/1731298.html" TargetMode="External"/><Relationship Id="rId119" Type="http://schemas.openxmlformats.org/officeDocument/2006/relationships/hyperlink" Target="https://caselaw.findlaw.com/court/fl-district-court-of-appeal/1731298.html" TargetMode="External"/><Relationship Id="rId120" Type="http://schemas.openxmlformats.org/officeDocument/2006/relationships/hyperlink" Target="https://caselaw.findlaw.com/court/fl-district-court-of-appeal/116041959.html" TargetMode="External"/><Relationship Id="rId121" Type="http://schemas.openxmlformats.org/officeDocument/2006/relationships/hyperlink" Target="https://www.cotneycl.com/lien-transfer-with-no-surety/" TargetMode="External"/><Relationship Id="rId122" Type="http://schemas.openxmlformats.org/officeDocument/2006/relationships/hyperlink" Target="https://caselaw.findlaw.com/court/fl-district-court-of-appeal/1872693.html" TargetMode="External"/><Relationship Id="rId123" Type="http://schemas.openxmlformats.org/officeDocument/2006/relationships/hyperlink" Target="https://hammerngavel.com/blog/court-affirms-extinguishment-of-18-million-construction-lien-over-failure-to-timely-add-surety-to-lawsuit" TargetMode="External"/><Relationship Id="rId124" Type="http://schemas.openxmlformats.org/officeDocument/2006/relationships/hyperlink" Target="https://hammerngavel.com/blog/court-affirms-extinguishment-of-18-million-construction-lien-over-failure-to-timely-add-surety-to-lawsuit" TargetMode="External"/><Relationship Id="rId125" Type="http://schemas.openxmlformats.org/officeDocument/2006/relationships/hyperlink" Target="https://hammerngavel.com/blog/court-affirms-extinguishment-of-18-million-construction-lien-over-failure-to-timely-add-surety-to-lawsuit" TargetMode="External"/><Relationship Id="rId126" Type="http://schemas.openxmlformats.org/officeDocument/2006/relationships/hyperlink" Target="https://hammerngavel.com/blog/court-affirms-extinguishment-of-18-million-construction-lien-over-failure-to-timely-add-surety-to-lawsuit" TargetMode="External"/><Relationship Id="rId127" Type="http://schemas.openxmlformats.org/officeDocument/2006/relationships/hyperlink" Target="https://hammerngavel.com/blog/court-affirms-extinguishment-of-18-million-construction-lien-over-failure-to-timely-add-surety-to-lawsuit" TargetMode="External"/><Relationship Id="rId128" Type="http://schemas.openxmlformats.org/officeDocument/2006/relationships/hyperlink" Target="https://library.law.fsu.edu/Digital-Collections/flsupct/dockets/76925/76925ini.pdf" TargetMode="External"/><Relationship Id="rId129" Type="http://schemas.openxmlformats.org/officeDocument/2006/relationships/hyperlink" Target="https://library.law.fsu.edu/Digital-Collections/flsupct/dockets/76925/76925ini.pdf" TargetMode="External"/><Relationship Id="rId130" Type="http://schemas.openxmlformats.org/officeDocument/2006/relationships/hyperlink" Target="https://case-law.vlex.com/vid/aetna-cas-and-sur-892947243" TargetMode="External"/><Relationship Id="rId131" Type="http://schemas.openxmlformats.org/officeDocument/2006/relationships/hyperlink" Target="https://case-law.vlex.com/vid/aetna-cas-and-sur-892947243" TargetMode="External"/><Relationship Id="rId132" Type="http://schemas.openxmlformats.org/officeDocument/2006/relationships/hyperlink" Target="https://caselaw.findlaw.com/court/fl-district-court-of-appeal/116041959.html" TargetMode="External"/><Relationship Id="rId133" Type="http://schemas.openxmlformats.org/officeDocument/2006/relationships/hyperlink" Target="https://paveselaw.com/five-options-for-responding-to-a-construction-lien/" TargetMode="External"/><Relationship Id="rId134" Type="http://schemas.openxmlformats.org/officeDocument/2006/relationships/hyperlink" Target="https://caselaw.findlaw.com/court/fl-district-court-of-appeal/1872693.html" TargetMode="External"/><Relationship Id="rId135" Type="http://schemas.openxmlformats.org/officeDocument/2006/relationships/hyperlink" Target="https://paveselaw.com/five-options-for-responding-to-a-construction-lien/" TargetMode="External"/><Relationship Id="rId136" Type="http://schemas.openxmlformats.org/officeDocument/2006/relationships/hyperlink" Target="https://hammerngavel.com/blog/court-affirms-extinguishment-of-18-million-construction-lien-over-failure-to-timely-add-surety-to-lawsuit" TargetMode="External"/><Relationship Id="rId137" Type="http://schemas.openxmlformats.org/officeDocument/2006/relationships/hyperlink" Target="https://caselaw.findlaw.com/court/fl-district-court-of-appeal/1872693.html" TargetMode="External"/><Relationship Id="rId138" Type="http://schemas.openxmlformats.org/officeDocument/2006/relationships/hyperlink" Target="https://caselaw.findlaw.com/court/fl-district-court-of-appeal/1731298.html" TargetMode="External"/><Relationship Id="rId139" Type="http://schemas.openxmlformats.org/officeDocument/2006/relationships/hyperlink" Target="https://caselaw.findlaw.com/court/fl-district-court-of-appeal/1731298.html" TargetMode="External"/><Relationship Id="rId140" Type="http://schemas.openxmlformats.org/officeDocument/2006/relationships/hyperlink" Target="https://caselaw.findlaw.com/court/fl-district-court-of-appeal/116041959.html" TargetMode="External"/><Relationship Id="rId141" Type="http://schemas.openxmlformats.org/officeDocument/2006/relationships/hyperlink" Target="https://www.floridabar.org/the-florida-bar-journal/practical-solutions-to-the-problems-resulting-from-the-real-life-application-of-floridas-construction-lien-transfer-bond-statute/" TargetMode="External"/><Relationship Id="rId142" Type="http://schemas.openxmlformats.org/officeDocument/2006/relationships/hyperlink" Target="https://caselaw.findlaw.com/court/fl-district-court-of-appeal/1872693.html" TargetMode="External"/><Relationship Id="rId143" Type="http://schemas.openxmlformats.org/officeDocument/2006/relationships/hyperlink" Target="https://caselaw.findlaw.com/court/fl-district-court-of-appeal/116041959.html" TargetMode="External"/><Relationship Id="rId144" Type="http://schemas.openxmlformats.org/officeDocument/2006/relationships/hyperlink" Target="https://case-law.vlex.com/vid/aetna-cas-and-sur-892947243" TargetMode="External"/><Relationship Id="rId145" Type="http://schemas.openxmlformats.org/officeDocument/2006/relationships/hyperlink" Target="https://case-law.vlex.com/vid/aetna-cas-and-sur-892947243" TargetMode="External"/><Relationship Id="rId146" Type="http://schemas.openxmlformats.org/officeDocument/2006/relationships/hyperlink" Target="https://case-law.vlex.com/vid/aetna-cas-and-sur-892947243" TargetMode="External"/><Relationship Id="rId147" Type="http://schemas.openxmlformats.org/officeDocument/2006/relationships/hyperlink" Target="https://case-law.vlex.com/vid/aetna-cas-and-sur-892947243" TargetMode="External"/><Relationship Id="rId148" Type="http://schemas.openxmlformats.org/officeDocument/2006/relationships/hyperlink" Target="https://caselaw.findlaw.com/court/fl-district-court-of-appeal/1872693.html" TargetMode="External"/><Relationship Id="rId149" Type="http://schemas.openxmlformats.org/officeDocument/2006/relationships/hyperlink" Target="https://caselaw.findlaw.com/court/fl-district-court-of-appeal/116041959.html" TargetMode="External"/><Relationship Id="rId150" Type="http://schemas.openxmlformats.org/officeDocument/2006/relationships/hyperlink" Target="https://caselaw.findlaw.com/court/fl-district-court-of-appeal/1872693.html" TargetMode="External"/><Relationship Id="rId151" Type="http://schemas.openxmlformats.org/officeDocument/2006/relationships/numbering" Target="numbering.xml"/><Relationship Id="rId152" Type="http://schemas.openxmlformats.org/officeDocument/2006/relationships/fontTable" Target="fontTable.xml"/><Relationship Id="rId153" Type="http://schemas.openxmlformats.org/officeDocument/2006/relationships/settings" Target="settings.xml"/><Relationship Id="rId15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LibreOffice/25.2.6.2$Windows_X86_64 LibreOffice_project/729c5bfe710f5eb71ed3bbde9e06a6065e9c6c5d</Application>
  <AppVersion>15.0000</AppVersion>
  <Pages>11</Pages>
  <Words>5765</Words>
  <Characters>31181</Characters>
  <CharactersWithSpaces>36939</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2025-11-30T22:00:09Z</dcterms:created>
  <dc:creator/>
  <dc:description/>
  <dc:language>en-US</dc:language>
  <cp:lastModifiedBy/>
  <dcterms:modified xsi:type="dcterms:W3CDTF">2025-11-30T22:00:52Z</dcterms:modified>
  <cp:revision>1</cp:revision>
  <dc:subject/>
  <dc:title/>
</cp:coreProperties>
</file>