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 Construction Lien Compliance – Case Law Analysis and Guidance</w:t>
      </w:r>
    </w:p>
    <w:p>
      <w:pPr>
        <w:pStyle w:val="Heading2"/>
        <w:bidi w:val="0"/>
        <w:jc w:val="start"/>
        <w:rPr/>
      </w:pPr>
      <w:r>
        <w:rPr/>
        <w:t>Strict Compliance vs. Substantial Compliance in Lien Law</w:t>
      </w:r>
    </w:p>
    <w:p>
      <w:pPr>
        <w:pStyle w:val="BodyText"/>
        <w:bidi w:val="0"/>
        <w:jc w:val="start"/>
        <w:rPr/>
      </w:pPr>
      <w:r>
        <w:rPr/>
        <w:t xml:space="preserve">Florida’s Mechanics’ Lien Law (Part I of Chapter 713, F.S.) is a </w:t>
      </w:r>
      <w:r>
        <w:rPr>
          <w:rStyle w:val="Strong"/>
        </w:rPr>
        <w:t>creature of statute, strictly construed</w:t>
      </w:r>
      <w:r>
        <w:rPr/>
        <w:t xml:space="preserve"> by the courts</w:t>
      </w:r>
      <w:hyperlink r:id="rId2" w:anchor=":~:text=required%20time.%20Noting%20,its%20lien%20must%20be%20denied" w:tgtFrame="_blank">
        <w:r>
          <w:rPr>
            <w:rStyle w:val="Hyperlink"/>
          </w:rPr>
          <w:t>law.justia.com</w:t>
        </w:r>
      </w:hyperlink>
      <w:hyperlink r:id="rId3" w:anchor=":~:text=The%20lien%20law%E2%80%99s%20strictest%20application,80%C2%A0Determining%20exactly%20when" w:tgtFrame="_blank">
        <w:r>
          <w:rPr>
            <w:rStyle w:val="Hyperlink"/>
          </w:rPr>
          <w:t>floridabar.org</w:t>
        </w:r>
      </w:hyperlink>
      <w:r>
        <w:rPr/>
        <w:t xml:space="preserve">. A lienor must follow statutory requirements </w:t>
      </w:r>
      <w:r>
        <w:rPr>
          <w:rStyle w:val="Strong"/>
        </w:rPr>
        <w:t>to the letter</w:t>
      </w:r>
      <w:r>
        <w:rPr/>
        <w:t xml:space="preserve"> to obtain and enforce a lien, except where the statute itself permits leniency. Notably, Florida Statutes §713.37 abolishes any liberal construction in favor of lien claimants. As the Florida Supreme Court put it, </w:t>
      </w:r>
      <w:r>
        <w:rPr>
          <w:rStyle w:val="Emphasis"/>
        </w:rPr>
        <w:t>“mechanics' liens are purely creatures of statute…strict compliance is an indispensable prerequisite”</w:t>
      </w:r>
      <w:r>
        <w:rPr/>
        <w:t xml:space="preserve"> to lien enforcement</w:t>
      </w:r>
      <w:hyperlink r:id="rId4" w:anchor=":~:text=required%20time.%20Noting%20,its%20lien%20must%20be%20denied" w:tgtFrame="_blank">
        <w:r>
          <w:rPr>
            <w:rStyle w:val="Hyperlink"/>
          </w:rPr>
          <w:t>law.justia.com</w:t>
        </w:r>
      </w:hyperlink>
      <w:r>
        <w:rPr/>
        <w:t xml:space="preserve">. This strict approach most strongly applies to </w:t>
      </w:r>
      <w:r>
        <w:rPr>
          <w:rStyle w:val="Strong"/>
        </w:rPr>
        <w:t>time deadlines and formal notices</w:t>
      </w:r>
      <w:r>
        <w:rPr/>
        <w:t xml:space="preserve">, while </w:t>
      </w:r>
      <w:r>
        <w:rPr>
          <w:rStyle w:val="Strong"/>
        </w:rPr>
        <w:t>minor errors in the lien document’s contents</w:t>
      </w:r>
      <w:r>
        <w:rPr/>
        <w:t xml:space="preserve"> may be forgiven if they do not mislead or prejudice the other party</w:t>
      </w:r>
      <w:hyperlink r:id="rId5" w:anchor=":~:text=e,to%20contractors%2C%20notice%20of%20nonpayment" w:tgtFrame="_blank">
        <w:r>
          <w:rPr>
            <w:rStyle w:val="Hyperlink"/>
          </w:rPr>
          <w:t>law.justia.com</w:t>
        </w:r>
      </w:hyperlink>
      <w:hyperlink r:id="rId6" w:anchor=":~:text=Application%3A%20The%20court%20concluded%20that,necessitating%20further%20examination%20at%20trial" w:tgtFrame="_blank">
        <w:r>
          <w:rPr>
            <w:rStyle w:val="Hyperlink"/>
          </w:rPr>
          <w:t>descrybe.ai</w:t>
        </w:r>
      </w:hyperlink>
      <w:r>
        <w:rPr/>
        <w:t>. The following sections examine key themes – timeliness, service of notices, lien content defects, fraudulent liens, and enforcement deadlines – through relevant Florida cases, and distill practical guidance for contractors, subcontractors, and suppliers (“lienors”) filing private (non-government) construction liens under today’s law.</w:t>
      </w:r>
    </w:p>
    <w:p>
      <w:pPr>
        <w:pStyle w:val="Heading2"/>
        <w:bidi w:val="0"/>
        <w:jc w:val="start"/>
        <w:rPr/>
      </w:pPr>
      <w:r>
        <w:rPr/>
        <w:t>Timeliness of Recording: 90-Day Deadline &amp; “Final Furnishing”</w:t>
      </w:r>
    </w:p>
    <w:p>
      <w:pPr>
        <w:pStyle w:val="BodyText"/>
        <w:bidi w:val="0"/>
        <w:jc w:val="start"/>
        <w:rPr/>
      </w:pPr>
      <w:r>
        <w:rPr>
          <w:rStyle w:val="Strong"/>
        </w:rPr>
        <w:t>Florida Statutes §713.08(5)</w:t>
      </w:r>
      <w:r>
        <w:rPr/>
        <w:t xml:space="preserve"> requires that a Claim of Lien be recorded </w:t>
      </w:r>
      <w:r>
        <w:rPr>
          <w:rStyle w:val="Strong"/>
        </w:rPr>
        <w:t>within 90 days of the lienor’s final furnishing of labor, services, or materials</w:t>
      </w:r>
      <w:r>
        <w:rPr/>
        <w:t xml:space="preserve"> to the project</w:t>
      </w:r>
      <w:hyperlink r:id="rId7" w:anchor=":~:text=Second%2C%20the%20lien%20was%20timely,the%20project%20until%20this%20electrical" w:tgtFrame="_blank">
        <w:r>
          <w:rPr>
            <w:rStyle w:val="Hyperlink"/>
          </w:rPr>
          <w:t>casemine.com</w:t>
        </w:r>
      </w:hyperlink>
      <w:r>
        <w:rPr/>
        <w:t xml:space="preserve">. Florida courts strictly enforce this 90-day window – a late filing results in an </w:t>
      </w:r>
      <w:r>
        <w:rPr>
          <w:rStyle w:val="Emphasis"/>
        </w:rPr>
        <w:t>invalid lien</w:t>
      </w:r>
      <w:r>
        <w:rPr/>
        <w:t xml:space="preserve">, no matter how slight the delay. The central question often becomes: </w:t>
      </w:r>
      <w:r>
        <w:rPr>
          <w:rStyle w:val="Emphasis"/>
        </w:rPr>
        <w:t>what counts as the date of “final furnishing”</w:t>
      </w:r>
      <w:r>
        <w:rPr/>
        <w:t xml:space="preserve">? Courts have clarified that </w:t>
      </w:r>
      <w:r>
        <w:rPr>
          <w:rStyle w:val="Strong"/>
        </w:rPr>
        <w:t>“final furnishing” means the last date the lienor actually contributed to the improvement of the property</w:t>
      </w:r>
      <w:hyperlink r:id="rId8" w:anchor=":~:text=an%20NTO%2C76%C2%A0and%20final%20furnishing%20no,mine%20from%20which%20its%20raw" w:tgtFrame="_blank">
        <w:r>
          <w:rPr>
            <w:rStyle w:val="Hyperlink"/>
          </w:rPr>
          <w:t>floridabar.org</w:t>
        </w:r>
      </w:hyperlink>
      <w:r>
        <w:rPr/>
        <w:t xml:space="preserve">. In other words, the clock runs from the last </w:t>
      </w:r>
      <w:r>
        <w:rPr>
          <w:rStyle w:val="Strong"/>
        </w:rPr>
        <w:t>on-site, contract-related work or delivery</w:t>
      </w:r>
      <w:r>
        <w:rPr/>
        <w:t xml:space="preserve"> that is </w:t>
      </w:r>
      <w:r>
        <w:rPr>
          <w:rStyle w:val="Emphasis"/>
        </w:rPr>
        <w:t>“necessary to a finished job,”</w:t>
      </w:r>
      <w:r>
        <w:rPr/>
        <w:t xml:space="preserve"> done in good faith and within a reasonable time</w:t>
      </w:r>
      <w:hyperlink r:id="rId9" w:anchor=":~:text=Since%20J,s%20lien%20on%20this%20ground" w:tgtFrame="_blank">
        <w:r>
          <w:rPr>
            <w:rStyle w:val="Hyperlink"/>
          </w:rPr>
          <w:t>casemine.com</w:t>
        </w:r>
      </w:hyperlink>
      <w:r>
        <w:rPr/>
        <w:t>.</w:t>
      </w:r>
    </w:p>
    <w:p>
      <w:pPr>
        <w:pStyle w:val="BodyText"/>
        <w:bidi w:val="0"/>
        <w:jc w:val="start"/>
        <w:rPr/>
      </w:pPr>
      <w:r>
        <w:rPr/>
        <w:t xml:space="preserve">Crucially, </w:t>
      </w:r>
      <w:r>
        <w:rPr>
          <w:rStyle w:val="Strong"/>
        </w:rPr>
        <w:t>mere warranty service, punch-list touch-ups, or corrective repairs</w:t>
      </w:r>
      <w:r>
        <w:rPr/>
        <w:t xml:space="preserve"> do </w:t>
      </w:r>
      <w:r>
        <w:rPr>
          <w:rStyle w:val="Emphasis"/>
        </w:rPr>
        <w:t>not</w:t>
      </w:r>
      <w:r>
        <w:rPr/>
        <w:t xml:space="preserve"> extend the deadline – they are not new improvements but post-completion tweaks</w:t>
      </w:r>
      <w:hyperlink r:id="rId10" w:anchor=":~:text=improvements%20thereto%2C%20the%20final%20furnishing,80%C2%A0Determining%20exactly%20when" w:tgtFrame="_blank">
        <w:r>
          <w:rPr>
            <w:rStyle w:val="Hyperlink"/>
          </w:rPr>
          <w:t>floridabar.org</w:t>
        </w:r>
      </w:hyperlink>
      <w:r>
        <w:rPr/>
        <w:t>. For example, trivial tasks like cleanup or returning to fix minor defects after completion don’t count as “final furnishing” under Florida law</w:t>
      </w:r>
      <w:hyperlink r:id="rId11" w:anchor=":~:text=an%20NTO%2C76%C2%A0and%20final%20furnishing%20no,mine%20from%20which%20its%20raw" w:tgtFrame="_blank">
        <w:r>
          <w:rPr>
            <w:rStyle w:val="Hyperlink"/>
          </w:rPr>
          <w:t>floridabar.org</w:t>
        </w:r>
      </w:hyperlink>
      <w:hyperlink r:id="rId12" w:anchor=":~:text=improvements%20thereto%2C%20the%20final%20furnishing,80%C2%A0Determining%20exactly%20when" w:tgtFrame="_blank">
        <w:r>
          <w:rPr>
            <w:rStyle w:val="Hyperlink"/>
          </w:rPr>
          <w:t>floridabar.org</w:t>
        </w:r>
      </w:hyperlink>
      <w:r>
        <w:rPr/>
        <w:t xml:space="preserve">. In contrast, work done pursuant to the contract’s scope, or to close out permit requirements, can reset the 90-day clock. In </w:t>
      </w:r>
      <w:r>
        <w:rPr>
          <w:rStyle w:val="Strong"/>
        </w:rPr>
        <w:t>J.S.L. Construction Co. v. Levy</w:t>
      </w:r>
      <w:r>
        <w:rPr/>
        <w:t xml:space="preserve">, a contractor’s oversight of final electrical work and a last walk-through in May 1999 were deemed part of its contract obligations; thus a lien recorded in July 1999 was within 90 days and </w:t>
      </w:r>
      <w:r>
        <w:rPr>
          <w:rStyle w:val="Strong"/>
        </w:rPr>
        <w:t>held timely</w:t>
      </w:r>
      <w:hyperlink r:id="rId13" w:anchor=":~:text=work%20or%20thereafter%20but%20not,through%20with%20the%20building%20inspector" w:tgtFrame="_blank">
        <w:r>
          <w:rPr>
            <w:rStyle w:val="Hyperlink"/>
          </w:rPr>
          <w:t>casemine.com</w:t>
        </w:r>
      </w:hyperlink>
      <w:hyperlink r:id="rId14" w:anchor=":~:text=Since%20J,s%20lien%20on%20this%20ground" w:tgtFrame="_blank">
        <w:r>
          <w:rPr>
            <w:rStyle w:val="Hyperlink"/>
          </w:rPr>
          <w:t>casemine.com</w:t>
        </w:r>
      </w:hyperlink>
      <w:r>
        <w:rPr/>
        <w:t xml:space="preserve">. The court applied the test from </w:t>
      </w:r>
      <w:r>
        <w:rPr>
          <w:rStyle w:val="Emphasis"/>
        </w:rPr>
        <w:t>Aronson v. Keating</w:t>
      </w:r>
      <w:r>
        <w:rPr/>
        <w:t>, asking whether the later work was done in good faith, within a reasonable time, under the contract, and necessary to finish the job – and answered yes</w:t>
      </w:r>
      <w:hyperlink r:id="rId15" w:anchor=":~:text=and%20all%20other%20subcontract%20work,s%20lien%20on%20this%20ground" w:tgtFrame="_blank">
        <w:r>
          <w:rPr>
            <w:rStyle w:val="Hyperlink"/>
          </w:rPr>
          <w:t>casemine.com</w:t>
        </w:r>
      </w:hyperlink>
      <w:r>
        <w:rPr/>
        <w:t>.</w:t>
      </w:r>
    </w:p>
    <w:p>
      <w:pPr>
        <w:pStyle w:val="BodyText"/>
        <w:bidi w:val="0"/>
        <w:jc w:val="start"/>
        <w:rPr/>
      </w:pPr>
      <w:r>
        <w:rPr/>
        <w:t xml:space="preserve">Florida’s courts have wrestled with edge cases on final furnishing. The </w:t>
      </w:r>
      <w:r>
        <w:rPr>
          <w:rStyle w:val="Strong"/>
        </w:rPr>
        <w:t xml:space="preserve">Florida Supreme Court’s decision in </w:t>
      </w:r>
      <w:r>
        <w:rPr>
          <w:rStyle w:val="Emphasis"/>
        </w:rPr>
        <w:t>Stunkel v. Gazebo Landscaping</w:t>
      </w:r>
      <w:r>
        <w:rPr/>
        <w:t xml:space="preserve"> illustrates a </w:t>
      </w:r>
      <w:r>
        <w:rPr>
          <w:rStyle w:val="Emphasis"/>
        </w:rPr>
        <w:t>narrow</w:t>
      </w:r>
      <w:r>
        <w:rPr/>
        <w:t xml:space="preserve"> view: there, a subcontractor’s off-site selection of materials (trees) before any work on the property did </w:t>
      </w:r>
      <w:r>
        <w:rPr>
          <w:rStyle w:val="Strong"/>
        </w:rPr>
        <w:t>not</w:t>
      </w:r>
      <w:r>
        <w:rPr/>
        <w:t xml:space="preserve"> count as beginning to furnish, and the 45-day Notice to Owner period only began once on-site work commenced</w:t>
      </w:r>
      <w:hyperlink r:id="rId16" w:anchor=":~:text=DOES%20A%20SUBCONTRACTOR%20BEGIN%20TO,INSTALLATION%20ON%20THE%20JOB%20SITE" w:tgtFrame="_blank">
        <w:r>
          <w:rPr>
            <w:rStyle w:val="Hyperlink"/>
          </w:rPr>
          <w:t>law.justia.com</w:t>
        </w:r>
      </w:hyperlink>
      <w:hyperlink r:id="rId17" w:anchor=":~:text=We%20answer%20the%20certified%20question,materials%20at%20the%20job%20site" w:tgtFrame="_blank">
        <w:r>
          <w:rPr>
            <w:rStyle w:val="Hyperlink"/>
          </w:rPr>
          <w:t>law.justia.com</w:t>
        </w:r>
      </w:hyperlink>
      <w:r>
        <w:rPr/>
        <w:t>. By analogy, “furnishing” (whether first or last) requires actual performance of work on the job site, under a binding contract</w:t>
      </w:r>
      <w:hyperlink r:id="rId18" w:anchor=":~:text=We%20answer%20the%20certified%20question,materials%20at%20the%20job%20site" w:tgtFrame="_blank">
        <w:r>
          <w:rPr>
            <w:rStyle w:val="Hyperlink"/>
          </w:rPr>
          <w:t>law.justia.com</w:t>
        </w:r>
      </w:hyperlink>
      <w:hyperlink r:id="rId19" w:anchor=":~:text=In%20this%20case%2C%20the%204,%E2%80%9Cfurnishing%E2%80%9D%20for%20purposes%20of%20the" w:tgtFrame="_blank">
        <w:r>
          <w:rPr>
            <w:rStyle w:val="Hyperlink"/>
          </w:rPr>
          <w:t>supremecourt.flcourts.gov</w:t>
        </w:r>
      </w:hyperlink>
      <w:r>
        <w:rPr/>
        <w:t xml:space="preserve">. In </w:t>
      </w:r>
      <w:r>
        <w:rPr>
          <w:rStyle w:val="Emphasis"/>
        </w:rPr>
        <w:t>Stunkel</w:t>
      </w:r>
      <w:r>
        <w:rPr/>
        <w:t>, the Court emphasized certainty and strict adherence to the statutory timeline, underscoring that lien rights cannot be based on informal or off-site activities</w:t>
      </w:r>
      <w:hyperlink r:id="rId20" w:anchor=":~:text=In%20this%20case%2C%20the%204,%E2%80%9Cfurnishing%E2%80%9D%20for%20purposes%20of%20the" w:tgtFrame="_blank">
        <w:r>
          <w:rPr>
            <w:rStyle w:val="Hyperlink"/>
          </w:rPr>
          <w:t>supremecourt.flcourts.gov</w:t>
        </w:r>
      </w:hyperlink>
      <w:r>
        <w:rPr/>
        <w:t>.</w:t>
      </w:r>
    </w:p>
    <w:p>
      <w:pPr>
        <w:pStyle w:val="BodyText"/>
        <w:bidi w:val="0"/>
        <w:jc w:val="start"/>
        <w:rPr/>
      </w:pPr>
      <w:r>
        <w:rPr/>
        <w:t xml:space="preserve">However, a later Fourth DCA case, </w:t>
      </w:r>
      <w:r>
        <w:rPr>
          <w:rStyle w:val="Strong"/>
        </w:rPr>
        <w:t>Michnal v. Palm Coast Development, Inc.</w:t>
      </w:r>
      <w:r>
        <w:rPr/>
        <w:t xml:space="preserve">, took a slightly more liberal (but fact-specific) view: the contractor’s </w:t>
      </w:r>
      <w:r>
        <w:rPr>
          <w:rStyle w:val="Emphasis"/>
        </w:rPr>
        <w:t>last activity</w:t>
      </w:r>
      <w:r>
        <w:rPr/>
        <w:t xml:space="preserve"> was sending a </w:t>
      </w:r>
      <w:r>
        <w:rPr>
          <w:rStyle w:val="Strong"/>
        </w:rPr>
        <w:t>written change-order proposal</w:t>
      </w:r>
      <w:r>
        <w:rPr/>
        <w:t xml:space="preserve"> (a fax quoting extra costs) to the owner during a work stoppage dispute, followed by the owner’s termination of the contract the next day</w:t>
      </w:r>
      <w:hyperlink r:id="rId21" w:anchor=":~:text=match%20at%20L114%20construction%20lien,timely%20%E2%80%93%20that%20is%2C%20filed" w:tgtFrame="_blank">
        <w:r>
          <w:rPr>
            <w:rStyle w:val="Hyperlink"/>
          </w:rPr>
          <w:t>supremecourt.flcourts.gov</w:t>
        </w:r>
      </w:hyperlink>
      <w:hyperlink r:id="rId22" w:anchor=":~:text=Michnal%E2%80%99s%20request%20that%20the%204th,the%20general%20contractor%20to%20the" w:tgtFrame="_blank">
        <w:r>
          <w:rPr>
            <w:rStyle w:val="Hyperlink"/>
          </w:rPr>
          <w:t>supremecourt.flcourts.gov</w:t>
        </w:r>
      </w:hyperlink>
      <w:r>
        <w:rPr/>
        <w:t xml:space="preserve">. Palm Coast recorded its lien within 90 days of that letter, arguing the letter was part of its contract performance. The 4th DCA agreed – under those unique circumstances – that the </w:t>
      </w:r>
      <w:r>
        <w:rPr>
          <w:rStyle w:val="Strong"/>
        </w:rPr>
        <w:t>July 21 fax constituted a “furnishing” of labor or services</w:t>
      </w:r>
      <w:r>
        <w:rPr/>
        <w:t>, making the October lien timely</w:t>
      </w:r>
      <w:hyperlink r:id="rId23" w:anchor=":~:text=DCA%20concluded%20that%20the%20fax,%28Opinion%20at%205%29%20Thereafter" w:tgtFrame="_blank">
        <w:r>
          <w:rPr>
            <w:rStyle w:val="Hyperlink"/>
          </w:rPr>
          <w:t>supremecourt.flcourts.gov</w:t>
        </w:r>
      </w:hyperlink>
      <w:hyperlink r:id="rId24" w:anchor=":~:text=In%20this%20case%2C%20the%204,%E2%80%9Cfurnishing%E2%80%9D%20for%20purposes%20of%20the" w:tgtFrame="_blank">
        <w:r>
          <w:rPr>
            <w:rStyle w:val="Hyperlink"/>
          </w:rPr>
          <w:t>supremecourt.flcourts.gov</w:t>
        </w:r>
      </w:hyperlink>
      <w:r>
        <w:rPr/>
        <w:t>. The court reasoned that the contractor was still attempting to fulfill the contract (trying to resolve a design impasse) when the letter was sent, so it treated the correspondence as an integral step in the work</w:t>
      </w:r>
      <w:hyperlink r:id="rId25" w:anchor=":~:text=In%20this%20case%2C%20the%204,%E2%80%9Cfurnishing%E2%80%9D%20for%20purposes%20of%20the" w:tgtFrame="_blank">
        <w:r>
          <w:rPr>
            <w:rStyle w:val="Hyperlink"/>
          </w:rPr>
          <w:t>supremecourt.flcourts.gov</w:t>
        </w:r>
      </w:hyperlink>
      <w:r>
        <w:rPr/>
        <w:t xml:space="preserve">. </w:t>
      </w:r>
      <w:r>
        <w:rPr>
          <w:rStyle w:val="Emphasis"/>
        </w:rPr>
        <w:t>Michnal</w:t>
      </w:r>
      <w:r>
        <w:rPr/>
        <w:t xml:space="preserve"> illustrates that courts may examine the </w:t>
      </w:r>
      <w:r>
        <w:rPr>
          <w:rStyle w:val="Strong"/>
        </w:rPr>
        <w:t>totality of circumstances</w:t>
      </w:r>
      <w:r>
        <w:rPr/>
        <w:t xml:space="preserve"> – if work was ongoing or contractually required tasks (even administrative or supervisory) continued, the final furnishing date can be extended</w:t>
      </w:r>
      <w:hyperlink r:id="rId26" w:anchor=":~:text=was%20filed%20on%20July%208%2C,2d%20822%2C%20823" w:tgtFrame="_blank">
        <w:r>
          <w:rPr>
            <w:rStyle w:val="Hyperlink"/>
          </w:rPr>
          <w:t>casemine.com</w:t>
        </w:r>
      </w:hyperlink>
      <w:hyperlink r:id="rId27" w:anchor=":~:text=and%20all%20other%20subcontract%20work,s%20lien%20on%20this%20ground" w:tgtFrame="_blank">
        <w:r>
          <w:rPr>
            <w:rStyle w:val="Hyperlink"/>
          </w:rPr>
          <w:t>casemine.com</w:t>
        </w:r>
      </w:hyperlink>
      <w:r>
        <w:rPr/>
        <w:t xml:space="preserve">. Nevertheless, after </w:t>
      </w:r>
      <w:r>
        <w:rPr>
          <w:rStyle w:val="Emphasis"/>
        </w:rPr>
        <w:t>Michnal</w:t>
      </w:r>
      <w:r>
        <w:rPr/>
        <w:t xml:space="preserve"> was decided, the Florida Supreme Court declined review</w:t>
      </w:r>
      <w:hyperlink r:id="rId28" w:anchor=":~:text=,citing%20Aronson%20v" w:tgtFrame="_blank">
        <w:r>
          <w:rPr>
            <w:rStyle w:val="Hyperlink"/>
          </w:rPr>
          <w:t>4dca.flcourts.gov</w:t>
        </w:r>
      </w:hyperlink>
      <w:r>
        <w:rPr/>
        <w:t xml:space="preserve">, leaving the 4th DCA’s decision intact but not broadly endorsed statewide. The safer approach is to assume courts will </w:t>
      </w:r>
      <w:r>
        <w:rPr>
          <w:rStyle w:val="Strong"/>
        </w:rPr>
        <w:t>closely scrutinize any claimed “last work”</w:t>
      </w:r>
      <w:r>
        <w:rPr/>
        <w:t>; purely gratuitous or after-the-fact efforts to extend the lien deadline (such as returning to tighten a bolt or do “punch list” fixes long after substantial completion) will likely be rejected</w:t>
      </w:r>
      <w:hyperlink r:id="rId29" w:anchor=":~:text=an%20NTO%2C76%C2%A0and%20final%20furnishing%20no,mine%20from%20which%20its%20raw" w:tgtFrame="_blank">
        <w:r>
          <w:rPr>
            <w:rStyle w:val="Hyperlink"/>
          </w:rPr>
          <w:t>floridabar.org</w:t>
        </w:r>
      </w:hyperlink>
      <w:hyperlink r:id="rId30" w:anchor=":~:text=improvements%20thereto%2C%20the%20final%20furnishing,80%C2%A0Determining%20exactly%20when" w:tgtFrame="_blank">
        <w:r>
          <w:rPr>
            <w:rStyle w:val="Hyperlink"/>
          </w:rPr>
          <w:t>floridabar.org</w:t>
        </w:r>
      </w:hyperlink>
      <w:r>
        <w:rPr/>
        <w:t>.</w:t>
      </w:r>
    </w:p>
    <w:p>
      <w:pPr>
        <w:pStyle w:val="BodyText"/>
        <w:bidi w:val="0"/>
        <w:jc w:val="start"/>
        <w:rPr/>
      </w:pPr>
      <w:r>
        <w:rPr>
          <w:rStyle w:val="Strong"/>
        </w:rPr>
        <w:t>Practical Guidance:</w:t>
      </w:r>
      <w:r>
        <w:rPr/>
        <w:t xml:space="preserve"> Mark the date when you </w:t>
      </w:r>
      <w:r>
        <w:rPr>
          <w:rStyle w:val="Emphasis"/>
        </w:rPr>
        <w:t>substantially finish</w:t>
      </w:r>
      <w:r>
        <w:rPr/>
        <w:t xml:space="preserve"> your work or delivery under the contract. Absent further required work, that is your final furnishing date. </w:t>
      </w:r>
      <w:r>
        <w:rPr>
          <w:rStyle w:val="Strong"/>
        </w:rPr>
        <w:t>Do not rely on minor callbacks, warranty repairs, or off-site paperwork</w:t>
      </w:r>
      <w:r>
        <w:rPr/>
        <w:t xml:space="preserve"> to push out the deadline – Florida courts consistently hold those do not count</w:t>
      </w:r>
      <w:hyperlink r:id="rId31" w:anchor=":~:text=improvements%20thereto%2C%20the%20final%20furnishing,80%C2%A0Determining%20exactly%20when" w:tgtFrame="_blank">
        <w:r>
          <w:rPr>
            <w:rStyle w:val="Hyperlink"/>
          </w:rPr>
          <w:t>floridabar.org</w:t>
        </w:r>
      </w:hyperlink>
      <w:r>
        <w:rPr/>
        <w:t xml:space="preserve">. If a project stalls, as in </w:t>
      </w:r>
      <w:r>
        <w:rPr>
          <w:rStyle w:val="Emphasis"/>
        </w:rPr>
        <w:t>Michnal</w:t>
      </w:r>
      <w:r>
        <w:rPr/>
        <w:t xml:space="preserve">, and you perform contract-management tasks to attempt to move it forward, document those activities (e.g. letters, site visits) in case you need to prove they were part of the agreed work. However, these situations are risky; the surest course is to </w:t>
      </w:r>
      <w:r>
        <w:rPr>
          <w:rStyle w:val="Strong"/>
        </w:rPr>
        <w:t>record your Claim of Lien as soon as you are unpaid and have ceased meaningful work.</w:t>
      </w:r>
      <w:r>
        <w:rPr/>
        <w:t xml:space="preserve"> Florida law even allows liens to be recorded during the progress of the work</w:t>
      </w:r>
      <w:hyperlink r:id="rId32" w:anchor=":~:text=can%20effectively%20record%20a%20construction,lien%20on%20a%20property" w:tgtFrame="_blank">
        <w:r>
          <w:rPr>
            <w:rStyle w:val="Hyperlink"/>
          </w:rPr>
          <w:t>cobbgonzalez.com</w:t>
        </w:r>
      </w:hyperlink>
      <w:r>
        <w:rPr/>
        <w:t xml:space="preserve"> – you need not wait until final completion if payment problems arise. Once your </w:t>
      </w:r>
      <w:r>
        <w:rPr>
          <w:rStyle w:val="Strong"/>
        </w:rPr>
        <w:t>90-day window</w:t>
      </w:r>
      <w:r>
        <w:rPr/>
        <w:t xml:space="preserve"> is running, err on the side of </w:t>
      </w:r>
      <w:r>
        <w:rPr>
          <w:rStyle w:val="Strong"/>
        </w:rPr>
        <w:t>recording early</w:t>
      </w:r>
      <w:r>
        <w:rPr/>
        <w:t xml:space="preserve"> rather than later. A late filing cannot be saved, and owners or lenders have no obligation to warn you that your time is about to expire.</w:t>
      </w:r>
    </w:p>
    <w:p>
      <w:pPr>
        <w:pStyle w:val="BodyText"/>
        <w:bidi w:val="0"/>
        <w:jc w:val="start"/>
        <w:rPr/>
      </w:pPr>
      <w:r>
        <w:rPr/>
        <w:t xml:space="preserve">Also note that if the prime contract is </w:t>
      </w:r>
      <w:r>
        <w:rPr>
          <w:rStyle w:val="Strong"/>
        </w:rPr>
        <w:t>terminated</w:t>
      </w:r>
      <w:r>
        <w:rPr/>
        <w:t xml:space="preserve"> early, §713.08(5) sets an </w:t>
      </w:r>
      <w:r>
        <w:rPr>
          <w:rStyle w:val="Emphasis"/>
        </w:rPr>
        <w:t>alternative</w:t>
      </w:r>
      <w:r>
        <w:rPr/>
        <w:t xml:space="preserve"> deadline: the lien must be recorded within 90 days of </w:t>
      </w:r>
      <w:r>
        <w:rPr>
          <w:rStyle w:val="Strong"/>
        </w:rPr>
        <w:t>termination</w:t>
      </w:r>
      <w:r>
        <w:rPr/>
        <w:t xml:space="preserve"> </w:t>
      </w:r>
      <w:r>
        <w:rPr>
          <w:rStyle w:val="Emphasis"/>
        </w:rPr>
        <w:t>or</w:t>
      </w:r>
      <w:r>
        <w:rPr/>
        <w:t xml:space="preserve"> last furnishing, whichever is </w:t>
      </w:r>
      <w:r>
        <w:rPr>
          <w:rStyle w:val="Strong"/>
        </w:rPr>
        <w:t>earlier</w:t>
      </w:r>
      <w:hyperlink r:id="rId33" w:anchor=":~:text=The%20claim%20of%20lien%20may,the%20lienor%2C%20whichever%20occurs%20first" w:tgtFrame="_blank">
        <w:r>
          <w:rPr>
            <w:rStyle w:val="Hyperlink"/>
          </w:rPr>
          <w:t>cobbgonzalez.com</w:t>
        </w:r>
      </w:hyperlink>
      <w:r>
        <w:rPr/>
        <w:t xml:space="preserve">. This prevents extending lien rights indefinitely on an abandoned job. In practice, treat the termination date as you would a last work date. In all cases, count calendar days (not business days) and remember that day 1 is the day after final furnishing. There is </w:t>
      </w:r>
      <w:r>
        <w:rPr>
          <w:rStyle w:val="Strong"/>
        </w:rPr>
        <w:t>no “good cause” exception</w:t>
      </w:r>
      <w:r>
        <w:rPr/>
        <w:t xml:space="preserve"> for missing the 90-day deadline – one day late is fatal to the lien.</w:t>
      </w:r>
    </w:p>
    <w:p>
      <w:pPr>
        <w:pStyle w:val="Heading2"/>
        <w:bidi w:val="0"/>
        <w:jc w:val="start"/>
        <w:rPr/>
      </w:pPr>
      <w:r>
        <w:rPr/>
        <w:t>Service of Notices: Notice to Owner &amp; Copy of Claim of Lien</w:t>
      </w:r>
    </w:p>
    <w:p>
      <w:pPr>
        <w:pStyle w:val="BodyText"/>
        <w:bidi w:val="0"/>
        <w:jc w:val="start"/>
        <w:rPr/>
      </w:pPr>
      <w:r>
        <w:rPr/>
        <w:t xml:space="preserve">For subcontractors, suppliers, and other </w:t>
      </w:r>
      <w:r>
        <w:rPr>
          <w:rStyle w:val="Strong"/>
        </w:rPr>
        <w:t>non-privity lienors</w:t>
      </w:r>
      <w:r>
        <w:rPr/>
        <w:t xml:space="preserve"> (those who did not contract directly with the owner), </w:t>
      </w:r>
      <w:r>
        <w:rPr>
          <w:rStyle w:val="Strong"/>
        </w:rPr>
        <w:t>timely service of a Notice to Owner (NTO)</w:t>
      </w:r>
      <w:r>
        <w:rPr/>
        <w:t xml:space="preserve"> is an essential compliance step. Florida Statutes §713.06(2) requires that a Notice to Owner be served </w:t>
      </w:r>
      <w:r>
        <w:rPr>
          <w:rStyle w:val="Strong"/>
        </w:rPr>
        <w:t>within 45 days of commencing to furnish labor or materials</w:t>
      </w:r>
      <w:r>
        <w:rPr/>
        <w:t xml:space="preserve"> (or before completion, if sooner)</w:t>
      </w:r>
      <w:hyperlink r:id="rId34" w:anchor=":~:text=DOES%20A%20SUBCONTRACTOR%20BEGIN%20TO,INSTALLATION%20ON%20THE%20JOB%20SITE" w:tgtFrame="_blank">
        <w:r>
          <w:rPr>
            <w:rStyle w:val="Hyperlink"/>
          </w:rPr>
          <w:t>law.justia.com</w:t>
        </w:r>
      </w:hyperlink>
      <w:hyperlink r:id="rId35" w:anchor=":~:text=specialize%20in%20preparing%20and%20serving,or%20services%20to%20the%20project" w:tgtFrame="_blank">
        <w:r>
          <w:rPr>
            <w:rStyle w:val="Hyperlink"/>
          </w:rPr>
          <w:t>floridabar.org</w:t>
        </w:r>
      </w:hyperlink>
      <w:r>
        <w:rPr/>
        <w:t xml:space="preserve">. Failure to serve the NTO on time means the lien </w:t>
      </w:r>
      <w:r>
        <w:rPr>
          <w:rStyle w:val="Strong"/>
        </w:rPr>
        <w:t>“shall be invalid”</w:t>
      </w:r>
      <w:r>
        <w:rPr/>
        <w:t xml:space="preserve"> (if the owner hasn’t paid the general contractor in full, the lienor loses the right to encumber the property for that work). Florida courts strictly enforce this deadline as well – substantial compliance is not enough on timing. </w:t>
      </w:r>
      <w:r>
        <w:rPr>
          <w:rStyle w:val="Emphasis"/>
        </w:rPr>
        <w:t>For instance, in a leading case,</w:t>
      </w:r>
      <w:r>
        <w:rPr/>
        <w:t xml:space="preserve"> </w:t>
      </w:r>
      <w:r>
        <w:rPr>
          <w:rStyle w:val="Strong"/>
        </w:rPr>
        <w:t>Konsler Steel Co. v. Partin</w:t>
      </w:r>
      <w:r>
        <w:rPr/>
        <w:t xml:space="preserve">, a supplier recorded its lien and </w:t>
      </w:r>
      <w:r>
        <w:rPr>
          <w:rStyle w:val="Emphasis"/>
        </w:rPr>
        <w:t>then</w:t>
      </w:r>
      <w:r>
        <w:rPr/>
        <w:t xml:space="preserve"> sent the NTO on day 90 (far past 45 days from first delivery). The Fourth DCA held the lien invalid for missing the NTO deadline, invoking the strict compliance rule, but the Florida Supreme Court ultimately reversed on other grounds unique to that 1970s statutory scheme (involving the owner’s failure to obtain a contractor’s affidavit)</w:t>
      </w:r>
      <w:hyperlink r:id="rId36" w:anchor=":~:text=This%20case%20involves%20the%20operation,Jurisdiction%20vests%20pursuant" w:tgtFrame="_blank">
        <w:r>
          <w:rPr>
            <w:rStyle w:val="Hyperlink"/>
          </w:rPr>
          <w:t>law.justia.com</w:t>
        </w:r>
      </w:hyperlink>
      <w:hyperlink r:id="rId37" w:anchor=":~:text=After%20receipt%20of%20notice%2C%20respondent,Steel%20Company%2C%20supra%2C%20at%20685" w:tgtFrame="_blank">
        <w:r>
          <w:rPr>
            <w:rStyle w:val="Hyperlink"/>
          </w:rPr>
          <w:t>law.justia.com</w:t>
        </w:r>
      </w:hyperlink>
      <w:r>
        <w:rPr/>
        <w:t xml:space="preserve">. Today, however, due to statutory changes (including §713.37’s mandate of strict construction), courts would not indulge a late Notice to Owner. The Florida Bar has noted that while the content of an NTO only requires “substantial compliance,” </w:t>
      </w:r>
      <w:r>
        <w:rPr>
          <w:rStyle w:val="Strong"/>
        </w:rPr>
        <w:t>the timing requirement demands strict compliance</w:t>
      </w:r>
      <w:r>
        <w:rPr/>
        <w:t xml:space="preserve"> – the NTO </w:t>
      </w:r>
      <w:r>
        <w:rPr>
          <w:rStyle w:val="Strong"/>
        </w:rPr>
        <w:t>must</w:t>
      </w:r>
      <w:r>
        <w:rPr/>
        <w:t xml:space="preserve"> be received by the owner within 45 days of first furnishing</w:t>
      </w:r>
      <w:hyperlink r:id="rId38" w:anchor=":~:text=specialize%20in%20preparing%20and%20serving,or%20services%20to%20the%20project" w:tgtFrame="_blank">
        <w:r>
          <w:rPr>
            <w:rStyle w:val="Hyperlink"/>
          </w:rPr>
          <w:t>floridabar.org</w:t>
        </w:r>
      </w:hyperlink>
      <w:r>
        <w:rPr/>
        <w:t xml:space="preserve">. In short, if you’re a subcontractor or supplier, </w:t>
      </w:r>
      <w:r>
        <w:rPr>
          <w:rStyle w:val="Strong"/>
        </w:rPr>
        <w:t>do not miss the 45-day NTO window</w:t>
      </w:r>
      <w:r>
        <w:rPr/>
        <w:t>, or your later Claim of Lien will be worthless.</w:t>
      </w:r>
    </w:p>
    <w:p>
      <w:pPr>
        <w:pStyle w:val="BodyText"/>
        <w:bidi w:val="0"/>
        <w:jc w:val="start"/>
        <w:rPr/>
      </w:pPr>
      <w:r>
        <w:rPr/>
        <w:t xml:space="preserve">Another </w:t>
      </w:r>
      <w:r>
        <w:rPr>
          <w:rStyle w:val="Emphasis"/>
        </w:rPr>
        <w:t>service</w:t>
      </w:r>
      <w:r>
        <w:rPr/>
        <w:t xml:space="preserve"> requirement comes after recording the lien: under </w:t>
      </w:r>
      <w:r>
        <w:rPr>
          <w:rStyle w:val="Strong"/>
        </w:rPr>
        <w:t>§713.08(4)(c)</w:t>
      </w:r>
      <w:r>
        <w:rPr/>
        <w:t xml:space="preserve">, the lienor should serve a copy of the Claim of Lien on the owner (and others entitled to it) either before recording or within </w:t>
      </w:r>
      <w:r>
        <w:rPr>
          <w:rStyle w:val="Strong"/>
        </w:rPr>
        <w:t>15 days after</w:t>
      </w:r>
      <w:r>
        <w:rPr/>
        <w:t xml:space="preserve"> recording</w:t>
      </w:r>
      <w:hyperlink r:id="rId39" w:anchor=":~:text=%E2%80%A2%20Perfecting%20a%20Claim%20of,to%20show%20cause%20why%20the" w:tgtFrame="_blank">
        <w:r>
          <w:rPr>
            <w:rStyle w:val="Hyperlink"/>
          </w:rPr>
          <w:t>floridabar.org</w:t>
        </w:r>
      </w:hyperlink>
      <w:r>
        <w:rPr/>
        <w:t xml:space="preserve">. Acceptable methods are those in §713.18 (e.g. certified mail, etc.). Notably, failing to deliver the lien copy </w:t>
      </w:r>
      <w:r>
        <w:rPr>
          <w:rStyle w:val="Emphasis"/>
        </w:rPr>
        <w:t>does not invalidate the lien</w:t>
      </w:r>
      <w:r>
        <w:rPr/>
        <w:t xml:space="preserve"> in itself – the statute does not provide voiding the lien as a penalty (and the lien is of public record once recorded anyway)</w:t>
      </w:r>
      <w:hyperlink r:id="rId40" w:anchor=":~:text=101%20%C2%A0Fla,a%20lien%20against%20the%20property" w:tgtFrame="_blank">
        <w:r>
          <w:rPr>
            <w:rStyle w:val="Hyperlink"/>
          </w:rPr>
          <w:t>floridabar.org</w:t>
        </w:r>
      </w:hyperlink>
      <w:r>
        <w:rPr/>
        <w:t xml:space="preserve">. However, serving the claim of lien is </w:t>
      </w:r>
      <w:r>
        <w:rPr>
          <w:rStyle w:val="Strong"/>
        </w:rPr>
        <w:t>strongly recommended</w:t>
      </w:r>
      <w:hyperlink r:id="rId41" w:anchor=":~:text=101%20%C2%A0Fla,a%20lien%20against%20the%20property" w:tgtFrame="_blank">
        <w:r>
          <w:rPr>
            <w:rStyle w:val="Hyperlink"/>
          </w:rPr>
          <w:t>floridabar.org</w:t>
        </w:r>
      </w:hyperlink>
      <w:r>
        <w:rPr/>
        <w:t xml:space="preserve">. First, it is required by the statute, and second, a failure to serve might deprive the owner of actual notice, potentially affecting an attorney’s fee claim or goodwill with the court. In practice, most conscientious lienors do serve the lien on the owner and document that service. The bottom line is that while an un-served lien might still be enforceable against the property, you should </w:t>
      </w:r>
      <w:r>
        <w:rPr>
          <w:rStyle w:val="Strong"/>
        </w:rPr>
        <w:t>always send the owner a copy of the lien</w:t>
      </w:r>
      <w:r>
        <w:rPr/>
        <w:t xml:space="preserve"> (via certified mail or another confirmed delivery) and do so </w:t>
      </w:r>
      <w:r>
        <w:rPr>
          <w:rStyle w:val="Strong"/>
        </w:rPr>
        <w:t>promptly</w:t>
      </w:r>
      <w:r>
        <w:rPr/>
        <w:t>. It is an easy step to show your good-faith compliance.</w:t>
      </w:r>
    </w:p>
    <w:p>
      <w:pPr>
        <w:pStyle w:val="BodyText"/>
        <w:bidi w:val="0"/>
        <w:jc w:val="start"/>
        <w:rPr/>
      </w:pPr>
      <w:r>
        <w:rPr>
          <w:rStyle w:val="Strong"/>
        </w:rPr>
        <w:t>Practical Guidance:</w:t>
      </w:r>
      <w:r>
        <w:rPr/>
        <w:t xml:space="preserve"> If you are a sub or supplier, implement a </w:t>
      </w:r>
      <w:r>
        <w:rPr>
          <w:rStyle w:val="Strong"/>
        </w:rPr>
        <w:t>Notice-to-Owner system</w:t>
      </w:r>
      <w:r>
        <w:rPr/>
        <w:t xml:space="preserve"> on every project. Ideally, serve the NTO </w:t>
      </w:r>
      <w:r>
        <w:rPr>
          <w:rStyle w:val="Emphasis"/>
        </w:rPr>
        <w:t>before or on your first day of work/delivery</w:t>
      </w:r>
      <w:r>
        <w:rPr/>
        <w:t xml:space="preserve">. (Florida allows NTO service anytime up to 45 days after start, but earlier is better.) Use a trackable delivery (certified mail or an authorized delivery service) and keep the receipt, as you may later need to prove service. Even if you contract directly with the owner (so no NTO is required), remember to </w:t>
      </w:r>
      <w:r>
        <w:rPr>
          <w:rStyle w:val="Strong"/>
        </w:rPr>
        <w:t>serve a copy of your Claim of Lien</w:t>
      </w:r>
      <w:r>
        <w:rPr/>
        <w:t xml:space="preserve"> after recording it</w:t>
      </w:r>
      <w:hyperlink r:id="rId42" w:anchor=":~:text=%E2%80%A2%20Perfecting%20a%20Claim%20of,to%20show%20cause%20why%20the" w:tgtFrame="_blank">
        <w:r>
          <w:rPr>
            <w:rStyle w:val="Hyperlink"/>
          </w:rPr>
          <w:t>floridabar.org</w:t>
        </w:r>
      </w:hyperlink>
      <w:r>
        <w:rPr/>
        <w:t>. Mark the 15-day post-recording window in your calendar and send the lien by certified mail to the owner’s last known address (and the lender, if any). Preserve evidence of mailing. Though neglecting to send the lien copy won’t automatically void your lien, it could undercut your position if the owner moves to discharge the lien claiming lack of notice. Moreover, an owner unaware of a lien might sell or refinance the property, causing complications – prompt service avoids such surprises.</w:t>
      </w:r>
    </w:p>
    <w:p>
      <w:pPr>
        <w:pStyle w:val="Heading2"/>
        <w:bidi w:val="0"/>
        <w:jc w:val="start"/>
        <w:rPr/>
      </w:pPr>
      <w:r>
        <w:rPr/>
        <w:t>Claim of Lien Content Requirements and Common Defects</w:t>
      </w:r>
    </w:p>
    <w:p>
      <w:pPr>
        <w:pStyle w:val="BodyText"/>
        <w:bidi w:val="0"/>
        <w:jc w:val="start"/>
        <w:rPr/>
      </w:pPr>
      <w:r>
        <w:rPr/>
        <w:t xml:space="preserve">A Claim of Lien in Florida must contain </w:t>
      </w:r>
      <w:r>
        <w:rPr>
          <w:rStyle w:val="Strong"/>
        </w:rPr>
        <w:t>specific information</w:t>
      </w:r>
      <w:r>
        <w:rPr/>
        <w:t xml:space="preserve"> as listed in </w:t>
      </w:r>
      <w:r>
        <w:rPr>
          <w:rStyle w:val="Strong"/>
        </w:rPr>
        <w:t>§713.08(1)</w:t>
      </w:r>
      <w:r>
        <w:rPr/>
        <w:t>. These include: (1) the lienor’s name and address, (2) the name of the party who hired the lienor, (3) the labor, services, or materials furnished and the contract price or value, (4) a description of the property sufficient for identification, (5) the owner’s name, (6) the first and last dates of furnishing, (7) the amount due (unpaid) and any applicable finance charge, and (8) if not in privity with the owner, the date and method of serving the Notice to Owner (and if not in privity with the general contractor, the date/method of serving a copy of the NTO on the contractor)</w:t>
      </w:r>
      <w:hyperlink r:id="rId43" w:anchor=":~:text=Florida%20Statute%20%C2%A7713,of%20information%20are%20as%20follows" w:tgtFrame="_blank">
        <w:r>
          <w:rPr>
            <w:rStyle w:val="Hyperlink"/>
          </w:rPr>
          <w:t>cobbgonzalez.com</w:t>
        </w:r>
      </w:hyperlink>
      <w:hyperlink r:id="rId44" w:anchor=":~:text=,owner" w:tgtFrame="_blank">
        <w:r>
          <w:rPr>
            <w:rStyle w:val="Hyperlink"/>
          </w:rPr>
          <w:t>cobbgonzalez.com</w:t>
        </w:r>
      </w:hyperlink>
      <w:r>
        <w:rPr/>
        <w:t xml:space="preserve">. The claim of lien must be </w:t>
      </w:r>
      <w:r>
        <w:rPr>
          <w:rStyle w:val="Strong"/>
        </w:rPr>
        <w:t>signed and sworn to</w:t>
      </w:r>
      <w:r>
        <w:rPr/>
        <w:t xml:space="preserve"> by the lienor or the lienor’s agent – typically this means it is notarized, or executed with an equivalent jurat or verification</w:t>
      </w:r>
      <w:hyperlink r:id="rId45" w:anchor=":~:text=%E2%80%A2%20Perfecting%20a%20Claim%20of,to%20show%20cause%20why%20the" w:tgtFrame="_blank">
        <w:r>
          <w:rPr>
            <w:rStyle w:val="Hyperlink"/>
          </w:rPr>
          <w:t>floridabar.org</w:t>
        </w:r>
      </w:hyperlink>
      <w:r>
        <w:rPr/>
        <w:t>. Florida provides a statutory form for the Claim of Lien in §713.08(3), which, if used, will contain all necessary elements in the proper format</w:t>
      </w:r>
      <w:hyperlink r:id="rId46" w:anchor=":~:text=ethod%20of%20service%20of%20the,on%20the%20contractor%20or%20subcontractor" w:tgtFrame="_blank">
        <w:r>
          <w:rPr>
            <w:rStyle w:val="Hyperlink"/>
          </w:rPr>
          <w:t>cobbgonzalez.com</w:t>
        </w:r>
      </w:hyperlink>
      <w:r>
        <w:rPr/>
        <w:t xml:space="preserve">. Using the statutory form is highly advisable, as it ensures </w:t>
      </w:r>
      <w:r>
        <w:rPr>
          <w:rStyle w:val="Strong"/>
        </w:rPr>
        <w:t>nothing vital is omitted</w:t>
      </w:r>
      <w:r>
        <w:rPr/>
        <w:t>.</w:t>
      </w:r>
    </w:p>
    <w:p>
      <w:pPr>
        <w:pStyle w:val="BodyText"/>
        <w:bidi w:val="0"/>
        <w:jc w:val="start"/>
        <w:rPr/>
      </w:pPr>
      <w:r>
        <w:rPr/>
        <w:t xml:space="preserve">Despite the detailed requirements, Florida’s lien law also recognizes that </w:t>
      </w:r>
      <w:r>
        <w:rPr>
          <w:rStyle w:val="Strong"/>
        </w:rPr>
        <w:t>minor errors or omissions in a lien claim should not necessarily invalidate the lien</w:t>
      </w:r>
      <w:r>
        <w:rPr/>
        <w:t xml:space="preserve">. §713.08(4)(a) explicitly provides that any omission or error in the lien details </w:t>
      </w:r>
      <w:r>
        <w:rPr>
          <w:rStyle w:val="Strong"/>
        </w:rPr>
        <w:t>“shall not prevent the enforcement of such lien as against one who has not been adversely affected by such omission or error.”</w:t>
      </w:r>
      <w:hyperlink r:id="rId47" w:anchor=":~:text=Section%20%284%29%28a%29%20of%20F,by%20such%20omission%20or%20error" w:tgtFrame="_blank">
        <w:r>
          <w:rPr>
            <w:rStyle w:val="Hyperlink"/>
          </w:rPr>
          <w:t>case-law.vlex.com</w:t>
        </w:r>
      </w:hyperlink>
      <w:r>
        <w:rPr/>
        <w:t xml:space="preserve">. In other words, </w:t>
      </w:r>
      <w:r>
        <w:rPr>
          <w:rStyle w:val="Strong"/>
        </w:rPr>
        <w:t>substantial compliance with the content requirements is sufficient</w:t>
      </w:r>
      <w:r>
        <w:rPr/>
        <w:t>, so long as any mistake does not prejudice the owner or another lienee</w:t>
      </w:r>
      <w:hyperlink r:id="rId48" w:anchor=":~:text=Section%20%284%29%28a%29%20of%20F,by%20such%20omission%20or%20error" w:tgtFrame="_blank">
        <w:r>
          <w:rPr>
            <w:rStyle w:val="Hyperlink"/>
          </w:rPr>
          <w:t>case-law.vlex.com</w:t>
        </w:r>
      </w:hyperlink>
      <w:hyperlink r:id="rId49" w:anchor=":~:text=clear%20that%20substantial%20compliance%20with,2d%20589" w:tgtFrame="_blank">
        <w:r>
          <w:rPr>
            <w:rStyle w:val="Hyperlink"/>
          </w:rPr>
          <w:t>case-law.vlex.com</w:t>
        </w:r>
      </w:hyperlink>
      <w:r>
        <w:rPr/>
        <w:t xml:space="preserve">. Florida courts have applied this </w:t>
      </w:r>
      <w:r>
        <w:rPr>
          <w:rStyle w:val="Emphasis"/>
        </w:rPr>
        <w:t>prejudice test</w:t>
      </w:r>
      <w:r>
        <w:rPr/>
        <w:t xml:space="preserve"> in numerous cases. For example, in </w:t>
      </w:r>
      <w:r>
        <w:rPr>
          <w:rStyle w:val="Strong"/>
        </w:rPr>
        <w:t>George J. Motz Construction Corp. v. Coral Pines, Inc.</w:t>
      </w:r>
      <w:r>
        <w:rPr/>
        <w:t>, a contractor’s recorded lien inadvertently named “George J. Motz” (an individual) as the lienor instead of the correct corporate name “George J. Motz Construction Corp.”</w:t>
      </w:r>
      <w:hyperlink r:id="rId50" w:anchor=":~:text=Plaintiff%2C%20George%20J,Motz%20Construction%20Corp" w:tgtFrame="_blank">
        <w:r>
          <w:rPr>
            <w:rStyle w:val="Hyperlink"/>
          </w:rPr>
          <w:t>case-law.vlex.com</w:t>
        </w:r>
      </w:hyperlink>
      <w:hyperlink r:id="rId51" w:anchor=":~:text=designated%20the%20lienor%27s%20namr%20as,Motz%20Construction%20Corp" w:tgtFrame="_blank">
        <w:r>
          <w:rPr>
            <w:rStyle w:val="Hyperlink"/>
          </w:rPr>
          <w:t>case-law.vlex.com</w:t>
        </w:r>
      </w:hyperlink>
      <w:r>
        <w:rPr/>
        <w:t xml:space="preserve">. The owner seized on this discrepancy and obtained judgment on the pleadings, arguing no valid lien was filed by the corporation. The Fourth DCA reversed, holding that </w:t>
      </w:r>
      <w:r>
        <w:rPr>
          <w:rStyle w:val="Strong"/>
        </w:rPr>
        <w:t>listing the individual’s name instead of the corporate name was a non-prejudicial clerical error</w:t>
      </w:r>
      <w:r>
        <w:rPr/>
        <w:t>, given that the attached contract and context made it clear the construction corporation was the claimant</w:t>
      </w:r>
      <w:hyperlink r:id="rId52" w:anchor=":~:text=The%20sole%20question%20for%20this,1" w:tgtFrame="_blank">
        <w:r>
          <w:rPr>
            <w:rStyle w:val="Hyperlink"/>
          </w:rPr>
          <w:t>case-law.vlex.com</w:t>
        </w:r>
      </w:hyperlink>
      <w:hyperlink r:id="rId53" w:anchor=":~:text=Section%20%284%29%28a%29%20of%20F,by%20such%20omission%20or%20error" w:tgtFrame="_blank">
        <w:r>
          <w:rPr>
            <w:rStyle w:val="Hyperlink"/>
          </w:rPr>
          <w:t>case-law.vlex.com</w:t>
        </w:r>
      </w:hyperlink>
      <w:r>
        <w:rPr/>
        <w:t xml:space="preserve">. Citing §713.08(4)(a), the court stressed that the lien law’s intent is remedial and protective, and that </w:t>
      </w:r>
      <w:r>
        <w:rPr>
          <w:rStyle w:val="Emphasis"/>
        </w:rPr>
        <w:t>“strict compliance with each technical nicety”</w:t>
      </w:r>
      <w:r>
        <w:rPr/>
        <w:t xml:space="preserve"> in the lien statement is not required to enforce it</w:t>
      </w:r>
      <w:hyperlink r:id="rId54" w:anchor=":~:text=Section%20%284%29%28a%29%20of%20F,by%20such%20omission%20or%20error" w:tgtFrame="_blank">
        <w:r>
          <w:rPr>
            <w:rStyle w:val="Hyperlink"/>
          </w:rPr>
          <w:t>case-law.vlex.com</w:t>
        </w:r>
      </w:hyperlink>
      <w:hyperlink r:id="rId55" w:anchor=":~:text=clear%20that%20substantial%20compliance%20with,2d%20589" w:tgtFrame="_blank">
        <w:r>
          <w:rPr>
            <w:rStyle w:val="Hyperlink"/>
          </w:rPr>
          <w:t>case-law.vlex.com</w:t>
        </w:r>
      </w:hyperlink>
      <w:r>
        <w:rPr/>
        <w:t xml:space="preserve">. The owner in </w:t>
      </w:r>
      <w:r>
        <w:rPr>
          <w:rStyle w:val="Emphasis"/>
        </w:rPr>
        <w:t>Motz</w:t>
      </w:r>
      <w:r>
        <w:rPr/>
        <w:t xml:space="preserve"> was not misled about who the lienor was (the names “George J. Motz” and the corporation were obviously related and the address was the same), so the lien remained enforceable</w:t>
      </w:r>
      <w:hyperlink r:id="rId56" w:anchor=":~:text=clear%20that%20substantial%20compliance%20with,2d%20589" w:tgtFrame="_blank">
        <w:r>
          <w:rPr>
            <w:rStyle w:val="Hyperlink"/>
          </w:rPr>
          <w:t>case-law.vlex.com</w:t>
        </w:r>
      </w:hyperlink>
      <w:r>
        <w:rPr/>
        <w:t>.</w:t>
      </w:r>
    </w:p>
    <w:p>
      <w:pPr>
        <w:pStyle w:val="BodyText"/>
        <w:bidi w:val="0"/>
        <w:jc w:val="start"/>
        <w:rPr/>
      </w:pPr>
      <w:r>
        <w:rPr/>
        <w:t xml:space="preserve">Similarly, in </w:t>
      </w:r>
      <w:r>
        <w:rPr>
          <w:rStyle w:val="Strong"/>
        </w:rPr>
        <w:t>Royal Ambassador Condo. Ass’n v. East Coast Supply</w:t>
      </w:r>
      <w:r>
        <w:rPr/>
        <w:t xml:space="preserve">, a supplier filed a single claim of lien against an entire condominium property for roofing materials, rather than apportioning the lien to each unit. The association argued the lien was invalid under the Condominium Act (which requires owner consent for a lien on the whole property). The Fourth DCA found the lien was overbroad but </w:t>
      </w:r>
      <w:r>
        <w:rPr>
          <w:rStyle w:val="Strong"/>
        </w:rPr>
        <w:t>not void ab initio</w:t>
      </w:r>
      <w:r>
        <w:rPr/>
        <w:t xml:space="preserve"> – it should be enforceable to the extent of each unit’s share </w:t>
      </w:r>
      <w:r>
        <w:rPr>
          <w:rStyle w:val="Strong"/>
        </w:rPr>
        <w:t>absent prejudice to any unit owner</w:t>
      </w:r>
      <w:hyperlink r:id="rId57" w:anchor=":~:text=The%20case%20involves%20an%20appeal,appellate%20court%20affirmed%20this%20finding" w:tgtFrame="_blank">
        <w:r>
          <w:rPr>
            <w:rStyle w:val="Hyperlink"/>
          </w:rPr>
          <w:t>descrybe.ai</w:t>
        </w:r>
      </w:hyperlink>
      <w:hyperlink r:id="rId58" w:anchor=":~:text=Application%3A%20The%20court%20concluded%20that,necessitating%20further%20examination%20at%20trial" w:tgtFrame="_blank">
        <w:r>
          <w:rPr>
            <w:rStyle w:val="Hyperlink"/>
          </w:rPr>
          <w:t>descrybe.ai</w:t>
        </w:r>
      </w:hyperlink>
      <w:r>
        <w:rPr/>
        <w:t>. The case was remanded to determine if any owners were adversely affected and to reform the judgment to comply with statutory requirements (e.g., adjusting the lien to each condo unit)</w:t>
      </w:r>
      <w:hyperlink r:id="rId59" w:anchor=":~:text=consent%20from%20all%20owners%2C%20thereby,instructions%20for%20specific%20adjustments%20to" w:tgtFrame="_blank">
        <w:r>
          <w:rPr>
            <w:rStyle w:val="Hyperlink"/>
          </w:rPr>
          <w:t>descrybe.ai</w:t>
        </w:r>
      </w:hyperlink>
      <w:hyperlink r:id="rId60" w:anchor=":~:text=in%20part%20but%20identified%20that,specific%20adjustments%20to%20the%20judgment" w:tgtFrame="_blank">
        <w:r>
          <w:rPr>
            <w:rStyle w:val="Hyperlink"/>
          </w:rPr>
          <w:t>descrybe.ai</w:t>
        </w:r>
      </w:hyperlink>
      <w:r>
        <w:rPr/>
        <w:t xml:space="preserve">. The key point is the court’s </w:t>
      </w:r>
      <w:r>
        <w:rPr>
          <w:rStyle w:val="Emphasis"/>
        </w:rPr>
        <w:t>equitable</w:t>
      </w:r>
      <w:r>
        <w:rPr/>
        <w:t xml:space="preserve"> approach: </w:t>
      </w:r>
      <w:r>
        <w:rPr>
          <w:rStyle w:val="Strong"/>
        </w:rPr>
        <w:t>lien mistakes that can be corrected without harming owners or third parties will not invalidate the lien</w:t>
      </w:r>
      <w:hyperlink r:id="rId61" w:anchor=":~:text=Application%3A%20The%20court%20concluded%20that,necessitating%20further%20examination%20at%20trial" w:tgtFrame="_blank">
        <w:r>
          <w:rPr>
            <w:rStyle w:val="Hyperlink"/>
          </w:rPr>
          <w:t>descrybe.ai</w:t>
        </w:r>
      </w:hyperlink>
      <w:r>
        <w:rPr/>
        <w:t>.</w:t>
      </w:r>
    </w:p>
    <w:p>
      <w:pPr>
        <w:pStyle w:val="BodyText"/>
        <w:bidi w:val="0"/>
        <w:jc w:val="start"/>
        <w:rPr/>
      </w:pPr>
      <w:r>
        <w:rPr/>
        <w:t xml:space="preserve">Common content mistakes include: misidentifying the owner (or spelling their name wrong), slight legal description errors, recording the lien for the wrong amount, or misstating first/last work dates. Under §713.08(4)(a), courts ask whether such an error actually prejudiced the owner or any other person entitled to rely on the lien document. If an error would </w:t>
      </w:r>
      <w:r>
        <w:rPr>
          <w:rStyle w:val="Emphasis"/>
        </w:rPr>
        <w:t>reasonably mislead</w:t>
      </w:r>
      <w:r>
        <w:rPr/>
        <w:t xml:space="preserve"> someone about the claimant or the property, it’s likely prejudicial. For example, if a lien gives the wrong legal description such that a purchaser or lender wouldn’t discover the lien on a title search of the correct property, that error is serious. But if the error is minor (say, a typo in the lot number that is still obviously the owner’s parcel, or a transposed letter in a name), and everyone knows which property and claimant is intended, the lien can still be enforced</w:t>
      </w:r>
      <w:hyperlink r:id="rId62" w:anchor=":~:text=Application%3A%20The%20court%20concluded%20that,necessitating%20further%20examination%20at%20trial" w:tgtFrame="_blank">
        <w:r>
          <w:rPr>
            <w:rStyle w:val="Hyperlink"/>
          </w:rPr>
          <w:t>descrybe.ai</w:t>
        </w:r>
      </w:hyperlink>
      <w:r>
        <w:rPr/>
        <w:t xml:space="preserve">. The burden is often on the owner to show they were </w:t>
      </w:r>
      <w:r>
        <w:rPr>
          <w:rStyle w:val="Strong"/>
        </w:rPr>
        <w:t>“adversely affected”</w:t>
      </w:r>
      <w:r>
        <w:rPr/>
        <w:t xml:space="preserve"> by the mistake</w:t>
      </w:r>
      <w:hyperlink r:id="rId63" w:anchor=":~:text=Section%20%284%29%28a%29%20of%20F,by%20such%20omission%20or%20error" w:tgtFrame="_blank">
        <w:r>
          <w:rPr>
            <w:rStyle w:val="Hyperlink"/>
          </w:rPr>
          <w:t>case-law.vlex.com</w:t>
        </w:r>
      </w:hyperlink>
      <w:r>
        <w:rPr/>
        <w:t>. Absent that, Florida courts lean toward upholding the lien to fulfill the statute’s purpose of protecting those who improve real property</w:t>
      </w:r>
      <w:hyperlink r:id="rId64" w:anchor=":~:text=clear%20that%20substantial%20compliance%20with,2d%20589" w:tgtFrame="_blank">
        <w:r>
          <w:rPr>
            <w:rStyle w:val="Hyperlink"/>
          </w:rPr>
          <w:t>case-law.vlex.com</w:t>
        </w:r>
      </w:hyperlink>
      <w:r>
        <w:rPr/>
        <w:t>.</w:t>
      </w:r>
    </w:p>
    <w:p>
      <w:pPr>
        <w:pStyle w:val="BodyText"/>
        <w:bidi w:val="0"/>
        <w:jc w:val="start"/>
        <w:rPr/>
      </w:pPr>
      <w:r>
        <w:rPr/>
        <w:t xml:space="preserve">That said, lienors should not become complacent about accuracy. </w:t>
      </w:r>
      <w:r>
        <w:rPr>
          <w:rStyle w:val="Strong"/>
        </w:rPr>
        <w:t>Prevention is better than litigation</w:t>
      </w:r>
      <w:r>
        <w:rPr/>
        <w:t xml:space="preserve"> over whether an error is harmless. A glaring mistake could invite a court to find the lien unenforceable (and even if ultimately deemed harmless, it gives the owner an opening to delay or increase your legal costs). One emerging issue is </w:t>
      </w:r>
      <w:r>
        <w:rPr>
          <w:rStyle w:val="Strong"/>
        </w:rPr>
        <w:t>who prepares and signs the lien</w:t>
      </w:r>
      <w:r>
        <w:rPr/>
        <w:t>. The Claim of Lien must be signed under oath by the lienor or the lienor’s agent. Some contractors hire third-party “notice services” or use online platforms to prepare and even sign liens on their behalf. This can be perilous. In a recent trial court order (</w:t>
      </w:r>
      <w:r>
        <w:rPr>
          <w:rStyle w:val="Strong"/>
        </w:rPr>
        <w:t>Lamm &amp; Co. Partners v. Newline WP Services</w:t>
      </w:r>
      <w:r>
        <w:rPr/>
        <w:t xml:space="preserve">, 2022, Orange Cty.), a $253,584 lien was </w:t>
      </w:r>
      <w:r>
        <w:rPr>
          <w:rStyle w:val="Strong"/>
        </w:rPr>
        <w:t>discharged</w:t>
      </w:r>
      <w:r>
        <w:rPr/>
        <w:t xml:space="preserve"> because it was prepared and signed by a non-employee, out-of-state “processing center” agent (apparently a lien service) rather than by the lienor or its attorney</w:t>
      </w:r>
      <w:hyperlink r:id="rId65" w:anchor=":~:text=1,%E2%80%9D" w:tgtFrame="_blank">
        <w:r>
          <w:rPr>
            <w:rStyle w:val="Hyperlink"/>
          </w:rPr>
          <w:t>hammerngavel.com</w:t>
        </w:r>
      </w:hyperlink>
      <w:hyperlink r:id="rId66" w:anchor=":~:text=4,the%20facts%20in%20the%20lien" w:tgtFrame="_blank">
        <w:r>
          <w:rPr>
            <w:rStyle w:val="Hyperlink"/>
          </w:rPr>
          <w:t>hammerngavel.com</w:t>
        </w:r>
      </w:hyperlink>
      <w:r>
        <w:rPr/>
        <w:t xml:space="preserve">. The court found the signer had </w:t>
      </w:r>
      <w:r>
        <w:rPr>
          <w:rStyle w:val="Emphasis"/>
        </w:rPr>
        <w:t>no personal knowledge</w:t>
      </w:r>
      <w:r>
        <w:rPr/>
        <w:t xml:space="preserve"> of the facts (indeed, the lien stated the agent was only signing “for purposes of presenting” the lien and disclaimed knowledge)</w:t>
      </w:r>
      <w:hyperlink r:id="rId67" w:anchor=":~:text=belong%20to%20LevelSet" w:tgtFrame="_blank">
        <w:r>
          <w:rPr>
            <w:rStyle w:val="Hyperlink"/>
          </w:rPr>
          <w:t>hammerngavel.com</w:t>
        </w:r>
      </w:hyperlink>
      <w:r>
        <w:rPr/>
        <w:t xml:space="preserve">. This lack of a true oath and the act of an unauthorized third party preparing legal claims were deemed the </w:t>
      </w:r>
      <w:r>
        <w:rPr>
          <w:rStyle w:val="Strong"/>
        </w:rPr>
        <w:t>unlicensed practice of law</w:t>
      </w:r>
      <w:r>
        <w:rPr/>
        <w:t>, violating Florida’s requirement that liens be prepared by the lienor or a licensed Florida attorney</w:t>
      </w:r>
      <w:hyperlink r:id="rId68" w:anchor=":~:text=2,appeared%20to%20belong%20to%20LevelSet" w:tgtFrame="_blank">
        <w:r>
          <w:rPr>
            <w:rStyle w:val="Hyperlink"/>
          </w:rPr>
          <w:t>hammerngavel.com</w:t>
        </w:r>
      </w:hyperlink>
      <w:hyperlink r:id="rId69" w:anchor=":~:text=The%20court%20also%20found%20that,the%20unlicensed%20practice%20of%20law" w:tgtFrame="_blank">
        <w:r>
          <w:rPr>
            <w:rStyle w:val="Hyperlink"/>
          </w:rPr>
          <w:t>hammerngavel.com</w:t>
        </w:r>
      </w:hyperlink>
      <w:r>
        <w:rPr/>
        <w:t>. The court held these irregularities – along with other content errors in the lien – justified full discharge of the lien</w:t>
      </w:r>
      <w:hyperlink r:id="rId70" w:anchor=":~:text=While%20the%20court%20found%20that,21%2C%20Florida%20Statutes" w:tgtFrame="_blank">
        <w:r>
          <w:rPr>
            <w:rStyle w:val="Hyperlink"/>
          </w:rPr>
          <w:t>hammerngavel.com</w:t>
        </w:r>
      </w:hyperlink>
      <w:r>
        <w:rPr/>
        <w:t xml:space="preserve">. This order serves as a caution: </w:t>
      </w:r>
      <w:r>
        <w:rPr>
          <w:rStyle w:val="Strong"/>
        </w:rPr>
        <w:t>rely on qualified professionals and ensure the person swearing to the lien knows the project’s details</w:t>
      </w:r>
      <w:r>
        <w:rPr/>
        <w:t>. An improperly executed lien (wrong “prepared by” or a false/verbatim notarization without a real oath) can be attacked successfully.</w:t>
      </w:r>
    </w:p>
    <w:p>
      <w:pPr>
        <w:pStyle w:val="BodyText"/>
        <w:bidi w:val="0"/>
        <w:jc w:val="start"/>
        <w:rPr/>
      </w:pPr>
      <w:r>
        <w:rPr>
          <w:rStyle w:val="Strong"/>
        </w:rPr>
        <w:t>Practical Guidance:</w:t>
      </w:r>
      <w:r>
        <w:rPr/>
        <w:t xml:space="preserve"> Double-check every detail on your Claim of Lien </w:t>
      </w:r>
      <w:r>
        <w:rPr>
          <w:rStyle w:val="Strong"/>
        </w:rPr>
        <w:t>before</w:t>
      </w:r>
      <w:r>
        <w:rPr/>
        <w:t xml:space="preserve"> recording. Use the statutory form or a proven template that tracks §713.08’s requirements</w:t>
      </w:r>
      <w:hyperlink r:id="rId71" w:anchor=":~:text=ethod%20of%20service%20of%20the,on%20the%20contractor%20or%20subcontractor" w:tgtFrame="_blank">
        <w:r>
          <w:rPr>
            <w:rStyle w:val="Hyperlink"/>
          </w:rPr>
          <w:t>cobbgonzalez.com</w:t>
        </w:r>
      </w:hyperlink>
      <w:r>
        <w:rPr/>
        <w:t xml:space="preserve">. Key points to get right: the </w:t>
      </w:r>
      <w:r>
        <w:rPr>
          <w:rStyle w:val="Strong"/>
        </w:rPr>
        <w:t>property description</w:t>
      </w:r>
      <w:r>
        <w:rPr/>
        <w:t xml:space="preserve"> (use the full legal description from the deed or Notice of Commencement; if unavailable, use a clear street address and parcel ID, but legal description is best), the </w:t>
      </w:r>
      <w:r>
        <w:rPr>
          <w:rStyle w:val="Strong"/>
        </w:rPr>
        <w:t>exact name of the owner</w:t>
      </w:r>
      <w:r>
        <w:rPr/>
        <w:t xml:space="preserve"> (as per public records; for a corporate owner, the correct legal name), and your own name and address. Ensure you correctly state the </w:t>
      </w:r>
      <w:r>
        <w:rPr>
          <w:rStyle w:val="Strong"/>
        </w:rPr>
        <w:t>first and last dates</w:t>
      </w:r>
      <w:r>
        <w:rPr/>
        <w:t xml:space="preserve"> you furnished labor/material – these should align with project records (delivery tickets, daily logs). The </w:t>
      </w:r>
      <w:r>
        <w:rPr>
          <w:rStyle w:val="Strong"/>
        </w:rPr>
        <w:t>amount unpaid</w:t>
      </w:r>
      <w:r>
        <w:rPr/>
        <w:t xml:space="preserve"> should be calculated carefully; do </w:t>
      </w:r>
      <w:r>
        <w:rPr>
          <w:rStyle w:val="Emphasis"/>
        </w:rPr>
        <w:t>not</w:t>
      </w:r>
      <w:r>
        <w:rPr/>
        <w:t xml:space="preserve"> include amounts not yet due under your contract or items not provided. (For instance, if your contract included profit/overhead, that’s fine to include as part of the contract value of work performed, but do not list “anticipated profit” as a separate item on a lien for work not completed – this was criticized in cases like </w:t>
      </w:r>
      <w:r>
        <w:rPr>
          <w:rStyle w:val="Emphasis"/>
        </w:rPr>
        <w:t>Viyella Co. v. Gomes</w:t>
      </w:r>
      <w:r>
        <w:rPr/>
        <w:t>, where a contractor’s inclusion of unearned profit contributed to a finding of a fraudulent lien</w:t>
      </w:r>
      <w:hyperlink r:id="rId72" w:anchor=":~:text=for%20the%20court%20to%20find,97" w:tgtFrame="_blank">
        <w:r>
          <w:rPr>
            <w:rStyle w:val="Hyperlink"/>
          </w:rPr>
          <w:t>floridabar.org</w:t>
        </w:r>
      </w:hyperlink>
      <w:r>
        <w:rPr/>
        <w:t>.) If you’re a sub or supplier, make sure you list the date you served the Notice to Owner and how you served it</w:t>
      </w:r>
      <w:hyperlink r:id="rId73" w:anchor=":~:text=,due%20under%20the%20lienor%E2%80%99s%20contract" w:tgtFrame="_blank">
        <w:r>
          <w:rPr>
            <w:rStyle w:val="Hyperlink"/>
          </w:rPr>
          <w:t>cobbgonzalez.com</w:t>
        </w:r>
      </w:hyperlink>
      <w:r>
        <w:rPr/>
        <w:t xml:space="preserve"> – omission of that NTO service info </w:t>
      </w:r>
      <w:r>
        <w:rPr>
          <w:rStyle w:val="Emphasis"/>
        </w:rPr>
        <w:t>could</w:t>
      </w:r>
      <w:r>
        <w:rPr/>
        <w:t xml:space="preserve"> mislead someone reviewing the lien (though courts have forgiven it when the owner obviously received the NTO in another form).</w:t>
      </w:r>
    </w:p>
    <w:p>
      <w:pPr>
        <w:pStyle w:val="BodyText"/>
        <w:bidi w:val="0"/>
        <w:jc w:val="start"/>
        <w:rPr/>
      </w:pPr>
      <w:r>
        <w:rPr/>
        <w:t xml:space="preserve">Absolutely ensure the lien is </w:t>
      </w:r>
      <w:r>
        <w:rPr>
          <w:rStyle w:val="Strong"/>
        </w:rPr>
        <w:t>properly executed under oath</w:t>
      </w:r>
      <w:r>
        <w:rPr/>
        <w:t xml:space="preserve">. Ideally, an officer of your company or the person with direct knowledge of the project (e.g., the project manager or credit manager) should sign in front of a notary, swearing the contents are true. Florida also permits an unnotarized oath using specific perjury language. For example, in </w:t>
      </w:r>
      <w:r>
        <w:rPr>
          <w:rStyle w:val="Strong"/>
        </w:rPr>
        <w:t>J.S.L. Construction v. Levy</w:t>
      </w:r>
      <w:r>
        <w:rPr/>
        <w:t xml:space="preserve">, the lienor’s president signed a declaration on the lien stating: </w:t>
      </w:r>
      <w:r>
        <w:rPr>
          <w:rStyle w:val="Emphasis"/>
        </w:rPr>
        <w:t>“Under penalties of perjury, I declare that I have read the foregoing ... and that the facts stated in it are true.”</w:t>
      </w:r>
      <w:hyperlink r:id="rId74" w:anchor=":~:text=Fourth%2C%20the%20statement%20provided%20by,that%20the%20facts%20stated%20in" w:tgtFrame="_blank">
        <w:r>
          <w:rPr>
            <w:rStyle w:val="Hyperlink"/>
          </w:rPr>
          <w:t>casemine.com</w:t>
        </w:r>
      </w:hyperlink>
      <w:hyperlink r:id="rId75" w:anchor=":~:text=it%20are%20true,1103%20%28Fla" w:tgtFrame="_blank">
        <w:r>
          <w:rPr>
            <w:rStyle w:val="Hyperlink"/>
          </w:rPr>
          <w:t>casemine.com</w:t>
        </w:r>
      </w:hyperlink>
      <w:r>
        <w:rPr/>
        <w:t>. The Third DCA held this was a valid “oath” per Fla. Stat. §92.525, equivalent to a notarized verification</w:t>
      </w:r>
      <w:hyperlink r:id="rId76" w:anchor=":~:text=it%20are%20true,1103%20%28Fla" w:tgtFrame="_blank">
        <w:r>
          <w:rPr>
            <w:rStyle w:val="Hyperlink"/>
          </w:rPr>
          <w:t>casemine.com</w:t>
        </w:r>
      </w:hyperlink>
      <w:r>
        <w:rPr/>
        <w:t xml:space="preserve">. Because the owner in </w:t>
      </w:r>
      <w:r>
        <w:rPr>
          <w:rStyle w:val="Emphasis"/>
        </w:rPr>
        <w:t>J.S.L.</w:t>
      </w:r>
      <w:r>
        <w:rPr/>
        <w:t xml:space="preserve"> had not sent a proper sworn Statement of Account demand (discussed below), the court noted that the lien’s form was sufficient and distinguished the situation from </w:t>
      </w:r>
      <w:r>
        <w:rPr>
          <w:rStyle w:val="Emphasis"/>
        </w:rPr>
        <w:t>Stresscon</w:t>
      </w:r>
      <w:r>
        <w:rPr/>
        <w:t xml:space="preserve"> (where no oath was initially provided at all)</w:t>
      </w:r>
      <w:hyperlink r:id="rId77" w:anchor=":~:text=Other%20portions%20of%20Chapter%20713,%281999%29%20%28same" w:tgtFrame="_blank">
        <w:r>
          <w:rPr>
            <w:rStyle w:val="Hyperlink"/>
          </w:rPr>
          <w:t>casemine.com</w:t>
        </w:r>
      </w:hyperlink>
      <w:hyperlink r:id="rId78" w:anchor=":~:text=In%20Stresscon%20v,This%20distinguishes%20Stresscon" w:tgtFrame="_blank">
        <w:r>
          <w:rPr>
            <w:rStyle w:val="Hyperlink"/>
          </w:rPr>
          <w:t>casemine.com</w:t>
        </w:r>
      </w:hyperlink>
      <w:r>
        <w:rPr/>
        <w:t xml:space="preserve">. So, you may either notarize your lien or include the statutory perjury clause – but </w:t>
      </w:r>
      <w:r>
        <w:rPr>
          <w:rStyle w:val="Emphasis"/>
        </w:rPr>
        <w:t>do one or the other</w:t>
      </w:r>
      <w:r>
        <w:rPr/>
        <w:t xml:space="preserve">. Never let a third-party service “robo-sign” on your behalf without a real oath. If you use a lien preparation service, </w:t>
      </w:r>
      <w:r>
        <w:rPr>
          <w:rStyle w:val="Strong"/>
        </w:rPr>
        <w:t>review the document carefully</w:t>
      </w:r>
      <w:r>
        <w:rPr/>
        <w:t xml:space="preserve"> before it’s recorded and insist that </w:t>
      </w:r>
      <w:r>
        <w:rPr>
          <w:rStyle w:val="Emphasis"/>
        </w:rPr>
        <w:t>you</w:t>
      </w:r>
      <w:r>
        <w:rPr/>
        <w:t xml:space="preserve"> (or an authorized officer) sign the final version under oath. Some services will prepare the draft, then send it to you to sign and notarize – that arrangement is fine. What you want to avoid is the scenario in </w:t>
      </w:r>
      <w:r>
        <w:rPr>
          <w:rStyle w:val="Emphasis"/>
        </w:rPr>
        <w:t>Lamm &amp; Newline</w:t>
      </w:r>
      <w:r>
        <w:rPr/>
        <w:t>, where the lien was effectively generated and signed by someone with no connection to the project</w:t>
      </w:r>
      <w:hyperlink r:id="rId79" w:anchor=":~:text=3,presenting%20this%20claim%20of%20lien" w:tgtFrame="_blank">
        <w:r>
          <w:rPr>
            <w:rStyle w:val="Hyperlink"/>
          </w:rPr>
          <w:t>hammerngavel.com</w:t>
        </w:r>
      </w:hyperlink>
      <w:hyperlink r:id="rId80" w:anchor=":~:text=The%20court%20also%20found%20that,the%20unlicensed%20practice%20of%20law" w:tgtFrame="_blank">
        <w:r>
          <w:rPr>
            <w:rStyle w:val="Hyperlink"/>
          </w:rPr>
          <w:t>hammerngavel.com</w:t>
        </w:r>
      </w:hyperlink>
      <w:r>
        <w:rPr/>
        <w:t xml:space="preserve">. Not only could that void your lien, but it might also expose the service (and possibly you) to legal repercussions. Using a Florida-licensed </w:t>
      </w:r>
      <w:r>
        <w:rPr>
          <w:rStyle w:val="Strong"/>
        </w:rPr>
        <w:t>attorney</w:t>
      </w:r>
      <w:r>
        <w:rPr/>
        <w:t xml:space="preserve"> to prepare and sign the lien on your behalf is permissible – attorneys can sign as your agent and that is the authorized practice of law. But if an attorney prepares it, typically they’ll still have you sign the verification since you have personal knowledge.</w:t>
      </w:r>
    </w:p>
    <w:p>
      <w:pPr>
        <w:pStyle w:val="BodyText"/>
        <w:bidi w:val="0"/>
        <w:jc w:val="start"/>
        <w:rPr/>
      </w:pPr>
      <w:r>
        <w:rPr/>
        <w:t xml:space="preserve">In summary, </w:t>
      </w:r>
      <w:r>
        <w:rPr>
          <w:rStyle w:val="Strong"/>
        </w:rPr>
        <w:t>accuracy and authenticity</w:t>
      </w:r>
      <w:r>
        <w:rPr/>
        <w:t xml:space="preserve"> are paramount. Florida’s courts will overlook </w:t>
      </w:r>
      <w:r>
        <w:rPr>
          <w:rStyle w:val="Strong"/>
        </w:rPr>
        <w:t>harmless, non-misleading mistakes</w:t>
      </w:r>
      <w:r>
        <w:rPr/>
        <w:t xml:space="preserve"> in a lien (like a typo or transposed name) to uphold a valid debt</w:t>
      </w:r>
      <w:hyperlink r:id="rId81" w:anchor=":~:text=Section%20%284%29%28a%29%20of%20F,by%20such%20omission%20or%20error" w:tgtFrame="_blank">
        <w:r>
          <w:rPr>
            <w:rStyle w:val="Hyperlink"/>
          </w:rPr>
          <w:t>case-law.vlex.com</w:t>
        </w:r>
      </w:hyperlink>
      <w:hyperlink r:id="rId82" w:anchor=":~:text=Application%3A%20The%20court%20concluded%20that,necessitating%20further%20examination%20at%20trial" w:tgtFrame="_blank">
        <w:r>
          <w:rPr>
            <w:rStyle w:val="Hyperlink"/>
          </w:rPr>
          <w:t>descrybe.ai</w:t>
        </w:r>
      </w:hyperlink>
      <w:r>
        <w:rPr/>
        <w:t xml:space="preserve">, but they will not overlook </w:t>
      </w:r>
      <w:r>
        <w:rPr>
          <w:rStyle w:val="Emphasis"/>
        </w:rPr>
        <w:t>significant</w:t>
      </w:r>
      <w:r>
        <w:rPr/>
        <w:t xml:space="preserve"> errors or procedural missteps that threaten the integrity of the lien process. By carefully complying with §713.08’s content requirements and double-checking your lien for errors, you can avoid giving the other side ammunition to challenge your lien.</w:t>
      </w:r>
    </w:p>
    <w:p>
      <w:pPr>
        <w:pStyle w:val="Heading2"/>
        <w:bidi w:val="0"/>
        <w:jc w:val="start"/>
        <w:rPr/>
      </w:pPr>
      <w:r>
        <w:rPr/>
        <w:t>Responding to Owner’s Demands: Sworn Statement of Account (§713.16)</w:t>
      </w:r>
    </w:p>
    <w:p>
      <w:pPr>
        <w:pStyle w:val="BodyText"/>
        <w:bidi w:val="0"/>
        <w:jc w:val="start"/>
        <w:rPr/>
      </w:pPr>
      <w:r>
        <w:rPr/>
        <w:t xml:space="preserve">Even after a lien is recorded, a lienor’s compliance obligations aren’t over. Florida law provides owners with tools to </w:t>
      </w:r>
      <w:r>
        <w:rPr>
          <w:rStyle w:val="Strong"/>
        </w:rPr>
        <w:t>contest or narrow lien claims</w:t>
      </w:r>
      <w:r>
        <w:rPr/>
        <w:t xml:space="preserve">, and lienors must </w:t>
      </w:r>
      <w:r>
        <w:rPr>
          <w:rStyle w:val="Strong"/>
        </w:rPr>
        <w:t>strictly adhere</w:t>
      </w:r>
      <w:r>
        <w:rPr/>
        <w:t xml:space="preserve"> to certain duties in response. One critical owner right is the </w:t>
      </w:r>
      <w:r>
        <w:rPr>
          <w:rStyle w:val="Strong"/>
        </w:rPr>
        <w:t>Request for Sworn Statement of Account</w:t>
      </w:r>
      <w:r>
        <w:rPr/>
        <w:t xml:space="preserve"> under §713.16(2). An owner (or the owner’s agent or contractor) may at any time demand that the lienor provide a written, sworn statement of the lienor’s account – essentially a breakdown of the labor/materials furnished, the amounts paid to date, and the amount due (and to become due, if known)</w:t>
      </w:r>
      <w:hyperlink r:id="rId83" w:anchor=":~:text=Third%2C%20J,in%20substantially%20the%20following%20form" w:tgtFrame="_blank">
        <w:r>
          <w:rPr>
            <w:rStyle w:val="Hyperlink"/>
          </w:rPr>
          <w:t>casemine.com</w:t>
        </w:r>
      </w:hyperlink>
      <w:hyperlink r:id="rId84" w:anchor=":~:text=,property%20description" w:tgtFrame="_blank">
        <w:r>
          <w:rPr>
            <w:rStyle w:val="Hyperlink"/>
          </w:rPr>
          <w:t>casemine.com</w:t>
        </w:r>
      </w:hyperlink>
      <w:r>
        <w:rPr/>
        <w:t xml:space="preserve">. The statute provides a specific form for this request, including a bolded warning: </w:t>
      </w:r>
      <w:r>
        <w:rPr>
          <w:rStyle w:val="Emphasis"/>
        </w:rPr>
        <w:t>“Your failure to furnish the requested statement, signed under oath, within 30 days…will result in the loss of your lien.”</w:t>
      </w:r>
      <w:hyperlink r:id="rId85" w:anchor=":~:text=demand%20by%20an%20owner%20which,in%20substantially%20the%20following%20form" w:tgtFrame="_blank">
        <w:r>
          <w:rPr>
            <w:rStyle w:val="Hyperlink"/>
          </w:rPr>
          <w:t>casemine.com</w:t>
        </w:r>
      </w:hyperlink>
      <w:hyperlink r:id="rId86" w:anchor=":~:text=,property%20description" w:tgtFrame="_blank">
        <w:r>
          <w:rPr>
            <w:rStyle w:val="Hyperlink"/>
          </w:rPr>
          <w:t>casemine.com</w:t>
        </w:r>
      </w:hyperlink>
      <w:r>
        <w:rPr/>
        <w:t xml:space="preserve">. If the owner’s demand is properly made in writing and delivered as the statute prescribes, the lienor </w:t>
      </w:r>
      <w:r>
        <w:rPr>
          <w:rStyle w:val="Strong"/>
        </w:rPr>
        <w:t>must comply within 30 days</w:t>
      </w:r>
      <w:r>
        <w:rPr/>
        <w:t xml:space="preserve"> or forfeit the lien rights by operation of law</w:t>
      </w:r>
      <w:hyperlink r:id="rId87" w:anchor=":~:text=%C2%A7%20713,of%20his%20or%20her%20lien" w:tgtFrame="_blank">
        <w:r>
          <w:rPr>
            <w:rStyle w:val="Hyperlink"/>
          </w:rPr>
          <w:t>casemine.com</w:t>
        </w:r>
      </w:hyperlink>
      <w:r>
        <w:rPr/>
        <w:t>.</w:t>
      </w:r>
    </w:p>
    <w:p>
      <w:pPr>
        <w:pStyle w:val="BodyText"/>
        <w:bidi w:val="0"/>
        <w:jc w:val="start"/>
        <w:rPr/>
      </w:pPr>
      <w:r>
        <w:rPr/>
        <w:t xml:space="preserve">Florida courts have been unforgiving on this point. In </w:t>
      </w:r>
      <w:r>
        <w:rPr>
          <w:rStyle w:val="Strong"/>
        </w:rPr>
        <w:t>Home Electric of Dade County, Inc. v. Gonas</w:t>
      </w:r>
      <w:r>
        <w:rPr/>
        <w:t xml:space="preserve">, the Florida Supreme Court held that a contractor’s failure to timely furnish a statement of account when demanded caused the lien to be lost – even though the owner’s demand letter in that case did </w:t>
      </w:r>
      <w:r>
        <w:rPr>
          <w:rStyle w:val="Emphasis"/>
        </w:rPr>
        <w:t>not</w:t>
      </w:r>
      <w:r>
        <w:rPr/>
        <w:t xml:space="preserve"> mention the 30-day deadline as required by the statute</w:t>
      </w:r>
      <w:hyperlink r:id="rId88" w:anchor=":~:text=This%20Court%27s%20decision%20in%20Home,Home" w:tgtFrame="_blank">
        <w:r>
          <w:rPr>
            <w:rStyle w:val="Hyperlink"/>
          </w:rPr>
          <w:t>law.justia.com</w:t>
        </w:r>
      </w:hyperlink>
      <w:hyperlink r:id="rId89" w:anchor=":~:text=Electric%2C%20547%20So,its%20lien%20must%20be%20denied" w:tgtFrame="_blank">
        <w:r>
          <w:rPr>
            <w:rStyle w:val="Hyperlink"/>
          </w:rPr>
          <w:t>law.justia.com</w:t>
        </w:r>
      </w:hyperlink>
      <w:r>
        <w:rPr/>
        <w:t xml:space="preserve">. The Court emphasized that </w:t>
      </w:r>
      <w:r>
        <w:rPr>
          <w:rStyle w:val="Emphasis"/>
        </w:rPr>
        <w:t>“strict compliance”</w:t>
      </w:r>
      <w:r>
        <w:rPr/>
        <w:t xml:space="preserve"> with statutory prerequisites was required for a lienor seeking affirmative relief</w:t>
      </w:r>
      <w:hyperlink r:id="rId90" w:anchor=":~:text=required%20time.%20Noting%20,its%20lien%20must%20be%20denied" w:tgtFrame="_blank">
        <w:r>
          <w:rPr>
            <w:rStyle w:val="Hyperlink"/>
          </w:rPr>
          <w:t>law.justia.com</w:t>
        </w:r>
      </w:hyperlink>
      <w:r>
        <w:rPr/>
        <w:t>. By not responding in time, the contractor sacrificed an otherwise valid lien, and the lien was denied</w:t>
      </w:r>
      <w:hyperlink r:id="rId91" w:anchor=":~:text=Electric%2C%20547%20So,its%20lien%20must%20be%20denied" w:tgtFrame="_blank">
        <w:r>
          <w:rPr>
            <w:rStyle w:val="Hyperlink"/>
          </w:rPr>
          <w:t>law.justia.com</w:t>
        </w:r>
      </w:hyperlink>
      <w:hyperlink r:id="rId92" w:anchor=":~:text=As%20this%20Court%20has%20stated,denial%20of%20the%20mechanic%27s%20lien" w:tgtFrame="_blank">
        <w:r>
          <w:rPr>
            <w:rStyle w:val="Hyperlink"/>
          </w:rPr>
          <w:t>law.justia.com</w:t>
        </w:r>
      </w:hyperlink>
      <w:r>
        <w:rPr/>
        <w:t>.</w:t>
      </w:r>
    </w:p>
    <w:p>
      <w:pPr>
        <w:pStyle w:val="BodyText"/>
        <w:bidi w:val="0"/>
        <w:jc w:val="start"/>
        <w:rPr/>
      </w:pPr>
      <w:r>
        <w:rPr/>
        <w:t xml:space="preserve">Likewise, in </w:t>
      </w:r>
      <w:r>
        <w:rPr>
          <w:rStyle w:val="Strong"/>
        </w:rPr>
        <w:t>Stresscon v. Madiedo</w:t>
      </w:r>
      <w:r>
        <w:rPr/>
        <w:t>, a subcontractor (</w:t>
      </w:r>
      <w:r>
        <w:rPr>
          <w:rStyle w:val="Emphasis"/>
        </w:rPr>
        <w:t>Stresscon</w:t>
      </w:r>
      <w:r>
        <w:rPr/>
        <w:t xml:space="preserve">) did send a timely </w:t>
      </w:r>
      <w:r>
        <w:rPr>
          <w:rStyle w:val="Emphasis"/>
        </w:rPr>
        <w:t>written</w:t>
      </w:r>
      <w:r>
        <w:rPr/>
        <w:t xml:space="preserve"> statement of account within 30 days of the owner’s demand, but the statement was </w:t>
      </w:r>
      <w:r>
        <w:rPr>
          <w:rStyle w:val="Strong"/>
        </w:rPr>
        <w:t>not notarized</w:t>
      </w:r>
      <w:r>
        <w:rPr/>
        <w:t xml:space="preserve"> (not sworn)</w:t>
      </w:r>
      <w:hyperlink r:id="rId93" w:anchor=":~:text=work%20completed%2C%20Madiedo%20sent%20a,provided%20an%20affidavit%20swearing%20to" w:tgtFrame="_blank">
        <w:r>
          <w:rPr>
            <w:rStyle w:val="Hyperlink"/>
          </w:rPr>
          <w:t>law.justia.com</w:t>
        </w:r>
      </w:hyperlink>
      <w:hyperlink r:id="rId94" w:anchor=":~:text=This%20Court%27s%20decision%20in%20Home,strict%20compliance%20is%20an%20indispensable" w:tgtFrame="_blank">
        <w:r>
          <w:rPr>
            <w:rStyle w:val="Hyperlink"/>
          </w:rPr>
          <w:t>law.justia.com</w:t>
        </w:r>
      </w:hyperlink>
      <w:r>
        <w:rPr/>
        <w:t>. When the owner moved for summary judgment to discharge the lien, Stresscon belatedly attempted to cure the defect by providing an affidavit verifying the earlier statement</w:t>
      </w:r>
      <w:hyperlink r:id="rId95" w:anchor=":~:text=Thereafter%2C%20Stresscon%20sent%20a%20timely,We%20approve%20the%20result%20below" w:tgtFrame="_blank">
        <w:r>
          <w:rPr>
            <w:rStyle w:val="Hyperlink"/>
          </w:rPr>
          <w:t>law.justia.com</w:t>
        </w:r>
      </w:hyperlink>
      <w:r>
        <w:rPr/>
        <w:t xml:space="preserve">. The Florida Supreme Court held that this late verification could not save the lien. Because §713.16(2) explicitly required the statement to be “under oath” and included no exception for substantial compliance, the failure to supply a sworn statement within 30 days was fatal – </w:t>
      </w:r>
      <w:r>
        <w:rPr>
          <w:rStyle w:val="Emphasis"/>
        </w:rPr>
        <w:t>prejudice to the owner was irrelevant</w:t>
      </w:r>
      <w:hyperlink r:id="rId96" w:anchor=":~:text=The%20fact%20that%20no%20prejudice,who%20has%20not%20been%20adversely" w:tgtFrame="_blank">
        <w:r>
          <w:rPr>
            <w:rStyle w:val="Hyperlink"/>
          </w:rPr>
          <w:t>law.justia.com</w:t>
        </w:r>
      </w:hyperlink>
      <w:hyperlink r:id="rId97" w:anchor=":~:text=following%20form,the%20validity%20of%20a%20lien" w:tgtFrame="_blank">
        <w:r>
          <w:rPr>
            <w:rStyle w:val="Hyperlink"/>
          </w:rPr>
          <w:t>law.justia.com</w:t>
        </w:r>
      </w:hyperlink>
      <w:r>
        <w:rPr/>
        <w:t>. The Court rejected arguments that no harm was done or that the omission was cured later; in lien law, if the statute doesn’t allow a cure or excuse, the courts will not create one</w:t>
      </w:r>
      <w:hyperlink r:id="rId98" w:anchor=":~:text=e,to%20contractors%2C%20notice%20of%20nonpayment" w:tgtFrame="_blank">
        <w:r>
          <w:rPr>
            <w:rStyle w:val="Hyperlink"/>
          </w:rPr>
          <w:t>law.justia.com</w:t>
        </w:r>
      </w:hyperlink>
      <w:hyperlink r:id="rId99" w:anchor=":~:text=As%20this%20Court%20has%20stated,denial%20of%20the%20mechanic%27s%20lien" w:tgtFrame="_blank">
        <w:r>
          <w:rPr>
            <w:rStyle w:val="Hyperlink"/>
          </w:rPr>
          <w:t>law.justia.com</w:t>
        </w:r>
      </w:hyperlink>
      <w:r>
        <w:rPr/>
        <w:t>. The lien was discharged due to the unverified statement, despite it being accurate and on time</w:t>
      </w:r>
      <w:hyperlink r:id="rId100" w:anchor=":~:text=work%20completed%2C%20Madiedo%20sent%20a,relying%20upon%20Home%20Electric%20of" w:tgtFrame="_blank">
        <w:r>
          <w:rPr>
            <w:rStyle w:val="Hyperlink"/>
          </w:rPr>
          <w:t>law.justia.com</w:t>
        </w:r>
      </w:hyperlink>
      <w:hyperlink r:id="rId101" w:anchor=":~:text=As%20this%20Court%20has%20stated,denial%20of%20the%20mechanic%27s%20lien" w:tgtFrame="_blank">
        <w:r>
          <w:rPr>
            <w:rStyle w:val="Hyperlink"/>
          </w:rPr>
          <w:t>law.justia.com</w:t>
        </w:r>
      </w:hyperlink>
      <w:r>
        <w:rPr/>
        <w:t>.</w:t>
      </w:r>
    </w:p>
    <w:p>
      <w:pPr>
        <w:pStyle w:val="BodyText"/>
        <w:bidi w:val="0"/>
        <w:jc w:val="start"/>
        <w:rPr/>
      </w:pPr>
      <w:r>
        <w:rPr/>
        <w:t xml:space="preserve">These cases make clear that an owner’s demand for a statement of account is a </w:t>
      </w:r>
      <w:r>
        <w:rPr>
          <w:rStyle w:val="Strong"/>
        </w:rPr>
        <w:t>powerful weapon</w:t>
      </w:r>
      <w:r>
        <w:rPr/>
        <w:t>: it can effectively shorten the life of a lien if the lienor is not extremely diligent. However, lienors should also note the procedural requirements on the owner. Section 713.16(2) says the owner’s request “</w:t>
      </w:r>
      <w:r>
        <w:rPr>
          <w:rStyle w:val="Emphasis"/>
        </w:rPr>
        <w:t>must be in substantially the [statutory] form</w:t>
      </w:r>
      <w:r>
        <w:rPr/>
        <w:t>” including the warning about loss of lien rights</w:t>
      </w:r>
      <w:hyperlink r:id="rId102" w:anchor=":~:text=Third%2C%20J,in%20substantially%20the%20following%20form" w:tgtFrame="_blank">
        <w:r>
          <w:rPr>
            <w:rStyle w:val="Hyperlink"/>
          </w:rPr>
          <w:t>casemine.com</w:t>
        </w:r>
      </w:hyperlink>
      <w:hyperlink r:id="rId103" w:anchor=":~:text=,property%20description" w:tgtFrame="_blank">
        <w:r>
          <w:rPr>
            <w:rStyle w:val="Hyperlink"/>
          </w:rPr>
          <w:t>casemine.com</w:t>
        </w:r>
      </w:hyperlink>
      <w:r>
        <w:rPr/>
        <w:t xml:space="preserve">. If an owner’s letter omits that statutory warning or is not </w:t>
      </w:r>
      <w:r>
        <w:rPr>
          <w:rStyle w:val="Emphasis"/>
        </w:rPr>
        <w:t>written</w:t>
      </w:r>
      <w:r>
        <w:rPr/>
        <w:t xml:space="preserve"> at all, a lienor might argue it wasn’t a valid demand (and thus failure to respond shouldn’t forfeit the lien). In </w:t>
      </w:r>
      <w:r>
        <w:rPr>
          <w:rStyle w:val="Strong"/>
        </w:rPr>
        <w:t>J.S.L. Construction Co. v. Levy</w:t>
      </w:r>
      <w:r>
        <w:rPr/>
        <w:t xml:space="preserve">, the owners argued the lien should be discharged for not providing a sworn account, but the record showed </w:t>
      </w:r>
      <w:r>
        <w:rPr>
          <w:rStyle w:val="Emphasis"/>
        </w:rPr>
        <w:t>no proper written demand</w:t>
      </w:r>
      <w:r>
        <w:rPr/>
        <w:t xml:space="preserve"> was ever served on the lienor</w:t>
      </w:r>
      <w:hyperlink r:id="rId104" w:anchor=":~:text=J,provide%20a%20statement%20under%20oath" w:tgtFrame="_blank">
        <w:r>
          <w:rPr>
            <w:rStyle w:val="Hyperlink"/>
          </w:rPr>
          <w:t>casemine.com</w:t>
        </w:r>
      </w:hyperlink>
      <w:hyperlink r:id="rId105" w:anchor=":~:text=J,provide%20a%20statement%20under%20oath" w:tgtFrame="_blank">
        <w:r>
          <w:rPr>
            <w:rStyle w:val="Hyperlink"/>
          </w:rPr>
          <w:t>casemine.com</w:t>
        </w:r>
      </w:hyperlink>
      <w:r>
        <w:rPr/>
        <w:t>. The Third DCA agreed that in the absence of a demonstrated written request in the statutory form, the contractor’s lien could not be defeated on that ground</w:t>
      </w:r>
      <w:hyperlink r:id="rId106" w:anchor=":~:text=J,provide%20a%20statement%20under%20oath" w:tgtFrame="_blank">
        <w:r>
          <w:rPr>
            <w:rStyle w:val="Hyperlink"/>
          </w:rPr>
          <w:t>casemine.com</w:t>
        </w:r>
      </w:hyperlink>
      <w:r>
        <w:rPr/>
        <w:t xml:space="preserve">. </w:t>
      </w:r>
      <w:r>
        <w:rPr>
          <w:rStyle w:val="Emphasis"/>
        </w:rPr>
        <w:t>J.S.L.</w:t>
      </w:r>
      <w:r>
        <w:rPr/>
        <w:t xml:space="preserve"> further noted that, even if a demand had been made, the lienor’s unsworn but </w:t>
      </w:r>
      <w:r>
        <w:rPr>
          <w:rStyle w:val="Strong"/>
        </w:rPr>
        <w:t>“penalty of perjury”</w:t>
      </w:r>
      <w:r>
        <w:rPr/>
        <w:t xml:space="preserve"> verified statement likely satisfied the “under oath” requirement under current law</w:t>
      </w:r>
      <w:hyperlink r:id="rId107" w:anchor=":~:text=Fourth%2C%20the%20statement%20provided%20by,that%20the%20facts%20stated%20in" w:tgtFrame="_blank">
        <w:r>
          <w:rPr>
            <w:rStyle w:val="Hyperlink"/>
          </w:rPr>
          <w:t>casemine.com</w:t>
        </w:r>
      </w:hyperlink>
      <w:hyperlink r:id="rId108" w:anchor=":~:text=it%20are%20true,1103%20%28Fla" w:tgtFrame="_blank">
        <w:r>
          <w:rPr>
            <w:rStyle w:val="Hyperlink"/>
          </w:rPr>
          <w:t>casemine.com</w:t>
        </w:r>
      </w:hyperlink>
      <w:r>
        <w:rPr/>
        <w:t xml:space="preserve"> (Florida law in 1994 was amended to accept unsworn declarations as “oaths” – something not available at the time of </w:t>
      </w:r>
      <w:r>
        <w:rPr>
          <w:rStyle w:val="Emphasis"/>
        </w:rPr>
        <w:t>Stresscon</w:t>
      </w:r>
      <w:r>
        <w:rPr/>
        <w:t xml:space="preserve"> in 1991). The court distinguished </w:t>
      </w:r>
      <w:r>
        <w:rPr>
          <w:rStyle w:val="Emphasis"/>
        </w:rPr>
        <w:t>Stresscon</w:t>
      </w:r>
      <w:r>
        <w:rPr/>
        <w:t xml:space="preserve"> on that basis: in </w:t>
      </w:r>
      <w:r>
        <w:rPr>
          <w:rStyle w:val="Emphasis"/>
        </w:rPr>
        <w:t>Stresscon</w:t>
      </w:r>
      <w:r>
        <w:rPr/>
        <w:t xml:space="preserve">, the lienor provided </w:t>
      </w:r>
      <w:r>
        <w:rPr>
          <w:rStyle w:val="Strong"/>
        </w:rPr>
        <w:t>no attestation whatsoever</w:t>
      </w:r>
      <w:r>
        <w:rPr/>
        <w:t xml:space="preserve"> until after the 30 days expired, whereas </w:t>
      </w:r>
      <w:r>
        <w:rPr>
          <w:rStyle w:val="Emphasis"/>
        </w:rPr>
        <w:t>J.S.L.</w:t>
      </w:r>
      <w:r>
        <w:rPr/>
        <w:t>’s president did certify the statement (just not notarized, but acceptable by statute) and, importantly, the owners never properly demanded it in the first place</w:t>
      </w:r>
      <w:hyperlink r:id="rId109" w:anchor=":~:text=In%20Stresscon%20v,This%20distinguishes%20Stresscon" w:tgtFrame="_blank">
        <w:r>
          <w:rPr>
            <w:rStyle w:val="Hyperlink"/>
          </w:rPr>
          <w:t>casemine.com</w:t>
        </w:r>
      </w:hyperlink>
      <w:r>
        <w:rPr/>
        <w:t>.</w:t>
      </w:r>
    </w:p>
    <w:p>
      <w:pPr>
        <w:pStyle w:val="BodyText"/>
        <w:bidi w:val="0"/>
        <w:jc w:val="start"/>
        <w:rPr/>
      </w:pPr>
      <w:r>
        <w:rPr>
          <w:rStyle w:val="Strong"/>
        </w:rPr>
        <w:t>Practical Guidance:</w:t>
      </w:r>
      <w:r>
        <w:rPr/>
        <w:t xml:space="preserve"> As a lienor, you must be prepared to </w:t>
      </w:r>
      <w:r>
        <w:rPr>
          <w:rStyle w:val="Strong"/>
        </w:rPr>
        <w:t>respond immediately to any §713.16 demand</w:t>
      </w:r>
      <w:r>
        <w:rPr/>
        <w:t xml:space="preserve">. Treat any correspondence from the owner (or general contractor or attorney for same) asking for an “accounting” or “itemization of your lien” as a potential 30-day demand – compare it to the statutory form. If it substantially tracks that language (especially if it includes the bold warning about losing your lien), the clock is ticking. </w:t>
      </w:r>
      <w:r>
        <w:rPr>
          <w:rStyle w:val="Strong"/>
        </w:rPr>
        <w:t>Mark the deadline</w:t>
      </w:r>
      <w:r>
        <w:rPr/>
        <w:t xml:space="preserve"> (30 days from receipt) and ensure you provide a </w:t>
      </w:r>
      <w:r>
        <w:rPr>
          <w:rStyle w:val="Strong"/>
        </w:rPr>
        <w:t>written statement under oath</w:t>
      </w:r>
      <w:r>
        <w:rPr/>
        <w:t xml:space="preserve"> to the requesting party within that time. The statement should detail: the nature of the labor/materials performed to date, the materials still to be furnished (if any), the amount paid so far, the amount currently due, and the amount to become due (if known)</w:t>
      </w:r>
      <w:hyperlink r:id="rId110" w:anchor=":~:text=,property%20description" w:tgtFrame="_blank">
        <w:r>
          <w:rPr>
            <w:rStyle w:val="Hyperlink"/>
          </w:rPr>
          <w:t>casemine.com</w:t>
        </w:r>
      </w:hyperlink>
      <w:r>
        <w:rPr/>
        <w:t xml:space="preserve">. Essentially, it’s a snapshot of your contract status and lien claim. Be truthful and as exact as possible – an intentionally false or “padded” statement in response can itself be deemed a </w:t>
      </w:r>
      <w:r>
        <w:rPr>
          <w:rStyle w:val="Emphasis"/>
        </w:rPr>
        <w:t>fraudulent lien</w:t>
      </w:r>
      <w:r>
        <w:rPr/>
        <w:t xml:space="preserve"> act under §713.31. Deliver the response in a provable way (e.g., certified mail or email/fax with confirmation, as allowed). If you cannot gather the information immediately, </w:t>
      </w:r>
      <w:r>
        <w:rPr>
          <w:rStyle w:val="Strong"/>
        </w:rPr>
        <w:t>do not ignore the request or assume you can stall</w:t>
      </w:r>
      <w:r>
        <w:rPr/>
        <w:t xml:space="preserve"> – Florida law provides no extension. Even if the owner’s request was missing the official warning, it’s risky to bank on that technicality; best practice is to respond timely with a sworn statement regardless, which moots any argument. By doing so, you preserve your lien and display good faith. Non-response or a late response will hand the owner a valid reason to petition the court to discharge your lien (and likely win attorney’s fees against you for doing so).</w:t>
      </w:r>
    </w:p>
    <w:p>
      <w:pPr>
        <w:pStyle w:val="BodyText"/>
        <w:bidi w:val="0"/>
        <w:jc w:val="start"/>
        <w:rPr/>
      </w:pPr>
      <w:r>
        <w:rPr/>
        <w:t xml:space="preserve">If you believe the owner’s request letter was defective (say, missing the warning or not properly addressed), you might have legal grounds to contest a lien discharge. But that would entail litigation and uncertainty – precisely what you want to avoid when securing payment. Thus, </w:t>
      </w:r>
      <w:r>
        <w:rPr>
          <w:rStyle w:val="Strong"/>
        </w:rPr>
        <w:t>always err in favor of compliance</w:t>
      </w:r>
      <w:r>
        <w:rPr/>
        <w:t>: respond in 30 days, in writing, under oath. It’s a relatively simple document to produce compared to the value of your lien rights.</w:t>
      </w:r>
    </w:p>
    <w:p>
      <w:pPr>
        <w:pStyle w:val="Heading2"/>
        <w:bidi w:val="0"/>
        <w:jc w:val="start"/>
        <w:rPr/>
      </w:pPr>
      <w:r>
        <w:rPr/>
        <w:t>Fraudulent Liens: Willful Exaggeration and Its Consequences</w:t>
      </w:r>
    </w:p>
    <w:p>
      <w:pPr>
        <w:pStyle w:val="BodyText"/>
        <w:bidi w:val="0"/>
        <w:jc w:val="start"/>
        <w:rPr/>
      </w:pPr>
      <w:r>
        <w:rPr/>
        <w:t xml:space="preserve">Florida takes a hard line against </w:t>
      </w:r>
      <w:r>
        <w:rPr>
          <w:rStyle w:val="Strong"/>
        </w:rPr>
        <w:t>fraudulent liens</w:t>
      </w:r>
      <w:r>
        <w:rPr/>
        <w:t xml:space="preserve">. Under </w:t>
      </w:r>
      <w:r>
        <w:rPr>
          <w:rStyle w:val="Strong"/>
        </w:rPr>
        <w:t>§713.31(2)(a)</w:t>
      </w:r>
      <w:r>
        <w:rPr/>
        <w:t xml:space="preserve">, a construction lien is deemed </w:t>
      </w:r>
      <w:r>
        <w:rPr>
          <w:rStyle w:val="Emphasis"/>
        </w:rPr>
        <w:t>fraudulent</w:t>
      </w:r>
      <w:r>
        <w:rPr/>
        <w:t xml:space="preserve"> if the lienor has </w:t>
      </w:r>
      <w:r>
        <w:rPr>
          <w:rStyle w:val="Strong"/>
        </w:rPr>
        <w:t>willfully exaggerated</w:t>
      </w:r>
      <w:r>
        <w:rPr/>
        <w:t xml:space="preserve"> the amount, </w:t>
      </w:r>
      <w:r>
        <w:rPr>
          <w:rStyle w:val="Strong"/>
        </w:rPr>
        <w:t>willfully included work or materials not performed or furnished</w:t>
      </w:r>
      <w:r>
        <w:rPr/>
        <w:t xml:space="preserve">, or asserted lien rights for work not authorized under the contract (or has compiled the claim with willful and gross negligence). In essence, if a lienor intentionally overstates the lien, the lien can be declared fraudulent and unenforceable. The </w:t>
      </w:r>
      <w:r>
        <w:rPr>
          <w:rStyle w:val="Strong"/>
        </w:rPr>
        <w:t>penalties</w:t>
      </w:r>
      <w:r>
        <w:rPr/>
        <w:t xml:space="preserve"> for a fraudulent lien are severe: the lien is extinguished, and the lienor can be made to pay the owner’s damages, which </w:t>
      </w:r>
      <w:r>
        <w:rPr>
          <w:rStyle w:val="Strong"/>
        </w:rPr>
        <w:t>must</w:t>
      </w:r>
      <w:r>
        <w:rPr/>
        <w:t xml:space="preserve"> include reasonable attorney’s fees and court costs incurred by the owner in defending or attacking the lien</w:t>
      </w:r>
      <w:hyperlink r:id="rId111" w:anchor=":~:text=Paragraph%20713,to%20ignorance%20or%20good%20faith" w:tgtFrame="_blank">
        <w:r>
          <w:rPr>
            <w:rStyle w:val="Hyperlink"/>
          </w:rPr>
          <w:t>caselaw.findlaw.com</w:t>
        </w:r>
      </w:hyperlink>
      <w:r>
        <w:rPr/>
        <w:t xml:space="preserve">. Furthermore, a lienor who </w:t>
      </w:r>
      <w:r>
        <w:rPr>
          <w:rStyle w:val="Strong"/>
        </w:rPr>
        <w:t>willfully files a fraudulent lien commits a third-degree felony</w:t>
      </w:r>
      <w:r>
        <w:rPr/>
        <w:t xml:space="preserve"> under §713.31(3)</w:t>
      </w:r>
      <w:hyperlink r:id="rId112" w:anchor=":~:text=Any%20person%20who%20willfully%20files,082" w:tgtFrame="_blank">
        <w:r>
          <w:rPr>
            <w:rStyle w:val="Hyperlink"/>
          </w:rPr>
          <w:t>flsenate.gov</w:t>
        </w:r>
      </w:hyperlink>
      <w:r>
        <w:rPr/>
        <w:t xml:space="preserve"> – although criminal prosecutions are rare, the statute’s presence underscores the seriousness of filing an inflated lien.</w:t>
      </w:r>
    </w:p>
    <w:p>
      <w:pPr>
        <w:pStyle w:val="BodyText"/>
        <w:bidi w:val="0"/>
        <w:jc w:val="start"/>
        <w:rPr/>
      </w:pPr>
      <w:r>
        <w:rPr/>
        <w:t xml:space="preserve">It’s important to distinguish a </w:t>
      </w:r>
      <w:r>
        <w:rPr>
          <w:rStyle w:val="Emphasis"/>
        </w:rPr>
        <w:t>fraudulent lien</w:t>
      </w:r>
      <w:r>
        <w:rPr/>
        <w:t xml:space="preserve"> from an ordinary </w:t>
      </w:r>
      <w:r>
        <w:rPr>
          <w:rStyle w:val="Strong"/>
        </w:rPr>
        <w:t>disputed lien</w:t>
      </w:r>
      <w:r>
        <w:rPr/>
        <w:t xml:space="preserve">. Florida courts have developed guidance through case law: a </w:t>
      </w:r>
      <w:r>
        <w:rPr>
          <w:rStyle w:val="Strong"/>
        </w:rPr>
        <w:t>good-faith dispute or minor error in the lien amount</w:t>
      </w:r>
      <w:r>
        <w:rPr/>
        <w:t xml:space="preserve"> will </w:t>
      </w:r>
      <w:r>
        <w:rPr>
          <w:rStyle w:val="Emphasis"/>
        </w:rPr>
        <w:t>not</w:t>
      </w:r>
      <w:r>
        <w:rPr/>
        <w:t xml:space="preserve"> automatically render a lien fraudulent</w:t>
      </w:r>
      <w:hyperlink r:id="rId113" w:anchor=":~:text=Exaggerated%20lien%20amounts%20may%20also,3d%20DCA%202008%29%2C%20reduced" w:tgtFrame="_blank">
        <w:r>
          <w:rPr>
            <w:rStyle w:val="Hyperlink"/>
          </w:rPr>
          <w:t>floridabar.org</w:t>
        </w:r>
      </w:hyperlink>
      <w:hyperlink r:id="rId114" w:anchor=":~:text=entitled%20to%20the%20amount%20claimed,90" w:tgtFrame="_blank">
        <w:r>
          <w:rPr>
            <w:rStyle w:val="Hyperlink"/>
          </w:rPr>
          <w:t>floridabar.org</w:t>
        </w:r>
      </w:hyperlink>
      <w:r>
        <w:rPr/>
        <w:t xml:space="preserve">. The key inquiry is the lienor’s </w:t>
      </w:r>
      <w:r>
        <w:rPr>
          <w:rStyle w:val="Strong"/>
        </w:rPr>
        <w:t>intent</w:t>
      </w:r>
      <w:r>
        <w:rPr/>
        <w:t xml:space="preserve"> and the magnitude of the exaggeration. As the Third DCA explained in </w:t>
      </w:r>
      <w:r>
        <w:rPr>
          <w:rStyle w:val="Strong"/>
        </w:rPr>
        <w:t>Delta Painting, Inc. v. Baumann</w:t>
      </w:r>
      <w:r>
        <w:rPr/>
        <w:t xml:space="preserve">, </w:t>
      </w:r>
      <w:r>
        <w:rPr>
          <w:rStyle w:val="Emphasis"/>
        </w:rPr>
        <w:t>“the lienor's intent and good or bad faith in filing a lien must be based on competent substantial evidence”</w:t>
      </w:r>
      <w:hyperlink r:id="rId115" w:anchor=":~:text=court%20said%3A" w:tgtFrame="_blank">
        <w:r>
          <w:rPr>
            <w:rStyle w:val="Hyperlink"/>
          </w:rPr>
          <w:t>caselaw.findlaw.com</w:t>
        </w:r>
      </w:hyperlink>
      <w:hyperlink r:id="rId116" w:anchor=":~:text=unauthorized%20by%20the%20Baumanns,court%27s%20conclusions%20in%20this%20regard" w:tgtFrame="_blank">
        <w:r>
          <w:rPr>
            <w:rStyle w:val="Hyperlink"/>
          </w:rPr>
          <w:t>caselaw.findlaw.com</w:t>
        </w:r>
      </w:hyperlink>
      <w:r>
        <w:rPr/>
        <w:t xml:space="preserve">. If the evidence shows the lienor knowingly and deliberately claimed amounts not earned or not allowed, then the lien is fraudulent – and once that bad faith is proven, </w:t>
      </w:r>
      <w:r>
        <w:rPr>
          <w:rStyle w:val="Emphasis"/>
        </w:rPr>
        <w:t>“a finding of a fraudulent lien by a trial court is not a discretionary matter”</w:t>
      </w:r>
      <w:r>
        <w:rPr/>
        <w:t xml:space="preserve"> (the court must deem it fraudulent)</w:t>
      </w:r>
      <w:hyperlink r:id="rId117" w:anchor=":~:text=Ten%20years%20earlier%2C%20the%20same,admitted%20that%20he%20hadn%E2%80%99t%20really" w:tgtFrame="_blank">
        <w:r>
          <w:rPr>
            <w:rStyle w:val="Hyperlink"/>
          </w:rPr>
          <w:t>floridabar.org</w:t>
        </w:r>
      </w:hyperlink>
      <w:hyperlink r:id="rId118" w:anchor=":~:text=Baumann%20%2C%20710%20So,%E2%80%9D92%C2%A0More%20recently%2C%20the%20Fifth%20District" w:tgtFrame="_blank">
        <w:r>
          <w:rPr>
            <w:rStyle w:val="Hyperlink"/>
          </w:rPr>
          <w:t>floridabar.org</w:t>
        </w:r>
      </w:hyperlink>
      <w:r>
        <w:rPr/>
        <w:t xml:space="preserve">. In </w:t>
      </w:r>
      <w:r>
        <w:rPr>
          <w:rStyle w:val="Emphasis"/>
        </w:rPr>
        <w:t>Delta Painting</w:t>
      </w:r>
      <w:r>
        <w:rPr/>
        <w:t>, for instance, the contractor’s lien included charges for additional work that the homeowners had not authorized, and even claims for work that was never performed at all</w:t>
      </w:r>
      <w:hyperlink r:id="rId119" w:anchor=":~:text=We%20begin%20our%20review%20by,We%20think" w:tgtFrame="_blank">
        <w:r>
          <w:rPr>
            <w:rStyle w:val="Hyperlink"/>
          </w:rPr>
          <w:t>caselaw.findlaw.com</w:t>
        </w:r>
      </w:hyperlink>
      <w:r>
        <w:rPr/>
        <w:t xml:space="preserve">. The lienor apparently </w:t>
      </w:r>
      <w:r>
        <w:rPr>
          <w:rStyle w:val="Emphasis"/>
        </w:rPr>
        <w:t>knew</w:t>
      </w:r>
      <w:r>
        <w:rPr/>
        <w:t xml:space="preserve"> these items were not rightful but included them anyway. The Third DCA held such evidence was </w:t>
      </w:r>
      <w:r>
        <w:rPr>
          <w:rStyle w:val="Emphasis"/>
        </w:rPr>
        <w:t>“wholly inconsistent with any notion of a minor mistake or good faith dispute”</w:t>
      </w:r>
      <w:r>
        <w:rPr/>
        <w:t xml:space="preserve"> and affirmed the trial court’s ruling that the lien was fraudulent as a matter of fact</w:t>
      </w:r>
      <w:hyperlink r:id="rId120" w:anchor=":~:text=We%20begin%20our%20review%20by,We%20think" w:tgtFrame="_blank">
        <w:r>
          <w:rPr>
            <w:rStyle w:val="Hyperlink"/>
          </w:rPr>
          <w:t>caselaw.findlaw.com</w:t>
        </w:r>
      </w:hyperlink>
      <w:hyperlink r:id="rId121" w:anchor=":~:text=included%20a%20claim%20for%20work,court%27s%20conclusions%20in%20this%20regard" w:tgtFrame="_blank">
        <w:r>
          <w:rPr>
            <w:rStyle w:val="Hyperlink"/>
          </w:rPr>
          <w:t>caselaw.findlaw.com</w:t>
        </w:r>
      </w:hyperlink>
      <w:r>
        <w:rPr/>
        <w:t>.</w:t>
      </w:r>
    </w:p>
    <w:p>
      <w:pPr>
        <w:pStyle w:val="BodyText"/>
        <w:bidi w:val="0"/>
        <w:jc w:val="start"/>
        <w:rPr/>
      </w:pPr>
      <w:r>
        <w:rPr/>
        <w:t xml:space="preserve">Contrast that with </w:t>
      </w:r>
      <w:r>
        <w:rPr>
          <w:rStyle w:val="Strong"/>
        </w:rPr>
        <w:t>Politano v. GPA Construction Group</w:t>
      </w:r>
      <w:r>
        <w:rPr/>
        <w:t>, a 2008 Third DCA case with different facts. There, a contractor’s lien was arguably overstated because it included some non-lienable items (like a separate line for overhead/profit, and possibly other costs not strictly part of the improvement)</w:t>
      </w:r>
      <w:hyperlink r:id="rId122" w:anchor=":~:text=Paragraph%20713,to%20ignorance%20or%20good%20faith" w:tgtFrame="_blank">
        <w:r>
          <w:rPr>
            <w:rStyle w:val="Hyperlink"/>
          </w:rPr>
          <w:t>caselaw.findlaw.com</w:t>
        </w:r>
      </w:hyperlink>
      <w:hyperlink r:id="rId123" w:anchor=":~:text=is%20claimed%20or%20in%20which,to%20ignorance%20or%20good%20faith" w:tgtFrame="_blank">
        <w:r>
          <w:rPr>
            <w:rStyle w:val="Hyperlink"/>
          </w:rPr>
          <w:t>caselaw.findlaw.com</w:t>
        </w:r>
      </w:hyperlink>
      <w:r>
        <w:rPr/>
        <w:t xml:space="preserve">. The owner moved to discharge the lien as fraudulent. The trial court indeed </w:t>
      </w:r>
      <w:r>
        <w:rPr>
          <w:rStyle w:val="Emphasis"/>
        </w:rPr>
        <w:t>reduced</w:t>
      </w:r>
      <w:r>
        <w:rPr/>
        <w:t xml:space="preserve"> the lienable amount but </w:t>
      </w:r>
      <w:r>
        <w:rPr>
          <w:rStyle w:val="Emphasis"/>
        </w:rPr>
        <w:t>declined to find fraud</w:t>
      </w:r>
      <w:r>
        <w:rPr/>
        <w:t>, crediting the contractor’s testimony that he believed in good faith he was entitled to those amounts</w:t>
      </w:r>
      <w:hyperlink r:id="rId124" w:anchor=":~:text=entitled%20to%20the%20amount%20claimed,90" w:tgtFrame="_blank">
        <w:r>
          <w:rPr>
            <w:rStyle w:val="Hyperlink"/>
          </w:rPr>
          <w:t>floridabar.org</w:t>
        </w:r>
      </w:hyperlink>
      <w:hyperlink r:id="rId125" w:anchor=":~:text=The%20court%20made%20reductions%20in,the%20lien%20was%20not%20fraudulent" w:tgtFrame="_blank">
        <w:r>
          <w:rPr>
            <w:rStyle w:val="Hyperlink"/>
          </w:rPr>
          <w:t>caselaw.findlaw.com</w:t>
        </w:r>
      </w:hyperlink>
      <w:r>
        <w:rPr/>
        <w:t xml:space="preserve">. The trial judge even noted the contractor’s </w:t>
      </w:r>
      <w:r>
        <w:rPr>
          <w:rStyle w:val="Strong"/>
        </w:rPr>
        <w:t>demeanor</w:t>
      </w:r>
      <w:r>
        <w:rPr/>
        <w:t xml:space="preserve"> and found no willful exaggeration – essentially concluding the overstatement resulted from mistake or dispute, not intent to defraud</w:t>
      </w:r>
      <w:hyperlink r:id="rId126" w:anchor=":~:text=entitled%20to%20the%20amount%20claimed,90" w:tgtFrame="_blank">
        <w:r>
          <w:rPr>
            <w:rStyle w:val="Hyperlink"/>
          </w:rPr>
          <w:t>floridabar.org</w:t>
        </w:r>
      </w:hyperlink>
      <w:hyperlink r:id="rId127" w:anchor=":~:text=legitimate%20dispute%20over%20some%20items%2C,the%20lien%20was%20not%20fraudulent" w:tgtFrame="_blank">
        <w:r>
          <w:rPr>
            <w:rStyle w:val="Hyperlink"/>
          </w:rPr>
          <w:t>caselaw.findlaw.com</w:t>
        </w:r>
      </w:hyperlink>
      <w:r>
        <w:rPr/>
        <w:t xml:space="preserve">. On appeal, the Third DCA </w:t>
      </w:r>
      <w:r>
        <w:rPr>
          <w:rStyle w:val="Strong"/>
        </w:rPr>
        <w:t>affirmed</w:t>
      </w:r>
      <w:r>
        <w:rPr/>
        <w:t xml:space="preserve"> that decision, holding that the trial court did not abuse its discretion in refusing to label the lien fraudulent</w:t>
      </w:r>
      <w:hyperlink r:id="rId128" w:anchor=":~:text=find%20that%20a%20lien%20was,and%20not%20a%20willful%20exaggeration" w:tgtFrame="_blank">
        <w:r>
          <w:rPr>
            <w:rStyle w:val="Hyperlink"/>
          </w:rPr>
          <w:t>caselaw.findlaw.com</w:t>
        </w:r>
      </w:hyperlink>
      <w:hyperlink r:id="rId129" w:anchor=":~:text=This%20is%20an%20appeal%20in,and%20not%20a%20willful%20exaggeration" w:tgtFrame="_blank">
        <w:r>
          <w:rPr>
            <w:rStyle w:val="Hyperlink"/>
          </w:rPr>
          <w:t>caselaw.findlaw.com</w:t>
        </w:r>
      </w:hyperlink>
      <w:r>
        <w:rPr/>
        <w:t xml:space="preserve">. The appellate court distinguished an earlier case, </w:t>
      </w:r>
      <w:r>
        <w:rPr>
          <w:rStyle w:val="Emphasis"/>
        </w:rPr>
        <w:t>Martin v. Jack Yanks Constr. Co.</w:t>
      </w:r>
      <w:r>
        <w:rPr/>
        <w:t xml:space="preserve"> (another Third DCA case), where the contractor had done “little to no work” yet filed a lien for the full contract amount – clearly a case of </w:t>
      </w:r>
      <w:r>
        <w:rPr>
          <w:rStyle w:val="Strong"/>
        </w:rPr>
        <w:t>brazen exaggeration</w:t>
      </w:r>
      <w:r>
        <w:rPr/>
        <w:t xml:space="preserve"> without any valid basis</w:t>
      </w:r>
      <w:hyperlink r:id="rId130" w:anchor=":~:text=The%20owners%27%20reliance%20on%20Martin,at%20122" w:tgtFrame="_blank">
        <w:r>
          <w:rPr>
            <w:rStyle w:val="Hyperlink"/>
          </w:rPr>
          <w:t>caselaw.findlaw.com</w:t>
        </w:r>
      </w:hyperlink>
      <w:r>
        <w:rPr/>
        <w:t xml:space="preserve">. In </w:t>
      </w:r>
      <w:r>
        <w:rPr>
          <w:rStyle w:val="Emphasis"/>
        </w:rPr>
        <w:t>Martin</w:t>
      </w:r>
      <w:r>
        <w:rPr/>
        <w:t xml:space="preserve">, the entire lien was far beyond anything that could have been owed, and it was deemed fraudulent </w:t>
      </w:r>
      <w:r>
        <w:rPr>
          <w:rStyle w:val="Emphasis"/>
        </w:rPr>
        <w:t>per se</w:t>
      </w:r>
      <w:r>
        <w:rPr/>
        <w:t xml:space="preserve">. By contrast, in </w:t>
      </w:r>
      <w:r>
        <w:rPr>
          <w:rStyle w:val="Emphasis"/>
        </w:rPr>
        <w:t>Politano</w:t>
      </w:r>
      <w:r>
        <w:rPr/>
        <w:t>, the parties had a valid long-term contract, substantial work was done, and the dispute was over the percentage of completion and certain charges</w:t>
      </w:r>
      <w:hyperlink r:id="rId131" w:anchor=":~:text=Here%2C%20the%20parties%20not%20only,the%20owners%20terminated%20the%20contractor" w:tgtFrame="_blank">
        <w:r>
          <w:rPr>
            <w:rStyle w:val="Hyperlink"/>
          </w:rPr>
          <w:t>caselaw.findlaw.com</w:t>
        </w:r>
      </w:hyperlink>
      <w:hyperlink r:id="rId132" w:anchor=":~:text=was%20compensable%20based%20on%20the,the%20owners%20terminated%20the%20contractor" w:tgtFrame="_blank">
        <w:r>
          <w:rPr>
            <w:rStyle w:val="Hyperlink"/>
          </w:rPr>
          <w:t>caselaw.findlaw.com</w:t>
        </w:r>
      </w:hyperlink>
      <w:r>
        <w:rPr/>
        <w:t xml:space="preserve">. The </w:t>
      </w:r>
      <w:r>
        <w:rPr>
          <w:rStyle w:val="Strong"/>
        </w:rPr>
        <w:t>Politano</w:t>
      </w:r>
      <w:r>
        <w:rPr/>
        <w:t xml:space="preserve"> court made an important point: just because a court </w:t>
      </w:r>
      <w:r>
        <w:rPr>
          <w:rStyle w:val="Emphasis"/>
        </w:rPr>
        <w:t>reduces</w:t>
      </w:r>
      <w:r>
        <w:rPr/>
        <w:t xml:space="preserve"> a lien’s amount during litigation does </w:t>
      </w:r>
      <w:r>
        <w:rPr>
          <w:rStyle w:val="Emphasis"/>
        </w:rPr>
        <w:t>not</w:t>
      </w:r>
      <w:r>
        <w:rPr/>
        <w:t xml:space="preserve"> automatically mean the lien was fraudulent</w:t>
      </w:r>
      <w:hyperlink r:id="rId133" w:anchor=":~:text=The%20owners%20argue%20that%20under,This%20court%20said" w:tgtFrame="_blank">
        <w:r>
          <w:rPr>
            <w:rStyle w:val="Hyperlink"/>
          </w:rPr>
          <w:t>caselaw.findlaw.com</w:t>
        </w:r>
      </w:hyperlink>
      <w:r>
        <w:rPr/>
        <w:t>. A reduction might occur simply because some claimed items turned out not to be lienable or were unproved – but if the lienor had a reasonable foundation for them, the lien can still be in good faith</w:t>
      </w:r>
      <w:hyperlink r:id="rId134" w:anchor=":~:text=The%20owners%20argue%20that%20under,This%20court%20said" w:tgtFrame="_blank">
        <w:r>
          <w:rPr>
            <w:rStyle w:val="Hyperlink"/>
          </w:rPr>
          <w:t>caselaw.findlaw.com</w:t>
        </w:r>
      </w:hyperlink>
      <w:hyperlink r:id="rId135" w:anchor=":~:text=the%20lienor%27s%20intent%20and%20good,finding%2C%20we%20cannot%20disturb%20the" w:tgtFrame="_blank">
        <w:r>
          <w:rPr>
            <w:rStyle w:val="Hyperlink"/>
          </w:rPr>
          <w:t>caselaw.findlaw.com</w:t>
        </w:r>
      </w:hyperlink>
      <w:r>
        <w:rPr/>
        <w:t>. Good faith can be a defense to a fraud allegation, but it must be supported by evidence (the lienor’s testimony, documentation, etc.)</w:t>
      </w:r>
      <w:hyperlink r:id="rId136" w:anchor=":~:text=A%20lien%20is%20deemed%20fraudulent,willfully%20exaggerate%20the%20lien%2C%E2%80%9D%20a" w:tgtFrame="_blank">
        <w:r>
          <w:rPr>
            <w:rStyle w:val="Hyperlink"/>
          </w:rPr>
          <w:t>floridabar.org</w:t>
        </w:r>
      </w:hyperlink>
      <w:hyperlink r:id="rId137" w:anchor=":~:text=entitled%20to%20the%20amount%20claimed,90" w:tgtFrame="_blank">
        <w:r>
          <w:rPr>
            <w:rStyle w:val="Hyperlink"/>
          </w:rPr>
          <w:t>floridabar.org</w:t>
        </w:r>
      </w:hyperlink>
      <w:r>
        <w:rPr/>
        <w:t xml:space="preserve">. The Fifth DCA has similarly noted that a “good-faith dispute or minor mistake” does not </w:t>
      </w:r>
      <w:r>
        <w:rPr>
          <w:rStyle w:val="Strong"/>
        </w:rPr>
        <w:t>compel</w:t>
      </w:r>
      <w:r>
        <w:rPr/>
        <w:t xml:space="preserve"> a finding that a lien is non-fraudulent – i.e., even a small error could be fraud if intentional, but conversely, even a large error might not be fraud if there’s credible proof of good faith</w:t>
      </w:r>
      <w:hyperlink r:id="rId138" w:anchor=":~:text=Ten%20years%20earlier%2C%20the%20same,admitted%20that%20he%20hadn%E2%80%99t%20really" w:tgtFrame="_blank">
        <w:r>
          <w:rPr>
            <w:rStyle w:val="Hyperlink"/>
          </w:rPr>
          <w:t>floridabar.org</w:t>
        </w:r>
      </w:hyperlink>
      <w:hyperlink r:id="rId139" w:anchor=":~:text=faith%20has%20been%20determined%20by,95%C2%A0Delta%20Painting%20also%20included" w:tgtFrame="_blank">
        <w:r>
          <w:rPr>
            <w:rStyle w:val="Hyperlink"/>
          </w:rPr>
          <w:t>floridabar.org</w:t>
        </w:r>
      </w:hyperlink>
      <w:r>
        <w:rPr/>
        <w:t>. Ultimately, the determination is factual: did the lienor willfully overstate the lien?</w:t>
      </w:r>
    </w:p>
    <w:p>
      <w:pPr>
        <w:pStyle w:val="BodyText"/>
        <w:bidi w:val="0"/>
        <w:jc w:val="start"/>
        <w:rPr/>
      </w:pPr>
      <w:r>
        <w:rPr/>
        <w:t xml:space="preserve">Other cases illustrate the extremes: In </w:t>
      </w:r>
      <w:r>
        <w:rPr>
          <w:rStyle w:val="Strong"/>
        </w:rPr>
        <w:t>Viyella Co. v. Gomes</w:t>
      </w:r>
      <w:r>
        <w:rPr/>
        <w:t xml:space="preserve">, a contractor filed a $107,000 lien but later </w:t>
      </w:r>
      <w:r>
        <w:rPr>
          <w:rStyle w:val="Emphasis"/>
        </w:rPr>
        <w:t>admitted in court that he hadn’t really performed much of the work claimed</w:t>
      </w:r>
      <w:hyperlink r:id="rId140" w:anchor=":~:text=has%20pointed%20out%20that%20such,97" w:tgtFrame="_blank">
        <w:r>
          <w:rPr>
            <w:rStyle w:val="Hyperlink"/>
          </w:rPr>
          <w:t>floridabar.org</w:t>
        </w:r>
      </w:hyperlink>
      <w:hyperlink r:id="rId141" w:anchor=":~:text=for%20the%20court%20to%20find,97" w:tgtFrame="_blank">
        <w:r>
          <w:rPr>
            <w:rStyle w:val="Hyperlink"/>
          </w:rPr>
          <w:t>floridabar.org</w:t>
        </w:r>
      </w:hyperlink>
      <w:r>
        <w:rPr/>
        <w:t>. In fact, another company (Delta Painting, presumably the same Delta as in the case above) had performed no work at all for its lien</w:t>
      </w:r>
      <w:hyperlink r:id="rId142" w:anchor=":~:text=has%20pointed%20out%20that%20such,97" w:tgtFrame="_blank">
        <w:r>
          <w:rPr>
            <w:rStyle w:val="Hyperlink"/>
          </w:rPr>
          <w:t>floridabar.org</w:t>
        </w:r>
      </w:hyperlink>
      <w:r>
        <w:rPr/>
        <w:t xml:space="preserve">. Such blatant misrepresentation led the court easily to conclude the liens were fraudulent. Additionally, the </w:t>
      </w:r>
      <w:r>
        <w:rPr>
          <w:rStyle w:val="Emphasis"/>
        </w:rPr>
        <w:t>Viyella/Delta</w:t>
      </w:r>
      <w:r>
        <w:rPr/>
        <w:t xml:space="preserve"> scenario involved the contractor including overhead and profit as separate lien line-items on work not done – the Third DCA held that was </w:t>
      </w:r>
      <w:r>
        <w:rPr>
          <w:rStyle w:val="Strong"/>
        </w:rPr>
        <w:t>“not within the purview of the lien law”</w:t>
      </w:r>
      <w:r>
        <w:rPr/>
        <w:t xml:space="preserve"> (essentially an improper padding of the lien)</w:t>
      </w:r>
      <w:hyperlink r:id="rId143" w:anchor=":~:text=has%20pointed%20out%20that%20such,97" w:tgtFrame="_blank">
        <w:r>
          <w:rPr>
            <w:rStyle w:val="Hyperlink"/>
          </w:rPr>
          <w:t>floridabar.org</w:t>
        </w:r>
      </w:hyperlink>
      <w:hyperlink r:id="rId144" w:anchor=":~:text=for%20the%20court%20to%20find,97" w:tgtFrame="_blank">
        <w:r>
          <w:rPr>
            <w:rStyle w:val="Hyperlink"/>
          </w:rPr>
          <w:t>floridabar.org</w:t>
        </w:r>
      </w:hyperlink>
      <w:r>
        <w:rPr/>
        <w:t xml:space="preserve">. On the flip side, an example of leniency is the trial court’s ruling in </w:t>
      </w:r>
      <w:r>
        <w:rPr>
          <w:rStyle w:val="Emphasis"/>
        </w:rPr>
        <w:t>Politano</w:t>
      </w:r>
      <w:r>
        <w:rPr/>
        <w:t>, where inclusion of some nonlienable items was seen as an error but not a willful fraud given the contractor’s credible good-faith belief</w:t>
      </w:r>
      <w:hyperlink r:id="rId145" w:anchor=":~:text=entitled%20to%20the%20amount%20claimed,90" w:tgtFrame="_blank">
        <w:r>
          <w:rPr>
            <w:rStyle w:val="Hyperlink"/>
          </w:rPr>
          <w:t>floridabar.org</w:t>
        </w:r>
      </w:hyperlink>
      <w:hyperlink r:id="rId146" w:anchor=":~:text=court%20in%20%20Politano%20v,90" w:tgtFrame="_blank">
        <w:r>
          <w:rPr>
            <w:rStyle w:val="Hyperlink"/>
          </w:rPr>
          <w:t>floridabar.org</w:t>
        </w:r>
      </w:hyperlink>
      <w:r>
        <w:rPr/>
        <w:t>.</w:t>
      </w:r>
    </w:p>
    <w:p>
      <w:pPr>
        <w:pStyle w:val="BodyText"/>
        <w:bidi w:val="0"/>
        <w:jc w:val="start"/>
        <w:rPr/>
      </w:pPr>
      <w:r>
        <w:rPr>
          <w:rStyle w:val="Strong"/>
        </w:rPr>
        <w:t>Consequences:</w:t>
      </w:r>
      <w:r>
        <w:rPr/>
        <w:t xml:space="preserve"> If a court finds a lien to be fraudulent, §713.31(2)(b) provides that the lien is </w:t>
      </w:r>
      <w:r>
        <w:rPr>
          <w:rStyle w:val="Strong"/>
        </w:rPr>
        <w:t>voided</w:t>
      </w:r>
      <w:r>
        <w:rPr/>
        <w:t xml:space="preserve"> (not just reduced), and the lienor can be ordered to pay the owner’s costs and attorney’s fees incurred in the action of discharging the lien. Often, the owner will file a counterclaim or separate action alleging fraudulent lien to recover these fees and any other damages (for instance, if the fraudulent lien prevented a property sale, carrying costs could be claimed). Moreover, §713.31(3) allows the owner to refer the matter for criminal prosecution as a third-degree felony</w:t>
      </w:r>
      <w:hyperlink r:id="rId147" w:anchor=":~:text=Any%20person%20who%20willfully%20files,082" w:tgtFrame="_blank">
        <w:r>
          <w:rPr>
            <w:rStyle w:val="Hyperlink"/>
          </w:rPr>
          <w:t>flsenate.gov</w:t>
        </w:r>
      </w:hyperlink>
      <w:r>
        <w:rPr/>
        <w:t xml:space="preserve"> – while this is uncommon, it remains a sobering possibility for egregious cases. And importantly, a lienor who loses a fraudulent lien case will also lose any right to recover </w:t>
      </w:r>
      <w:r>
        <w:rPr>
          <w:rStyle w:val="Strong"/>
        </w:rPr>
        <w:t>their</w:t>
      </w:r>
      <w:r>
        <w:rPr/>
        <w:t xml:space="preserve"> attorney’s fees in the foreclosure (since they are not the prevailing party – the owner is). It is truly a lose-everything scenario for the lienor.</w:t>
      </w:r>
    </w:p>
    <w:p>
      <w:pPr>
        <w:pStyle w:val="BodyText"/>
        <w:bidi w:val="0"/>
        <w:jc w:val="start"/>
        <w:rPr/>
      </w:pPr>
      <w:r>
        <w:rPr>
          <w:rStyle w:val="Strong"/>
        </w:rPr>
        <w:t>Practical Guidance:</w:t>
      </w:r>
      <w:r>
        <w:rPr/>
        <w:t xml:space="preserve"> The best protection against a fraudulent lien claim is </w:t>
      </w:r>
      <w:r>
        <w:rPr>
          <w:rStyle w:val="Emphasis"/>
        </w:rPr>
        <w:t>accuracy and honesty</w:t>
      </w:r>
      <w:r>
        <w:rPr/>
        <w:t xml:space="preserve">. </w:t>
      </w:r>
      <w:r>
        <w:rPr>
          <w:rStyle w:val="Strong"/>
        </w:rPr>
        <w:t>Never deliberately inflate your lien</w:t>
      </w:r>
      <w:r>
        <w:rPr/>
        <w:t xml:space="preserve"> as a negotiating tactic. Florida’s lien law does </w:t>
      </w:r>
      <w:r>
        <w:rPr>
          <w:rStyle w:val="Emphasis"/>
        </w:rPr>
        <w:t>not</w:t>
      </w:r>
      <w:r>
        <w:rPr/>
        <w:t xml:space="preserve"> allow “gaming” the amount – it’s not a mere starting point for talks; it must reflect your real, supportable claim. So, </w:t>
      </w:r>
      <w:r>
        <w:rPr>
          <w:rStyle w:val="Strong"/>
        </w:rPr>
        <w:t>calculate your lien amount carefully</w:t>
      </w:r>
      <w:r>
        <w:rPr/>
        <w:t xml:space="preserve">: it should equal the unpaid portion of your contract work (including approved change orders or extras) that is lienable. If you include work not yet done or materials not yet delivered, you are crossing the line. If you include items that are not lienable (for example, a claim for purely personal services, or certain consequential damages), you risk a fraud finding – better to leave those out of the lien and pursue them in a breach of contract lawsuit instead. </w:t>
      </w:r>
      <w:r>
        <w:rPr>
          <w:rStyle w:val="Strong"/>
        </w:rPr>
        <w:t>Document the basis</w:t>
      </w:r>
      <w:r>
        <w:rPr/>
        <w:t xml:space="preserve"> for your lien figures. If you’re claiming $X for labor and $Y for materials and $Z for change orders, have the invoices, timesheets, or change order logs to back it up. Should the owner challenge the lien as fraudulent, you want to demonstrate that you genuinely believed you were owed the full amount.</w:t>
      </w:r>
    </w:p>
    <w:p>
      <w:pPr>
        <w:pStyle w:val="BodyText"/>
        <w:bidi w:val="0"/>
        <w:jc w:val="start"/>
        <w:rPr/>
      </w:pPr>
      <w:r>
        <w:rPr/>
        <w:t xml:space="preserve">Be mindful that </w:t>
      </w:r>
      <w:r>
        <w:rPr>
          <w:rStyle w:val="Strong"/>
        </w:rPr>
        <w:t>routine slight mistakes</w:t>
      </w:r>
      <w:r>
        <w:rPr/>
        <w:t xml:space="preserve"> (e.g., a math error that overstates the total by a small percentage) typically won’t be deemed “willful.” But significant overstatements – even if you think it’s negotiating leverage – can jeopardize your entire claim. For example, do not claim interest, attorney fees, or other add-ons in the lien amount; those may be recoverable in a judgment </w:t>
      </w:r>
      <w:r>
        <w:rPr>
          <w:rStyle w:val="Emphasis"/>
        </w:rPr>
        <w:t>separate</w:t>
      </w:r>
      <w:r>
        <w:rPr/>
        <w:t xml:space="preserve"> from the lien, but they are not part of the lien itself and could inflate the lien figure improperly. Likewise, </w:t>
      </w:r>
      <w:r>
        <w:rPr>
          <w:rStyle w:val="Strong"/>
        </w:rPr>
        <w:t>do not include non-lienable work</w:t>
      </w:r>
      <w:r>
        <w:rPr/>
        <w:t xml:space="preserve"> (like purely supervisory work not connected to improvement, or repair work done after final furnishing, or materials that were ordered but not incorporated) in your lien total. Florida courts look harshly on lienors who appear to be overreaching.</w:t>
      </w:r>
    </w:p>
    <w:p>
      <w:pPr>
        <w:pStyle w:val="BodyText"/>
        <w:bidi w:val="0"/>
        <w:jc w:val="start"/>
        <w:rPr/>
      </w:pPr>
      <w:r>
        <w:rPr/>
        <w:t xml:space="preserve">If an owner asserts your lien is fraudulent, the courts will examine your </w:t>
      </w:r>
      <w:r>
        <w:rPr>
          <w:rStyle w:val="Strong"/>
        </w:rPr>
        <w:t>intent</w:t>
      </w:r>
      <w:r>
        <w:rPr/>
        <w:t xml:space="preserve">. Showing that you consulted with an attorney or that you followed a standard approach in good faith can help rebut allegations of willfulness. For instance, including 10% overhead and profit on a cost-of-work lien might be standard under your contract – if so, clarify that in your records or lien narrative to show you weren’t just making up numbers. Conversely, avoid the temptation to “throw in” unrelated costs (like damages for project delays or unapproved change requests) into the lien – those are separate issues. Remember, a </w:t>
      </w:r>
      <w:r>
        <w:rPr>
          <w:rStyle w:val="Strong"/>
        </w:rPr>
        <w:t>fraudulent lien = no lien at all</w:t>
      </w:r>
      <w:r>
        <w:rPr/>
        <w:t xml:space="preserve"> and a hefty fee award to the owner</w:t>
      </w:r>
      <w:hyperlink r:id="rId148" w:anchor=":~:text=Paragraph%20713,to%20ignorance%20or%20good%20faith" w:tgtFrame="_blank">
        <w:r>
          <w:rPr>
            <w:rStyle w:val="Hyperlink"/>
          </w:rPr>
          <w:t>caselaw.findlaw.com</w:t>
        </w:r>
      </w:hyperlink>
      <w:hyperlink r:id="rId149" w:anchor=":~:text=Finally%2C%20and%20perhaps%20less%20obviously%2C,point%20of%20being%20made%20whole" w:tgtFrame="_blank">
        <w:r>
          <w:rPr>
            <w:rStyle w:val="Hyperlink"/>
          </w:rPr>
          <w:t>hammerngavel.com</w:t>
        </w:r>
      </w:hyperlink>
      <w:r>
        <w:rPr/>
        <w:t>. It’s far better to claim a conservative, supportable lien amount and preserve your rights to that, than to claim an inflated sum and lose everything. If you truly are unsure about part of your claim’s validity under the lien law, consult with counsel and err on the side of caution. You can always pursue additional compensation through other legal theories (breach of contract, quantum meruit) but your lien should be a fortress of well-founded claims, not a grab-bag of every dollar you wish to claim.</w:t>
      </w:r>
    </w:p>
    <w:p>
      <w:pPr>
        <w:pStyle w:val="Heading2"/>
        <w:bidi w:val="0"/>
        <w:jc w:val="start"/>
        <w:rPr/>
      </w:pPr>
      <w:r>
        <w:rPr/>
        <w:t>Enforcement and Duration: One-Year Deadline, Contest Proceedings, and Attorney’s Fees</w:t>
      </w:r>
    </w:p>
    <w:p>
      <w:pPr>
        <w:pStyle w:val="BodyText"/>
        <w:bidi w:val="0"/>
        <w:jc w:val="start"/>
        <w:rPr/>
      </w:pPr>
      <w:r>
        <w:rPr/>
        <w:t xml:space="preserve">Recording a claim of lien is only step one; enforcing it is step two. A lien gives you a right to force a sale of the property (foreclosure) to get paid, but </w:t>
      </w:r>
      <w:r>
        <w:rPr>
          <w:rStyle w:val="Strong"/>
        </w:rPr>
        <w:t>Florida imposes strict time limits on enforcement</w:t>
      </w:r>
      <w:r>
        <w:rPr/>
        <w:t xml:space="preserve">. Under </w:t>
      </w:r>
      <w:r>
        <w:rPr>
          <w:rStyle w:val="Strong"/>
        </w:rPr>
        <w:t>§713.22(1)</w:t>
      </w:r>
      <w:r>
        <w:rPr/>
        <w:t xml:space="preserve">, a lien is generally effective for </w:t>
      </w:r>
      <w:r>
        <w:rPr>
          <w:rStyle w:val="Strong"/>
        </w:rPr>
        <w:t>one year</w:t>
      </w:r>
      <w:r>
        <w:rPr/>
        <w:t xml:space="preserve"> from the date of recording. If you do nothing in that year, the lien automatically </w:t>
      </w:r>
      <w:r>
        <w:rPr>
          <w:rStyle w:val="Strong"/>
        </w:rPr>
        <w:t>expires by operation of law</w:t>
      </w:r>
      <w:r>
        <w:rPr/>
        <w:t xml:space="preserve"> (i.e. it becomes unenforceable)</w:t>
      </w:r>
      <w:hyperlink r:id="rId150" w:anchor=":~:text=the%20NOC,105" w:tgtFrame="_blank">
        <w:r>
          <w:rPr>
            <w:rStyle w:val="Hyperlink"/>
          </w:rPr>
          <w:t>floridabar.org</w:t>
        </w:r>
      </w:hyperlink>
      <w:r>
        <w:rPr/>
        <w:t xml:space="preserve">. There is no need for the owner to file anything for that to happen – the statute itself provides that an </w:t>
      </w:r>
      <w:r>
        <w:rPr>
          <w:rStyle w:val="Strong"/>
        </w:rPr>
        <w:t>unenforced lien “shall expire and become null and void”</w:t>
      </w:r>
      <w:r>
        <w:rPr/>
        <w:t xml:space="preserve"> after one year unless a lawsuit to foreclose the lien is filed in that time</w:t>
      </w:r>
      <w:hyperlink r:id="rId151" w:anchor=":~:text=WARNING%21" w:tgtFrame="_blank">
        <w:r>
          <w:rPr>
            <w:rStyle w:val="Hyperlink"/>
          </w:rPr>
          <w:t>cobbgonzalez.com</w:t>
        </w:r>
      </w:hyperlink>
      <w:r>
        <w:rPr/>
        <w:t>. (Sometimes, the lienor and owner will stipulate to extend the lien or the lienor will voluntarily discharge and re-record a lien, but those maneuvers have their own complexities and are not typical. The safest course is to treat one year as a hard deadline.)</w:t>
      </w:r>
    </w:p>
    <w:p>
      <w:pPr>
        <w:pStyle w:val="BodyText"/>
        <w:bidi w:val="0"/>
        <w:jc w:val="start"/>
        <w:rPr/>
      </w:pPr>
      <w:r>
        <w:rPr/>
        <w:t xml:space="preserve">Moreover, owners have statutory mechanisms to </w:t>
      </w:r>
      <w:r>
        <w:rPr>
          <w:rStyle w:val="Strong"/>
        </w:rPr>
        <w:t>shorten</w:t>
      </w:r>
      <w:r>
        <w:rPr/>
        <w:t xml:space="preserve"> that one-year period. Under </w:t>
      </w:r>
      <w:r>
        <w:rPr>
          <w:rStyle w:val="Strong"/>
        </w:rPr>
        <w:t>§713.21(4)</w:t>
      </w:r>
      <w:r>
        <w:rPr/>
        <w:t xml:space="preserve">, an owner or interested party can file a </w:t>
      </w:r>
      <w:r>
        <w:rPr>
          <w:rStyle w:val="Strong"/>
        </w:rPr>
        <w:t>Complaint (or Motion) to Show Cause</w:t>
      </w:r>
      <w:r>
        <w:rPr/>
        <w:t xml:space="preserve"> in court, essentially requiring the lienor to appear before a judge (on an expedited basis) and show cause why the lien should not be enforced or vacated</w:t>
      </w:r>
      <w:hyperlink r:id="rId152" w:anchor=":~:text=the%20time%20of%20recording,to%2060%20days%20by%20recording" w:tgtFrame="_blank">
        <w:r>
          <w:rPr>
            <w:rStyle w:val="Hyperlink"/>
          </w:rPr>
          <w:t>floridabar.org</w:t>
        </w:r>
      </w:hyperlink>
      <w:r>
        <w:rPr/>
        <w:t xml:space="preserve">. The court will issue an order to the lienor setting a hearing (typically at least 20 days out). If the lienor wants to keep the lien, they must </w:t>
      </w:r>
      <w:r>
        <w:rPr>
          <w:rStyle w:val="Strong"/>
        </w:rPr>
        <w:t>file a foreclosure lawsuit (or already have one filed) and show the court that it has been filed</w:t>
      </w:r>
      <w:r>
        <w:rPr/>
        <w:t xml:space="preserve"> within that 20-day window</w:t>
      </w:r>
      <w:hyperlink r:id="rId153" w:anchor=":~:text=the%20time%20of%20recording,to%2060%20days%20by%20recording" w:tgtFrame="_blank">
        <w:r>
          <w:rPr>
            <w:rStyle w:val="Hyperlink"/>
          </w:rPr>
          <w:t>floridabar.org</w:t>
        </w:r>
      </w:hyperlink>
      <w:r>
        <w:rPr/>
        <w:t xml:space="preserve">. If the lienor fails to </w:t>
      </w:r>
      <w:r>
        <w:rPr>
          <w:rStyle w:val="Strong"/>
        </w:rPr>
        <w:t>commence an action</w:t>
      </w:r>
      <w:r>
        <w:rPr/>
        <w:t xml:space="preserve"> to enforce the lien (or fails to show sufficient cause why the lien should remain) within 20 days, the court </w:t>
      </w:r>
      <w:r>
        <w:rPr>
          <w:rStyle w:val="Emphasis"/>
        </w:rPr>
        <w:t>shall</w:t>
      </w:r>
      <w:r>
        <w:rPr/>
        <w:t xml:space="preserve"> order the lien extinguished under §713.21(4)</w:t>
      </w:r>
      <w:hyperlink r:id="rId154" w:anchor=":~:text=the%20time%20of%20recording,105" w:tgtFrame="_blank">
        <w:r>
          <w:rPr>
            <w:rStyle w:val="Hyperlink"/>
          </w:rPr>
          <w:t>floridabar.org</w:t>
        </w:r>
      </w:hyperlink>
      <w:r>
        <w:rPr/>
        <w:t xml:space="preserve">. This is known as the </w:t>
      </w:r>
      <w:r>
        <w:rPr>
          <w:rStyle w:val="Strong"/>
        </w:rPr>
        <w:t>“show cause” process</w:t>
      </w:r>
      <w:r>
        <w:rPr/>
        <w:t>, and it is a quick way to clear stale or suspect liens.</w:t>
      </w:r>
    </w:p>
    <w:p>
      <w:pPr>
        <w:pStyle w:val="BodyText"/>
        <w:bidi w:val="0"/>
        <w:jc w:val="start"/>
        <w:rPr/>
      </w:pPr>
      <w:r>
        <w:rPr/>
        <w:t xml:space="preserve">Alternatively, under </w:t>
      </w:r>
      <w:r>
        <w:rPr>
          <w:rStyle w:val="Strong"/>
        </w:rPr>
        <w:t>§713.22(2)</w:t>
      </w:r>
      <w:r>
        <w:rPr/>
        <w:t xml:space="preserve">, an owner may record a </w:t>
      </w:r>
      <w:r>
        <w:rPr>
          <w:rStyle w:val="Strong"/>
        </w:rPr>
        <w:t>Notice of Contest of Lien</w:t>
      </w:r>
      <w:r>
        <w:rPr/>
        <w:t xml:space="preserve"> in the public records. When such a notice is recorded (and properly served on the lienor), it has the effect of </w:t>
      </w:r>
      <w:r>
        <w:rPr>
          <w:rStyle w:val="Strong"/>
        </w:rPr>
        <w:t>shortening the lien’s life to 60 days</w:t>
      </w:r>
      <w:r>
        <w:rPr/>
        <w:t xml:space="preserve"> from the date of service of the notice</w:t>
      </w:r>
      <w:hyperlink r:id="rId155" w:anchor=":~:text=the%20time%20of%20recording,105" w:tgtFrame="_blank">
        <w:r>
          <w:rPr>
            <w:rStyle w:val="Hyperlink"/>
          </w:rPr>
          <w:t>floridabar.org</w:t>
        </w:r>
      </w:hyperlink>
      <w:r>
        <w:rPr/>
        <w:t xml:space="preserve">. If the lienor does not file a foreclosure lawsuit within those 60 days, the lien expires by statute (specifically, §713.22(2) says the lien shall be extinguished at the end of the 60 days). The clerk of court will mail a copy of the Notice of Contest to the lienor at the address in the claim of lien, which starts the clock. This is an even </w:t>
      </w:r>
      <w:r>
        <w:rPr>
          <w:rStyle w:val="Emphasis"/>
        </w:rPr>
        <w:t>simpler</w:t>
      </w:r>
      <w:r>
        <w:rPr/>
        <w:t xml:space="preserve"> method for owners to prompt action – no court hearing needed; it’s a self-executing time reduction.</w:t>
      </w:r>
    </w:p>
    <w:p>
      <w:pPr>
        <w:pStyle w:val="BodyText"/>
        <w:bidi w:val="0"/>
        <w:jc w:val="start"/>
        <w:rPr/>
      </w:pPr>
      <w:r>
        <w:rPr/>
        <w:t xml:space="preserve">Florida courts uphold these truncation procedures strictly. As a lienor, if you ignore a recorded Notice of Contest and miss the 60-day deadline, your lien is gone, no excuses. Likewise, if you receive a show-cause summons and do not file your foreclosure complaint (or counterclaim in that proceeding) within the time allowed, you lose the lien. A recent scenario illustrating enforcement pitfalls is the </w:t>
      </w:r>
      <w:r>
        <w:rPr>
          <w:rStyle w:val="Strong"/>
        </w:rPr>
        <w:t>Lamm &amp; Newline</w:t>
      </w:r>
      <w:r>
        <w:rPr/>
        <w:t xml:space="preserve"> case referenced earlier. There, after the contractor recorded its lien, the owner transferred the lien to a security bond (per §713.24) and then </w:t>
      </w:r>
      <w:r>
        <w:rPr>
          <w:rStyle w:val="Strong"/>
        </w:rPr>
        <w:t>filed a complaint under §713.21 to discharge the lien</w:t>
      </w:r>
      <w:hyperlink r:id="rId156" w:anchor=":~:text=In%20Company%20Partners%20LLC%20dba,21%2C%20Florida%20Statutes" w:tgtFrame="_blank">
        <w:r>
          <w:rPr>
            <w:rStyle w:val="Hyperlink"/>
          </w:rPr>
          <w:t>hammerngavel.com</w:t>
        </w:r>
      </w:hyperlink>
      <w:hyperlink r:id="rId157" w:anchor=":~:text=bond%20in%20the%20amount%20of,21%2C%20Florida%20Statutes" w:tgtFrame="_blank">
        <w:r>
          <w:rPr>
            <w:rStyle w:val="Hyperlink"/>
          </w:rPr>
          <w:t>hammerngavel.com</w:t>
        </w:r>
      </w:hyperlink>
      <w:r>
        <w:rPr/>
        <w:t xml:space="preserve">. The contractor filed an </w:t>
      </w:r>
      <w:r>
        <w:rPr>
          <w:rStyle w:val="Emphasis"/>
        </w:rPr>
        <w:t>answer</w:t>
      </w:r>
      <w:r>
        <w:rPr/>
        <w:t xml:space="preserve"> to that lawsuit but apparently did not initiate a separate foreclosure action on the bond. The court found that merely answering the owner’s discharge suit was not the same as </w:t>
      </w:r>
      <w:r>
        <w:rPr>
          <w:rStyle w:val="Strong"/>
        </w:rPr>
        <w:t>affirmatively filing an action to enforce the lien/bond claim</w:t>
      </w:r>
      <w:hyperlink r:id="rId158" w:anchor=":~:text=While%20the%20court%20found%20that,21%2C%20Florida%20Statutes" w:tgtFrame="_blank">
        <w:r>
          <w:rPr>
            <w:rStyle w:val="Hyperlink"/>
          </w:rPr>
          <w:t>hammerngavel.com</w:t>
        </w:r>
      </w:hyperlink>
      <w:r>
        <w:rPr/>
        <w:t>. Because the contractor hadn’t filed its own foreclosure claim, the court ruled the lien (bond) should be discharged for failure to comply with §713.21’s mandate to commence an action within the prescribed time</w:t>
      </w:r>
      <w:hyperlink r:id="rId159" w:anchor=":~:text=While%20the%20court%20found%20that,21%2C%20Florida%20Statutes" w:tgtFrame="_blank">
        <w:r>
          <w:rPr>
            <w:rStyle w:val="Hyperlink"/>
          </w:rPr>
          <w:t>hammerngavel.com</w:t>
        </w:r>
      </w:hyperlink>
      <w:r>
        <w:rPr/>
        <w:t>. This example shows that lienors must be proactive – don’t assume that fighting off a discharge motion is enough; you need to be the party pressing a foreclosure claim within the allowed period.</w:t>
      </w:r>
    </w:p>
    <w:p>
      <w:pPr>
        <w:pStyle w:val="BodyText"/>
        <w:bidi w:val="0"/>
        <w:jc w:val="start"/>
        <w:rPr/>
      </w:pPr>
      <w:r>
        <w:rPr>
          <w:rStyle w:val="Strong"/>
        </w:rPr>
        <w:t>Practical Guidance:</w:t>
      </w:r>
      <w:r>
        <w:rPr/>
        <w:t xml:space="preserve"> </w:t>
      </w:r>
      <w:r>
        <w:rPr>
          <w:rStyle w:val="Strong"/>
        </w:rPr>
        <w:t>Diary your deadlines.</w:t>
      </w:r>
      <w:r>
        <w:rPr/>
        <w:t xml:space="preserve"> From the moment you record a lien, note the one-year anniversary date. That is your </w:t>
      </w:r>
      <w:r>
        <w:rPr>
          <w:rStyle w:val="Emphasis"/>
        </w:rPr>
        <w:t>ultimate</w:t>
      </w:r>
      <w:r>
        <w:rPr/>
        <w:t xml:space="preserve"> deadline to file a lawsuit to foreclose the lien (in circuit court, usually accompanied by a lis pendens on the property). In many cases, you will try to negotiate payment before resorting to suit. But </w:t>
      </w:r>
      <w:r>
        <w:rPr>
          <w:rStyle w:val="Strong"/>
        </w:rPr>
        <w:t>do not let negotiations lull you past the deadline</w:t>
      </w:r>
      <w:r>
        <w:rPr/>
        <w:t xml:space="preserve">. The statute has no provision for extension by agreement (except the owner could voluntarily record something like an extension, which is rare). If the year is nearing its end and you’re not fully paid, file suit before the year runs, even if settlement talks are ongoing. You can always dismiss the suit later if payment comes. Once you sue to foreclose and record a </w:t>
      </w:r>
      <w:r>
        <w:rPr>
          <w:rStyle w:val="Strong"/>
        </w:rPr>
        <w:t>Lis Pendens</w:t>
      </w:r>
      <w:r>
        <w:rPr/>
        <w:t>, the lien is preserved pending the outcome, and third parties are deemed to have notice of your claim</w:t>
      </w:r>
      <w:hyperlink r:id="rId160" w:anchor=":~:text=one%20year%20of%20the%20date,105" w:tgtFrame="_blank">
        <w:r>
          <w:rPr>
            <w:rStyle w:val="Hyperlink"/>
          </w:rPr>
          <w:t>floridabar.org</w:t>
        </w:r>
      </w:hyperlink>
      <w:r>
        <w:rPr/>
        <w:t>.</w:t>
      </w:r>
    </w:p>
    <w:p>
      <w:pPr>
        <w:pStyle w:val="BodyText"/>
        <w:bidi w:val="0"/>
        <w:jc w:val="start"/>
        <w:rPr/>
      </w:pPr>
      <w:r>
        <w:rPr/>
        <w:t xml:space="preserve">Be vigilant for any </w:t>
      </w:r>
      <w:r>
        <w:rPr>
          <w:rStyle w:val="Strong"/>
        </w:rPr>
        <w:t>Notice of Contest of Lien</w:t>
      </w:r>
      <w:r>
        <w:rPr/>
        <w:t xml:space="preserve"> from the owner. If you get one, treat it as a flashing red alarm – you now have only </w:t>
      </w:r>
      <w:r>
        <w:rPr>
          <w:rStyle w:val="Strong"/>
        </w:rPr>
        <w:t>60 days</w:t>
      </w:r>
      <w:r>
        <w:rPr/>
        <w:t xml:space="preserve"> (not a day more) to file your foreclosure action</w:t>
      </w:r>
      <w:hyperlink r:id="rId161" w:anchor=":~:text=the%20time%20of%20recording,105" w:tgtFrame="_blank">
        <w:r>
          <w:rPr>
            <w:rStyle w:val="Hyperlink"/>
          </w:rPr>
          <w:t>floridabar.org</w:t>
        </w:r>
      </w:hyperlink>
      <w:r>
        <w:rPr/>
        <w:t>. The clerk’s mailing of the notice to your lien address is key; ensure your lien listed a reliable address. If you move or if the address was wrong, you might not get the notice, but it will still cut off your lien (constructive notice via recording is enough). Therefore, if several months have passed with no payment, it might be wise to file suit before the owner even files a contest notice – beat them to the punch and you won’t have to worry about a shortened deadline.</w:t>
      </w:r>
    </w:p>
    <w:p>
      <w:pPr>
        <w:pStyle w:val="BodyText"/>
        <w:bidi w:val="0"/>
        <w:jc w:val="start"/>
        <w:rPr/>
      </w:pPr>
      <w:r>
        <w:rPr/>
        <w:t xml:space="preserve">Similarly, if you are served with a </w:t>
      </w:r>
      <w:r>
        <w:rPr>
          <w:rStyle w:val="Strong"/>
        </w:rPr>
        <w:t>rule to show cause</w:t>
      </w:r>
      <w:r>
        <w:rPr/>
        <w:t xml:space="preserve"> or any court paperwork aimed at discharging the lien, get your foreclosure claim filed </w:t>
      </w:r>
      <w:r>
        <w:rPr>
          <w:rStyle w:val="Emphasis"/>
        </w:rPr>
        <w:t>immediately</w:t>
      </w:r>
      <w:r>
        <w:rPr/>
        <w:t xml:space="preserve">. Often, the best course is to file your foreclosure complaint and </w:t>
      </w:r>
      <w:r>
        <w:rPr>
          <w:rStyle w:val="Strong"/>
        </w:rPr>
        <w:t>answer the show-cause order by pointing to your filed lawsuit</w:t>
      </w:r>
      <w:r>
        <w:rPr/>
        <w:t xml:space="preserve"> (attaching a copy and the filing info). Florida’s summary procedure for show-cause (Florida Stat. §713.21(4)) is unforgiving on delay – the court can discharge the lien at that show-cause hearing if you haven’t complied with the statute</w:t>
      </w:r>
      <w:hyperlink r:id="rId162" w:anchor=":~:text=the%20time%20of%20recording,105" w:tgtFrame="_blank">
        <w:r>
          <w:rPr>
            <w:rStyle w:val="Hyperlink"/>
          </w:rPr>
          <w:t>floridabar.org</w:t>
        </w:r>
      </w:hyperlink>
      <w:r>
        <w:rPr/>
        <w:t>. Therefore, treat any such motion or order as high priority and involve your construction attorney at once.</w:t>
      </w:r>
    </w:p>
    <w:p>
      <w:pPr>
        <w:pStyle w:val="BodyText"/>
        <w:bidi w:val="0"/>
        <w:jc w:val="start"/>
        <w:rPr/>
      </w:pPr>
      <w:r>
        <w:rPr/>
        <w:t xml:space="preserve">When you do file a foreclosure action, remember to include all necessary parties (the property owner, the contractor if you’re a sub, any surety if the lien was bonded off, any other lienors or judgment creditors, and any mortgage lenders if foreclosure of the property is involved). An action </w:t>
      </w:r>
      <w:r>
        <w:rPr>
          <w:rStyle w:val="Strong"/>
        </w:rPr>
        <w:t>to enforce the lien on the property must be filed within the time limit</w:t>
      </w:r>
      <w:r>
        <w:rPr/>
        <w:t xml:space="preserve"> or the lien dies, but note you could still sue the breaching party in contract even after the lien is gone – you just lose the property as security. Some lienors choose to sue in contract earlier (especially if privity with the owner exists) and include a lien foreclosure count in the same suit. That’s fine, as long as it’s done timely.</w:t>
      </w:r>
    </w:p>
    <w:p>
      <w:pPr>
        <w:pStyle w:val="BodyText"/>
        <w:bidi w:val="0"/>
        <w:jc w:val="start"/>
        <w:rPr/>
      </w:pPr>
      <w:r>
        <w:rPr>
          <w:rStyle w:val="Strong"/>
        </w:rPr>
        <w:t>Attorney’s Fees:</w:t>
      </w:r>
      <w:r>
        <w:rPr/>
        <w:t xml:space="preserve"> Florida’s lien statute (§713.29) provides that the </w:t>
      </w:r>
      <w:r>
        <w:rPr>
          <w:rStyle w:val="Strong"/>
        </w:rPr>
        <w:t>prevailing party</w:t>
      </w:r>
      <w:r>
        <w:rPr/>
        <w:t xml:space="preserve"> in any action to enforce a lien (or to challenge a lien) is entitled to recover their reasonable attorney’s fees. This is a double-edged sword. If you prevail in foreclosing your lien (even via a settlement where the owner pays you, typically you can negotiate your accrued attorney fees into the deal), the owner will usually be on the hook for your fees</w:t>
      </w:r>
      <w:hyperlink r:id="rId163" w:anchor=":~:text=Finally%2C%20and%20perhaps%20less%20obviously%2C,point%20of%20being%20made%20whole" w:tgtFrame="_blank">
        <w:r>
          <w:rPr>
            <w:rStyle w:val="Hyperlink"/>
          </w:rPr>
          <w:t>hammerngavel.com</w:t>
        </w:r>
      </w:hyperlink>
      <w:r>
        <w:rPr/>
        <w:t xml:space="preserve">. But if the owner succeeds in getting your lien discharged or reduced to $0 (for instance, you lose at trial or the lien is declared fraudulent or void), then </w:t>
      </w:r>
      <w:r>
        <w:rPr>
          <w:rStyle w:val="Emphasis"/>
        </w:rPr>
        <w:t>you</w:t>
      </w:r>
      <w:r>
        <w:rPr/>
        <w:t xml:space="preserve"> will be ordered to pay the owner’s attorney’s fees</w:t>
      </w:r>
      <w:hyperlink r:id="rId164" w:anchor=":~:text=Finally%2C%20and%20perhaps%20less%20obviously%2C,point%20of%20being%20made%20whole" w:tgtFrame="_blank">
        <w:r>
          <w:rPr>
            <w:rStyle w:val="Hyperlink"/>
          </w:rPr>
          <w:t>hammerngavel.com</w:t>
        </w:r>
      </w:hyperlink>
      <w:hyperlink r:id="rId165" w:anchor=":~:text=quarter%20million%20dollar%20lien,point%20of%20being%20made%20whole" w:tgtFrame="_blank">
        <w:r>
          <w:rPr>
            <w:rStyle w:val="Hyperlink"/>
          </w:rPr>
          <w:t>hammerngavel.com</w:t>
        </w:r>
      </w:hyperlink>
      <w:r>
        <w:rPr/>
        <w:t xml:space="preserve">. The fees and costs in protracted lien litigation can be significant – often tens of thousands of dollars – and can sometimes even exceed the lien amount in dispute. For example, in </w:t>
      </w:r>
      <w:r>
        <w:rPr>
          <w:rStyle w:val="Emphasis"/>
        </w:rPr>
        <w:t>Lamm &amp; Newline</w:t>
      </w:r>
      <w:r>
        <w:rPr/>
        <w:t>, by discharging the lien, the owner not only wiped out the $253k lien but also positioned itself to recover fees from the contractor, putting the contractor in a deep financial hole</w:t>
      </w:r>
      <w:hyperlink r:id="rId166" w:anchor=":~:text=addressed%20fully" w:tgtFrame="_blank">
        <w:r>
          <w:rPr>
            <w:rStyle w:val="Hyperlink"/>
          </w:rPr>
          <w:t>hammerngavel.com</w:t>
        </w:r>
      </w:hyperlink>
      <w:r>
        <w:rPr/>
        <w:t>.</w:t>
      </w:r>
    </w:p>
    <w:p>
      <w:pPr>
        <w:pStyle w:val="BodyText"/>
        <w:bidi w:val="0"/>
        <w:jc w:val="start"/>
        <w:rPr/>
      </w:pPr>
      <w:r>
        <w:rPr/>
        <w:t xml:space="preserve">The prospect of fee-shifting means that </w:t>
      </w:r>
      <w:r>
        <w:rPr>
          <w:rStyle w:val="Strong"/>
        </w:rPr>
        <w:t>compliance and caution are financially crucial</w:t>
      </w:r>
      <w:r>
        <w:rPr/>
        <w:t>. A small mistake that voids your lien could result not just in lost lien rights but owing the other side’s legal bill. By the same token, when you know your lien is valid and you’ve complied with all requirements, the fee provision can pressure the owner to settle (because if they fight and lose, they pay your fees). Always evaluate the strength of your lien objectively. If there’s a legitimate question about your lien’s validity (maybe a borderline deadline issue or a questionable notice), weigh the risk of proceeding and potentially owing fees. It may sometimes be better to negotiate a compromise than to litigate a shaky lien to the bitter end.</w:t>
      </w:r>
    </w:p>
    <w:p>
      <w:pPr>
        <w:pStyle w:val="BodyText"/>
        <w:bidi w:val="0"/>
        <w:jc w:val="start"/>
        <w:rPr/>
      </w:pPr>
      <w:r>
        <w:rPr>
          <w:rStyle w:val="Strong"/>
        </w:rPr>
        <w:t>Practical Guidance:</w:t>
      </w:r>
      <w:r>
        <w:rPr/>
        <w:t xml:space="preserve"> Mark all relevant dates (45 days for NTO, 90 days to record lien, 1 year to file suit, etc.) in a project timeline. If an owner triggers a contest or show-cause, </w:t>
      </w:r>
      <w:r>
        <w:rPr>
          <w:rStyle w:val="Strong"/>
        </w:rPr>
        <w:t>accelerate your action</w:t>
      </w:r>
      <w:r>
        <w:rPr/>
        <w:t xml:space="preserve"> accordingly. Once in court, prosecute your foreclosure diligently – a lis pendens should be filed to preserve priority</w:t>
      </w:r>
      <w:hyperlink r:id="rId167" w:anchor=":~:text=lien%20should%20not%20be%20enforced,105" w:tgtFrame="_blank">
        <w:r>
          <w:rPr>
            <w:rStyle w:val="Hyperlink"/>
          </w:rPr>
          <w:t>floridabar.org</w:t>
        </w:r>
      </w:hyperlink>
      <w:r>
        <w:rPr/>
        <w:t>, and you must generally bring it to judgment within a reasonable time (if you stall excessively, an owner could move to dismiss for lack of prosecution).</w:t>
      </w:r>
    </w:p>
    <w:p>
      <w:pPr>
        <w:pStyle w:val="BodyText"/>
        <w:bidi w:val="0"/>
        <w:jc w:val="start"/>
        <w:rPr/>
      </w:pPr>
      <w:r>
        <w:rPr/>
        <w:t xml:space="preserve">Because of the fee exposure, it’s wise to </w:t>
      </w:r>
      <w:r>
        <w:rPr>
          <w:rStyle w:val="Strong"/>
        </w:rPr>
        <w:t>seek a negotiated resolution</w:t>
      </w:r>
      <w:r>
        <w:rPr/>
        <w:t xml:space="preserve"> if possible. Mediation is common in lien cases. But never let settlement talks make you miss a statutory cut-off – you can file suit to preserve the lien and still continue negotiating (filing doesn’t preclude amicable resolution; it simply protects your rights).</w:t>
      </w:r>
    </w:p>
    <w:p>
      <w:pPr>
        <w:pStyle w:val="BodyText"/>
        <w:bidi w:val="0"/>
        <w:jc w:val="start"/>
        <w:rPr/>
      </w:pPr>
      <w:r>
        <w:rPr/>
        <w:t xml:space="preserve">Lastly, remember that an owner can discharge your lien by </w:t>
      </w:r>
      <w:r>
        <w:rPr>
          <w:rStyle w:val="Strong"/>
        </w:rPr>
        <w:t>transferring it to a bond or cash deposit</w:t>
      </w:r>
      <w:r>
        <w:rPr/>
        <w:t xml:space="preserve"> (§713.24). In that event, your lien attaches to the security, not the real estate. You would then foreclose against the bond (the surety or cash fund) rather than the property, but the same deadlines and principles apply</w:t>
      </w:r>
      <w:hyperlink r:id="rId168" w:anchor=":~:text=In%20Company%20Partners%20LLC%20dba,21%2C%20Florida%20Statutes" w:tgtFrame="_blank">
        <w:r>
          <w:rPr>
            <w:rStyle w:val="Hyperlink"/>
          </w:rPr>
          <w:t>hammerngavel.com</w:t>
        </w:r>
      </w:hyperlink>
      <w:r>
        <w:rPr/>
        <w:t>. If the lien is transferred to bond, be sure to include the surety and the principal on the bond in your lawsuit. The advantage for owners in doing this is it frees the property from the lien, but for you, it just means the source of recovery changes. Your compliance obligations (timing, accuracy, etc.) remain just as strict when proceeding on a transferred lien.</w:t>
      </w:r>
    </w:p>
    <w:p>
      <w:pPr>
        <w:pStyle w:val="Heading2"/>
        <w:bidi w:val="0"/>
        <w:jc w:val="start"/>
        <w:rPr/>
      </w:pPr>
      <w:r>
        <w:rPr/>
        <w:t>Conclusion and Lienor Best Practices</w:t>
      </w:r>
    </w:p>
    <w:p>
      <w:pPr>
        <w:pStyle w:val="BodyText"/>
        <w:bidi w:val="0"/>
        <w:jc w:val="start"/>
        <w:rPr/>
      </w:pPr>
      <w:r>
        <w:rPr/>
        <w:t xml:space="preserve">Florida’s construction lien cases reveal a consistent theme: </w:t>
      </w:r>
      <w:r>
        <w:rPr>
          <w:rStyle w:val="Strong"/>
        </w:rPr>
        <w:t>courts rigorously enforce the letter of the law</w:t>
      </w:r>
      <w:r>
        <w:rPr/>
        <w:t xml:space="preserve"> to balance the equitable rights between owners and those improving the property. The lien law is powerful – it can secure payment by encumbering the owner’s land – but with that power comes exacting statutory prerequisites. From the foregoing survey, the </w:t>
      </w:r>
      <w:r>
        <w:rPr>
          <w:rStyle w:val="Strong"/>
        </w:rPr>
        <w:t>overall judicial guidance</w:t>
      </w:r>
      <w:r>
        <w:rPr/>
        <w:t xml:space="preserve"> can be summarized as follows:</w:t>
      </w:r>
    </w:p>
    <w:p>
      <w:pPr>
        <w:pStyle w:val="BodyText"/>
        <w:numPr>
          <w:ilvl w:val="0"/>
          <w:numId w:val="1"/>
        </w:numPr>
        <w:tabs>
          <w:tab w:val="clear" w:pos="709"/>
          <w:tab w:val="left" w:pos="709" w:leader="none"/>
        </w:tabs>
        <w:bidi w:val="0"/>
        <w:ind w:hanging="283" w:start="709"/>
        <w:jc w:val="start"/>
        <w:rPr/>
      </w:pPr>
      <w:r>
        <w:rPr>
          <w:rStyle w:val="Strong"/>
        </w:rPr>
        <w:t>Deadlines are strict.</w:t>
      </w:r>
      <w:r>
        <w:rPr/>
        <w:t xml:space="preserve"> Missing the 45-day Notice to Owner or the 90-day recording period or the 1-year enforcement period is usually fatal to the lien</w:t>
      </w:r>
      <w:hyperlink r:id="rId169" w:anchor=":~:text=specialize%20in%20preparing%20and%20serving,or%20services%20to%20the%20project" w:tgtFrame="_blank">
        <w:r>
          <w:rPr>
            <w:rStyle w:val="Hyperlink"/>
          </w:rPr>
          <w:t>floridabar.org</w:t>
        </w:r>
      </w:hyperlink>
      <w:hyperlink r:id="rId170" w:anchor=":~:text=Second%2C%20the%20lien%20was%20timely,the%20project%20until%20this%20electrical" w:tgtFrame="_blank">
        <w:r>
          <w:rPr>
            <w:rStyle w:val="Hyperlink"/>
          </w:rPr>
          <w:t>casemine.com</w:t>
        </w:r>
      </w:hyperlink>
      <w:r>
        <w:rPr/>
        <w:t>. Courts do not excuse late action absent a specific statutory basis.</w:t>
      </w:r>
    </w:p>
    <w:p>
      <w:pPr>
        <w:pStyle w:val="BodyText"/>
        <w:numPr>
          <w:ilvl w:val="0"/>
          <w:numId w:val="1"/>
        </w:numPr>
        <w:tabs>
          <w:tab w:val="clear" w:pos="709"/>
          <w:tab w:val="left" w:pos="709" w:leader="none"/>
        </w:tabs>
        <w:bidi w:val="0"/>
        <w:ind w:hanging="283" w:start="709"/>
        <w:jc w:val="start"/>
        <w:rPr/>
      </w:pPr>
      <w:r>
        <w:rPr>
          <w:rStyle w:val="Strong"/>
        </w:rPr>
        <w:t>“</w:t>
      </w:r>
      <w:r>
        <w:rPr>
          <w:rStyle w:val="Strong"/>
        </w:rPr>
        <w:t>Final furnishing” is interpreted realistically.</w:t>
      </w:r>
      <w:r>
        <w:rPr/>
        <w:t xml:space="preserve"> It’s the last substantial item of work contributing to the project’s completion – not trivial aftermath tasks</w:t>
      </w:r>
      <w:hyperlink r:id="rId171" w:anchor=":~:text=improvements%20thereto%2C%20the%20final%20furnishing,80%C2%A0Determining%20exactly%20when" w:tgtFrame="_blank">
        <w:r>
          <w:rPr>
            <w:rStyle w:val="Hyperlink"/>
          </w:rPr>
          <w:t>floridabar.org</w:t>
        </w:r>
      </w:hyperlink>
      <w:r>
        <w:rPr/>
        <w:t xml:space="preserve">. While some courts have stretched the concept when equity demanded (e.g. </w:t>
      </w:r>
      <w:r>
        <w:rPr>
          <w:rStyle w:val="Emphasis"/>
        </w:rPr>
        <w:t>Michnal</w:t>
      </w:r>
      <w:r>
        <w:rPr/>
        <w:t>), counting on that is risky.</w:t>
      </w:r>
    </w:p>
    <w:p>
      <w:pPr>
        <w:pStyle w:val="BodyText"/>
        <w:numPr>
          <w:ilvl w:val="0"/>
          <w:numId w:val="1"/>
        </w:numPr>
        <w:tabs>
          <w:tab w:val="clear" w:pos="709"/>
          <w:tab w:val="left" w:pos="709" w:leader="none"/>
        </w:tabs>
        <w:bidi w:val="0"/>
        <w:ind w:hanging="283" w:start="709"/>
        <w:jc w:val="start"/>
        <w:rPr/>
      </w:pPr>
      <w:r>
        <w:rPr>
          <w:rStyle w:val="Strong"/>
        </w:rPr>
        <w:t>Content errors can be forgiven if harmless.</w:t>
      </w:r>
      <w:r>
        <w:rPr/>
        <w:t xml:space="preserve"> Florida’s prejudice rule (§713.08(4)(a)) saves liens from technical mistakes that don’t mislead</w:t>
      </w:r>
      <w:hyperlink r:id="rId172" w:anchor=":~:text=Section%20%284%29%28a%29%20of%20F,by%20such%20omission%20or%20error" w:tgtFrame="_blank">
        <w:r>
          <w:rPr>
            <w:rStyle w:val="Hyperlink"/>
          </w:rPr>
          <w:t>case-law.vlex.com</w:t>
        </w:r>
      </w:hyperlink>
      <w:hyperlink r:id="rId173" w:anchor=":~:text=Application%3A%20The%20court%20concluded%20that,necessitating%20further%20examination%20at%20trial" w:tgtFrame="_blank">
        <w:r>
          <w:rPr>
            <w:rStyle w:val="Hyperlink"/>
          </w:rPr>
          <w:t>descrybe.ai</w:t>
        </w:r>
      </w:hyperlink>
      <w:r>
        <w:rPr/>
        <w:t>. But the burden is on the lienor to show the error was minor; blatant mistakes can still void a lien. It’s better to have no errors than to rely on judicial mercy.</w:t>
      </w:r>
    </w:p>
    <w:p>
      <w:pPr>
        <w:pStyle w:val="BodyText"/>
        <w:numPr>
          <w:ilvl w:val="0"/>
          <w:numId w:val="1"/>
        </w:numPr>
        <w:tabs>
          <w:tab w:val="clear" w:pos="709"/>
          <w:tab w:val="left" w:pos="709" w:leader="none"/>
        </w:tabs>
        <w:bidi w:val="0"/>
        <w:ind w:hanging="283" w:start="709"/>
        <w:jc w:val="start"/>
        <w:rPr/>
      </w:pPr>
      <w:r>
        <w:rPr>
          <w:rStyle w:val="Strong"/>
        </w:rPr>
        <w:t>Notices and owner requests must be heeded.</w:t>
      </w:r>
      <w:r>
        <w:rPr/>
        <w:t xml:space="preserve"> The </w:t>
      </w:r>
      <w:r>
        <w:rPr>
          <w:rStyle w:val="Emphasis"/>
        </w:rPr>
        <w:t>Home Electric</w:t>
      </w:r>
      <w:r>
        <w:rPr/>
        <w:t xml:space="preserve"> and </w:t>
      </w:r>
      <w:r>
        <w:rPr>
          <w:rStyle w:val="Emphasis"/>
        </w:rPr>
        <w:t>Stresscon</w:t>
      </w:r>
      <w:r>
        <w:rPr/>
        <w:t xml:space="preserve"> line of cases make clear that when the statute says “do X in 30 days or lose the lien,” it means it</w:t>
      </w:r>
      <w:hyperlink r:id="rId174" w:anchor=":~:text=Electric%2C%20547%20So,its%20lien%20must%20be%20denied" w:tgtFrame="_blank">
        <w:r>
          <w:rPr>
            <w:rStyle w:val="Hyperlink"/>
          </w:rPr>
          <w:t>law.justia.com</w:t>
        </w:r>
      </w:hyperlink>
      <w:hyperlink r:id="rId175" w:anchor=":~:text=As%20this%20Court%20has%20stated,denial%20of%20the%20mechanic%27s%20lien" w:tgtFrame="_blank">
        <w:r>
          <w:rPr>
            <w:rStyle w:val="Hyperlink"/>
          </w:rPr>
          <w:t>law.justia.com</w:t>
        </w:r>
      </w:hyperlink>
      <w:r>
        <w:rPr/>
        <w:t>. Lienors must respond to owner’s information demands exactly as required, and timely service of NTO is indispensable for subs.</w:t>
      </w:r>
    </w:p>
    <w:p>
      <w:pPr>
        <w:pStyle w:val="BodyText"/>
        <w:numPr>
          <w:ilvl w:val="0"/>
          <w:numId w:val="1"/>
        </w:numPr>
        <w:tabs>
          <w:tab w:val="clear" w:pos="709"/>
          <w:tab w:val="left" w:pos="709" w:leader="none"/>
        </w:tabs>
        <w:bidi w:val="0"/>
        <w:ind w:hanging="283" w:start="709"/>
        <w:jc w:val="start"/>
        <w:rPr/>
      </w:pPr>
      <w:r>
        <w:rPr>
          <w:rStyle w:val="Strong"/>
        </w:rPr>
        <w:t>Fraudulent liens will backfire.</w:t>
      </w:r>
      <w:r>
        <w:rPr/>
        <w:t xml:space="preserve"> Courts distinguish between an </w:t>
      </w:r>
      <w:r>
        <w:rPr>
          <w:rStyle w:val="Emphasis"/>
        </w:rPr>
        <w:t>honest dispute</w:t>
      </w:r>
      <w:r>
        <w:rPr/>
        <w:t xml:space="preserve"> and a </w:t>
      </w:r>
      <w:r>
        <w:rPr>
          <w:rStyle w:val="Emphasis"/>
        </w:rPr>
        <w:t>willful inflation</w:t>
      </w:r>
      <w:r>
        <w:rPr/>
        <w:t>. They will void liens (and even refer for prosecution) if a lienor files a knowingly exaggerated claim</w:t>
      </w:r>
      <w:hyperlink r:id="rId176" w:anchor=":~:text=The%20owners%27%20reliance%20on%20Martin,at%20122" w:tgtFrame="_blank">
        <w:r>
          <w:rPr>
            <w:rStyle w:val="Hyperlink"/>
          </w:rPr>
          <w:t>caselaw.findlaw.com</w:t>
        </w:r>
      </w:hyperlink>
      <w:hyperlink r:id="rId177" w:anchor=":~:text=has%20pointed%20out%20that%20such,97" w:tgtFrame="_blank">
        <w:r>
          <w:rPr>
            <w:rStyle w:val="Hyperlink"/>
          </w:rPr>
          <w:t>floridabar.org</w:t>
        </w:r>
      </w:hyperlink>
      <w:r>
        <w:rPr/>
        <w:t>. Good faith and accuracy protect your lien; sharp practice destroys it.</w:t>
      </w:r>
    </w:p>
    <w:p>
      <w:pPr>
        <w:pStyle w:val="BodyText"/>
        <w:numPr>
          <w:ilvl w:val="0"/>
          <w:numId w:val="1"/>
        </w:numPr>
        <w:tabs>
          <w:tab w:val="clear" w:pos="709"/>
          <w:tab w:val="left" w:pos="709" w:leader="none"/>
        </w:tabs>
        <w:bidi w:val="0"/>
        <w:ind w:hanging="283" w:start="709"/>
        <w:jc w:val="start"/>
        <w:rPr/>
      </w:pPr>
      <w:r>
        <w:rPr>
          <w:rStyle w:val="Strong"/>
        </w:rPr>
        <w:t>Prevailing party fees fuel the incentive to comply.</w:t>
      </w:r>
      <w:r>
        <w:rPr/>
        <w:t xml:space="preserve"> Because an owner can recover fees for defeating a non-compliant or fraudulent lien</w:t>
      </w:r>
      <w:hyperlink r:id="rId178" w:anchor=":~:text=Finally%2C%20and%20perhaps%20less%20obviously%2C,point%20of%20being%20made%20whole" w:tgtFrame="_blank">
        <w:r>
          <w:rPr>
            <w:rStyle w:val="Hyperlink"/>
          </w:rPr>
          <w:t>hammerngavel.com</w:t>
        </w:r>
      </w:hyperlink>
      <w:r>
        <w:rPr/>
        <w:t xml:space="preserve">, and a lienor can recover fees if the lien is upheld, both sides have skin in the game. This tilts in favor of those who </w:t>
      </w:r>
      <w:r>
        <w:rPr>
          <w:rStyle w:val="Emphasis"/>
        </w:rPr>
        <w:t>follow the statute closely</w:t>
      </w:r>
      <w:r>
        <w:rPr/>
        <w:t>, as they are more likely to prevail.</w:t>
      </w:r>
    </w:p>
    <w:p>
      <w:pPr>
        <w:pStyle w:val="BodyText"/>
        <w:bidi w:val="0"/>
        <w:jc w:val="start"/>
        <w:rPr/>
      </w:pPr>
      <w:r>
        <w:rPr/>
        <w:t xml:space="preserve">For </w:t>
      </w:r>
      <w:r>
        <w:rPr>
          <w:rStyle w:val="Strong"/>
        </w:rPr>
        <w:t>contemporary construction practitioners (contractors, subs, suppliers)</w:t>
      </w:r>
      <w:r>
        <w:rPr/>
        <w:t>, the following actionable recommendations will help ensure lien compliance:</w:t>
      </w:r>
    </w:p>
    <w:p>
      <w:pPr>
        <w:pStyle w:val="BodyText"/>
        <w:numPr>
          <w:ilvl w:val="0"/>
          <w:numId w:val="2"/>
        </w:numPr>
        <w:tabs>
          <w:tab w:val="clear" w:pos="709"/>
          <w:tab w:val="left" w:pos="709" w:leader="none"/>
        </w:tabs>
        <w:bidi w:val="0"/>
        <w:ind w:hanging="283" w:start="709"/>
        <w:jc w:val="start"/>
        <w:rPr/>
      </w:pPr>
      <w:r>
        <w:rPr>
          <w:rStyle w:val="Strong"/>
        </w:rPr>
        <w:t>Know the Lien Law Basics:</w:t>
      </w:r>
      <w:r>
        <w:rPr/>
        <w:t xml:space="preserve"> Educate your project management and credit teams on Chapter 713’s requirements. Simple checklists (serve NTO by X date, record lien by Y date, etc.) can prevent fatal oversights.</w:t>
      </w:r>
    </w:p>
    <w:p>
      <w:pPr>
        <w:pStyle w:val="BodyText"/>
        <w:numPr>
          <w:ilvl w:val="0"/>
          <w:numId w:val="2"/>
        </w:numPr>
        <w:tabs>
          <w:tab w:val="clear" w:pos="709"/>
          <w:tab w:val="left" w:pos="709" w:leader="none"/>
        </w:tabs>
        <w:bidi w:val="0"/>
        <w:ind w:hanging="283" w:start="709"/>
        <w:jc w:val="start"/>
        <w:rPr/>
      </w:pPr>
      <w:r>
        <w:rPr>
          <w:rStyle w:val="Strong"/>
        </w:rPr>
        <w:t>Use Notices of Commencement:</w:t>
      </w:r>
      <w:r>
        <w:rPr/>
        <w:t xml:space="preserve"> At project start, obtain the recorded Notice of Commencement (NOC) from the owner if available. It contains owner and lender info and project legal description – critical for your NTO and lien. Also note the NOC expiration (one year from recording, typically) because if it expires, your lien priority might be based on actual recording date</w:t>
      </w:r>
      <w:hyperlink r:id="rId179" w:anchor=":~:text=A%20copy%20must%20be%20served,effect%20once%20an%20action%20to" w:tgtFrame="_blank">
        <w:r>
          <w:rPr>
            <w:rStyle w:val="Hyperlink"/>
          </w:rPr>
          <w:t>floridabar.org</w:t>
        </w:r>
      </w:hyperlink>
      <w:r>
        <w:rPr/>
        <w:t>.</w:t>
      </w:r>
    </w:p>
    <w:p>
      <w:pPr>
        <w:pStyle w:val="BodyText"/>
        <w:numPr>
          <w:ilvl w:val="0"/>
          <w:numId w:val="2"/>
        </w:numPr>
        <w:tabs>
          <w:tab w:val="clear" w:pos="709"/>
          <w:tab w:val="left" w:pos="709" w:leader="none"/>
        </w:tabs>
        <w:bidi w:val="0"/>
        <w:ind w:hanging="283" w:start="709"/>
        <w:jc w:val="start"/>
        <w:rPr/>
      </w:pPr>
      <w:r>
        <w:rPr>
          <w:rStyle w:val="Strong"/>
        </w:rPr>
        <w:t>Serve the Notice to Owner (if required) promptly:</w:t>
      </w:r>
      <w:r>
        <w:rPr/>
        <w:t xml:space="preserve"> Don’t wait – send it at the beginning of your work or delivery. Keep proof of delivery (green card, etc.). Sub-subcontractors: ensure you also send any required notice to the contractor. Without an NTO, you generally cannot lien</w:t>
      </w:r>
      <w:hyperlink r:id="rId180" w:anchor=":~:text=DOES%20A%20SUBCONTRACTOR%20BEGIN%20TO,INSTALLATION%20ON%20THE%20JOB%20SITE" w:tgtFrame="_blank">
        <w:r>
          <w:rPr>
            <w:rStyle w:val="Hyperlink"/>
          </w:rPr>
          <w:t>law.justia.com</w:t>
        </w:r>
      </w:hyperlink>
      <w:hyperlink r:id="rId181" w:anchor=":~:text=to%20furnish%20timely%20notice%20to,We%20reverse" w:tgtFrame="_blank">
        <w:r>
          <w:rPr>
            <w:rStyle w:val="Hyperlink"/>
          </w:rPr>
          <w:t>law.justia.com</w:t>
        </w:r>
      </w:hyperlink>
      <w:r>
        <w:rPr/>
        <w:t>.</w:t>
      </w:r>
    </w:p>
    <w:p>
      <w:pPr>
        <w:pStyle w:val="BodyText"/>
        <w:numPr>
          <w:ilvl w:val="0"/>
          <w:numId w:val="2"/>
        </w:numPr>
        <w:tabs>
          <w:tab w:val="clear" w:pos="709"/>
          <w:tab w:val="left" w:pos="709" w:leader="none"/>
        </w:tabs>
        <w:bidi w:val="0"/>
        <w:ind w:hanging="283" w:start="709"/>
        <w:jc w:val="start"/>
        <w:rPr/>
      </w:pPr>
      <w:r>
        <w:rPr>
          <w:rStyle w:val="Strong"/>
        </w:rPr>
        <w:t>Diary the 90-Day Lien Window:</w:t>
      </w:r>
      <w:r>
        <w:rPr/>
        <w:t xml:space="preserve"> Maintain job logs to pinpoint your last furnishing date. If work stretches, update that date. But never assume you can extend it by doing trivial tasks – once substantial work ceases, the clock likely runs</w:t>
      </w:r>
      <w:hyperlink r:id="rId182" w:anchor=":~:text=an%20NTO%2C76%C2%A0and%20final%20furnishing%20no,mine%20from%20which%20its%20raw" w:tgtFrame="_blank">
        <w:r>
          <w:rPr>
            <w:rStyle w:val="Hyperlink"/>
          </w:rPr>
          <w:t>floridabar.org</w:t>
        </w:r>
      </w:hyperlink>
      <w:r>
        <w:rPr/>
        <w:t>. Plan to record the lien well before day 90 to avoid any ambiguity or miscounting.</w:t>
      </w:r>
    </w:p>
    <w:p>
      <w:pPr>
        <w:pStyle w:val="BodyText"/>
        <w:numPr>
          <w:ilvl w:val="0"/>
          <w:numId w:val="2"/>
        </w:numPr>
        <w:tabs>
          <w:tab w:val="clear" w:pos="709"/>
          <w:tab w:val="left" w:pos="709" w:leader="none"/>
        </w:tabs>
        <w:bidi w:val="0"/>
        <w:ind w:hanging="283" w:start="709"/>
        <w:jc w:val="start"/>
        <w:rPr/>
      </w:pPr>
      <w:r>
        <w:rPr>
          <w:rStyle w:val="Strong"/>
        </w:rPr>
        <w:t>Prepare Accurate Lien Documents:</w:t>
      </w:r>
      <w:r>
        <w:rPr/>
        <w:t xml:space="preserve"> Use the statutory form and fill in all blanks correctly</w:t>
      </w:r>
      <w:hyperlink r:id="rId183" w:anchor=":~:text=ethod%20of%20service%20of%20the,on%20the%20contractor%20or%20subcontractor" w:tgtFrame="_blank">
        <w:r>
          <w:rPr>
            <w:rStyle w:val="Hyperlink"/>
          </w:rPr>
          <w:t>cobbgonzalez.com</w:t>
        </w:r>
      </w:hyperlink>
      <w:r>
        <w:rPr/>
        <w:t>. Double-check names (spell them exactly as in official records), addresses, and legal descriptions. List the first and last work dates accurately (these often get scrutinized). Compute the amount due from contract accounting records – ensure it excludes paid amounts and unperformed work. If in doubt whether an item is lienable, consult counsel or err on excluding it to avoid later problems.</w:t>
      </w:r>
    </w:p>
    <w:p>
      <w:pPr>
        <w:pStyle w:val="BodyText"/>
        <w:numPr>
          <w:ilvl w:val="0"/>
          <w:numId w:val="2"/>
        </w:numPr>
        <w:tabs>
          <w:tab w:val="clear" w:pos="709"/>
          <w:tab w:val="left" w:pos="709" w:leader="none"/>
        </w:tabs>
        <w:bidi w:val="0"/>
        <w:ind w:hanging="283" w:start="709"/>
        <w:jc w:val="start"/>
        <w:rPr/>
      </w:pPr>
      <w:r>
        <w:rPr>
          <w:rStyle w:val="Strong"/>
        </w:rPr>
        <w:t>Execute the Lien Properly:</w:t>
      </w:r>
      <w:r>
        <w:rPr/>
        <w:t xml:space="preserve"> Have an authorized representative sign the lien and </w:t>
      </w:r>
      <w:r>
        <w:rPr>
          <w:rStyle w:val="Strong"/>
        </w:rPr>
        <w:t>swear to it</w:t>
      </w:r>
      <w:r>
        <w:rPr/>
        <w:t>. Preferably sign in front of a notary. Alternatively, include the precise “penalty of perjury” statement as allowed by Fla. Stat. 92.525</w:t>
      </w:r>
      <w:hyperlink r:id="rId184" w:anchor=":~:text=Fourth%2C%20the%20statement%20provided%20by,that%20the%20facts%20stated%20in" w:tgtFrame="_blank">
        <w:r>
          <w:rPr>
            <w:rStyle w:val="Hyperlink"/>
          </w:rPr>
          <w:t>casemine.com</w:t>
        </w:r>
      </w:hyperlink>
      <w:r>
        <w:rPr/>
        <w:t xml:space="preserve">. Do </w:t>
      </w:r>
      <w:r>
        <w:rPr>
          <w:rStyle w:val="Emphasis"/>
        </w:rPr>
        <w:t>not</w:t>
      </w:r>
      <w:r>
        <w:rPr/>
        <w:t xml:space="preserve"> use a proxy signer with no knowledge. Also, the lien should show the name and address of the person who prepared it (which can be the lienor or an attorney – avoid listing a non-lawyer service as “prepared by” as that invites scrutiny).</w:t>
      </w:r>
    </w:p>
    <w:p>
      <w:pPr>
        <w:pStyle w:val="BodyText"/>
        <w:numPr>
          <w:ilvl w:val="0"/>
          <w:numId w:val="2"/>
        </w:numPr>
        <w:tabs>
          <w:tab w:val="clear" w:pos="709"/>
          <w:tab w:val="left" w:pos="709" w:leader="none"/>
        </w:tabs>
        <w:bidi w:val="0"/>
        <w:ind w:hanging="283" w:start="709"/>
        <w:jc w:val="start"/>
        <w:rPr/>
      </w:pPr>
      <w:r>
        <w:rPr>
          <w:rStyle w:val="Strong"/>
        </w:rPr>
        <w:t>Serve the Lien on the Owner:</w:t>
      </w:r>
      <w:r>
        <w:rPr/>
        <w:t xml:space="preserve"> Within 15 days of recording, send a copy of the claim of lien to the owner (and copy to the lender, if any, to put them on notice too)</w:t>
      </w:r>
      <w:hyperlink r:id="rId185" w:anchor=":~:text=%E2%80%A2%20Perfecting%20a%20Claim%20of,to%20show%20cause%20why%20the" w:tgtFrame="_blank">
        <w:r>
          <w:rPr>
            <w:rStyle w:val="Hyperlink"/>
          </w:rPr>
          <w:t>floridabar.org</w:t>
        </w:r>
      </w:hyperlink>
      <w:r>
        <w:rPr/>
        <w:t>. Use certified mail and save the receipt. While not voiding the lien, this is required by statute and is just good practice to maintain transparency.</w:t>
      </w:r>
    </w:p>
    <w:p>
      <w:pPr>
        <w:pStyle w:val="BodyText"/>
        <w:numPr>
          <w:ilvl w:val="0"/>
          <w:numId w:val="2"/>
        </w:numPr>
        <w:tabs>
          <w:tab w:val="clear" w:pos="709"/>
          <w:tab w:val="left" w:pos="709" w:leader="none"/>
        </w:tabs>
        <w:bidi w:val="0"/>
        <w:ind w:hanging="283" w:start="709"/>
        <w:jc w:val="start"/>
        <w:rPr/>
      </w:pPr>
      <w:r>
        <w:rPr>
          <w:rStyle w:val="Strong"/>
        </w:rPr>
        <w:t>Anticipate the Owner’s Next Move:</w:t>
      </w:r>
      <w:r>
        <w:rPr/>
        <w:t xml:space="preserve"> Often, after you lien, an owner may respond by either settling, contesting the lien’s validity, or transferring it to a bond. Be prepared for any. If you receive a </w:t>
      </w:r>
      <w:r>
        <w:rPr>
          <w:rStyle w:val="Strong"/>
        </w:rPr>
        <w:t>Request for Sworn Statement of Account</w:t>
      </w:r>
      <w:r>
        <w:rPr/>
        <w:t>, mark the due date (30 days) and respond under oath in time</w:t>
      </w:r>
      <w:hyperlink r:id="rId186" w:anchor=":~:text=demand%20by%20an%20owner%20which,in%20substantially%20the%20following%20form" w:tgtFrame="_blank">
        <w:r>
          <w:rPr>
            <w:rStyle w:val="Hyperlink"/>
          </w:rPr>
          <w:t>casemine.com</w:t>
        </w:r>
      </w:hyperlink>
      <w:hyperlink r:id="rId187" w:anchor=":~:text=%C2%A7%20713,of%20his%20or%20her%20lien" w:tgtFrame="_blank">
        <w:r>
          <w:rPr>
            <w:rStyle w:val="Hyperlink"/>
          </w:rPr>
          <w:t>casemine.com</w:t>
        </w:r>
      </w:hyperlink>
      <w:r>
        <w:rPr/>
        <w:t xml:space="preserve">. If the owner files a </w:t>
      </w:r>
      <w:r>
        <w:rPr>
          <w:rStyle w:val="Strong"/>
        </w:rPr>
        <w:t>Notice of Contest</w:t>
      </w:r>
      <w:r>
        <w:rPr/>
        <w:t>, mark that new 60-day deadline and file suit in time</w:t>
      </w:r>
      <w:hyperlink r:id="rId188" w:anchor=":~:text=the%20time%20of%20recording,105" w:tgtFrame="_blank">
        <w:r>
          <w:rPr>
            <w:rStyle w:val="Hyperlink"/>
          </w:rPr>
          <w:t>floridabar.org</w:t>
        </w:r>
      </w:hyperlink>
      <w:r>
        <w:rPr/>
        <w:t xml:space="preserve">. If the owner files a </w:t>
      </w:r>
      <w:r>
        <w:rPr>
          <w:rStyle w:val="Strong"/>
        </w:rPr>
        <w:t>Show Cause</w:t>
      </w:r>
      <w:r>
        <w:rPr/>
        <w:t xml:space="preserve"> motion/order, get your foreclosure suit on file </w:t>
      </w:r>
      <w:r>
        <w:rPr>
          <w:rStyle w:val="Emphasis"/>
        </w:rPr>
        <w:t>before</w:t>
      </w:r>
      <w:r>
        <w:rPr/>
        <w:t xml:space="preserve"> the hearing date (within the 20 days given)</w:t>
      </w:r>
      <w:hyperlink r:id="rId189" w:anchor=":~:text=the%20time%20of%20recording,to%2060%20days%20by%20recording" w:tgtFrame="_blank">
        <w:r>
          <w:rPr>
            <w:rStyle w:val="Hyperlink"/>
          </w:rPr>
          <w:t>floridabar.org</w:t>
        </w:r>
      </w:hyperlink>
      <w:r>
        <w:rPr/>
        <w:t>. In short, remain vigilant and ready to act quickly post-lien.</w:t>
      </w:r>
    </w:p>
    <w:p>
      <w:pPr>
        <w:pStyle w:val="BodyText"/>
        <w:numPr>
          <w:ilvl w:val="0"/>
          <w:numId w:val="2"/>
        </w:numPr>
        <w:tabs>
          <w:tab w:val="clear" w:pos="709"/>
          <w:tab w:val="left" w:pos="709" w:leader="none"/>
        </w:tabs>
        <w:bidi w:val="0"/>
        <w:ind w:hanging="283" w:start="709"/>
        <w:jc w:val="start"/>
        <w:rPr/>
      </w:pPr>
      <w:r>
        <w:rPr>
          <w:rStyle w:val="Strong"/>
        </w:rPr>
        <w:t>Consider Less Drastic Security</w:t>
      </w:r>
      <w:r>
        <w:rPr/>
        <w:t xml:space="preserve">: In some cases, especially for subcontractors, a </w:t>
      </w:r>
      <w:r>
        <w:rPr>
          <w:rStyle w:val="Strong"/>
        </w:rPr>
        <w:t>Lien Release Bond</w:t>
      </w:r>
      <w:r>
        <w:rPr/>
        <w:t xml:space="preserve"> (where you as lienor bond your own lien) might be an option if there’s a dispute about compliance. This is rare and usually not ideal, but it’s a way to keep a lien in play if, say, you missed an NTO – you could potentially bond around privity issues. However, this is complex and requires legal advice; prevention of mistakes is far better than trying to salvage them later.</w:t>
      </w:r>
    </w:p>
    <w:p>
      <w:pPr>
        <w:pStyle w:val="BodyText"/>
        <w:numPr>
          <w:ilvl w:val="0"/>
          <w:numId w:val="2"/>
        </w:numPr>
        <w:tabs>
          <w:tab w:val="clear" w:pos="709"/>
          <w:tab w:val="left" w:pos="709" w:leader="none"/>
        </w:tabs>
        <w:bidi w:val="0"/>
        <w:ind w:hanging="283" w:start="709"/>
        <w:jc w:val="start"/>
        <w:rPr/>
      </w:pPr>
      <w:r>
        <w:rPr>
          <w:rStyle w:val="Strong"/>
        </w:rPr>
        <w:t>Pursue Foreclosure (or Suit on Bond) Timely:</w:t>
      </w:r>
      <w:r>
        <w:rPr/>
        <w:t xml:space="preserve"> Do not let the one-year period lapse</w:t>
      </w:r>
      <w:hyperlink r:id="rId190" w:anchor=":~:text=the%20NOC,105" w:tgtFrame="_blank">
        <w:r>
          <w:rPr>
            <w:rStyle w:val="Hyperlink"/>
          </w:rPr>
          <w:t>floridabar.org</w:t>
        </w:r>
      </w:hyperlink>
      <w:r>
        <w:rPr/>
        <w:t>. Many practitioners aim to file the foreclosure within, say, 11 months of lien recording to avoid any argument about time. Also, if the property is changing hands or a refinance is looming, earlier foreclosure (with lis pendens) might be necessary to protect your priority.</w:t>
      </w:r>
    </w:p>
    <w:p>
      <w:pPr>
        <w:pStyle w:val="BodyText"/>
        <w:numPr>
          <w:ilvl w:val="0"/>
          <w:numId w:val="2"/>
        </w:numPr>
        <w:tabs>
          <w:tab w:val="clear" w:pos="709"/>
          <w:tab w:val="left" w:pos="709" w:leader="none"/>
        </w:tabs>
        <w:bidi w:val="0"/>
        <w:ind w:hanging="283" w:start="709"/>
        <w:jc w:val="start"/>
        <w:rPr/>
      </w:pPr>
      <w:r>
        <w:rPr>
          <w:rStyle w:val="Strong"/>
        </w:rPr>
        <w:t>Be Ethical and Reasonable:</w:t>
      </w:r>
      <w:r>
        <w:rPr/>
        <w:t xml:space="preserve"> This cannot be overstated – </w:t>
      </w:r>
      <w:r>
        <w:rPr>
          <w:rStyle w:val="Strong"/>
        </w:rPr>
        <w:t>do not inflate your lien</w:t>
      </w:r>
      <w:r>
        <w:rPr/>
        <w:t xml:space="preserve">. Claim only what you honestly believe is due and can substantiate. Florida law doesn’t punish a lienor for a </w:t>
      </w:r>
      <w:r>
        <w:rPr>
          <w:rStyle w:val="Strong"/>
        </w:rPr>
        <w:t>“good-faith dispute as to the amount due”</w:t>
      </w:r>
      <w:hyperlink r:id="rId191" w:anchor=":~:text=A%20lien%20is%20deemed%20fraudulent,3d%20DCA%202008%29%2C%20reduced" w:tgtFrame="_blank">
        <w:r>
          <w:rPr>
            <w:rStyle w:val="Hyperlink"/>
          </w:rPr>
          <w:t>floridabar.org</w:t>
        </w:r>
      </w:hyperlink>
      <w:r>
        <w:rPr/>
        <w:t>, but it comes down to evidence. If you’re ever internally unsure “should I really lien for this much?”, that doubt is a sign to double-check your numbers or consult a construction attorney. It’s better to lien for a bit less (and maintain credibility) than to overreach and risk the entire lien. You can always amend a lien downward or accept a bit less in settlement, but if your lien is voided as fraudulent, you lose all leverage.</w:t>
      </w:r>
    </w:p>
    <w:p>
      <w:pPr>
        <w:pStyle w:val="BodyText"/>
        <w:numPr>
          <w:ilvl w:val="0"/>
          <w:numId w:val="2"/>
        </w:numPr>
        <w:tabs>
          <w:tab w:val="clear" w:pos="709"/>
          <w:tab w:val="left" w:pos="709" w:leader="none"/>
        </w:tabs>
        <w:bidi w:val="0"/>
        <w:ind w:hanging="283" w:start="709"/>
        <w:jc w:val="start"/>
        <w:rPr/>
      </w:pPr>
      <w:r>
        <w:rPr>
          <w:rStyle w:val="Strong"/>
        </w:rPr>
        <w:t>Leverage Attorney Guidance:</w:t>
      </w:r>
      <w:r>
        <w:rPr/>
        <w:t xml:space="preserve"> Florida’s lien law has many nuances (e.g., special rules for liening landlord-tenant improvements, or for design professionals, etc., which are beyond our scope). When in doubt, involve a Florida construction lawyer early. The cost of a brief consultation or document review is minor compared to the value of preserving a six- or seven-figure lien claim (or avoiding a fraudulent lien trap). An attorney can also assist in foreclosing the lien and navigating any owner challenges.</w:t>
      </w:r>
    </w:p>
    <w:p>
      <w:pPr>
        <w:pStyle w:val="BodyText"/>
        <w:bidi w:val="0"/>
        <w:jc w:val="start"/>
        <w:rPr/>
      </w:pPr>
      <w:r>
        <w:rPr/>
        <w:t xml:space="preserve">By following these guidelines, lienors across all roles – general contractors in direct contract with owners, subcontractors, sub-subs, and material suppliers – can </w:t>
      </w:r>
      <w:r>
        <w:rPr>
          <w:rStyle w:val="Strong"/>
        </w:rPr>
        <w:t>maximize their chances of filing valid, enforceable liens</w:t>
      </w:r>
      <w:r>
        <w:rPr/>
        <w:t xml:space="preserve"> and securing payment for their work. Florida’s current mechanic’s lien jurisprudence reflects a balancing act: it protects diligent lienors’ rights (no owner windfall from technical slip-ups that caused no harm)</w:t>
      </w:r>
      <w:hyperlink r:id="rId192" w:anchor=":~:text=Section%20%284%29%28a%29%20of%20F,by%20such%20omission%20or%20error" w:tgtFrame="_blank">
        <w:r>
          <w:rPr>
            <w:rStyle w:val="Hyperlink"/>
          </w:rPr>
          <w:t>case-law.vlex.com</w:t>
        </w:r>
      </w:hyperlink>
      <w:hyperlink r:id="rId193" w:anchor=":~:text=Application%3A%20The%20court%20concluded%20that,necessitating%20further%20examination%20at%20trial" w:tgtFrame="_blank">
        <w:r>
          <w:rPr>
            <w:rStyle w:val="Hyperlink"/>
          </w:rPr>
          <w:t>descrybe.ai</w:t>
        </w:r>
      </w:hyperlink>
      <w:r>
        <w:rPr/>
        <w:t>, but it also swiftly penalizes non-compliance or abuse of the lien process (late filings, unsworn claims, or willful exaggerations)</w:t>
      </w:r>
      <w:hyperlink r:id="rId194" w:anchor=":~:text=Electric%2C%20547%20So,its%20lien%20must%20be%20denied" w:tgtFrame="_blank">
        <w:r>
          <w:rPr>
            <w:rStyle w:val="Hyperlink"/>
          </w:rPr>
          <w:t>law.justia.com</w:t>
        </w:r>
      </w:hyperlink>
      <w:hyperlink r:id="rId195" w:anchor=":~:text=Ten%20years%20earlier%2C%20the%20same,admitted%20that%20he%20hadn%E2%80%99t%20really" w:tgtFrame="_blank">
        <w:r>
          <w:rPr>
            <w:rStyle w:val="Hyperlink"/>
          </w:rPr>
          <w:t>floridabar.org</w:t>
        </w:r>
      </w:hyperlink>
      <w:r>
        <w:rPr/>
        <w:t xml:space="preserve">. The overarching trend is </w:t>
      </w:r>
      <w:r>
        <w:rPr>
          <w:rStyle w:val="Strong"/>
        </w:rPr>
        <w:t>“pay attention to the statute and you’ll be protected; cut corners and you do so at your peril.”</w:t>
      </w:r>
      <w:r>
        <w:rPr/>
        <w:t xml:space="preserve"> Keeping that in mind, construction practitioners should treat the mechanics’ lien process as a formal, detail-oriented task – as important as the construction work itself – to ensure they </w:t>
      </w:r>
      <w:r>
        <w:rPr>
          <w:rStyle w:val="Emphasis"/>
        </w:rPr>
        <w:t>get paid in full</w:t>
      </w:r>
      <w:r>
        <w:rPr/>
        <w:t xml:space="preserve"> for improving Florida properties, with their lien rights intact and upheld.</w:t>
      </w:r>
    </w:p>
    <w:p>
      <w:pPr>
        <w:pStyle w:val="BodyText"/>
        <w:bidi w:val="0"/>
        <w:jc w:val="start"/>
        <w:rPr/>
      </w:pPr>
      <w:r>
        <w:rPr>
          <w:rStyle w:val="Strong"/>
        </w:rPr>
        <w:t>Sources:</w:t>
      </w:r>
    </w:p>
    <w:p>
      <w:pPr>
        <w:pStyle w:val="BodyText"/>
        <w:numPr>
          <w:ilvl w:val="0"/>
          <w:numId w:val="3"/>
        </w:numPr>
        <w:tabs>
          <w:tab w:val="clear" w:pos="709"/>
          <w:tab w:val="left" w:pos="709" w:leader="none"/>
        </w:tabs>
        <w:bidi w:val="0"/>
        <w:ind w:hanging="283" w:start="709"/>
        <w:jc w:val="start"/>
        <w:rPr/>
      </w:pPr>
      <w:r>
        <w:rPr/>
        <w:t>Fla. Stat. §§713.08, 713.16, 713.21, 713.22, 713.31 (2025).</w:t>
      </w:r>
    </w:p>
    <w:p>
      <w:pPr>
        <w:pStyle w:val="BodyText"/>
        <w:numPr>
          <w:ilvl w:val="0"/>
          <w:numId w:val="3"/>
        </w:numPr>
        <w:tabs>
          <w:tab w:val="clear" w:pos="709"/>
          <w:tab w:val="left" w:pos="709" w:leader="none"/>
        </w:tabs>
        <w:bidi w:val="0"/>
        <w:ind w:hanging="283" w:start="709"/>
        <w:jc w:val="start"/>
        <w:rPr/>
      </w:pPr>
      <w:r>
        <w:rPr>
          <w:rStyle w:val="Emphasis"/>
        </w:rPr>
        <w:t>Stunkel v. Gazebo Landscaping Design, Inc.</w:t>
      </w:r>
      <w:r>
        <w:rPr/>
        <w:t>, 660 So.2d 623 (Fla. 1995)</w:t>
      </w:r>
      <w:hyperlink r:id="rId196" w:anchor=":~:text=DOES%20A%20SUBCONTRACTOR%20BEGIN%20TO,INSTALLATION%20ON%20THE%20JOB%20SITE" w:tgtFrame="_blank">
        <w:r>
          <w:rPr>
            <w:rStyle w:val="Hyperlink"/>
          </w:rPr>
          <w:t>law.justia.com</w:t>
        </w:r>
      </w:hyperlink>
      <w:hyperlink r:id="rId197" w:anchor=":~:text=We%20answer%20the%20certified%20question,materials%20at%20the%20job%20site" w:tgtFrame="_blank">
        <w:r>
          <w:rPr>
            <w:rStyle w:val="Hyperlink"/>
          </w:rPr>
          <w:t>law.justia.com</w:t>
        </w:r>
      </w:hyperlink>
      <w:r>
        <w:rPr/>
        <w:t>.</w:t>
      </w:r>
    </w:p>
    <w:p>
      <w:pPr>
        <w:pStyle w:val="BodyText"/>
        <w:numPr>
          <w:ilvl w:val="0"/>
          <w:numId w:val="3"/>
        </w:numPr>
        <w:tabs>
          <w:tab w:val="clear" w:pos="709"/>
          <w:tab w:val="left" w:pos="709" w:leader="none"/>
        </w:tabs>
        <w:bidi w:val="0"/>
        <w:ind w:hanging="283" w:start="709"/>
        <w:jc w:val="start"/>
        <w:rPr/>
      </w:pPr>
      <w:r>
        <w:rPr>
          <w:rStyle w:val="Emphasis"/>
        </w:rPr>
        <w:t>Stresscon v. Madiedo</w:t>
      </w:r>
      <w:r>
        <w:rPr/>
        <w:t>, 581 So.2d 158 (Fla. 1991)</w:t>
      </w:r>
      <w:hyperlink r:id="rId198" w:anchor=":~:text=This%20Court%27s%20decision%20in%20Home,Home" w:tgtFrame="_blank">
        <w:r>
          <w:rPr>
            <w:rStyle w:val="Hyperlink"/>
          </w:rPr>
          <w:t>law.justia.com</w:t>
        </w:r>
      </w:hyperlink>
      <w:hyperlink r:id="rId199" w:anchor=":~:text=As%20this%20Court%20has%20stated,denial%20of%20the%20mechanic%27s%20lien" w:tgtFrame="_blank">
        <w:r>
          <w:rPr>
            <w:rStyle w:val="Hyperlink"/>
          </w:rPr>
          <w:t>law.justia.com</w:t>
        </w:r>
      </w:hyperlink>
      <w:r>
        <w:rPr/>
        <w:t>.</w:t>
      </w:r>
    </w:p>
    <w:p>
      <w:pPr>
        <w:pStyle w:val="BodyText"/>
        <w:numPr>
          <w:ilvl w:val="0"/>
          <w:numId w:val="3"/>
        </w:numPr>
        <w:tabs>
          <w:tab w:val="clear" w:pos="709"/>
          <w:tab w:val="left" w:pos="709" w:leader="none"/>
        </w:tabs>
        <w:bidi w:val="0"/>
        <w:ind w:hanging="283" w:start="709"/>
        <w:jc w:val="start"/>
        <w:rPr/>
      </w:pPr>
      <w:r>
        <w:rPr>
          <w:rStyle w:val="Emphasis"/>
        </w:rPr>
        <w:t>Home Electric of Dade County, Inc. v. Gonas</w:t>
      </w:r>
      <w:r>
        <w:rPr/>
        <w:t>, 547 So.2d 109 (Fla. 1989)</w:t>
      </w:r>
      <w:hyperlink r:id="rId200" w:anchor=":~:text=required%20time.%20Noting%20,its%20lien%20must%20be%20denied" w:tgtFrame="_blank">
        <w:r>
          <w:rPr>
            <w:rStyle w:val="Hyperlink"/>
          </w:rPr>
          <w:t>law.justia.com</w:t>
        </w:r>
      </w:hyperlink>
      <w:hyperlink r:id="rId201" w:anchor=":~:text=Electric%2C%20547%20So,its%20lien%20must%20be%20denied" w:tgtFrame="_blank">
        <w:r>
          <w:rPr>
            <w:rStyle w:val="Hyperlink"/>
          </w:rPr>
          <w:t>law.justia.com</w:t>
        </w:r>
      </w:hyperlink>
      <w:r>
        <w:rPr/>
        <w:t>.</w:t>
      </w:r>
    </w:p>
    <w:p>
      <w:pPr>
        <w:pStyle w:val="BodyText"/>
        <w:numPr>
          <w:ilvl w:val="0"/>
          <w:numId w:val="3"/>
        </w:numPr>
        <w:tabs>
          <w:tab w:val="clear" w:pos="709"/>
          <w:tab w:val="left" w:pos="709" w:leader="none"/>
        </w:tabs>
        <w:bidi w:val="0"/>
        <w:ind w:hanging="283" w:start="709"/>
        <w:jc w:val="start"/>
        <w:rPr/>
      </w:pPr>
      <w:r>
        <w:rPr>
          <w:rStyle w:val="Emphasis"/>
        </w:rPr>
        <w:t>J.S.L. Construction Co. v. Levy</w:t>
      </w:r>
      <w:r>
        <w:rPr/>
        <w:t>, 994 So.2d 394 (Fla. 3d DCA 2008)</w:t>
      </w:r>
      <w:hyperlink r:id="rId202" w:anchor=":~:text=work%20or%20thereafter%20but%20not,through%20with%20the%20building%20inspector" w:tgtFrame="_blank">
        <w:r>
          <w:rPr>
            <w:rStyle w:val="Hyperlink"/>
          </w:rPr>
          <w:t>casemine.com</w:t>
        </w:r>
      </w:hyperlink>
      <w:hyperlink r:id="rId203" w:anchor=":~:text=Third%2C%20J,in%20substantially%20the%20following%20form" w:tgtFrame="_blank">
        <w:r>
          <w:rPr>
            <w:rStyle w:val="Hyperlink"/>
          </w:rPr>
          <w:t>casemine.com</w:t>
        </w:r>
      </w:hyperlink>
      <w:r>
        <w:rPr/>
        <w:t>.</w:t>
      </w:r>
    </w:p>
    <w:p>
      <w:pPr>
        <w:pStyle w:val="BodyText"/>
        <w:numPr>
          <w:ilvl w:val="0"/>
          <w:numId w:val="3"/>
        </w:numPr>
        <w:tabs>
          <w:tab w:val="clear" w:pos="709"/>
          <w:tab w:val="left" w:pos="709" w:leader="none"/>
        </w:tabs>
        <w:bidi w:val="0"/>
        <w:ind w:hanging="283" w:start="709"/>
        <w:jc w:val="start"/>
        <w:rPr/>
      </w:pPr>
      <w:r>
        <w:rPr>
          <w:rStyle w:val="Emphasis"/>
        </w:rPr>
        <w:t>Michnal v. Palm Coast Development, Inc.</w:t>
      </w:r>
      <w:r>
        <w:rPr/>
        <w:t>, 842 So.2d 927 (Fla. 4th DCA 2003)</w:t>
      </w:r>
      <w:hyperlink r:id="rId204" w:anchor=":~:text=DCA%20concluded%20that%20the%20fax,%28Opinion%20at%205%29%20Thereafter" w:tgtFrame="_blank">
        <w:r>
          <w:rPr>
            <w:rStyle w:val="Hyperlink"/>
          </w:rPr>
          <w:t>supremecourt.flcourts.gov</w:t>
        </w:r>
      </w:hyperlink>
      <w:hyperlink r:id="rId205" w:anchor=":~:text=In%20this%20case%2C%20the%204,%E2%80%9Cfurnishing%E2%80%9D%20for%20purposes%20of%20the" w:tgtFrame="_blank">
        <w:r>
          <w:rPr>
            <w:rStyle w:val="Hyperlink"/>
          </w:rPr>
          <w:t>supremecourt.flcourts.gov</w:t>
        </w:r>
      </w:hyperlink>
      <w:r>
        <w:rPr/>
        <w:t>.</w:t>
      </w:r>
    </w:p>
    <w:p>
      <w:pPr>
        <w:pStyle w:val="BodyText"/>
        <w:numPr>
          <w:ilvl w:val="0"/>
          <w:numId w:val="3"/>
        </w:numPr>
        <w:tabs>
          <w:tab w:val="clear" w:pos="709"/>
          <w:tab w:val="left" w:pos="709" w:leader="none"/>
        </w:tabs>
        <w:bidi w:val="0"/>
        <w:ind w:hanging="283" w:start="709"/>
        <w:jc w:val="start"/>
        <w:rPr/>
      </w:pPr>
      <w:r>
        <w:rPr>
          <w:rStyle w:val="Emphasis"/>
        </w:rPr>
        <w:t>George J. Motz Constr. Corp. v. Coral Pines, Inc.</w:t>
      </w:r>
      <w:r>
        <w:rPr/>
        <w:t>, 232 So.2d 441 (Fla. 4th DCA 1970)</w:t>
      </w:r>
      <w:hyperlink r:id="rId206" w:anchor=":~:text=Section%20%284%29%28a%29%20of%20F,by%20such%20omission%20or%20error" w:tgtFrame="_blank">
        <w:r>
          <w:rPr>
            <w:rStyle w:val="Hyperlink"/>
          </w:rPr>
          <w:t>case-law.vlex.com</w:t>
        </w:r>
      </w:hyperlink>
      <w:hyperlink r:id="rId207" w:anchor=":~:text=clear%20that%20substantial%20compliance%20with,2d%20589" w:tgtFrame="_blank">
        <w:r>
          <w:rPr>
            <w:rStyle w:val="Hyperlink"/>
          </w:rPr>
          <w:t>case-law.vlex.com</w:t>
        </w:r>
      </w:hyperlink>
      <w:r>
        <w:rPr/>
        <w:t>.</w:t>
      </w:r>
    </w:p>
    <w:p>
      <w:pPr>
        <w:pStyle w:val="BodyText"/>
        <w:numPr>
          <w:ilvl w:val="0"/>
          <w:numId w:val="3"/>
        </w:numPr>
        <w:tabs>
          <w:tab w:val="clear" w:pos="709"/>
          <w:tab w:val="left" w:pos="709" w:leader="none"/>
        </w:tabs>
        <w:bidi w:val="0"/>
        <w:ind w:hanging="283" w:start="709"/>
        <w:jc w:val="start"/>
        <w:rPr/>
      </w:pPr>
      <w:r>
        <w:rPr>
          <w:rStyle w:val="Emphasis"/>
        </w:rPr>
        <w:t>Royal Ambassador Condo. Ass’n v. East Coast Supply Corp.</w:t>
      </w:r>
      <w:r>
        <w:rPr/>
        <w:t>, 495 So.2d 932 (Fla. 4th DCA 1986)</w:t>
      </w:r>
      <w:hyperlink r:id="rId208" w:anchor=":~:text=Application%3A%20The%20court%20concluded%20that,necessitating%20further%20examination%20at%20trial" w:tgtFrame="_blank">
        <w:r>
          <w:rPr>
            <w:rStyle w:val="Hyperlink"/>
          </w:rPr>
          <w:t>descrybe.ai</w:t>
        </w:r>
      </w:hyperlink>
      <w:r>
        <w:rPr/>
        <w:t>.</w:t>
      </w:r>
    </w:p>
    <w:p>
      <w:pPr>
        <w:pStyle w:val="BodyText"/>
        <w:numPr>
          <w:ilvl w:val="0"/>
          <w:numId w:val="3"/>
        </w:numPr>
        <w:tabs>
          <w:tab w:val="clear" w:pos="709"/>
          <w:tab w:val="left" w:pos="709" w:leader="none"/>
        </w:tabs>
        <w:bidi w:val="0"/>
        <w:ind w:hanging="283" w:start="709"/>
        <w:jc w:val="start"/>
        <w:rPr/>
      </w:pPr>
      <w:r>
        <w:rPr>
          <w:rStyle w:val="Emphasis"/>
        </w:rPr>
        <w:t>Delta Painting, Inc. v. Baumann</w:t>
      </w:r>
      <w:r>
        <w:rPr/>
        <w:t>, 710 So.2d 663 (Fla. 3d DCA 1998)</w:t>
      </w:r>
      <w:hyperlink r:id="rId209" w:anchor=":~:text=We%20begin%20our%20review%20by,We%20think" w:tgtFrame="_blank">
        <w:r>
          <w:rPr>
            <w:rStyle w:val="Hyperlink"/>
          </w:rPr>
          <w:t>caselaw.findlaw.com</w:t>
        </w:r>
      </w:hyperlink>
      <w:hyperlink r:id="rId210" w:anchor=":~:text=included%20a%20claim%20for%20work,court%27s%20conclusions%20in%20this%20regard"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Emphasis"/>
        </w:rPr>
        <w:t>Politano v. GPA Constr. Group</w:t>
      </w:r>
      <w:r>
        <w:rPr/>
        <w:t>, 9 So.3d 15 (Fla. 3d DCA 2008)</w:t>
      </w:r>
      <w:hyperlink r:id="rId211" w:anchor=":~:text=Paragraph%20713,to%20ignorance%20or%20good%20faith" w:tgtFrame="_blank">
        <w:r>
          <w:rPr>
            <w:rStyle w:val="Hyperlink"/>
          </w:rPr>
          <w:t>caselaw.findlaw.com</w:t>
        </w:r>
      </w:hyperlink>
      <w:hyperlink r:id="rId212" w:anchor=":~:text=The%20court%20made%20reductions%20in,the%20lien%20was%20not%20fraudulent"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Emphasis"/>
        </w:rPr>
        <w:t>Viyella Co. v. Gomes</w:t>
      </w:r>
      <w:r>
        <w:rPr/>
        <w:t>, 657 So.2d 83 (Fla. 3d DCA 1995)</w:t>
      </w:r>
      <w:hyperlink r:id="rId213" w:anchor=":~:text=has%20pointed%20out%20that%20such,97" w:tgtFrame="_blank">
        <w:r>
          <w:rPr>
            <w:rStyle w:val="Hyperlink"/>
          </w:rPr>
          <w:t>floridabar.org</w:t>
        </w:r>
      </w:hyperlink>
      <w:r>
        <w:rPr/>
        <w:t>.</w:t>
      </w:r>
    </w:p>
    <w:p>
      <w:pPr>
        <w:pStyle w:val="BodyText"/>
        <w:numPr>
          <w:ilvl w:val="0"/>
          <w:numId w:val="3"/>
        </w:numPr>
        <w:tabs>
          <w:tab w:val="clear" w:pos="709"/>
          <w:tab w:val="left" w:pos="709" w:leader="none"/>
        </w:tabs>
        <w:bidi w:val="0"/>
        <w:ind w:hanging="283" w:start="709"/>
        <w:jc w:val="start"/>
        <w:rPr/>
      </w:pPr>
      <w:r>
        <w:rPr>
          <w:rStyle w:val="Emphasis"/>
        </w:rPr>
        <w:t>Martin v. Jack Yanks Constr. Co.</w:t>
      </w:r>
      <w:r>
        <w:rPr/>
        <w:t>, 650 So.2d 120 (Fla. 3d DCA 1995)</w:t>
      </w:r>
      <w:hyperlink r:id="rId214" w:anchor=":~:text=The%20owners%27%20reliance%20on%20Martin,at%20122"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Strong"/>
        </w:rPr>
        <w:t>Trial Court Order</w:t>
      </w:r>
      <w:r>
        <w:rPr/>
        <w:t xml:space="preserve">, </w:t>
      </w:r>
      <w:r>
        <w:rPr>
          <w:rStyle w:val="Emphasis"/>
        </w:rPr>
        <w:t>Lamm &amp; Co. Partners v. Newline WP Services</w:t>
      </w:r>
      <w:r>
        <w:rPr/>
        <w:t>, No. 2021-CA-010118-O (Fla. 9th Cir. Ct. Dec. 2022) (discharging lien for §713.08 violations and unauthorized preparation)</w:t>
      </w:r>
      <w:hyperlink r:id="rId215" w:anchor=":~:text=2,appeared%20to%20belong%20to%20LevelSet" w:tgtFrame="_blank">
        <w:r>
          <w:rPr>
            <w:rStyle w:val="Hyperlink"/>
          </w:rPr>
          <w:t>hammerngavel.com</w:t>
        </w:r>
      </w:hyperlink>
      <w:hyperlink r:id="rId216" w:anchor=":~:text=The%20court%20also%20found%20that,the%20unlicensed%20practice%20of%20law" w:tgtFrame="_blank">
        <w:r>
          <w:rPr>
            <w:rStyle w:val="Hyperlink"/>
          </w:rPr>
          <w:t>hammerngavel.com</w:t>
        </w:r>
      </w:hyperlink>
      <w:r>
        <w:rPr/>
        <w:t>.</w:t>
      </w:r>
    </w:p>
    <w:p>
      <w:pPr>
        <w:pStyle w:val="BodyText"/>
        <w:numPr>
          <w:ilvl w:val="0"/>
          <w:numId w:val="3"/>
        </w:numPr>
        <w:tabs>
          <w:tab w:val="clear" w:pos="709"/>
          <w:tab w:val="left" w:pos="709" w:leader="none"/>
        </w:tabs>
        <w:bidi w:val="0"/>
        <w:ind w:hanging="283" w:start="709"/>
        <w:jc w:val="start"/>
        <w:rPr/>
      </w:pPr>
      <w:r>
        <w:rPr>
          <w:rStyle w:val="Strong"/>
        </w:rPr>
        <w:t>Leonard W. Klingen,</w:t>
      </w:r>
      <w:r>
        <w:rPr/>
        <w:t xml:space="preserve"> </w:t>
      </w:r>
      <w:r>
        <w:rPr>
          <w:rStyle w:val="Emphasis"/>
        </w:rPr>
        <w:t>Florida’s Unwieldy But Effective Construction Lien Law</w:t>
      </w:r>
      <w:r>
        <w:rPr/>
        <w:t>, Fla. Bar J., Jan. 2019</w:t>
      </w:r>
      <w:hyperlink r:id="rId217" w:anchor=":~:text=The%20lien%20law%E2%80%99s%20strictest%20application,80%C2%A0Determining%20exactly%20when" w:tgtFrame="_blank">
        <w:r>
          <w:rPr>
            <w:rStyle w:val="Hyperlink"/>
          </w:rPr>
          <w:t>floridabar.org</w:t>
        </w:r>
      </w:hyperlink>
      <w:hyperlink r:id="rId218" w:anchor=":~:text=Ten%20years%20earlier%2C%20the%20same,admitted%20that%20he%20hadn%E2%80%99t%20really" w:tgtFrame="_blank">
        <w:r>
          <w:rPr>
            <w:rStyle w:val="Hyperlink"/>
          </w:rPr>
          <w:t>floridabar.org</w:t>
        </w:r>
      </w:hyperlink>
      <w:r>
        <w:rPr/>
        <w:t>.</w:t>
      </w:r>
    </w:p>
    <w:p>
      <w:pPr>
        <w:pStyle w:val="BodyText"/>
        <w:bidi w:val="0"/>
        <w:spacing w:before="0" w:after="0"/>
        <w:jc w:val="start"/>
        <w:rPr/>
      </w:pPr>
      <w:r>
        <w:rPr/>
        <w:drawing>
          <wp:inline distT="0" distB="0" distL="0" distR="0">
            <wp:extent cx="304800" cy="304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19"/>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20"/>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221"/>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222"/>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drawing>
          <wp:inline distT="0" distB="0" distL="0" distR="0">
            <wp:extent cx="304800" cy="3048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23"/>
                    <a:stretch>
                      <a:fillRect/>
                    </a:stretch>
                  </pic:blipFill>
                  <pic:spPr bwMode="auto">
                    <a:xfrm>
                      <a:off x="0" y="0"/>
                      <a:ext cx="304800" cy="304800"/>
                    </a:xfrm>
                    <a:prstGeom prst="rect">
                      <a:avLst/>
                    </a:prstGeom>
                    <a:noFill/>
                  </pic:spPr>
                </pic:pic>
              </a:graphicData>
            </a:graphic>
          </wp:inline>
        </w:drawing>
      </w:r>
    </w:p>
    <w:p>
      <w:pPr>
        <w:pStyle w:val="BodyText"/>
        <w:bidi w:val="0"/>
        <w:spacing w:before="0" w:after="0"/>
        <w:jc w:val="start"/>
        <w:rPr/>
      </w:pPr>
      <w:r>
        <w:rPr/>
        <w:t>Sources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w.justia.com/cases/florida/supreme-court/1991/76234-0.html" TargetMode="External"/><Relationship Id="rId3" Type="http://schemas.openxmlformats.org/officeDocument/2006/relationships/hyperlink" Target="https://www.floridabar.org/the-florida-bar-journal/floridas-unwieldy-but-effective-construction-lien-law/" TargetMode="External"/><Relationship Id="rId4" Type="http://schemas.openxmlformats.org/officeDocument/2006/relationships/hyperlink" Target="https://law.justia.com/cases/florida/supreme-court/1991/76234-0.html" TargetMode="External"/><Relationship Id="rId5" Type="http://schemas.openxmlformats.org/officeDocument/2006/relationships/hyperlink" Target="https://law.justia.com/cases/florida/supreme-court/1991/76234-0.html" TargetMode="External"/><Relationship Id="rId6" Type="http://schemas.openxmlformats.org/officeDocument/2006/relationships/hyperlink" Target="https://descrybe.ai/case-details/c1930203" TargetMode="External"/><Relationship Id="rId7" Type="http://schemas.openxmlformats.org/officeDocument/2006/relationships/hyperlink" Target="https://www.casemine.com/judgement/us/5914692eadd7b049342d2e6d" TargetMode="External"/><Relationship Id="rId8" Type="http://schemas.openxmlformats.org/officeDocument/2006/relationships/hyperlink" Target="https://www.floridabar.org/the-florida-bar-journal/floridas-unwieldy-but-effective-construction-lien-law/" TargetMode="External"/><Relationship Id="rId9" Type="http://schemas.openxmlformats.org/officeDocument/2006/relationships/hyperlink" Target="https://www.casemine.com/judgement/us/5914692eadd7b049342d2e6d" TargetMode="External"/><Relationship Id="rId10" Type="http://schemas.openxmlformats.org/officeDocument/2006/relationships/hyperlink" Target="https://www.floridabar.org/the-florida-bar-journal/floridas-unwieldy-but-effective-construction-lien-law/" TargetMode="External"/><Relationship Id="rId11" Type="http://schemas.openxmlformats.org/officeDocument/2006/relationships/hyperlink" Target="https://www.floridabar.org/the-florida-bar-journal/floridas-unwieldy-but-effective-construction-lien-law/" TargetMode="External"/><Relationship Id="rId12" Type="http://schemas.openxmlformats.org/officeDocument/2006/relationships/hyperlink" Target="https://www.floridabar.org/the-florida-bar-journal/floridas-unwieldy-but-effective-construction-lien-law/" TargetMode="External"/><Relationship Id="rId13" Type="http://schemas.openxmlformats.org/officeDocument/2006/relationships/hyperlink" Target="https://www.casemine.com/judgement/us/5914692eadd7b049342d2e6d" TargetMode="External"/><Relationship Id="rId14" Type="http://schemas.openxmlformats.org/officeDocument/2006/relationships/hyperlink" Target="https://www.casemine.com/judgement/us/5914692eadd7b049342d2e6d" TargetMode="External"/><Relationship Id="rId15" Type="http://schemas.openxmlformats.org/officeDocument/2006/relationships/hyperlink" Target="https://www.casemine.com/judgement/us/5914692eadd7b049342d2e6d" TargetMode="External"/><Relationship Id="rId16" Type="http://schemas.openxmlformats.org/officeDocument/2006/relationships/hyperlink" Target="https://law.justia.com/cases/florida/supreme-court/1995/84075-0.html" TargetMode="External"/><Relationship Id="rId17" Type="http://schemas.openxmlformats.org/officeDocument/2006/relationships/hyperlink" Target="https://law.justia.com/cases/florida/supreme-court/1995/84075-0.html" TargetMode="External"/><Relationship Id="rId18" Type="http://schemas.openxmlformats.org/officeDocument/2006/relationships/hyperlink" Target="https://law.justia.com/cases/florida/supreme-court/1995/84075-0.html" TargetMode="External"/><Relationship Id="rId19" Type="http://schemas.openxmlformats.org/officeDocument/2006/relationships/hyperlink" Target="https://supremecourt.flcourts.gov/content/download/363102/file/03-1021_JurisIni.pdf" TargetMode="External"/><Relationship Id="rId20" Type="http://schemas.openxmlformats.org/officeDocument/2006/relationships/hyperlink" Target="https://supremecourt.flcourts.gov/content/download/363102/file/03-1021_JurisIni.pdf" TargetMode="External"/><Relationship Id="rId21" Type="http://schemas.openxmlformats.org/officeDocument/2006/relationships/hyperlink" Target="https://supremecourt.flcourts.gov/content/download/363102/file/03-1021_JurisIni.pdf" TargetMode="External"/><Relationship Id="rId22" Type="http://schemas.openxmlformats.org/officeDocument/2006/relationships/hyperlink" Target="https://supremecourt.flcourts.gov/content/download/363102/file/03-1021_JurisIni.pdf" TargetMode="External"/><Relationship Id="rId23" Type="http://schemas.openxmlformats.org/officeDocument/2006/relationships/hyperlink" Target="https://supremecourt.flcourts.gov/content/download/363102/file/03-1021_JurisIni.pdf" TargetMode="External"/><Relationship Id="rId24" Type="http://schemas.openxmlformats.org/officeDocument/2006/relationships/hyperlink" Target="https://supremecourt.flcourts.gov/content/download/363102/file/03-1021_JurisIni.pdf" TargetMode="External"/><Relationship Id="rId25" Type="http://schemas.openxmlformats.org/officeDocument/2006/relationships/hyperlink" Target="https://supremecourt.flcourts.gov/content/download/363102/file/03-1021_JurisIni.pdf" TargetMode="External"/><Relationship Id="rId26" Type="http://schemas.openxmlformats.org/officeDocument/2006/relationships/hyperlink" Target="https://www.casemine.com/judgement/us/5914692eadd7b049342d2e6d" TargetMode="External"/><Relationship Id="rId27" Type="http://schemas.openxmlformats.org/officeDocument/2006/relationships/hyperlink" Target="https://www.casemine.com/judgement/us/5914692eadd7b049342d2e6d" TargetMode="External"/><Relationship Id="rId28" Type="http://schemas.openxmlformats.org/officeDocument/2006/relationships/hyperlink" Target="https://4dca.flcourts.gov/pre_opinion_content_download/164732" TargetMode="External"/><Relationship Id="rId29" Type="http://schemas.openxmlformats.org/officeDocument/2006/relationships/hyperlink" Target="https://www.floridabar.org/the-florida-bar-journal/floridas-unwieldy-but-effective-construction-lien-law/" TargetMode="External"/><Relationship Id="rId30" Type="http://schemas.openxmlformats.org/officeDocument/2006/relationships/hyperlink" Target="https://www.floridabar.org/the-florida-bar-journal/floridas-unwieldy-but-effective-construction-lien-law/" TargetMode="External"/><Relationship Id="rId31" Type="http://schemas.openxmlformats.org/officeDocument/2006/relationships/hyperlink" Target="https://www.floridabar.org/the-florida-bar-journal/floridas-unwieldy-but-effective-construction-lien-law/" TargetMode="External"/><Relationship Id="rId32" Type="http://schemas.openxmlformats.org/officeDocument/2006/relationships/hyperlink" Target="https://www.cobbgonzalez.com/floridas-construction-liens-laws-the-claim-of-lien/" TargetMode="External"/><Relationship Id="rId33" Type="http://schemas.openxmlformats.org/officeDocument/2006/relationships/hyperlink" Target="https://www.cobbgonzalez.com/floridas-construction-liens-laws-the-claim-of-lien/" TargetMode="External"/><Relationship Id="rId34" Type="http://schemas.openxmlformats.org/officeDocument/2006/relationships/hyperlink" Target="https://law.justia.com/cases/florida/supreme-court/1995/84075-0.html" TargetMode="External"/><Relationship Id="rId35" Type="http://schemas.openxmlformats.org/officeDocument/2006/relationships/hyperlink" Target="https://www.floridabar.org/the-florida-bar-journal/floridas-unwieldy-but-effective-construction-lien-law/" TargetMode="External"/><Relationship Id="rId36" Type="http://schemas.openxmlformats.org/officeDocument/2006/relationships/hyperlink" Target="https://law.justia.com/cases/florida/supreme-court/1978/50238-0.html" TargetMode="External"/><Relationship Id="rId37" Type="http://schemas.openxmlformats.org/officeDocument/2006/relationships/hyperlink" Target="https://law.justia.com/cases/florida/supreme-court/1978/50238-0.html" TargetMode="External"/><Relationship Id="rId38" Type="http://schemas.openxmlformats.org/officeDocument/2006/relationships/hyperlink" Target="https://www.floridabar.org/the-florida-bar-journal/floridas-unwieldy-but-effective-construction-lien-law/" TargetMode="External"/><Relationship Id="rId39" Type="http://schemas.openxmlformats.org/officeDocument/2006/relationships/hyperlink" Target="https://www.floridabar.org/the-florida-bar-journal/floridas-unwieldy-but-effective-construction-lien-law/" TargetMode="External"/><Relationship Id="rId40" Type="http://schemas.openxmlformats.org/officeDocument/2006/relationships/hyperlink" Target="https://www.floridabar.org/the-florida-bar-journal/floridas-unwieldy-but-effective-construction-lien-law/" TargetMode="External"/><Relationship Id="rId41" Type="http://schemas.openxmlformats.org/officeDocument/2006/relationships/hyperlink" Target="https://www.floridabar.org/the-florida-bar-journal/floridas-unwieldy-but-effective-construction-lien-law/" TargetMode="External"/><Relationship Id="rId42" Type="http://schemas.openxmlformats.org/officeDocument/2006/relationships/hyperlink" Target="https://www.floridabar.org/the-florida-bar-journal/floridas-unwieldy-but-effective-construction-lien-law/" TargetMode="External"/><Relationship Id="rId43" Type="http://schemas.openxmlformats.org/officeDocument/2006/relationships/hyperlink" Target="https://www.cobbgonzalez.com/floridas-construction-liens-laws-the-claim-of-lien/" TargetMode="External"/><Relationship Id="rId44" Type="http://schemas.openxmlformats.org/officeDocument/2006/relationships/hyperlink" Target="https://www.cobbgonzalez.com/floridas-construction-liens-laws-the-claim-of-lien/" TargetMode="External"/><Relationship Id="rId45" Type="http://schemas.openxmlformats.org/officeDocument/2006/relationships/hyperlink" Target="https://www.floridabar.org/the-florida-bar-journal/floridas-unwieldy-but-effective-construction-lien-law/" TargetMode="External"/><Relationship Id="rId46" Type="http://schemas.openxmlformats.org/officeDocument/2006/relationships/hyperlink" Target="https://www.cobbgonzalez.com/floridas-construction-liens-laws-the-claim-of-lien/" TargetMode="External"/><Relationship Id="rId47" Type="http://schemas.openxmlformats.org/officeDocument/2006/relationships/hyperlink" Target="https://case-law.vlex.com/vid/george-j-motz-const-887816411" TargetMode="External"/><Relationship Id="rId48" Type="http://schemas.openxmlformats.org/officeDocument/2006/relationships/hyperlink" Target="https://case-law.vlex.com/vid/george-j-motz-const-887816411" TargetMode="External"/><Relationship Id="rId49" Type="http://schemas.openxmlformats.org/officeDocument/2006/relationships/hyperlink" Target="https://case-law.vlex.com/vid/george-j-motz-const-887816411" TargetMode="External"/><Relationship Id="rId50" Type="http://schemas.openxmlformats.org/officeDocument/2006/relationships/hyperlink" Target="https://case-law.vlex.com/vid/george-j-motz-const-887816411" TargetMode="External"/><Relationship Id="rId51" Type="http://schemas.openxmlformats.org/officeDocument/2006/relationships/hyperlink" Target="https://case-law.vlex.com/vid/george-j-motz-const-887816411" TargetMode="External"/><Relationship Id="rId52" Type="http://schemas.openxmlformats.org/officeDocument/2006/relationships/hyperlink" Target="https://case-law.vlex.com/vid/george-j-motz-const-887816411" TargetMode="External"/><Relationship Id="rId53" Type="http://schemas.openxmlformats.org/officeDocument/2006/relationships/hyperlink" Target="https://case-law.vlex.com/vid/george-j-motz-const-887816411" TargetMode="External"/><Relationship Id="rId54" Type="http://schemas.openxmlformats.org/officeDocument/2006/relationships/hyperlink" Target="https://case-law.vlex.com/vid/george-j-motz-const-887816411" TargetMode="External"/><Relationship Id="rId55" Type="http://schemas.openxmlformats.org/officeDocument/2006/relationships/hyperlink" Target="https://case-law.vlex.com/vid/george-j-motz-const-887816411" TargetMode="External"/><Relationship Id="rId56" Type="http://schemas.openxmlformats.org/officeDocument/2006/relationships/hyperlink" Target="https://case-law.vlex.com/vid/george-j-motz-const-887816411" TargetMode="External"/><Relationship Id="rId57" Type="http://schemas.openxmlformats.org/officeDocument/2006/relationships/hyperlink" Target="https://descrybe.ai/case-details/c1930203" TargetMode="External"/><Relationship Id="rId58" Type="http://schemas.openxmlformats.org/officeDocument/2006/relationships/hyperlink" Target="https://descrybe.ai/case-details/c1930203" TargetMode="External"/><Relationship Id="rId59" Type="http://schemas.openxmlformats.org/officeDocument/2006/relationships/hyperlink" Target="https://descrybe.ai/case-details/c1930203" TargetMode="External"/><Relationship Id="rId60" Type="http://schemas.openxmlformats.org/officeDocument/2006/relationships/hyperlink" Target="https://descrybe.ai/case-details/c1930203" TargetMode="External"/><Relationship Id="rId61" Type="http://schemas.openxmlformats.org/officeDocument/2006/relationships/hyperlink" Target="https://descrybe.ai/case-details/c1930203" TargetMode="External"/><Relationship Id="rId62" Type="http://schemas.openxmlformats.org/officeDocument/2006/relationships/hyperlink" Target="https://descrybe.ai/case-details/c1930203" TargetMode="External"/><Relationship Id="rId63" Type="http://schemas.openxmlformats.org/officeDocument/2006/relationships/hyperlink" Target="https://case-law.vlex.com/vid/george-j-motz-const-887816411" TargetMode="External"/><Relationship Id="rId64" Type="http://schemas.openxmlformats.org/officeDocument/2006/relationships/hyperlink" Target="https://case-law.vlex.com/vid/george-j-motz-const-887816411" TargetMode="External"/><Relationship Id="rId65" Type="http://schemas.openxmlformats.org/officeDocument/2006/relationships/hyperlink" Target="https://hammerngavel.com/blog/recent-court-order-discharges-25358400-lien-that-was-prepared-by-third-party-rather-than-employee-or-attorney" TargetMode="External"/><Relationship Id="rId66" Type="http://schemas.openxmlformats.org/officeDocument/2006/relationships/hyperlink" Target="https://hammerngavel.com/blog/recent-court-order-discharges-25358400-lien-that-was-prepared-by-third-party-rather-than-employee-or-attorney" TargetMode="External"/><Relationship Id="rId67" Type="http://schemas.openxmlformats.org/officeDocument/2006/relationships/hyperlink" Target="https://hammerngavel.com/blog/recent-court-order-discharges-25358400-lien-that-was-prepared-by-third-party-rather-than-employee-or-attorney" TargetMode="External"/><Relationship Id="rId68" Type="http://schemas.openxmlformats.org/officeDocument/2006/relationships/hyperlink" Target="https://hammerngavel.com/blog/recent-court-order-discharges-25358400-lien-that-was-prepared-by-third-party-rather-than-employee-or-attorney" TargetMode="External"/><Relationship Id="rId69" Type="http://schemas.openxmlformats.org/officeDocument/2006/relationships/hyperlink" Target="https://hammerngavel.com/blog/recent-court-order-discharges-25358400-lien-that-was-prepared-by-third-party-rather-than-employee-or-attorney" TargetMode="External"/><Relationship Id="rId70" Type="http://schemas.openxmlformats.org/officeDocument/2006/relationships/hyperlink" Target="https://hammerngavel.com/blog/recent-court-order-discharges-25358400-lien-that-was-prepared-by-third-party-rather-than-employee-or-attorney" TargetMode="External"/><Relationship Id="rId71" Type="http://schemas.openxmlformats.org/officeDocument/2006/relationships/hyperlink" Target="https://www.cobbgonzalez.com/floridas-construction-liens-laws-the-claim-of-lien/" TargetMode="External"/><Relationship Id="rId72" Type="http://schemas.openxmlformats.org/officeDocument/2006/relationships/hyperlink" Target="https://www.floridabar.org/the-florida-bar-journal/floridas-unwieldy-but-effective-construction-lien-law/" TargetMode="External"/><Relationship Id="rId73" Type="http://schemas.openxmlformats.org/officeDocument/2006/relationships/hyperlink" Target="https://www.cobbgonzalez.com/floridas-construction-liens-laws-the-claim-of-lien/" TargetMode="External"/><Relationship Id="rId74" Type="http://schemas.openxmlformats.org/officeDocument/2006/relationships/hyperlink" Target="https://www.casemine.com/judgement/us/5914692eadd7b049342d2e6d" TargetMode="External"/><Relationship Id="rId75" Type="http://schemas.openxmlformats.org/officeDocument/2006/relationships/hyperlink" Target="https://www.casemine.com/judgement/us/5914692eadd7b049342d2e6d" TargetMode="External"/><Relationship Id="rId76" Type="http://schemas.openxmlformats.org/officeDocument/2006/relationships/hyperlink" Target="https://www.casemine.com/judgement/us/5914692eadd7b049342d2e6d" TargetMode="External"/><Relationship Id="rId77" Type="http://schemas.openxmlformats.org/officeDocument/2006/relationships/hyperlink" Target="https://www.casemine.com/judgement/us/5914692eadd7b049342d2e6d" TargetMode="External"/><Relationship Id="rId78" Type="http://schemas.openxmlformats.org/officeDocument/2006/relationships/hyperlink" Target="https://www.casemine.com/judgement/us/5914692eadd7b049342d2e6d" TargetMode="External"/><Relationship Id="rId79" Type="http://schemas.openxmlformats.org/officeDocument/2006/relationships/hyperlink" Target="https://hammerngavel.com/blog/recent-court-order-discharges-25358400-lien-that-was-prepared-by-third-party-rather-than-employee-or-attorney" TargetMode="External"/><Relationship Id="rId80" Type="http://schemas.openxmlformats.org/officeDocument/2006/relationships/hyperlink" Target="https://hammerngavel.com/blog/recent-court-order-discharges-25358400-lien-that-was-prepared-by-third-party-rather-than-employee-or-attorney" TargetMode="External"/><Relationship Id="rId81" Type="http://schemas.openxmlformats.org/officeDocument/2006/relationships/hyperlink" Target="https://case-law.vlex.com/vid/george-j-motz-const-887816411" TargetMode="External"/><Relationship Id="rId82" Type="http://schemas.openxmlformats.org/officeDocument/2006/relationships/hyperlink" Target="https://descrybe.ai/case-details/c1930203" TargetMode="External"/><Relationship Id="rId83" Type="http://schemas.openxmlformats.org/officeDocument/2006/relationships/hyperlink" Target="https://www.casemine.com/judgement/us/5914692eadd7b049342d2e6d" TargetMode="External"/><Relationship Id="rId84" Type="http://schemas.openxmlformats.org/officeDocument/2006/relationships/hyperlink" Target="https://www.casemine.com/judgement/us/5914692eadd7b049342d2e6d" TargetMode="External"/><Relationship Id="rId85" Type="http://schemas.openxmlformats.org/officeDocument/2006/relationships/hyperlink" Target="https://www.casemine.com/judgement/us/5914692eadd7b049342d2e6d" TargetMode="External"/><Relationship Id="rId86" Type="http://schemas.openxmlformats.org/officeDocument/2006/relationships/hyperlink" Target="https://www.casemine.com/judgement/us/5914692eadd7b049342d2e6d" TargetMode="External"/><Relationship Id="rId87" Type="http://schemas.openxmlformats.org/officeDocument/2006/relationships/hyperlink" Target="https://www.casemine.com/judgement/us/5914692eadd7b049342d2e6d" TargetMode="External"/><Relationship Id="rId88" Type="http://schemas.openxmlformats.org/officeDocument/2006/relationships/hyperlink" Target="https://law.justia.com/cases/florida/supreme-court/1991/76234-0.html" TargetMode="External"/><Relationship Id="rId89" Type="http://schemas.openxmlformats.org/officeDocument/2006/relationships/hyperlink" Target="https://law.justia.com/cases/florida/supreme-court/1991/76234-0.html" TargetMode="External"/><Relationship Id="rId90" Type="http://schemas.openxmlformats.org/officeDocument/2006/relationships/hyperlink" Target="https://law.justia.com/cases/florida/supreme-court/1991/76234-0.html" TargetMode="External"/><Relationship Id="rId91" Type="http://schemas.openxmlformats.org/officeDocument/2006/relationships/hyperlink" Target="https://law.justia.com/cases/florida/supreme-court/1991/76234-0.html" TargetMode="External"/><Relationship Id="rId92" Type="http://schemas.openxmlformats.org/officeDocument/2006/relationships/hyperlink" Target="https://law.justia.com/cases/florida/supreme-court/1991/76234-0.html" TargetMode="External"/><Relationship Id="rId93" Type="http://schemas.openxmlformats.org/officeDocument/2006/relationships/hyperlink" Target="https://law.justia.com/cases/florida/supreme-court/1991/76234-0.html" TargetMode="External"/><Relationship Id="rId94" Type="http://schemas.openxmlformats.org/officeDocument/2006/relationships/hyperlink" Target="https://law.justia.com/cases/florida/supreme-court/1991/76234-0.html" TargetMode="External"/><Relationship Id="rId95" Type="http://schemas.openxmlformats.org/officeDocument/2006/relationships/hyperlink" Target="https://law.justia.com/cases/florida/supreme-court/1991/76234-0.html" TargetMode="External"/><Relationship Id="rId96" Type="http://schemas.openxmlformats.org/officeDocument/2006/relationships/hyperlink" Target="https://law.justia.com/cases/florida/supreme-court/1991/76234-0.html" TargetMode="External"/><Relationship Id="rId97" Type="http://schemas.openxmlformats.org/officeDocument/2006/relationships/hyperlink" Target="https://law.justia.com/cases/florida/supreme-court/1991/76234-0.html" TargetMode="External"/><Relationship Id="rId98" Type="http://schemas.openxmlformats.org/officeDocument/2006/relationships/hyperlink" Target="https://law.justia.com/cases/florida/supreme-court/1991/76234-0.html" TargetMode="External"/><Relationship Id="rId99" Type="http://schemas.openxmlformats.org/officeDocument/2006/relationships/hyperlink" Target="https://law.justia.com/cases/florida/supreme-court/1991/76234-0.html" TargetMode="External"/><Relationship Id="rId100" Type="http://schemas.openxmlformats.org/officeDocument/2006/relationships/hyperlink" Target="https://law.justia.com/cases/florida/supreme-court/1991/76234-0.html" TargetMode="External"/><Relationship Id="rId101" Type="http://schemas.openxmlformats.org/officeDocument/2006/relationships/hyperlink" Target="https://law.justia.com/cases/florida/supreme-court/1991/76234-0.html" TargetMode="External"/><Relationship Id="rId102" Type="http://schemas.openxmlformats.org/officeDocument/2006/relationships/hyperlink" Target="https://www.casemine.com/judgement/us/5914692eadd7b049342d2e6d" TargetMode="External"/><Relationship Id="rId103" Type="http://schemas.openxmlformats.org/officeDocument/2006/relationships/hyperlink" Target="https://www.casemine.com/judgement/us/5914692eadd7b049342d2e6d" TargetMode="External"/><Relationship Id="rId104" Type="http://schemas.openxmlformats.org/officeDocument/2006/relationships/hyperlink" Target="https://www.casemine.com/judgement/us/5914692eadd7b049342d2e6d" TargetMode="External"/><Relationship Id="rId105" Type="http://schemas.openxmlformats.org/officeDocument/2006/relationships/hyperlink" Target="https://www.casemine.com/judgement/us/5914692eadd7b049342d2e6d" TargetMode="External"/><Relationship Id="rId106" Type="http://schemas.openxmlformats.org/officeDocument/2006/relationships/hyperlink" Target="https://www.casemine.com/judgement/us/5914692eadd7b049342d2e6d" TargetMode="External"/><Relationship Id="rId107" Type="http://schemas.openxmlformats.org/officeDocument/2006/relationships/hyperlink" Target="https://www.casemine.com/judgement/us/5914692eadd7b049342d2e6d" TargetMode="External"/><Relationship Id="rId108" Type="http://schemas.openxmlformats.org/officeDocument/2006/relationships/hyperlink" Target="https://www.casemine.com/judgement/us/5914692eadd7b049342d2e6d" TargetMode="External"/><Relationship Id="rId109" Type="http://schemas.openxmlformats.org/officeDocument/2006/relationships/hyperlink" Target="https://www.casemine.com/judgement/us/5914692eadd7b049342d2e6d" TargetMode="External"/><Relationship Id="rId110" Type="http://schemas.openxmlformats.org/officeDocument/2006/relationships/hyperlink" Target="https://www.casemine.com/judgement/us/5914692eadd7b049342d2e6d" TargetMode="External"/><Relationship Id="rId111" Type="http://schemas.openxmlformats.org/officeDocument/2006/relationships/hyperlink" Target="https://caselaw.findlaw.com/fl-district-court-of-appeal/1380588.html" TargetMode="External"/><Relationship Id="rId112" Type="http://schemas.openxmlformats.org/officeDocument/2006/relationships/hyperlink" Target="https://www.flsenate.gov/Laws/Statutes/2012/713.31" TargetMode="External"/><Relationship Id="rId113" Type="http://schemas.openxmlformats.org/officeDocument/2006/relationships/hyperlink" Target="https://www.floridabar.org/the-florida-bar-journal/floridas-unwieldy-but-effective-construction-lien-law/" TargetMode="External"/><Relationship Id="rId114" Type="http://schemas.openxmlformats.org/officeDocument/2006/relationships/hyperlink" Target="https://www.floridabar.org/the-florida-bar-journal/floridas-unwieldy-but-effective-construction-lien-law/" TargetMode="External"/><Relationship Id="rId115" Type="http://schemas.openxmlformats.org/officeDocument/2006/relationships/hyperlink" Target="https://caselaw.findlaw.com/fl-district-court-of-appeal/1380588.html" TargetMode="External"/><Relationship Id="rId116" Type="http://schemas.openxmlformats.org/officeDocument/2006/relationships/hyperlink" Target="https://caselaw.findlaw.com/fl-district-court-of-appeal/1380588.html" TargetMode="External"/><Relationship Id="rId117" Type="http://schemas.openxmlformats.org/officeDocument/2006/relationships/hyperlink" Target="https://www.floridabar.org/the-florida-bar-journal/floridas-unwieldy-but-effective-construction-lien-law/" TargetMode="External"/><Relationship Id="rId118" Type="http://schemas.openxmlformats.org/officeDocument/2006/relationships/hyperlink" Target="https://www.floridabar.org/the-florida-bar-journal/floridas-unwieldy-but-effective-construction-lien-law/" TargetMode="External"/><Relationship Id="rId119" Type="http://schemas.openxmlformats.org/officeDocument/2006/relationships/hyperlink" Target="https://caselaw.findlaw.com/fl-district-court-of-appeal/1380588.html" TargetMode="External"/><Relationship Id="rId120" Type="http://schemas.openxmlformats.org/officeDocument/2006/relationships/hyperlink" Target="https://caselaw.findlaw.com/fl-district-court-of-appeal/1380588.html" TargetMode="External"/><Relationship Id="rId121" Type="http://schemas.openxmlformats.org/officeDocument/2006/relationships/hyperlink" Target="https://caselaw.findlaw.com/fl-district-court-of-appeal/1380588.html" TargetMode="External"/><Relationship Id="rId122" Type="http://schemas.openxmlformats.org/officeDocument/2006/relationships/hyperlink" Target="https://caselaw.findlaw.com/fl-district-court-of-appeal/1380588.html" TargetMode="External"/><Relationship Id="rId123" Type="http://schemas.openxmlformats.org/officeDocument/2006/relationships/hyperlink" Target="https://caselaw.findlaw.com/fl-district-court-of-appeal/1380588.html" TargetMode="External"/><Relationship Id="rId124" Type="http://schemas.openxmlformats.org/officeDocument/2006/relationships/hyperlink" Target="https://www.floridabar.org/the-florida-bar-journal/floridas-unwieldy-but-effective-construction-lien-law/" TargetMode="External"/><Relationship Id="rId125" Type="http://schemas.openxmlformats.org/officeDocument/2006/relationships/hyperlink" Target="https://caselaw.findlaw.com/fl-district-court-of-appeal/1380588.html" TargetMode="External"/><Relationship Id="rId126" Type="http://schemas.openxmlformats.org/officeDocument/2006/relationships/hyperlink" Target="https://www.floridabar.org/the-florida-bar-journal/floridas-unwieldy-but-effective-construction-lien-law/" TargetMode="External"/><Relationship Id="rId127" Type="http://schemas.openxmlformats.org/officeDocument/2006/relationships/hyperlink" Target="https://caselaw.findlaw.com/fl-district-court-of-appeal/1380588.html" TargetMode="External"/><Relationship Id="rId128" Type="http://schemas.openxmlformats.org/officeDocument/2006/relationships/hyperlink" Target="https://caselaw.findlaw.com/fl-district-court-of-appeal/1380588.html" TargetMode="External"/><Relationship Id="rId129" Type="http://schemas.openxmlformats.org/officeDocument/2006/relationships/hyperlink" Target="https://caselaw.findlaw.com/fl-district-court-of-appeal/1380588.html" TargetMode="External"/><Relationship Id="rId130" Type="http://schemas.openxmlformats.org/officeDocument/2006/relationships/hyperlink" Target="https://caselaw.findlaw.com/fl-district-court-of-appeal/1380588.html" TargetMode="External"/><Relationship Id="rId131" Type="http://schemas.openxmlformats.org/officeDocument/2006/relationships/hyperlink" Target="https://caselaw.findlaw.com/fl-district-court-of-appeal/1380588.html" TargetMode="External"/><Relationship Id="rId132" Type="http://schemas.openxmlformats.org/officeDocument/2006/relationships/hyperlink" Target="https://caselaw.findlaw.com/fl-district-court-of-appeal/1380588.html" TargetMode="External"/><Relationship Id="rId133" Type="http://schemas.openxmlformats.org/officeDocument/2006/relationships/hyperlink" Target="https://caselaw.findlaw.com/fl-district-court-of-appeal/1380588.html" TargetMode="External"/><Relationship Id="rId134" Type="http://schemas.openxmlformats.org/officeDocument/2006/relationships/hyperlink" Target="https://caselaw.findlaw.com/fl-district-court-of-appeal/1380588.html" TargetMode="External"/><Relationship Id="rId135" Type="http://schemas.openxmlformats.org/officeDocument/2006/relationships/hyperlink" Target="https://caselaw.findlaw.com/fl-district-court-of-appeal/1380588.html" TargetMode="External"/><Relationship Id="rId136" Type="http://schemas.openxmlformats.org/officeDocument/2006/relationships/hyperlink" Target="https://www.floridabar.org/the-florida-bar-journal/floridas-unwieldy-but-effective-construction-lien-law/" TargetMode="External"/><Relationship Id="rId137" Type="http://schemas.openxmlformats.org/officeDocument/2006/relationships/hyperlink" Target="https://www.floridabar.org/the-florida-bar-journal/floridas-unwieldy-but-effective-construction-lien-law/" TargetMode="External"/><Relationship Id="rId138" Type="http://schemas.openxmlformats.org/officeDocument/2006/relationships/hyperlink" Target="https://www.floridabar.org/the-florida-bar-journal/floridas-unwieldy-but-effective-construction-lien-law/" TargetMode="External"/><Relationship Id="rId139" Type="http://schemas.openxmlformats.org/officeDocument/2006/relationships/hyperlink" Target="https://www.floridabar.org/the-florida-bar-journal/floridas-unwieldy-but-effective-construction-lien-law/" TargetMode="External"/><Relationship Id="rId140" Type="http://schemas.openxmlformats.org/officeDocument/2006/relationships/hyperlink" Target="https://www.floridabar.org/the-florida-bar-journal/floridas-unwieldy-but-effective-construction-lien-law/" TargetMode="External"/><Relationship Id="rId141" Type="http://schemas.openxmlformats.org/officeDocument/2006/relationships/hyperlink" Target="https://www.floridabar.org/the-florida-bar-journal/floridas-unwieldy-but-effective-construction-lien-law/" TargetMode="External"/><Relationship Id="rId142" Type="http://schemas.openxmlformats.org/officeDocument/2006/relationships/hyperlink" Target="https://www.floridabar.org/the-florida-bar-journal/floridas-unwieldy-but-effective-construction-lien-law/" TargetMode="External"/><Relationship Id="rId143" Type="http://schemas.openxmlformats.org/officeDocument/2006/relationships/hyperlink" Target="https://www.floridabar.org/the-florida-bar-journal/floridas-unwieldy-but-effective-construction-lien-law/" TargetMode="External"/><Relationship Id="rId144" Type="http://schemas.openxmlformats.org/officeDocument/2006/relationships/hyperlink" Target="https://www.floridabar.org/the-florida-bar-journal/floridas-unwieldy-but-effective-construction-lien-law/" TargetMode="External"/><Relationship Id="rId145" Type="http://schemas.openxmlformats.org/officeDocument/2006/relationships/hyperlink" Target="https://www.floridabar.org/the-florida-bar-journal/floridas-unwieldy-but-effective-construction-lien-law/" TargetMode="External"/><Relationship Id="rId146" Type="http://schemas.openxmlformats.org/officeDocument/2006/relationships/hyperlink" Target="https://www.floridabar.org/the-florida-bar-journal/floridas-unwieldy-but-effective-construction-lien-law/" TargetMode="External"/><Relationship Id="rId147" Type="http://schemas.openxmlformats.org/officeDocument/2006/relationships/hyperlink" Target="https://www.flsenate.gov/Laws/Statutes/2012/713.31" TargetMode="External"/><Relationship Id="rId148" Type="http://schemas.openxmlformats.org/officeDocument/2006/relationships/hyperlink" Target="https://caselaw.findlaw.com/fl-district-court-of-appeal/1380588.html" TargetMode="External"/><Relationship Id="rId149" Type="http://schemas.openxmlformats.org/officeDocument/2006/relationships/hyperlink" Target="https://hammerngavel.com/blog/recent-court-order-discharges-25358400-lien-that-was-prepared-by-third-party-rather-than-employee-or-attorney" TargetMode="External"/><Relationship Id="rId150" Type="http://schemas.openxmlformats.org/officeDocument/2006/relationships/hyperlink" Target="https://www.floridabar.org/the-florida-bar-journal/floridas-unwieldy-but-effective-construction-lien-law/" TargetMode="External"/><Relationship Id="rId151" Type="http://schemas.openxmlformats.org/officeDocument/2006/relationships/hyperlink" Target="https://www.cobbgonzalez.com/floridas-construction-liens-laws-the-claim-of-lien/" TargetMode="External"/><Relationship Id="rId152" Type="http://schemas.openxmlformats.org/officeDocument/2006/relationships/hyperlink" Target="https://www.floridabar.org/the-florida-bar-journal/floridas-unwieldy-but-effective-construction-lien-law/" TargetMode="External"/><Relationship Id="rId153" Type="http://schemas.openxmlformats.org/officeDocument/2006/relationships/hyperlink" Target="https://www.floridabar.org/the-florida-bar-journal/floridas-unwieldy-but-effective-construction-lien-law/" TargetMode="External"/><Relationship Id="rId154" Type="http://schemas.openxmlformats.org/officeDocument/2006/relationships/hyperlink" Target="https://www.floridabar.org/the-florida-bar-journal/floridas-unwieldy-but-effective-construction-lien-law/" TargetMode="External"/><Relationship Id="rId155" Type="http://schemas.openxmlformats.org/officeDocument/2006/relationships/hyperlink" Target="https://www.floridabar.org/the-florida-bar-journal/floridas-unwieldy-but-effective-construction-lien-law/" TargetMode="External"/><Relationship Id="rId156" Type="http://schemas.openxmlformats.org/officeDocument/2006/relationships/hyperlink" Target="https://hammerngavel.com/blog/recent-court-order-discharges-25358400-lien-that-was-prepared-by-third-party-rather-than-employee-or-attorney" TargetMode="External"/><Relationship Id="rId157" Type="http://schemas.openxmlformats.org/officeDocument/2006/relationships/hyperlink" Target="https://hammerngavel.com/blog/recent-court-order-discharges-25358400-lien-that-was-prepared-by-third-party-rather-than-employee-or-attorney" TargetMode="External"/><Relationship Id="rId158" Type="http://schemas.openxmlformats.org/officeDocument/2006/relationships/hyperlink" Target="https://hammerngavel.com/blog/recent-court-order-discharges-25358400-lien-that-was-prepared-by-third-party-rather-than-employee-or-attorney" TargetMode="External"/><Relationship Id="rId159" Type="http://schemas.openxmlformats.org/officeDocument/2006/relationships/hyperlink" Target="https://hammerngavel.com/blog/recent-court-order-discharges-25358400-lien-that-was-prepared-by-third-party-rather-than-employee-or-attorney" TargetMode="External"/><Relationship Id="rId160" Type="http://schemas.openxmlformats.org/officeDocument/2006/relationships/hyperlink" Target="https://www.floridabar.org/the-florida-bar-journal/floridas-unwieldy-but-effective-construction-lien-law/" TargetMode="External"/><Relationship Id="rId161" Type="http://schemas.openxmlformats.org/officeDocument/2006/relationships/hyperlink" Target="https://www.floridabar.org/the-florida-bar-journal/floridas-unwieldy-but-effective-construction-lien-law/" TargetMode="External"/><Relationship Id="rId162" Type="http://schemas.openxmlformats.org/officeDocument/2006/relationships/hyperlink" Target="https://www.floridabar.org/the-florida-bar-journal/floridas-unwieldy-but-effective-construction-lien-law/" TargetMode="External"/><Relationship Id="rId163" Type="http://schemas.openxmlformats.org/officeDocument/2006/relationships/hyperlink" Target="https://hammerngavel.com/blog/recent-court-order-discharges-25358400-lien-that-was-prepared-by-third-party-rather-than-employee-or-attorney" TargetMode="External"/><Relationship Id="rId164" Type="http://schemas.openxmlformats.org/officeDocument/2006/relationships/hyperlink" Target="https://hammerngavel.com/blog/recent-court-order-discharges-25358400-lien-that-was-prepared-by-third-party-rather-than-employee-or-attorney" TargetMode="External"/><Relationship Id="rId165" Type="http://schemas.openxmlformats.org/officeDocument/2006/relationships/hyperlink" Target="https://hammerngavel.com/blog/recent-court-order-discharges-25358400-lien-that-was-prepared-by-third-party-rather-than-employee-or-attorney" TargetMode="External"/><Relationship Id="rId166" Type="http://schemas.openxmlformats.org/officeDocument/2006/relationships/hyperlink" Target="https://hammerngavel.com/blog/recent-court-order-discharges-25358400-lien-that-was-prepared-by-third-party-rather-than-employee-or-attorney" TargetMode="External"/><Relationship Id="rId167" Type="http://schemas.openxmlformats.org/officeDocument/2006/relationships/hyperlink" Target="https://www.floridabar.org/the-florida-bar-journal/floridas-unwieldy-but-effective-construction-lien-law/" TargetMode="External"/><Relationship Id="rId168" Type="http://schemas.openxmlformats.org/officeDocument/2006/relationships/hyperlink" Target="https://hammerngavel.com/blog/recent-court-order-discharges-25358400-lien-that-was-prepared-by-third-party-rather-than-employee-or-attorney" TargetMode="External"/><Relationship Id="rId169" Type="http://schemas.openxmlformats.org/officeDocument/2006/relationships/hyperlink" Target="https://www.floridabar.org/the-florida-bar-journal/floridas-unwieldy-but-effective-construction-lien-law/" TargetMode="External"/><Relationship Id="rId170" Type="http://schemas.openxmlformats.org/officeDocument/2006/relationships/hyperlink" Target="https://www.casemine.com/judgement/us/5914692eadd7b049342d2e6d" TargetMode="External"/><Relationship Id="rId171" Type="http://schemas.openxmlformats.org/officeDocument/2006/relationships/hyperlink" Target="https://www.floridabar.org/the-florida-bar-journal/floridas-unwieldy-but-effective-construction-lien-law/" TargetMode="External"/><Relationship Id="rId172" Type="http://schemas.openxmlformats.org/officeDocument/2006/relationships/hyperlink" Target="https://case-law.vlex.com/vid/george-j-motz-const-887816411" TargetMode="External"/><Relationship Id="rId173" Type="http://schemas.openxmlformats.org/officeDocument/2006/relationships/hyperlink" Target="https://descrybe.ai/case-details/c1930203" TargetMode="External"/><Relationship Id="rId174" Type="http://schemas.openxmlformats.org/officeDocument/2006/relationships/hyperlink" Target="https://law.justia.com/cases/florida/supreme-court/1991/76234-0.html" TargetMode="External"/><Relationship Id="rId175" Type="http://schemas.openxmlformats.org/officeDocument/2006/relationships/hyperlink" Target="https://law.justia.com/cases/florida/supreme-court/1991/76234-0.html" TargetMode="External"/><Relationship Id="rId176" Type="http://schemas.openxmlformats.org/officeDocument/2006/relationships/hyperlink" Target="https://caselaw.findlaw.com/fl-district-court-of-appeal/1380588.html" TargetMode="External"/><Relationship Id="rId177" Type="http://schemas.openxmlformats.org/officeDocument/2006/relationships/hyperlink" Target="https://www.floridabar.org/the-florida-bar-journal/floridas-unwieldy-but-effective-construction-lien-law/" TargetMode="External"/><Relationship Id="rId178" Type="http://schemas.openxmlformats.org/officeDocument/2006/relationships/hyperlink" Target="https://hammerngavel.com/blog/recent-court-order-discharges-25358400-lien-that-was-prepared-by-third-party-rather-than-employee-or-attorney" TargetMode="External"/><Relationship Id="rId179" Type="http://schemas.openxmlformats.org/officeDocument/2006/relationships/hyperlink" Target="https://www.floridabar.org/the-florida-bar-journal/floridas-unwieldy-but-effective-construction-lien-law/" TargetMode="External"/><Relationship Id="rId180" Type="http://schemas.openxmlformats.org/officeDocument/2006/relationships/hyperlink" Target="https://law.justia.com/cases/florida/supreme-court/1995/84075-0.html" TargetMode="External"/><Relationship Id="rId181" Type="http://schemas.openxmlformats.org/officeDocument/2006/relationships/hyperlink" Target="https://law.justia.com/cases/florida/supreme-court/1978/50238-0.html" TargetMode="External"/><Relationship Id="rId182" Type="http://schemas.openxmlformats.org/officeDocument/2006/relationships/hyperlink" Target="https://www.floridabar.org/the-florida-bar-journal/floridas-unwieldy-but-effective-construction-lien-law/" TargetMode="External"/><Relationship Id="rId183" Type="http://schemas.openxmlformats.org/officeDocument/2006/relationships/hyperlink" Target="https://www.cobbgonzalez.com/floridas-construction-liens-laws-the-claim-of-lien/" TargetMode="External"/><Relationship Id="rId184" Type="http://schemas.openxmlformats.org/officeDocument/2006/relationships/hyperlink" Target="https://www.casemine.com/judgement/us/5914692eadd7b049342d2e6d" TargetMode="External"/><Relationship Id="rId185" Type="http://schemas.openxmlformats.org/officeDocument/2006/relationships/hyperlink" Target="https://www.floridabar.org/the-florida-bar-journal/floridas-unwieldy-but-effective-construction-lien-law/" TargetMode="External"/><Relationship Id="rId186" Type="http://schemas.openxmlformats.org/officeDocument/2006/relationships/hyperlink" Target="https://www.casemine.com/judgement/us/5914692eadd7b049342d2e6d" TargetMode="External"/><Relationship Id="rId187" Type="http://schemas.openxmlformats.org/officeDocument/2006/relationships/hyperlink" Target="https://www.casemine.com/judgement/us/5914692eadd7b049342d2e6d" TargetMode="External"/><Relationship Id="rId188" Type="http://schemas.openxmlformats.org/officeDocument/2006/relationships/hyperlink" Target="https://www.floridabar.org/the-florida-bar-journal/floridas-unwieldy-but-effective-construction-lien-law/" TargetMode="External"/><Relationship Id="rId189" Type="http://schemas.openxmlformats.org/officeDocument/2006/relationships/hyperlink" Target="https://www.floridabar.org/the-florida-bar-journal/floridas-unwieldy-but-effective-construction-lien-law/" TargetMode="External"/><Relationship Id="rId190" Type="http://schemas.openxmlformats.org/officeDocument/2006/relationships/hyperlink" Target="https://www.floridabar.org/the-florida-bar-journal/floridas-unwieldy-but-effective-construction-lien-law/" TargetMode="External"/><Relationship Id="rId191" Type="http://schemas.openxmlformats.org/officeDocument/2006/relationships/hyperlink" Target="https://www.floridabar.org/the-florida-bar-journal/floridas-unwieldy-but-effective-construction-lien-law/" TargetMode="External"/><Relationship Id="rId192" Type="http://schemas.openxmlformats.org/officeDocument/2006/relationships/hyperlink" Target="https://case-law.vlex.com/vid/george-j-motz-const-887816411" TargetMode="External"/><Relationship Id="rId193" Type="http://schemas.openxmlformats.org/officeDocument/2006/relationships/hyperlink" Target="https://descrybe.ai/case-details/c1930203" TargetMode="External"/><Relationship Id="rId194" Type="http://schemas.openxmlformats.org/officeDocument/2006/relationships/hyperlink" Target="https://law.justia.com/cases/florida/supreme-court/1991/76234-0.html" TargetMode="External"/><Relationship Id="rId195" Type="http://schemas.openxmlformats.org/officeDocument/2006/relationships/hyperlink" Target="https://www.floridabar.org/the-florida-bar-journal/floridas-unwieldy-but-effective-construction-lien-law/" TargetMode="External"/><Relationship Id="rId196" Type="http://schemas.openxmlformats.org/officeDocument/2006/relationships/hyperlink" Target="https://law.justia.com/cases/florida/supreme-court/1995/84075-0.html" TargetMode="External"/><Relationship Id="rId197" Type="http://schemas.openxmlformats.org/officeDocument/2006/relationships/hyperlink" Target="https://law.justia.com/cases/florida/supreme-court/1995/84075-0.html" TargetMode="External"/><Relationship Id="rId198" Type="http://schemas.openxmlformats.org/officeDocument/2006/relationships/hyperlink" Target="https://law.justia.com/cases/florida/supreme-court/1991/76234-0.html" TargetMode="External"/><Relationship Id="rId199" Type="http://schemas.openxmlformats.org/officeDocument/2006/relationships/hyperlink" Target="https://law.justia.com/cases/florida/supreme-court/1991/76234-0.html" TargetMode="External"/><Relationship Id="rId200" Type="http://schemas.openxmlformats.org/officeDocument/2006/relationships/hyperlink" Target="https://law.justia.com/cases/florida/supreme-court/1991/76234-0.html" TargetMode="External"/><Relationship Id="rId201" Type="http://schemas.openxmlformats.org/officeDocument/2006/relationships/hyperlink" Target="https://law.justia.com/cases/florida/supreme-court/1991/76234-0.html" TargetMode="External"/><Relationship Id="rId202" Type="http://schemas.openxmlformats.org/officeDocument/2006/relationships/hyperlink" Target="https://www.casemine.com/judgement/us/5914692eadd7b049342d2e6d" TargetMode="External"/><Relationship Id="rId203" Type="http://schemas.openxmlformats.org/officeDocument/2006/relationships/hyperlink" Target="https://www.casemine.com/judgement/us/5914692eadd7b049342d2e6d" TargetMode="External"/><Relationship Id="rId204" Type="http://schemas.openxmlformats.org/officeDocument/2006/relationships/hyperlink" Target="https://supremecourt.flcourts.gov/content/download/363102/file/03-1021_JurisIni.pdf" TargetMode="External"/><Relationship Id="rId205" Type="http://schemas.openxmlformats.org/officeDocument/2006/relationships/hyperlink" Target="https://supremecourt.flcourts.gov/content/download/363102/file/03-1021_JurisIni.pdf" TargetMode="External"/><Relationship Id="rId206" Type="http://schemas.openxmlformats.org/officeDocument/2006/relationships/hyperlink" Target="https://case-law.vlex.com/vid/george-j-motz-const-887816411" TargetMode="External"/><Relationship Id="rId207" Type="http://schemas.openxmlformats.org/officeDocument/2006/relationships/hyperlink" Target="https://case-law.vlex.com/vid/george-j-motz-const-887816411" TargetMode="External"/><Relationship Id="rId208" Type="http://schemas.openxmlformats.org/officeDocument/2006/relationships/hyperlink" Target="https://descrybe.ai/case-details/c1930203" TargetMode="External"/><Relationship Id="rId209" Type="http://schemas.openxmlformats.org/officeDocument/2006/relationships/hyperlink" Target="https://caselaw.findlaw.com/fl-district-court-of-appeal/1380588.html" TargetMode="External"/><Relationship Id="rId210" Type="http://schemas.openxmlformats.org/officeDocument/2006/relationships/hyperlink" Target="https://caselaw.findlaw.com/fl-district-court-of-appeal/1380588.html" TargetMode="External"/><Relationship Id="rId211" Type="http://schemas.openxmlformats.org/officeDocument/2006/relationships/hyperlink" Target="https://caselaw.findlaw.com/fl-district-court-of-appeal/1380588.html" TargetMode="External"/><Relationship Id="rId212" Type="http://schemas.openxmlformats.org/officeDocument/2006/relationships/hyperlink" Target="https://caselaw.findlaw.com/fl-district-court-of-appeal/1380588.html" TargetMode="External"/><Relationship Id="rId213" Type="http://schemas.openxmlformats.org/officeDocument/2006/relationships/hyperlink" Target="https://www.floridabar.org/the-florida-bar-journal/floridas-unwieldy-but-effective-construction-lien-law/" TargetMode="External"/><Relationship Id="rId214" Type="http://schemas.openxmlformats.org/officeDocument/2006/relationships/hyperlink" Target="https://caselaw.findlaw.com/fl-district-court-of-appeal/1380588.html" TargetMode="External"/><Relationship Id="rId215" Type="http://schemas.openxmlformats.org/officeDocument/2006/relationships/hyperlink" Target="https://hammerngavel.com/blog/recent-court-order-discharges-25358400-lien-that-was-prepared-by-third-party-rather-than-employee-or-attorney" TargetMode="External"/><Relationship Id="rId216" Type="http://schemas.openxmlformats.org/officeDocument/2006/relationships/hyperlink" Target="https://hammerngavel.com/blog/recent-court-order-discharges-25358400-lien-that-was-prepared-by-third-party-rather-than-employee-or-attorney" TargetMode="External"/><Relationship Id="rId217" Type="http://schemas.openxmlformats.org/officeDocument/2006/relationships/hyperlink" Target="https://www.floridabar.org/the-florida-bar-journal/floridas-unwieldy-but-effective-construction-lien-law/" TargetMode="External"/><Relationship Id="rId218" Type="http://schemas.openxmlformats.org/officeDocument/2006/relationships/hyperlink" Target="https://www.floridabar.org/the-florida-bar-journal/floridas-unwieldy-but-effective-construction-lien-law/" TargetMode="External"/><Relationship Id="rId219" Type="http://schemas.openxmlformats.org/officeDocument/2006/relationships/image" Target="media/image1.png"/><Relationship Id="rId220" Type="http://schemas.openxmlformats.org/officeDocument/2006/relationships/image" Target="media/image2.png"/><Relationship Id="rId221" Type="http://schemas.openxmlformats.org/officeDocument/2006/relationships/image" Target="media/image3.png"/><Relationship Id="rId222" Type="http://schemas.openxmlformats.org/officeDocument/2006/relationships/image" Target="media/image4.png"/><Relationship Id="rId223" Type="http://schemas.openxmlformats.org/officeDocument/2006/relationships/image" Target="media/image5.png"/><Relationship Id="rId224" Type="http://schemas.openxmlformats.org/officeDocument/2006/relationships/numbering" Target="numbering.xml"/><Relationship Id="rId225" Type="http://schemas.openxmlformats.org/officeDocument/2006/relationships/fontTable" Target="fontTable.xml"/><Relationship Id="rId226" Type="http://schemas.openxmlformats.org/officeDocument/2006/relationships/settings" Target="settings.xml"/><Relationship Id="rId2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17</Pages>
  <Words>9177</Words>
  <Characters>49965</Characters>
  <CharactersWithSpaces>59093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2025-11-30T21:49:34Z</dcterms:created>
  <dc:creator/>
  <dc:description/>
  <dc:language>en-US</dc:language>
  <cp:lastModifiedBy/>
  <dcterms:modified xsi:type="dcterms:W3CDTF">2025-11-30T21:51:45Z</dcterms:modified>
  <cp:revision>1</cp:revision>
  <dc:subject/>
  <dc:title/>
</cp:coreProperties>
</file>