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Florida’s “Notice of Commencement of Lien Action” – Case Law, Compliance Errors, and Best Practices</w:t>
      </w:r>
    </w:p>
    <w:p>
      <w:pPr>
        <w:pStyle w:val="Heading2"/>
        <w:bidi w:val="0"/>
        <w:jc w:val="start"/>
        <w:rPr/>
      </w:pPr>
      <w:r>
        <w:rPr/>
        <w:t>Background on §713.22(1) Requirements</w:t>
      </w:r>
    </w:p>
    <w:p>
      <w:pPr>
        <w:pStyle w:val="BodyText"/>
        <w:bidi w:val="0"/>
        <w:jc w:val="start"/>
        <w:rPr/>
      </w:pPr>
      <w:r>
        <w:rPr/>
        <w:t xml:space="preserve">Florida’s Construction Lien Law (Chapter 713) imposes strict deadlines to enforce a recorded mechanic’s lien. Under </w:t>
      </w:r>
      <w:r>
        <w:rPr>
          <w:rStyle w:val="Strong"/>
        </w:rPr>
        <w:t>§713.22(1)</w:t>
      </w:r>
      <w:r>
        <w:rPr/>
        <w:t xml:space="preserve">, a recorded construction lien expires </w:t>
      </w:r>
      <w:r>
        <w:rPr>
          <w:rStyle w:val="Strong"/>
        </w:rPr>
        <w:t>after one year</w:t>
      </w:r>
      <w:r>
        <w:rPr/>
        <w:t xml:space="preserve"> unless the lienor </w:t>
      </w:r>
      <w:r>
        <w:rPr>
          <w:rStyle w:val="Emphasis"/>
        </w:rPr>
        <w:t>both</w:t>
      </w:r>
      <w:r>
        <w:rPr/>
        <w:t xml:space="preserve"> files a foreclosure lawsuit within that year </w:t>
      </w:r>
      <w:r>
        <w:rPr>
          <w:rStyle w:val="Strong"/>
        </w:rPr>
        <w:t>and</w:t>
      </w:r>
      <w:r>
        <w:rPr/>
        <w:t xml:space="preserve"> records a notice of the pending action (typically via a </w:t>
      </w:r>
      <w:r>
        <w:rPr>
          <w:rStyle w:val="Strong"/>
        </w:rPr>
        <w:t>lis pendens</w:t>
      </w:r>
      <w:r>
        <w:rPr/>
        <w:t>)</w:t>
      </w:r>
      <w:hyperlink r:id="rId2" w:anchor=":~:text=,of%20lis%20pendens%20is%20recorded" w:tgtFrame="_blank">
        <w:r>
          <w:rPr>
            <w:rStyle w:val="Hyperlink"/>
          </w:rPr>
          <w:t>flsenate.gov</w:t>
        </w:r>
      </w:hyperlink>
      <w:r>
        <w:rPr/>
        <w:t xml:space="preserve">. In effect, commencing the lien-foreclosure suit extends the lien beyond the one-year period, but only as to those with notice – subsequent purchasers or creditors without notice of the action are not bound by the lien unless a lis pendens (often termed the </w:t>
      </w:r>
      <w:r>
        <w:rPr>
          <w:rStyle w:val="Emphasis"/>
        </w:rPr>
        <w:t>“Notice of Commencement of Lien Action”</w:t>
      </w:r>
      <w:r>
        <w:rPr/>
        <w:t>) is timely recorded</w:t>
      </w:r>
      <w:hyperlink r:id="rId3" w:anchor=":~:text=,of%20lis%20pendens%20is%20recorded" w:tgtFrame="_blank">
        <w:r>
          <w:rPr>
            <w:rStyle w:val="Hyperlink"/>
          </w:rPr>
          <w:t>flsenate.gov</w:t>
        </w:r>
      </w:hyperlink>
      <w:hyperlink r:id="rId4" w:anchor=":~:text=Second%2C%20you%20want%20to%20record,%E2%80%9D" w:tgtFrame="_blank">
        <w:r>
          <w:rPr>
            <w:rStyle w:val="Hyperlink"/>
          </w:rPr>
          <w:t>floridaconstructionlegalupdates.com</w:t>
        </w:r>
      </w:hyperlink>
      <w:r>
        <w:rPr/>
        <w:t>. Florida courts treat these timing and notice requirements as substantive conditions of lien enforcement, not mere technicalities</w:t>
      </w:r>
      <w:hyperlink r:id="rId5" w:anchor=":~:text=In%20Regal%20Wood%20Products%2C%20this,court%2C%20in%20affirming%20dismissal%2C%20said" w:tgtFrame="_blank">
        <w:r>
          <w:rPr>
            <w:rStyle w:val="Hyperlink"/>
          </w:rPr>
          <w:t>caselaw.findlaw.com</w:t>
        </w:r>
      </w:hyperlink>
      <w:r>
        <w:rPr/>
        <w:t>. Failing to comply results in the lien’s automatic extinguishment by operation of law</w:t>
      </w:r>
      <w:hyperlink r:id="rId6" w:anchor=":~:text=Section%20713,pertinent%20part" w:tgtFrame="_blank">
        <w:r>
          <w:rPr>
            <w:rStyle w:val="Hyperlink"/>
          </w:rPr>
          <w:t>case-law.vlex.com</w:t>
        </w:r>
      </w:hyperlink>
      <w:r>
        <w:rPr/>
        <w:t>.</w:t>
      </w:r>
    </w:p>
    <w:p>
      <w:pPr>
        <w:pStyle w:val="BodyText"/>
        <w:bidi w:val="0"/>
        <w:jc w:val="start"/>
        <w:rPr/>
      </w:pPr>
      <w:r>
        <w:rPr>
          <w:rStyle w:val="Strong"/>
        </w:rPr>
        <w:t>Key Point:</w:t>
      </w:r>
      <w:r>
        <w:rPr/>
        <w:t xml:space="preserve"> The one-year deadline (or shorter if properly shortened by the owner) is strictly enforced. A lienor must file suit within one year of recording the claim of lien and should record a lis pendens at the time of filing to preserve the lien’s effectiveness and priority against third parties</w:t>
      </w:r>
      <w:hyperlink r:id="rId7" w:anchor=":~:text=,of%20lis%20pendens%20is%20recorded" w:tgtFrame="_blank">
        <w:r>
          <w:rPr>
            <w:rStyle w:val="Hyperlink"/>
          </w:rPr>
          <w:t>flsenate.gov</w:t>
        </w:r>
      </w:hyperlink>
      <w:hyperlink r:id="rId8" w:anchor=":~:text=Second%2C%20you%20want%20to%20record,%E2%80%9D" w:tgtFrame="_blank">
        <w:r>
          <w:rPr>
            <w:rStyle w:val="Hyperlink"/>
          </w:rPr>
          <w:t>floridaconstructionlegalupdates.com</w:t>
        </w:r>
      </w:hyperlink>
      <w:r>
        <w:rPr/>
        <w:t>.</w:t>
      </w:r>
    </w:p>
    <w:p>
      <w:pPr>
        <w:pStyle w:val="Heading2"/>
        <w:bidi w:val="0"/>
        <w:jc w:val="start"/>
        <w:rPr/>
      </w:pPr>
      <w:r>
        <w:rPr/>
        <w:t>Notable Florida Cases and Judicial Interpretations</w:t>
      </w:r>
    </w:p>
    <w:p>
      <w:pPr>
        <w:pStyle w:val="Heading3"/>
        <w:bidi w:val="0"/>
        <w:jc w:val="start"/>
        <w:rPr/>
      </w:pPr>
      <w:r>
        <w:rPr/>
        <w:t>Strict Enforcement of the One-Year Limitation</w:t>
      </w:r>
    </w:p>
    <w:p>
      <w:pPr>
        <w:pStyle w:val="BodyText"/>
        <w:bidi w:val="0"/>
        <w:jc w:val="start"/>
        <w:rPr/>
      </w:pPr>
      <w:r>
        <w:rPr/>
        <w:t>Florida courts consistently hold that the one-year period in §713.22(1) is to be strictly construed and not tolled or extended absent explicit statutory authority</w:t>
      </w:r>
      <w:hyperlink r:id="rId9" w:anchor=":~:text=filing%20had%20no%20such%20effect,Palmer%20at%20510" w:tgtFrame="_blank">
        <w:r>
          <w:rPr>
            <w:rStyle w:val="Hyperlink"/>
          </w:rPr>
          <w:t>case-law.vlex.com</w:t>
        </w:r>
      </w:hyperlink>
      <w:hyperlink r:id="rId10" w:anchor=":~:text=In%20Regal%20Wood%20Products%2C%20this,court%2C%20in%20affirming%20dismissal%2C%20said" w:tgtFrame="_blank">
        <w:r>
          <w:rPr>
            <w:rStyle w:val="Hyperlink"/>
          </w:rPr>
          <w:t>caselaw.findlaw.com</w:t>
        </w:r>
      </w:hyperlink>
      <w:r>
        <w:rPr/>
        <w:t xml:space="preserve">. If a lien foreclosure action is not </w:t>
      </w:r>
      <w:r>
        <w:rPr>
          <w:rStyle w:val="Strong"/>
        </w:rPr>
        <w:t>commenced within one year</w:t>
      </w:r>
      <w:r>
        <w:rPr/>
        <w:t xml:space="preserve"> of recording the claim of lien, the lien is automatically void and unenforceable, regardless of equities. For example:</w:t>
      </w:r>
    </w:p>
    <w:p>
      <w:pPr>
        <w:pStyle w:val="BodyText"/>
        <w:numPr>
          <w:ilvl w:val="0"/>
          <w:numId w:val="1"/>
        </w:numPr>
        <w:tabs>
          <w:tab w:val="clear" w:pos="709"/>
          <w:tab w:val="left" w:pos="709" w:leader="none"/>
        </w:tabs>
        <w:bidi w:val="0"/>
        <w:ind w:hanging="283" w:start="709"/>
        <w:jc w:val="start"/>
        <w:rPr/>
      </w:pPr>
      <w:r>
        <w:rPr>
          <w:rStyle w:val="Strong"/>
        </w:rPr>
        <w:t>Regal Wood Products, Inc. v. First Wisconsin Nat’l Bank (Fla. 4th DCA 1977):</w:t>
      </w:r>
      <w:r>
        <w:rPr/>
        <w:t xml:space="preserve"> The court affirmed dismissal of a lien foreclosure filed too late, emphasizing that the one-year limit “is not like an ordinary statute of limitation” but part of the lien right itself. If the year elapses without filing suit, the lien “becomes extinguished and is gone forever”</w:t>
      </w:r>
      <w:hyperlink r:id="rId11" w:anchor=":~:text=In%20Regal%20Wood%20Products%2C%20this,court%2C%20in%20affirming%20dismissal%2C%20said" w:tgtFrame="_blank">
        <w:r>
          <w:rPr>
            <w:rStyle w:val="Hyperlink"/>
          </w:rPr>
          <w:t>caselaw.findlaw.com</w:t>
        </w:r>
      </w:hyperlink>
      <w:r>
        <w:rPr/>
        <w:t xml:space="preserve">. In other words, the deadline is a </w:t>
      </w:r>
      <w:r>
        <w:rPr>
          <w:rStyle w:val="Emphasis"/>
        </w:rPr>
        <w:t>condition precedent</w:t>
      </w:r>
      <w:r>
        <w:rPr/>
        <w:t xml:space="preserve"> to maintaining a lien, not just an affirmative defense.</w:t>
      </w:r>
    </w:p>
    <w:p>
      <w:pPr>
        <w:pStyle w:val="BodyText"/>
        <w:numPr>
          <w:ilvl w:val="0"/>
          <w:numId w:val="1"/>
        </w:numPr>
        <w:tabs>
          <w:tab w:val="clear" w:pos="709"/>
          <w:tab w:val="left" w:pos="709" w:leader="none"/>
        </w:tabs>
        <w:bidi w:val="0"/>
        <w:ind w:hanging="283" w:start="709"/>
        <w:jc w:val="start"/>
        <w:rPr/>
      </w:pPr>
      <w:r>
        <w:rPr>
          <w:rStyle w:val="Strong"/>
        </w:rPr>
        <w:t>Scott v. Haufler (Fla. 1st DCA 1988):</w:t>
      </w:r>
      <w:r>
        <w:rPr/>
        <w:t xml:space="preserve"> In a mortgage foreclosure’s surplus distribution, several mechanics’ lienors lost priority because they had not sued to enforce their liens within one year. Those liens were deemed discharged by §713.22(1) and §713.21(3) as a matter of law</w:t>
      </w:r>
      <w:hyperlink r:id="rId12" w:anchor=":~:text=discharged%20upon%20failure%20of%20those,We%20reverse" w:tgtFrame="_blank">
        <w:r>
          <w:rPr>
            <w:rStyle w:val="Hyperlink"/>
          </w:rPr>
          <w:t>case-law.vlex.com</w:t>
        </w:r>
      </w:hyperlink>
      <w:hyperlink r:id="rId13" w:anchor=":~:text=Section%20713,pertinent%20part" w:tgtFrame="_blank">
        <w:r>
          <w:rPr>
            <w:rStyle w:val="Hyperlink"/>
          </w:rPr>
          <w:t>case-law.vlex.com</w:t>
        </w:r>
      </w:hyperlink>
      <w:r>
        <w:rPr/>
        <w:t xml:space="preserve">. The court noted that lien priority normally relates back to the project’s Notice of Commencement, but “this assumes a valid and enforceable lien.” Liens not timely enforced are </w:t>
      </w:r>
      <w:r>
        <w:rPr>
          <w:rStyle w:val="Strong"/>
        </w:rPr>
        <w:t>not valid</w:t>
      </w:r>
      <w:r>
        <w:rPr/>
        <w:t>, so they have no priority to assert</w:t>
      </w:r>
      <w:hyperlink r:id="rId14" w:anchor=":~:text=While%20it%20is%20true%20that,2d%2C%20Mechanics%20Liens%2C%20%C2%A7%2055" w:tgtFrame="_blank">
        <w:r>
          <w:rPr>
            <w:rStyle w:val="Hyperlink"/>
          </w:rPr>
          <w:t>case-law.vlex.com</w:t>
        </w:r>
      </w:hyperlink>
      <w:r>
        <w:rPr/>
        <w:t>. The result: the junior mortgage in that case took priority over all expired construction liens</w:t>
      </w:r>
      <w:hyperlink r:id="rId15" w:anchor=":~:text=foreclosure%20sale,We%20reverse" w:tgtFrame="_blank">
        <w:r>
          <w:rPr>
            <w:rStyle w:val="Hyperlink"/>
          </w:rPr>
          <w:t>case-law.vlex.com</w:t>
        </w:r>
      </w:hyperlink>
      <w:hyperlink r:id="rId16" w:anchor=":~:text=While%20it%20is%20true%20that,2d%2C%20Mechanics%20Liens%2C%20%C2%A7%2055" w:tgtFrame="_blank">
        <w:r>
          <w:rPr>
            <w:rStyle w:val="Hyperlink"/>
          </w:rPr>
          <w:t>case-law.vlex.com</w:t>
        </w:r>
      </w:hyperlink>
      <w:r>
        <w:rPr/>
        <w:t>.</w:t>
      </w:r>
    </w:p>
    <w:p>
      <w:pPr>
        <w:pStyle w:val="BodyText"/>
        <w:numPr>
          <w:ilvl w:val="0"/>
          <w:numId w:val="1"/>
        </w:numPr>
        <w:tabs>
          <w:tab w:val="clear" w:pos="709"/>
          <w:tab w:val="left" w:pos="709" w:leader="none"/>
        </w:tabs>
        <w:bidi w:val="0"/>
        <w:ind w:hanging="283" w:start="709"/>
        <w:jc w:val="start"/>
        <w:rPr/>
      </w:pPr>
      <w:r>
        <w:rPr>
          <w:rStyle w:val="Strong"/>
        </w:rPr>
        <w:t>Foy v. Mangum (Fla. 5th DCA 1988):</w:t>
      </w:r>
      <w:r>
        <w:rPr/>
        <w:t xml:space="preserve"> A subcontractor filed an </w:t>
      </w:r>
      <w:r>
        <w:rPr>
          <w:rStyle w:val="Strong"/>
        </w:rPr>
        <w:t>amended</w:t>
      </w:r>
      <w:r>
        <w:rPr/>
        <w:t xml:space="preserve"> claim of lien after the owner’s interruption and recommencement of construction, and then sued within one year of the </w:t>
      </w:r>
      <w:r>
        <w:rPr>
          <w:rStyle w:val="Emphasis"/>
        </w:rPr>
        <w:t>amended</w:t>
      </w:r>
      <w:r>
        <w:rPr/>
        <w:t xml:space="preserve"> lien (but more than one year from the original lien). The trial court initially allowed foreclosure, but on rehearing reversed, and the appellate court affirmed the lien’s invalidation</w:t>
      </w:r>
      <w:hyperlink r:id="rId17" w:anchor=":~:text=a%20suit%20to%20foreclose%20his,We%20affirm" w:tgtFrame="_blank">
        <w:r>
          <w:rPr>
            <w:rStyle w:val="Hyperlink"/>
          </w:rPr>
          <w:t>case-law.vlex.com</w:t>
        </w:r>
      </w:hyperlink>
      <w:r>
        <w:rPr/>
        <w:t xml:space="preserve">. The key issue was whether filing an amended lien restarted the one-year clock. The court held it did </w:t>
      </w:r>
      <w:r>
        <w:rPr>
          <w:rStyle w:val="Strong"/>
        </w:rPr>
        <w:t>not</w:t>
      </w:r>
      <w:r>
        <w:rPr/>
        <w:t xml:space="preserve"> – §713.22(1)’s one-year runs from the original claim of lien date, absent explicit statutory extension</w:t>
      </w:r>
      <w:hyperlink r:id="rId18" w:anchor=":~:text=the%20Mangums%20on%20the%20ground,We%20affirm" w:tgtFrame="_blank">
        <w:r>
          <w:rPr>
            <w:rStyle w:val="Hyperlink"/>
          </w:rPr>
          <w:t>case-law.vlex.com</w:t>
        </w:r>
      </w:hyperlink>
      <w:hyperlink r:id="rId19" w:anchor=":~:text=The%20issue%20in%20this%20case%2C,filing%20in%20which" w:tgtFrame="_blank">
        <w:r>
          <w:rPr>
            <w:rStyle w:val="Hyperlink"/>
          </w:rPr>
          <w:t>case-law.vlex.com</w:t>
        </w:r>
      </w:hyperlink>
      <w:r>
        <w:rPr/>
        <w:t>. Allowing amendments to toll or restart the time “would defeat the purpose of the statute for a speedy conclusion” of lien claims</w:t>
      </w:r>
      <w:hyperlink r:id="rId20" w:anchor=":~:text=filing%20had%20no%20such%20effect,Palmer%20at%20510" w:tgtFrame="_blank">
        <w:r>
          <w:rPr>
            <w:rStyle w:val="Hyperlink"/>
          </w:rPr>
          <w:t>case-law.vlex.com</w:t>
        </w:r>
      </w:hyperlink>
      <w:r>
        <w:rPr/>
        <w:t>. This case underscores that lienors cannot circumvent the one-year limit by refiling or amending liens; only timely action in court preserves the lien.</w:t>
      </w:r>
    </w:p>
    <w:p>
      <w:pPr>
        <w:pStyle w:val="Heading3"/>
        <w:bidi w:val="0"/>
        <w:jc w:val="start"/>
        <w:rPr/>
      </w:pPr>
      <w:r>
        <w:rPr/>
        <w:t>Shortened Enforcement Periods (60-Day Contest &amp; Show Cause)</w:t>
      </w:r>
    </w:p>
    <w:p>
      <w:pPr>
        <w:pStyle w:val="BodyText"/>
        <w:bidi w:val="0"/>
        <w:jc w:val="start"/>
        <w:rPr/>
      </w:pPr>
      <w:r>
        <w:rPr/>
        <w:t>Florida law provides mechanisms for owners to accelerate the lien enforcement deadline, and courts equally insist on strict compliance in those scenarios:</w:t>
      </w:r>
    </w:p>
    <w:p>
      <w:pPr>
        <w:pStyle w:val="BodyText"/>
        <w:numPr>
          <w:ilvl w:val="0"/>
          <w:numId w:val="2"/>
        </w:numPr>
        <w:tabs>
          <w:tab w:val="clear" w:pos="709"/>
          <w:tab w:val="left" w:pos="709" w:leader="none"/>
        </w:tabs>
        <w:bidi w:val="0"/>
        <w:ind w:hanging="283" w:start="709"/>
        <w:jc w:val="start"/>
        <w:rPr/>
      </w:pPr>
      <w:r>
        <w:rPr>
          <w:rStyle w:val="Strong"/>
        </w:rPr>
        <w:t>Notice of Contest of Lien (§713.22(2)):</w:t>
      </w:r>
      <w:r>
        <w:rPr/>
        <w:t xml:space="preserve"> When an owner records a </w:t>
      </w:r>
      <w:r>
        <w:rPr>
          <w:rStyle w:val="Strong"/>
        </w:rPr>
        <w:t>Notice of Contest of Lien</w:t>
      </w:r>
      <w:r>
        <w:rPr/>
        <w:t xml:space="preserve">, the lienor’s time to file suit is shortened to </w:t>
      </w:r>
      <w:r>
        <w:rPr>
          <w:rStyle w:val="Strong"/>
        </w:rPr>
        <w:t>60 days</w:t>
      </w:r>
      <w:r>
        <w:rPr/>
        <w:t xml:space="preserve"> from service of the notice. If the lienor fails to sue within that 60-day window, the lien is automatically extinguished by statute on the 60th day</w:t>
      </w:r>
      <w:hyperlink r:id="rId21" w:anchor=":~:text=limitations%20in%20this%20case,from%20on%20other%20grounds%20by" w:tgtFrame="_blank">
        <w:r>
          <w:rPr>
            <w:rStyle w:val="Hyperlink"/>
          </w:rPr>
          <w:t>caselaw.findlaw.com</w:t>
        </w:r>
      </w:hyperlink>
      <w:hyperlink r:id="rId22" w:anchor=":~:text=v,without%20intervention%20of%20the%20court%E2%80%9D" w:tgtFrame="_blank">
        <w:r>
          <w:rPr>
            <w:rStyle w:val="Hyperlink"/>
          </w:rPr>
          <w:t>caselaw.findlaw.com</w:t>
        </w:r>
      </w:hyperlink>
      <w:r>
        <w:rPr/>
        <w:t xml:space="preserve">. In </w:t>
      </w:r>
      <w:r>
        <w:rPr>
          <w:rStyle w:val="Emphasis"/>
        </w:rPr>
        <w:t>Jack Stilson &amp; Co. v. Caloosa Bayview Corp.</w:t>
      </w:r>
      <w:r>
        <w:rPr/>
        <w:t xml:space="preserve"> (Fla. 1973), the Florida Supreme Court held that filing an amended lien after a notice of contest </w:t>
      </w:r>
      <w:r>
        <w:rPr>
          <w:rStyle w:val="Strong"/>
        </w:rPr>
        <w:t>does not</w:t>
      </w:r>
      <w:r>
        <w:rPr/>
        <w:t xml:space="preserve"> toll or extend the 60-day deadline</w:t>
      </w:r>
      <w:hyperlink r:id="rId23" w:anchor=":~:text=to%20commence%20a%20lien%20foreclosure,suit" w:tgtFrame="_blank">
        <w:r>
          <w:rPr>
            <w:rStyle w:val="Hyperlink"/>
          </w:rPr>
          <w:t>case-law.vlex.com</w:t>
        </w:r>
      </w:hyperlink>
      <w:r>
        <w:rPr/>
        <w:t xml:space="preserve">. The lienor in that case attempted to refile its claim of lien to gain more time, but the court rejected this maneuver, reinforcing that the statutory deadline “means 60 days” – no exceptions. More recently, the Fourth DCA echoed this in </w:t>
      </w:r>
      <w:r>
        <w:rPr>
          <w:rStyle w:val="Emphasis"/>
        </w:rPr>
        <w:t>Pierson D. Construction, Inc. v. Yudell</w:t>
      </w:r>
      <w:r>
        <w:rPr/>
        <w:t xml:space="preserve"> (2003), stressing that a Notice of Contest operates </w:t>
      </w:r>
      <w:r>
        <w:rPr>
          <w:rStyle w:val="Emphasis"/>
        </w:rPr>
        <w:t>“by operation of law to discharge a lien on the sixtieth day, without intervention of the court.”</w:t>
      </w:r>
      <w:hyperlink r:id="rId24" w:anchor=":~:text=v,without%20intervention%20of%20the%20court%E2%80%9D" w:tgtFrame="_blank">
        <w:r>
          <w:rPr>
            <w:rStyle w:val="Hyperlink"/>
          </w:rPr>
          <w:t>caselaw.findlaw.com</w:t>
        </w:r>
      </w:hyperlink>
      <w:r>
        <w:rPr/>
        <w:t xml:space="preserve"> A lienor who misses that 60-day deadline cannot revive the lien.</w:t>
      </w:r>
    </w:p>
    <w:p>
      <w:pPr>
        <w:pStyle w:val="BodyText"/>
        <w:numPr>
          <w:ilvl w:val="0"/>
          <w:numId w:val="2"/>
        </w:numPr>
        <w:tabs>
          <w:tab w:val="clear" w:pos="709"/>
          <w:tab w:val="left" w:pos="709" w:leader="none"/>
        </w:tabs>
        <w:bidi w:val="0"/>
        <w:ind w:hanging="283" w:start="709"/>
        <w:jc w:val="start"/>
        <w:rPr/>
      </w:pPr>
      <w:r>
        <w:rPr>
          <w:rStyle w:val="Strong"/>
        </w:rPr>
        <w:t>Show Cause Summons (§713.21(4)):</w:t>
      </w:r>
      <w:r>
        <w:rPr/>
        <w:t xml:space="preserve"> Separately, an owner can file a motion in circuit court to </w:t>
      </w:r>
      <w:r>
        <w:rPr>
          <w:rStyle w:val="Strong"/>
        </w:rPr>
        <w:t>show cause</w:t>
      </w:r>
      <w:r>
        <w:rPr/>
        <w:t xml:space="preserve"> why a lien should not be enforced or extinguished. If the court issues a show-cause summons, the lienor must initiate foreclosure within 20 days (or another time set by the court) or the lien may be discharged. Florida courts treat these accelerated time frames with the same rigor – failure to timely respond by filing suit will result in the lien’s discharge </w:t>
      </w:r>
      <w:r>
        <w:rPr>
          <w:rStyle w:val="Emphasis"/>
        </w:rPr>
        <w:t>via</w:t>
      </w:r>
      <w:r>
        <w:rPr/>
        <w:t xml:space="preserve"> court order. For instance, in </w:t>
      </w:r>
      <w:r>
        <w:rPr>
          <w:rStyle w:val="Emphasis"/>
        </w:rPr>
        <w:t>Nachon Enterprises, Inc. v. Alexdex Corp.</w:t>
      </w:r>
      <w:r>
        <w:rPr/>
        <w:t xml:space="preserve"> (Fla. 3d DCA 1993), an owner filed a show-cause action even though the lienor had already filed a foreclosure in the proper court. The appellate court emphasized that because the lienor </w:t>
      </w:r>
      <w:r>
        <w:rPr>
          <w:rStyle w:val="Strong"/>
        </w:rPr>
        <w:t>had</w:t>
      </w:r>
      <w:r>
        <w:rPr/>
        <w:t xml:space="preserve"> in fact timely filed its action (albeit in county court, which was deemed a competent forum after a 1990 jurisdictional change), the lien could not be discharged under the show-cause procedure</w:t>
      </w:r>
      <w:hyperlink r:id="rId25" w:anchor=":~:text=to%20be%20strictly%20construed%2C%20as,01%284%29%20which%20specifically%20states%20that" w:tgtFrame="_blank">
        <w:r>
          <w:rPr>
            <w:rStyle w:val="Hyperlink"/>
          </w:rPr>
          <w:t>casemine.com</w:t>
        </w:r>
      </w:hyperlink>
      <w:hyperlink r:id="rId26" w:anchor=":~:text=restricted%20by%20the%20State%20Constitution,or%20the%20laws%20of%20Florida" w:tgtFrame="_blank">
        <w:r>
          <w:rPr>
            <w:rStyle w:val="Hyperlink"/>
          </w:rPr>
          <w:t>casemine.com</w:t>
        </w:r>
      </w:hyperlink>
      <w:r>
        <w:rPr/>
        <w:t xml:space="preserve">. This illustrates that as long as the lienor </w:t>
      </w:r>
      <w:r>
        <w:rPr>
          <w:rStyle w:val="Emphasis"/>
        </w:rPr>
        <w:t>complies</w:t>
      </w:r>
      <w:r>
        <w:rPr/>
        <w:t xml:space="preserve"> with the shortened period (or has already sued), the lien remains safe; but had the lienor not done so, discharge would have been proper.</w:t>
      </w:r>
    </w:p>
    <w:p>
      <w:pPr>
        <w:pStyle w:val="BodyText"/>
        <w:numPr>
          <w:ilvl w:val="0"/>
          <w:numId w:val="2"/>
        </w:numPr>
        <w:tabs>
          <w:tab w:val="clear" w:pos="709"/>
          <w:tab w:val="left" w:pos="709" w:leader="none"/>
        </w:tabs>
        <w:bidi w:val="0"/>
        <w:ind w:hanging="283" w:start="709"/>
        <w:jc w:val="start"/>
        <w:rPr/>
      </w:pPr>
      <w:r>
        <w:rPr>
          <w:rStyle w:val="Strong"/>
        </w:rPr>
        <w:t>Final Contractor’s Affidavit Timing:</w:t>
      </w:r>
      <w:r>
        <w:rPr/>
        <w:t xml:space="preserve"> When the lienor is a contractor in direct privity with the owner, §713.06(3)(d) requires a </w:t>
      </w:r>
      <w:r>
        <w:rPr>
          <w:rStyle w:val="Strong"/>
        </w:rPr>
        <w:t>Contractor’s Final Payment Affidavit</w:t>
      </w:r>
      <w:r>
        <w:rPr/>
        <w:t xml:space="preserve"> be given to the owner at least 5 days before filing suit. Courts generally allow the affidavit to be given late (even after suit) so long as it’s before final judgment. However, if an owner’s contest or show-cause procedure shortens the enforcement period, even this prerequisite must be accomplished within that truncated window. In </w:t>
      </w:r>
      <w:r>
        <w:rPr>
          <w:rStyle w:val="Emphasis"/>
        </w:rPr>
        <w:t>Pierson D. Constr., Inc. v. Yudell</w:t>
      </w:r>
      <w:r>
        <w:rPr/>
        <w:t xml:space="preserve">, the contractor filed the foreclosure complaint within a 60-day contest period but did not serve the final affidavit until after 60 days had run. The Fourth DCA held this was too late – although case law might excuse filing the affidavit </w:t>
      </w:r>
      <w:r>
        <w:rPr>
          <w:rStyle w:val="Strong"/>
        </w:rPr>
        <w:t>contemporaneously</w:t>
      </w:r>
      <w:r>
        <w:rPr/>
        <w:t xml:space="preserve"> with a timely suit, here the affidavit still needed to be delivered </w:t>
      </w:r>
      <w:r>
        <w:rPr>
          <w:rStyle w:val="Emphasis"/>
        </w:rPr>
        <w:t>before the 60-day deadline expired</w:t>
      </w:r>
      <w:r>
        <w:rPr/>
        <w:t>. Filing it afterward could not revive the lienor’s rights</w:t>
      </w:r>
      <w:hyperlink r:id="rId27" w:anchor=":~:text=On%20December%205%2C%202000%2C%20the,court%20later%20dismissed%20the%20case" w:tgtFrame="_blank">
        <w:r>
          <w:rPr>
            <w:rStyle w:val="Hyperlink"/>
          </w:rPr>
          <w:t>caselaw.findlaw.com</w:t>
        </w:r>
      </w:hyperlink>
      <w:hyperlink r:id="rId28" w:anchor=":~:text=Pierson%20contends%20that%20its%20suit,2000%20filing%20of%20the%20lawsuit" w:tgtFrame="_blank">
        <w:r>
          <w:rPr>
            <w:rStyle w:val="Hyperlink"/>
          </w:rPr>
          <w:t>caselaw.findlaw.com</w:t>
        </w:r>
      </w:hyperlink>
      <w:r>
        <w:rPr/>
        <w:t xml:space="preserve">. This confirms that </w:t>
      </w:r>
      <w:r>
        <w:rPr>
          <w:rStyle w:val="Strong"/>
        </w:rPr>
        <w:t>all</w:t>
      </w:r>
      <w:r>
        <w:rPr/>
        <w:t xml:space="preserve"> statutory preconditions must be met within the applicable enforcement period.</w:t>
      </w:r>
    </w:p>
    <w:p>
      <w:pPr>
        <w:pStyle w:val="Heading3"/>
        <w:bidi w:val="0"/>
        <w:jc w:val="start"/>
        <w:rPr/>
      </w:pPr>
      <w:r>
        <w:rPr/>
        <w:t>The Lis Pendens (“Notice of Commencement of Lien Action”) and Third-Party Interests</w:t>
      </w:r>
    </w:p>
    <w:p>
      <w:pPr>
        <w:pStyle w:val="BodyText"/>
        <w:bidi w:val="0"/>
        <w:jc w:val="start"/>
        <w:rPr/>
      </w:pPr>
      <w:r>
        <w:rPr/>
        <w:t xml:space="preserve">Recording a </w:t>
      </w:r>
      <w:r>
        <w:rPr>
          <w:rStyle w:val="Strong"/>
        </w:rPr>
        <w:t>lis pendens</w:t>
      </w:r>
      <w:r>
        <w:rPr/>
        <w:t xml:space="preserve"> in conjunction with a lien foreclosure action is critical to preserve the lien’s effect against third parties. The lis pendens serves as the public “Notice of Commencement of Lien Action” contemplated by §713.22(1). Florida decisions highlight that failing to record this notice (or recording it too late) can be fatal when new interests arise:</w:t>
      </w:r>
    </w:p>
    <w:p>
      <w:pPr>
        <w:pStyle w:val="BodyText"/>
        <w:numPr>
          <w:ilvl w:val="0"/>
          <w:numId w:val="3"/>
        </w:numPr>
        <w:tabs>
          <w:tab w:val="clear" w:pos="709"/>
          <w:tab w:val="left" w:pos="709" w:leader="none"/>
        </w:tabs>
        <w:bidi w:val="0"/>
        <w:ind w:hanging="283" w:start="709"/>
        <w:jc w:val="start"/>
        <w:rPr/>
      </w:pPr>
      <w:r>
        <w:rPr>
          <w:rStyle w:val="Strong"/>
        </w:rPr>
        <w:t>Decks N Such Marine, Inc. v. Daake (Fla. 1st DCA 2020):</w:t>
      </w:r>
      <w:r>
        <w:rPr/>
        <w:t xml:space="preserve"> A contractor filed a lien foreclosure lawsuit in 2006 but </w:t>
      </w:r>
      <w:r>
        <w:rPr>
          <w:rStyle w:val="Strong"/>
        </w:rPr>
        <w:t>waited seven years</w:t>
      </w:r>
      <w:r>
        <w:rPr/>
        <w:t xml:space="preserve"> (until 2013) to record a lis pendens in the public records</w:t>
      </w:r>
      <w:hyperlink r:id="rId29" w:anchor=":~:text=A%20recent%20case%2C%20Decks%20N,22" w:tgtFrame="_blank">
        <w:r>
          <w:rPr>
            <w:rStyle w:val="Hyperlink"/>
          </w:rPr>
          <w:t>floridaconstructionlegalupdates.com</w:t>
        </w:r>
      </w:hyperlink>
      <w:r>
        <w:rPr/>
        <w:t xml:space="preserve">. In the interim, the property owner executed a mortgage (recorded </w:t>
      </w:r>
      <w:r>
        <w:rPr>
          <w:rStyle w:val="Emphasis"/>
        </w:rPr>
        <w:t>before</w:t>
      </w:r>
      <w:r>
        <w:rPr/>
        <w:t xml:space="preserve"> the lis pendens). When the contractor later tried to foreclose that mortgage as a “junior lienholder,” the mortgagee moved for summary judgment, invoking §713.22(1)’s proviso that a continued lien “is not enforceable against creditors or subsequent purchasers…without notice, unless a notice of lis pendens is recorded”</w:t>
      </w:r>
      <w:hyperlink r:id="rId30" w:anchor=":~:text=Second%2C%20you%20want%20to%20record,%E2%80%9D" w:tgtFrame="_blank">
        <w:r>
          <w:rPr>
            <w:rStyle w:val="Hyperlink"/>
          </w:rPr>
          <w:t>floridaconstructionlegalupdates.com</w:t>
        </w:r>
      </w:hyperlink>
      <w:hyperlink r:id="rId31" w:anchor=":~:text=construction%20lien%20foreclosure%20action%20in,a%20lienholder%20that%20could%20be" w:tgtFrame="_blank">
        <w:r>
          <w:rPr>
            <w:rStyle w:val="Hyperlink"/>
          </w:rPr>
          <w:t>floridaconstructionlegalupdates.com</w:t>
        </w:r>
      </w:hyperlink>
      <w:r>
        <w:rPr/>
        <w:t>. The First DCA agreed with the mortgagee: because the lis pendens was recorded after the mortgage, the mechanic’s lien could not trump or extinguish the mortgagee’s interest</w:t>
      </w:r>
      <w:hyperlink r:id="rId32" w:anchor=":~:text=construction%20lien%20foreclosure%20action%20in,a%20lienholder%20that%20could%20be" w:tgtFrame="_blank">
        <w:r>
          <w:rPr>
            <w:rStyle w:val="Hyperlink"/>
          </w:rPr>
          <w:t>floridaconstructionlegalupdates.com</w:t>
        </w:r>
      </w:hyperlink>
      <w:r>
        <w:rPr/>
        <w:t xml:space="preserve">. In essence, the belated lis pendens meant the mortgagee was a </w:t>
      </w:r>
      <w:r>
        <w:rPr>
          <w:rStyle w:val="Strong"/>
        </w:rPr>
        <w:t>protected third party without notice</w:t>
      </w:r>
      <w:r>
        <w:rPr/>
        <w:t xml:space="preserve">, so the lien was ineffective against that mortgage. The contractor’s foreclosure could proceed against the owner’s interest </w:t>
      </w:r>
      <w:r>
        <w:rPr>
          <w:rStyle w:val="Emphasis"/>
        </w:rPr>
        <w:t>subject to</w:t>
      </w:r>
      <w:r>
        <w:rPr/>
        <w:t xml:space="preserve"> the mortgage, but the mortgage could not be foreclosed out. This case starkly illustrates that a lienor who files suit but neglects to promptly record a lis pendens risks losing </w:t>
      </w:r>
      <w:r>
        <w:rPr>
          <w:rStyle w:val="Strong"/>
        </w:rPr>
        <w:t>priority</w:t>
      </w:r>
      <w:r>
        <w:rPr/>
        <w:t xml:space="preserve"> to intervening encumbrancers. (Notably, the mortgagee in </w:t>
      </w:r>
      <w:r>
        <w:rPr>
          <w:rStyle w:val="Emphasis"/>
        </w:rPr>
        <w:t>Decks N Such</w:t>
      </w:r>
      <w:r>
        <w:rPr/>
        <w:t xml:space="preserve"> sought attorneys’ fees as a prevailing party under the Lien Law, but the court held that a junior lienor who merely prevails on priority is not entitled to fees under §713.29</w:t>
      </w:r>
      <w:hyperlink r:id="rId33" w:anchor=":~:text=is%20recorded,mortgagee%20prevailed%20on%20this%20issue" w:tgtFrame="_blank">
        <w:r>
          <w:rPr>
            <w:rStyle w:val="Hyperlink"/>
          </w:rPr>
          <w:t>floridaconstructionlegalupdates.com</w:t>
        </w:r>
      </w:hyperlink>
      <w:r>
        <w:rPr/>
        <w:t>.)</w:t>
      </w:r>
    </w:p>
    <w:p>
      <w:pPr>
        <w:pStyle w:val="BodyText"/>
        <w:numPr>
          <w:ilvl w:val="0"/>
          <w:numId w:val="3"/>
        </w:numPr>
        <w:tabs>
          <w:tab w:val="clear" w:pos="709"/>
          <w:tab w:val="left" w:pos="709" w:leader="none"/>
        </w:tabs>
        <w:bidi w:val="0"/>
        <w:ind w:hanging="283" w:start="709"/>
        <w:jc w:val="start"/>
        <w:rPr/>
      </w:pPr>
      <w:r>
        <w:rPr>
          <w:rStyle w:val="Strong"/>
        </w:rPr>
        <w:t>Judicial View:</w:t>
      </w:r>
      <w:r>
        <w:rPr/>
        <w:t xml:space="preserve"> The courts treat the lis pendens requirement as integral to lien priority. A timely foreclosure action </w:t>
      </w:r>
      <w:r>
        <w:rPr>
          <w:rStyle w:val="Emphasis"/>
        </w:rPr>
        <w:t>without</w:t>
      </w:r>
      <w:r>
        <w:rPr/>
        <w:t xml:space="preserve"> a lis pendens still preserves the lien between the original parties (avoiding automatic expiration), but it offers no protection against third-party transferees who lack actual notice. Practically, if a bona fide purchaser or new lender records an interest after the one-year period has run (and no lis pendens of record), they take free of the lien</w:t>
      </w:r>
      <w:hyperlink r:id="rId34" w:anchor=":~:text=,of%20lis%20pendens%20is%20recorded" w:tgtFrame="_blank">
        <w:r>
          <w:rPr>
            <w:rStyle w:val="Hyperlink"/>
          </w:rPr>
          <w:t>flsenate.gov</w:t>
        </w:r>
      </w:hyperlink>
      <w:r>
        <w:rPr/>
        <w:t xml:space="preserve">. The lesson from </w:t>
      </w:r>
      <w:r>
        <w:rPr>
          <w:rStyle w:val="Emphasis"/>
        </w:rPr>
        <w:t>Decks N Such</w:t>
      </w:r>
      <w:r>
        <w:rPr/>
        <w:t xml:space="preserve"> and similar rulings is clear – </w:t>
      </w:r>
      <w:r>
        <w:rPr>
          <w:rStyle w:val="Strong"/>
        </w:rPr>
        <w:t>record the lis pendens at the outset</w:t>
      </w:r>
      <w:r>
        <w:rPr/>
        <w:t xml:space="preserve"> of the lawsuit. Ideally, the lis pendens should be recorded simultaneously with (or immediately after) the complaint, ensuring that anyone searching title will discover the pending lien action. Waiting even a short time can allow an intervening deed or mortgage to gain priority, nullifying the lien as to that interest.</w:t>
      </w:r>
    </w:p>
    <w:p>
      <w:pPr>
        <w:pStyle w:val="BodyText"/>
        <w:numPr>
          <w:ilvl w:val="0"/>
          <w:numId w:val="3"/>
        </w:numPr>
        <w:tabs>
          <w:tab w:val="clear" w:pos="709"/>
          <w:tab w:val="left" w:pos="709" w:leader="none"/>
        </w:tabs>
        <w:bidi w:val="0"/>
        <w:ind w:hanging="283" w:start="709"/>
        <w:jc w:val="start"/>
        <w:rPr/>
      </w:pPr>
      <w:r>
        <w:rPr>
          <w:rStyle w:val="Strong"/>
        </w:rPr>
        <w:t>Content and Accuracy:</w:t>
      </w:r>
      <w:r>
        <w:rPr/>
        <w:t xml:space="preserve"> Although not a reported case, it bears noting that any </w:t>
      </w:r>
      <w:r>
        <w:rPr>
          <w:rStyle w:val="Strong"/>
        </w:rPr>
        <w:t>errors in the recorded lis pendens</w:t>
      </w:r>
      <w:r>
        <w:rPr/>
        <w:t xml:space="preserve"> (e.g. incorrect property description or case reference) could similarly undermine notice. The lis pendens must correctly identify the property and the action. An improperly indexed or defectively described notice might fail to impart constructive notice, leaving a subsequent purchaser “without notice” and thus outside the lien’s reach. Lienors should double-check that the lis pendens (the “Notice of Commencement of Lien Action”) is recorded in the correct county, refers to the proper parties/case, and matches the property’s legal description exactly.</w:t>
      </w:r>
    </w:p>
    <w:p>
      <w:pPr>
        <w:pStyle w:val="Heading3"/>
        <w:bidi w:val="0"/>
        <w:jc w:val="start"/>
        <w:rPr/>
      </w:pPr>
      <w:r>
        <w:rPr/>
        <w:t>Statutory Compliance and Lien Validity</w:t>
      </w:r>
    </w:p>
    <w:p>
      <w:pPr>
        <w:pStyle w:val="BodyText"/>
        <w:bidi w:val="0"/>
        <w:jc w:val="start"/>
        <w:rPr/>
      </w:pPr>
      <w:r>
        <w:rPr/>
        <w:t xml:space="preserve">Florida lien law is highly technical, and courts require </w:t>
      </w:r>
      <w:r>
        <w:rPr>
          <w:rStyle w:val="Strong"/>
        </w:rPr>
        <w:t>meticulous compliance</w:t>
      </w:r>
      <w:r>
        <w:rPr/>
        <w:t xml:space="preserve"> with statutory mandates to perfect and enforce a lien. Some additional recurring compliance issues shown in the case law include:</w:t>
      </w:r>
    </w:p>
    <w:p>
      <w:pPr>
        <w:pStyle w:val="BodyText"/>
        <w:numPr>
          <w:ilvl w:val="0"/>
          <w:numId w:val="4"/>
        </w:numPr>
        <w:tabs>
          <w:tab w:val="clear" w:pos="709"/>
          <w:tab w:val="left" w:pos="709" w:leader="none"/>
        </w:tabs>
        <w:bidi w:val="0"/>
        <w:ind w:hanging="283" w:start="709"/>
        <w:jc w:val="start"/>
        <w:rPr/>
      </w:pPr>
      <w:r>
        <w:rPr>
          <w:rStyle w:val="Strong"/>
        </w:rPr>
        <w:t>Proper Content of the Claim of Lien:</w:t>
      </w:r>
      <w:r>
        <w:rPr/>
        <w:t xml:space="preserve"> Section 713.08 specifies the required content for a claim of lien (e.g. names of owner and lienor, description of the work, property description, dates of work, service of Notices to Owner if applicable, etc.) and even provides a recommended form</w:t>
      </w:r>
      <w:hyperlink r:id="rId35" w:anchor=":~:text=WARNING%21" w:tgtFrame="_blank">
        <w:r>
          <w:rPr>
            <w:rStyle w:val="Hyperlink"/>
          </w:rPr>
          <w:t>codes.findlaw.com</w:t>
        </w:r>
      </w:hyperlink>
      <w:hyperlink r:id="rId36" w:anchor=":~:text=CLAIM%20OF%20LIEN" w:tgtFrame="_blank">
        <w:r>
          <w:rPr>
            <w:rStyle w:val="Hyperlink"/>
          </w:rPr>
          <w:t>codes.findlaw.com</w:t>
        </w:r>
      </w:hyperlink>
      <w:r>
        <w:rPr/>
        <w:t>. It also requires a boldface warning to owners about the one-year enforcement period and their right to accelerate it</w:t>
      </w:r>
      <w:hyperlink r:id="rId37" w:anchor=":~:text=THIS%20LEGAL%20DOCUMENT%20REFLECTS%20THAT,OR%20TO%20DISCHARGE%20THIS%20LIEN" w:tgtFrame="_blank">
        <w:r>
          <w:rPr>
            <w:rStyle w:val="Hyperlink"/>
          </w:rPr>
          <w:t>codes.findlaw.com</w:t>
        </w:r>
      </w:hyperlink>
      <w:r>
        <w:rPr/>
        <w:t>. While minor errors or omissions that do not prejudice anyone may be excused by a court</w:t>
      </w:r>
      <w:hyperlink r:id="rId38" w:anchor=":~:text=However%2C%20the%20negligent%20inclusion%20or,defeat%20an%20otherwise%20valid%20lien" w:tgtFrame="_blank">
        <w:r>
          <w:rPr>
            <w:rStyle w:val="Hyperlink"/>
          </w:rPr>
          <w:t>codes.findlaw.com</w:t>
        </w:r>
      </w:hyperlink>
      <w:r>
        <w:rPr/>
        <w:t>, significant mistakes can invalidate the lien. For instance, a materially incorrect property description or failure to verify the lien could render it unenforceable. Likewise, omitting the required warning language about expiration might be deemed a prejudicial omission. In practice, lienors have lost lien rights due to filing liens with the wrong legal description or other fatal errors (though each case is fact-specific).</w:t>
      </w:r>
    </w:p>
    <w:p>
      <w:pPr>
        <w:pStyle w:val="BodyText"/>
        <w:numPr>
          <w:ilvl w:val="0"/>
          <w:numId w:val="4"/>
        </w:numPr>
        <w:tabs>
          <w:tab w:val="clear" w:pos="709"/>
          <w:tab w:val="left" w:pos="709" w:leader="none"/>
        </w:tabs>
        <w:bidi w:val="0"/>
        <w:ind w:hanging="283" w:start="709"/>
        <w:jc w:val="start"/>
        <w:rPr/>
      </w:pPr>
      <w:r>
        <w:rPr>
          <w:rStyle w:val="Strong"/>
        </w:rPr>
        <w:t>Service of the Claim of Lien:</w:t>
      </w:r>
      <w:r>
        <w:rPr/>
        <w:t xml:space="preserve"> The lienor must serve a copy of the claim of lien on the owner within 15 days of recording (§713.08(4)(c)). Failure to serve in time makes the lien “voidable to the extent the delay is shown to be prejudicial”</w:t>
      </w:r>
      <w:hyperlink r:id="rId39" w:anchor=":~:text=provided%20for%20recording%20the%20original,claim%20of%20lien" w:tgtFrame="_blank">
        <w:r>
          <w:rPr>
            <w:rStyle w:val="Hyperlink"/>
          </w:rPr>
          <w:t>codes.findlaw.com</w:t>
        </w:r>
      </w:hyperlink>
      <w:r>
        <w:rPr/>
        <w:t>. A common mistake is neglecting this step or being unable to prove timely service, which an owner can exploit to challenge the lien’s validity.</w:t>
      </w:r>
    </w:p>
    <w:p>
      <w:pPr>
        <w:pStyle w:val="BodyText"/>
        <w:numPr>
          <w:ilvl w:val="0"/>
          <w:numId w:val="4"/>
        </w:numPr>
        <w:tabs>
          <w:tab w:val="clear" w:pos="709"/>
          <w:tab w:val="left" w:pos="709" w:leader="none"/>
        </w:tabs>
        <w:bidi w:val="0"/>
        <w:ind w:hanging="283" w:start="709"/>
        <w:jc w:val="start"/>
        <w:rPr/>
      </w:pPr>
      <w:r>
        <w:rPr>
          <w:rStyle w:val="Strong"/>
        </w:rPr>
        <w:t>Filing in a Court of Competent Jurisdiction:</w:t>
      </w:r>
      <w:r>
        <w:rPr/>
        <w:t xml:space="preserve"> Prior to 1990, only circuit courts could hear equity cases like lien foreclosures, which occasionally led to confusion about where to file suit if the lien amount was small. Statutory changes now allow </w:t>
      </w:r>
      <w:r>
        <w:rPr>
          <w:rStyle w:val="Strong"/>
        </w:rPr>
        <w:t>county courts</w:t>
      </w:r>
      <w:r>
        <w:rPr/>
        <w:t xml:space="preserve"> to hear lien foreclosures within their monetary limit</w:t>
      </w:r>
      <w:hyperlink r:id="rId40" w:anchor=":~:text=Section%20713,01%284%29%20which%20specifically%20states%20that" w:tgtFrame="_blank">
        <w:r>
          <w:rPr>
            <w:rStyle w:val="Hyperlink"/>
          </w:rPr>
          <w:t>casemine.com</w:t>
        </w:r>
      </w:hyperlink>
      <w:hyperlink r:id="rId41" w:anchor=":~:text=Pursuant%20to%20this%20Section%2C%20a,2d" w:tgtFrame="_blank">
        <w:r>
          <w:rPr>
            <w:rStyle w:val="Hyperlink"/>
          </w:rPr>
          <w:t>casemine.com</w:t>
        </w:r>
      </w:hyperlink>
      <w:r>
        <w:rPr/>
        <w:t xml:space="preserve">. In </w:t>
      </w:r>
      <w:r>
        <w:rPr>
          <w:rStyle w:val="Emphasis"/>
        </w:rPr>
        <w:t>Nachon Enterprises v. Alexdex Corp.</w:t>
      </w:r>
      <w:r>
        <w:rPr/>
        <w:t>, a lienor correctly filed a &lt;$5,000 lien foreclosure in county court; the owner’s attempt to discharge the lien for filing in the “wrong” court failed, as the county court was indeed competent under the revised law</w:t>
      </w:r>
      <w:hyperlink r:id="rId42" w:anchor=":~:text=the%20lien%20is%20commenced%20in,01%284%29%20which%20specifically%20states%20that" w:tgtFrame="_blank">
        <w:r>
          <w:rPr>
            <w:rStyle w:val="Hyperlink"/>
          </w:rPr>
          <w:t>casemine.com</w:t>
        </w:r>
      </w:hyperlink>
      <w:hyperlink r:id="rId43" w:anchor=":~:text=Court,2d%20314" w:tgtFrame="_blank">
        <w:r>
          <w:rPr>
            <w:rStyle w:val="Hyperlink"/>
          </w:rPr>
          <w:t>casemine.com</w:t>
        </w:r>
      </w:hyperlink>
      <w:r>
        <w:rPr/>
        <w:t>. The take-away is to ensure the lawsuit is filed in an appropriate court (county or circuit, depending on amount) so that it validly “commences an action… in a court of competent jurisdiction” as §713.22(1) requires</w:t>
      </w:r>
      <w:hyperlink r:id="rId44" w:anchor=":~:text=to%20be%20strictly%20construed%2C%20as,01%284%29%20which%20specifically%20states%20that" w:tgtFrame="_blank">
        <w:r>
          <w:rPr>
            <w:rStyle w:val="Hyperlink"/>
          </w:rPr>
          <w:t>casemine.com</w:t>
        </w:r>
      </w:hyperlink>
      <w:hyperlink r:id="rId45" w:anchor=":~:text=restricted%20by%20the%20State%20Constitution,or%20the%20laws%20of%20Florida" w:tgtFrame="_blank">
        <w:r>
          <w:rPr>
            <w:rStyle w:val="Hyperlink"/>
          </w:rPr>
          <w:t>casemine.com</w:t>
        </w:r>
      </w:hyperlink>
      <w:r>
        <w:rPr/>
        <w:t>. An action filed in a court lacking jurisdiction would not count and thus wouldn’t extend the lien.</w:t>
      </w:r>
    </w:p>
    <w:p>
      <w:pPr>
        <w:pStyle w:val="BodyText"/>
        <w:numPr>
          <w:ilvl w:val="0"/>
          <w:numId w:val="4"/>
        </w:numPr>
        <w:tabs>
          <w:tab w:val="clear" w:pos="709"/>
          <w:tab w:val="left" w:pos="709" w:leader="none"/>
        </w:tabs>
        <w:bidi w:val="0"/>
        <w:ind w:hanging="283" w:start="709"/>
        <w:jc w:val="start"/>
        <w:rPr/>
      </w:pPr>
      <w:r>
        <w:rPr>
          <w:rStyle w:val="Strong"/>
        </w:rPr>
        <w:t>Timing Nuances – Amendments and Parties:</w:t>
      </w:r>
      <w:r>
        <w:rPr/>
        <w:t xml:space="preserve"> As seen in </w:t>
      </w:r>
      <w:r>
        <w:rPr>
          <w:rStyle w:val="Emphasis"/>
        </w:rPr>
        <w:t>Foy v. Mangum</w:t>
      </w:r>
      <w:r>
        <w:rPr/>
        <w:t xml:space="preserve">, an </w:t>
      </w:r>
      <w:r>
        <w:rPr>
          <w:rStyle w:val="Strong"/>
        </w:rPr>
        <w:t>amended lien</w:t>
      </w:r>
      <w:r>
        <w:rPr/>
        <w:t xml:space="preserve"> (even if allowed or required in some circumstances) does not reset the clock for enforcement</w:t>
      </w:r>
      <w:hyperlink r:id="rId46" w:anchor=":~:text=the%20Mangums%20on%20the%20ground,We%20affirm" w:tgtFrame="_blank">
        <w:r>
          <w:rPr>
            <w:rStyle w:val="Hyperlink"/>
          </w:rPr>
          <w:t>case-law.vlex.com</w:t>
        </w:r>
      </w:hyperlink>
      <w:hyperlink r:id="rId47" w:anchor=":~:text=The%20issue%20in%20this%20case%2C,filing%20in%20which" w:tgtFrame="_blank">
        <w:r>
          <w:rPr>
            <w:rStyle w:val="Hyperlink"/>
          </w:rPr>
          <w:t>case-law.vlex.com</w:t>
        </w:r>
      </w:hyperlink>
      <w:r>
        <w:rPr/>
        <w:t>. Similarly, adding new defendants or new claims after the one-year period can be problematic. Florida courts have held that if a necessary party (e.g. the property owner or a required interested party) is not joined within the statutory time, you generally cannot add them later once the time has run</w:t>
      </w:r>
      <w:hyperlink r:id="rId48" w:anchor=":~:text=,May%203%2C%201977" w:tgtFrame="_blank">
        <w:r>
          <w:rPr>
            <w:rStyle w:val="Hyperlink"/>
          </w:rPr>
          <w:t>case-law.vlex.com</w:t>
        </w:r>
      </w:hyperlink>
      <w:r>
        <w:rPr/>
        <w:t>. All essential aspects of the foreclosure action should be in place within the limitation period.</w:t>
      </w:r>
    </w:p>
    <w:p>
      <w:pPr>
        <w:pStyle w:val="BodyText"/>
        <w:bidi w:val="0"/>
        <w:jc w:val="start"/>
        <w:rPr/>
      </w:pPr>
      <w:r>
        <w:rPr>
          <w:rStyle w:val="Strong"/>
        </w:rPr>
        <w:t>Judicial Trend:</w:t>
      </w:r>
      <w:r>
        <w:rPr/>
        <w:t xml:space="preserve"> Across decades of case law, Florida courts have emphasized </w:t>
      </w:r>
      <w:r>
        <w:rPr>
          <w:rStyle w:val="Emphasis"/>
        </w:rPr>
        <w:t>speedy and certain resolution</w:t>
      </w:r>
      <w:r>
        <w:rPr/>
        <w:t xml:space="preserve"> of lien claims</w:t>
      </w:r>
      <w:hyperlink r:id="rId49" w:anchor=":~:text=,24%284%29%20is%20the%20sp" w:tgtFrame="_blank">
        <w:r>
          <w:rPr>
            <w:rStyle w:val="Hyperlink"/>
          </w:rPr>
          <w:t>case-law.vlex.com</w:t>
        </w:r>
      </w:hyperlink>
      <w:r>
        <w:rPr/>
        <w:t>. The mechanic’s lien statute is an “abrogation of the common law” and thus strictly applied</w:t>
      </w:r>
      <w:hyperlink r:id="rId50" w:anchor=":~:text=Florida%27s%20lien%20laws%2C%20Chapter%20713%2C,Effective%20October" w:tgtFrame="_blank">
        <w:r>
          <w:rPr>
            <w:rStyle w:val="Hyperlink"/>
          </w:rPr>
          <w:t>casemine.com</w:t>
        </w:r>
      </w:hyperlink>
      <w:r>
        <w:rPr/>
        <w:t>. Courts show little leniency to lienors who miss deadlines or overlook statutory steps, even if the result appears harsh. The rationale is to balance the equities: while the lien law protects those who improve property, it also seeks to provide clear end-dates and notice to owners and third parties so that land titles are not clouded indefinitely</w:t>
      </w:r>
      <w:hyperlink r:id="rId51" w:anchor=":~:text=,24%284%29%20is%20the%20sp" w:tgtFrame="_blank">
        <w:r>
          <w:rPr>
            <w:rStyle w:val="Hyperlink"/>
          </w:rPr>
          <w:t>case-law.vlex.com</w:t>
        </w:r>
      </w:hyperlink>
      <w:r>
        <w:rPr/>
        <w:t xml:space="preserve">. In short, </w:t>
      </w:r>
      <w:r>
        <w:rPr>
          <w:rStyle w:val="Emphasis"/>
        </w:rPr>
        <w:t>strict compliance</w:t>
      </w:r>
      <w:r>
        <w:rPr/>
        <w:t xml:space="preserve"> is the watchword: “Strict compliance is an indispensable prerequisite for one seeking affirmative relief” under the lien law</w:t>
      </w:r>
      <w:hyperlink r:id="rId52" w:anchor=":~:text=filing%20had%20no%20such%20effect,Palmer%20at%20510" w:tgtFrame="_blank">
        <w:r>
          <w:rPr>
            <w:rStyle w:val="Hyperlink"/>
          </w:rPr>
          <w:t>case-law.vlex.com</w:t>
        </w:r>
      </w:hyperlink>
      <w:r>
        <w:rPr/>
        <w:t>.</w:t>
      </w:r>
    </w:p>
    <w:p>
      <w:pPr>
        <w:pStyle w:val="Heading2"/>
        <w:bidi w:val="0"/>
        <w:jc w:val="start"/>
        <w:rPr/>
      </w:pPr>
      <w:r>
        <w:rPr/>
        <w:t>Common Lienor Pitfalls and Compliance Errors</w:t>
      </w:r>
    </w:p>
    <w:p>
      <w:pPr>
        <w:pStyle w:val="BodyText"/>
        <w:bidi w:val="0"/>
        <w:jc w:val="start"/>
        <w:rPr/>
      </w:pPr>
      <w:r>
        <w:rPr/>
        <w:t xml:space="preserve">Through these cases, several </w:t>
      </w:r>
      <w:r>
        <w:rPr>
          <w:rStyle w:val="Strong"/>
        </w:rPr>
        <w:t>recurring errors</w:t>
      </w:r>
      <w:r>
        <w:rPr/>
        <w:t xml:space="preserve"> by lien claimants emerge:</w:t>
      </w:r>
    </w:p>
    <w:p>
      <w:pPr>
        <w:pStyle w:val="BodyText"/>
        <w:numPr>
          <w:ilvl w:val="0"/>
          <w:numId w:val="5"/>
        </w:numPr>
        <w:tabs>
          <w:tab w:val="clear" w:pos="709"/>
          <w:tab w:val="left" w:pos="709" w:leader="none"/>
        </w:tabs>
        <w:bidi w:val="0"/>
        <w:ind w:hanging="283" w:start="709"/>
        <w:jc w:val="start"/>
        <w:rPr/>
      </w:pPr>
      <w:r>
        <w:rPr>
          <w:rStyle w:val="Strong"/>
        </w:rPr>
        <w:t>Missing the Enforcement Deadline:</w:t>
      </w:r>
      <w:r>
        <w:rPr/>
        <w:t xml:space="preserve"> Failing to file the foreclosure lawsuit within one year (or the shortened 60-day period if a contest was filed) is the most egregious and unfortunately common mistake. Once the statutory period lapses, the lien is extinguished automatically</w:t>
      </w:r>
      <w:hyperlink r:id="rId53" w:anchor=":~:text=None%20of%20the%20appellees%2Flienors%2C%20except,1" w:tgtFrame="_blank">
        <w:r>
          <w:rPr>
            <w:rStyle w:val="Hyperlink"/>
          </w:rPr>
          <w:t>case-law.vlex.com</w:t>
        </w:r>
      </w:hyperlink>
      <w:r>
        <w:rPr/>
        <w:t xml:space="preserve">, and no court action can revive it. Lienors sometimes miscalculate the deadline or delay hoping for payment, only to find their lien rights expired. </w:t>
      </w:r>
      <w:r>
        <w:rPr>
          <w:rStyle w:val="Strong"/>
        </w:rPr>
        <w:t>Example:</w:t>
      </w:r>
      <w:r>
        <w:rPr/>
        <w:t xml:space="preserve"> In </w:t>
      </w:r>
      <w:r>
        <w:rPr>
          <w:rStyle w:val="Emphasis"/>
        </w:rPr>
        <w:t>Scott v. Haufler</w:t>
      </w:r>
      <w:r>
        <w:rPr/>
        <w:t>, multiple subcontractors let the one-year period run and their liens were deemed discharged, costing them any recovery from the foreclosure surplus</w:t>
      </w:r>
      <w:hyperlink r:id="rId54" w:anchor=":~:text=discharged%20upon%20failure%20of%20those,We%20reverse" w:tgtFrame="_blank">
        <w:r>
          <w:rPr>
            <w:rStyle w:val="Hyperlink"/>
          </w:rPr>
          <w:t>case-law.vlex.com</w:t>
        </w:r>
      </w:hyperlink>
      <w:hyperlink r:id="rId55" w:anchor=":~:text=While%20it%20is%20true%20that,2d%2C%20Mechanics%20Liens%2C%20%C2%A7%2055" w:tgtFrame="_blank">
        <w:r>
          <w:rPr>
            <w:rStyle w:val="Hyperlink"/>
          </w:rPr>
          <w:t>case-law.vlex.com</w:t>
        </w:r>
      </w:hyperlink>
      <w:r>
        <w:rPr/>
        <w:t>.</w:t>
      </w:r>
    </w:p>
    <w:p>
      <w:pPr>
        <w:pStyle w:val="BodyText"/>
        <w:numPr>
          <w:ilvl w:val="0"/>
          <w:numId w:val="5"/>
        </w:numPr>
        <w:tabs>
          <w:tab w:val="clear" w:pos="709"/>
          <w:tab w:val="left" w:pos="709" w:leader="none"/>
        </w:tabs>
        <w:bidi w:val="0"/>
        <w:ind w:hanging="283" w:start="709"/>
        <w:jc w:val="start"/>
        <w:rPr/>
      </w:pPr>
      <w:r>
        <w:rPr>
          <w:rStyle w:val="Strong"/>
        </w:rPr>
        <w:t>Failure to Record a Lis Pendens (Notice of Action):</w:t>
      </w:r>
      <w:r>
        <w:rPr/>
        <w:t xml:space="preserve"> As illustrated in </w:t>
      </w:r>
      <w:r>
        <w:rPr>
          <w:rStyle w:val="Emphasis"/>
        </w:rPr>
        <w:t>Decks N Such Marine</w:t>
      </w:r>
      <w:r>
        <w:rPr/>
        <w:t xml:space="preserve">, not recording the </w:t>
      </w:r>
      <w:r>
        <w:rPr>
          <w:rStyle w:val="Strong"/>
        </w:rPr>
        <w:t>Notice of Commencement of Lien Action</w:t>
      </w:r>
      <w:r>
        <w:rPr/>
        <w:t xml:space="preserve"> (lis pendens) contemporaneously with the suit can allow third parties to intervene without notice and claim superior rights</w:t>
      </w:r>
      <w:hyperlink r:id="rId56" w:anchor=":~:text=construction%20lien%20foreclosure%20action%20in,a%20lienholder%20that%20could%20be" w:tgtFrame="_blank">
        <w:r>
          <w:rPr>
            <w:rStyle w:val="Hyperlink"/>
          </w:rPr>
          <w:t>floridaconstructionlegalupdates.com</w:t>
        </w:r>
      </w:hyperlink>
      <w:r>
        <w:rPr/>
        <w:t xml:space="preserve">. Lienors who overlook this step or record the lis pendens late risk their lien becoming unenforceable against subsequent purchasers or lenders. This is a critical error affecting lien </w:t>
      </w:r>
      <w:r>
        <w:rPr>
          <w:rStyle w:val="Strong"/>
        </w:rPr>
        <w:t>priority</w:t>
      </w:r>
      <w:r>
        <w:rPr/>
        <w:t xml:space="preserve"> – a timely lis pendens preserves the lien’s priority date, while a late or missing one can mean the lien will be junior to later-recorded interests (or void against them).</w:t>
      </w:r>
    </w:p>
    <w:p>
      <w:pPr>
        <w:pStyle w:val="BodyText"/>
        <w:numPr>
          <w:ilvl w:val="0"/>
          <w:numId w:val="5"/>
        </w:numPr>
        <w:tabs>
          <w:tab w:val="clear" w:pos="709"/>
          <w:tab w:val="left" w:pos="709" w:leader="none"/>
        </w:tabs>
        <w:bidi w:val="0"/>
        <w:ind w:hanging="283" w:start="709"/>
        <w:jc w:val="start"/>
        <w:rPr/>
      </w:pPr>
      <w:r>
        <w:rPr>
          <w:rStyle w:val="Strong"/>
        </w:rPr>
        <w:t>Incorrect or Omitted Information in the Lien:</w:t>
      </w:r>
      <w:r>
        <w:rPr/>
        <w:t xml:space="preserve"> Mistakes in the </w:t>
      </w:r>
      <w:r>
        <w:rPr>
          <w:rStyle w:val="Strong"/>
        </w:rPr>
        <w:t>Claim of Lien</w:t>
      </w:r>
      <w:r>
        <w:rPr/>
        <w:t xml:space="preserve"> document itself – such as wrong property description, misstating the owner’s name, or failing to include required statutory warnings – can render a lien invalid. While minor typos may be forgiven if no one is misled</w:t>
      </w:r>
      <w:hyperlink r:id="rId57" w:anchor=":~:text=However%2C%20the%20negligent%20inclusion%20or,defeat%20an%20otherwise%20valid%20lien" w:tgtFrame="_blank">
        <w:r>
          <w:rPr>
            <w:rStyle w:val="Hyperlink"/>
          </w:rPr>
          <w:t>codes.findlaw.com</w:t>
        </w:r>
      </w:hyperlink>
      <w:r>
        <w:rPr/>
        <w:t>, a lien with a substantial error (e.g., listing the wrong lot or failing to describe the services and dates) might be deemed insufficient. For instance, a lien that doesn’t adequately identify the property can’t attach to that property. Lienors have also invalidated their liens by not signing or notarizing the claim properly, or by not attesting to the truth of the claim (a requirement since the claim must be sworn). Additionally, Florida requires that the claim of lien warn the owner of the expiration and possible contest – failing to provide this notice could be viewed as a statutory noncompliance that prejudices the owner by keeping them uninformed of their rights. In practice, always use the statutory form or a proven template to avoid content errors.</w:t>
      </w:r>
    </w:p>
    <w:p>
      <w:pPr>
        <w:pStyle w:val="BodyText"/>
        <w:numPr>
          <w:ilvl w:val="0"/>
          <w:numId w:val="5"/>
        </w:numPr>
        <w:tabs>
          <w:tab w:val="clear" w:pos="709"/>
          <w:tab w:val="left" w:pos="709" w:leader="none"/>
        </w:tabs>
        <w:bidi w:val="0"/>
        <w:ind w:hanging="283" w:start="709"/>
        <w:jc w:val="start"/>
        <w:rPr/>
      </w:pPr>
      <w:r>
        <w:rPr>
          <w:rStyle w:val="Strong"/>
        </w:rPr>
        <w:t>Lack of Proper Service or Recording Procedures:</w:t>
      </w:r>
      <w:r>
        <w:rPr/>
        <w:t xml:space="preserve"> Even a correctly drafted lien can fail if not handled properly. Common procedural missteps include:</w:t>
      </w:r>
    </w:p>
    <w:p>
      <w:pPr>
        <w:pStyle w:val="BodyText"/>
        <w:numPr>
          <w:ilvl w:val="1"/>
          <w:numId w:val="5"/>
        </w:numPr>
        <w:tabs>
          <w:tab w:val="clear" w:pos="709"/>
          <w:tab w:val="left" w:pos="1418" w:leader="none"/>
        </w:tabs>
        <w:bidi w:val="0"/>
        <w:ind w:hanging="283" w:start="1418"/>
        <w:jc w:val="start"/>
        <w:rPr/>
      </w:pPr>
      <w:r>
        <w:rPr/>
        <w:t xml:space="preserve">Not </w:t>
      </w:r>
      <w:r>
        <w:rPr>
          <w:rStyle w:val="Strong"/>
        </w:rPr>
        <w:t>serving the claim of lien</w:t>
      </w:r>
      <w:r>
        <w:rPr/>
        <w:t xml:space="preserve"> on the owner (or not being able to prove service) within 15 days, which can make the lien vulnerable to challenge</w:t>
      </w:r>
      <w:hyperlink r:id="rId58" w:anchor=":~:text=provided%20for%20recording%20the%20original,claim%20of%20lien" w:tgtFrame="_blank">
        <w:r>
          <w:rPr>
            <w:rStyle w:val="Hyperlink"/>
          </w:rPr>
          <w:t>codes.findlaw.com</w:t>
        </w:r>
      </w:hyperlink>
      <w:r>
        <w:rPr/>
        <w:t>.</w:t>
      </w:r>
    </w:p>
    <w:p>
      <w:pPr>
        <w:pStyle w:val="BodyText"/>
        <w:numPr>
          <w:ilvl w:val="1"/>
          <w:numId w:val="5"/>
        </w:numPr>
        <w:tabs>
          <w:tab w:val="clear" w:pos="709"/>
          <w:tab w:val="left" w:pos="1418" w:leader="none"/>
        </w:tabs>
        <w:bidi w:val="0"/>
        <w:ind w:hanging="283" w:start="1418"/>
        <w:jc w:val="start"/>
        <w:rPr/>
      </w:pPr>
      <w:r>
        <w:rPr/>
        <w:t>Recording the lien in the wrong county or against an incorrect legal description, so that it doesn’t appear in the chain of title for the affected property.</w:t>
      </w:r>
    </w:p>
    <w:p>
      <w:pPr>
        <w:pStyle w:val="BodyText"/>
        <w:numPr>
          <w:ilvl w:val="1"/>
          <w:numId w:val="5"/>
        </w:numPr>
        <w:tabs>
          <w:tab w:val="clear" w:pos="709"/>
          <w:tab w:val="left" w:pos="1418" w:leader="none"/>
        </w:tabs>
        <w:bidi w:val="0"/>
        <w:ind w:hanging="283" w:start="1418"/>
        <w:jc w:val="start"/>
        <w:rPr/>
      </w:pPr>
      <w:r>
        <w:rPr/>
        <w:t>Failing to record necessary documents like lis pendens, or failing to do required pre-suit notices (such as the Notice to Owner for those not in privity, or a Contractor’s Final Affidavit for those in privity). Each of these is a potential point of failure under Chapter 713.</w:t>
      </w:r>
    </w:p>
    <w:p>
      <w:pPr>
        <w:pStyle w:val="BodyText"/>
        <w:numPr>
          <w:ilvl w:val="0"/>
          <w:numId w:val="5"/>
        </w:numPr>
        <w:tabs>
          <w:tab w:val="clear" w:pos="709"/>
          <w:tab w:val="left" w:pos="709" w:leader="none"/>
        </w:tabs>
        <w:bidi w:val="0"/>
        <w:ind w:hanging="283" w:start="709"/>
        <w:jc w:val="start"/>
        <w:rPr/>
      </w:pPr>
      <w:r>
        <w:rPr>
          <w:rStyle w:val="Strong"/>
        </w:rPr>
        <w:t>Assuming Extensions or Exceptions Apply:</w:t>
      </w:r>
      <w:r>
        <w:rPr/>
        <w:t xml:space="preserve"> Lienors sometimes believe they have more time or leeway than the statute provides – for example, assuming that a partial payment resets the clock (it doesn’t, though a new </w:t>
      </w:r>
      <w:r>
        <w:rPr>
          <w:rStyle w:val="Emphasis"/>
        </w:rPr>
        <w:t>final furnishing date</w:t>
      </w:r>
      <w:r>
        <w:rPr/>
        <w:t xml:space="preserve"> from additional work could extend the lien recording deadline, it does not extend the foreclosure deadline once the lien is recorded). Another false assumption is that an amended claim of lien or a later ancillary filing will “relate back” for purposes of the one-year limit. Florida courts have overwhelmingly rejected such arguments</w:t>
      </w:r>
      <w:hyperlink r:id="rId59" w:anchor=":~:text=to%20commence%20a%20lien%20foreclosure,suit" w:tgtFrame="_blank">
        <w:r>
          <w:rPr>
            <w:rStyle w:val="Hyperlink"/>
          </w:rPr>
          <w:t>case-law.vlex.com</w:t>
        </w:r>
      </w:hyperlink>
      <w:hyperlink r:id="rId60" w:anchor=":~:text=section%20713,23" w:tgtFrame="_blank">
        <w:r>
          <w:rPr>
            <w:rStyle w:val="Hyperlink"/>
          </w:rPr>
          <w:t>caselaw.findlaw.com</w:t>
        </w:r>
      </w:hyperlink>
      <w:r>
        <w:rPr/>
        <w:t xml:space="preserve">. With rare exception (such as a timely filed suit that is then amended to add a bond claim per </w:t>
      </w:r>
      <w:r>
        <w:rPr>
          <w:rStyle w:val="Emphasis"/>
        </w:rPr>
        <w:t>Scarfone v. Marin</w:t>
      </w:r>
      <w:r>
        <w:rPr/>
        <w:t>, 1983, where relation-back was allowed because the action itself was commenced timely</w:t>
      </w:r>
      <w:hyperlink r:id="rId61" w:anchor=":~:text=We%20also%20reject%20Bergeron%27s%20assertion,lien%20to%20a%20surety%20bond" w:tgtFrame="_blank">
        <w:r>
          <w:rPr>
            <w:rStyle w:val="Hyperlink"/>
          </w:rPr>
          <w:t>caselaw.findlaw.com</w:t>
        </w:r>
      </w:hyperlink>
      <w:r>
        <w:rPr/>
        <w:t>), if the key action wasn’t taken within the statutory period, the lien is void.</w:t>
      </w:r>
    </w:p>
    <w:p>
      <w:pPr>
        <w:pStyle w:val="BodyText"/>
        <w:bidi w:val="0"/>
        <w:jc w:val="start"/>
        <w:rPr/>
      </w:pPr>
      <w:r>
        <w:rPr/>
        <w:t xml:space="preserve">In summary, most lienor pitfalls boil down to </w:t>
      </w:r>
      <w:r>
        <w:rPr>
          <w:rStyle w:val="Strong"/>
        </w:rPr>
        <w:t>timing errors</w:t>
      </w:r>
      <w:r>
        <w:rPr/>
        <w:t xml:space="preserve"> and </w:t>
      </w:r>
      <w:r>
        <w:rPr>
          <w:rStyle w:val="Strong"/>
        </w:rPr>
        <w:t>paperwork errors</w:t>
      </w:r>
      <w:r>
        <w:rPr/>
        <w:t xml:space="preserve"> – either missing a deadline or failing to comply with the statute’s formal requirements.</w:t>
      </w:r>
    </w:p>
    <w:p>
      <w:pPr>
        <w:pStyle w:val="Heading2"/>
        <w:bidi w:val="0"/>
        <w:jc w:val="start"/>
        <w:rPr/>
      </w:pPr>
      <w:r>
        <w:rPr/>
        <w:t>Practical Implications for Lienors: Maintaining Enforceability and Priority</w:t>
      </w:r>
    </w:p>
    <w:p>
      <w:pPr>
        <w:pStyle w:val="BodyText"/>
        <w:bidi w:val="0"/>
        <w:jc w:val="start"/>
        <w:rPr/>
      </w:pPr>
      <w:r>
        <w:rPr/>
        <w:t>Given the courts’ strict interpretation of §713.22(1) and related provisions, lienors (contractors, subcontractors, suppliers) should adopt meticulous practices to protect their lien rights:</w:t>
      </w:r>
    </w:p>
    <w:p>
      <w:pPr>
        <w:pStyle w:val="BodyText"/>
        <w:numPr>
          <w:ilvl w:val="0"/>
          <w:numId w:val="6"/>
        </w:numPr>
        <w:tabs>
          <w:tab w:val="clear" w:pos="709"/>
          <w:tab w:val="left" w:pos="709" w:leader="none"/>
        </w:tabs>
        <w:bidi w:val="0"/>
        <w:ind w:hanging="283" w:start="709"/>
        <w:jc w:val="start"/>
        <w:rPr/>
      </w:pPr>
      <w:r>
        <w:rPr>
          <w:rStyle w:val="Strong"/>
        </w:rPr>
        <w:t>Diarize All Deadlines:</w:t>
      </w:r>
      <w:r>
        <w:rPr/>
        <w:t xml:space="preserve"> </w:t>
      </w:r>
      <w:r>
        <w:rPr>
          <w:rStyle w:val="Strong"/>
        </w:rPr>
        <w:t>Mark the one-year deadline</w:t>
      </w:r>
      <w:r>
        <w:rPr/>
        <w:t xml:space="preserve"> from your lien’s recording date on your calendar, and file the foreclosure lawsuit well </w:t>
      </w:r>
      <w:r>
        <w:rPr>
          <w:rStyle w:val="Strong"/>
        </w:rPr>
        <w:t>before</w:t>
      </w:r>
      <w:r>
        <w:rPr/>
        <w:t xml:space="preserve"> that date. If you receive a </w:t>
      </w:r>
      <w:r>
        <w:rPr>
          <w:rStyle w:val="Emphasis"/>
        </w:rPr>
        <w:t>Notice of Contest of Lien</w:t>
      </w:r>
      <w:r>
        <w:rPr/>
        <w:t xml:space="preserve"> from the owner, treat the 60-day deadline with urgency – it’s a hard cutoff</w:t>
      </w:r>
      <w:hyperlink r:id="rId62" w:anchor=":~:text=v,without%20intervention%20of%20the%20court%E2%80%9D" w:tgtFrame="_blank">
        <w:r>
          <w:rPr>
            <w:rStyle w:val="Hyperlink"/>
          </w:rPr>
          <w:t>caselaw.findlaw.com</w:t>
        </w:r>
      </w:hyperlink>
      <w:r>
        <w:rPr/>
        <w:t>. Similarly, if a court issues a show-cause summons, note the response deadline. Do not assume you can get an extension or that a court will excuse a late filing; courts will not. Starting the legal action early not only avoids last-minute mishaps but also can pressure the owner to resolve the claim.</w:t>
      </w:r>
    </w:p>
    <w:p>
      <w:pPr>
        <w:pStyle w:val="BodyText"/>
        <w:numPr>
          <w:ilvl w:val="0"/>
          <w:numId w:val="6"/>
        </w:numPr>
        <w:tabs>
          <w:tab w:val="clear" w:pos="709"/>
          <w:tab w:val="left" w:pos="709" w:leader="none"/>
        </w:tabs>
        <w:bidi w:val="0"/>
        <w:ind w:hanging="283" w:start="709"/>
        <w:jc w:val="start"/>
        <w:rPr/>
      </w:pPr>
      <w:r>
        <w:rPr>
          <w:rStyle w:val="Strong"/>
        </w:rPr>
        <w:t>Record a Lis Pendens Immediately:</w:t>
      </w:r>
      <w:r>
        <w:rPr/>
        <w:t xml:space="preserve"> When you file the foreclosure action, </w:t>
      </w:r>
      <w:r>
        <w:rPr>
          <w:rStyle w:val="Strong"/>
        </w:rPr>
        <w:t>record a lis pendens</w:t>
      </w:r>
      <w:r>
        <w:rPr/>
        <w:t xml:space="preserve"> against the property at the same time. This is your “Notice of Commencement of Lien Action” to the world. By doing so, you preserve your lien’s priority against anyone who might acquire an interest after you’ve filed suit</w:t>
      </w:r>
      <w:hyperlink r:id="rId63" w:anchor=":~:text=Second%2C%20you%20want%20to%20record,%E2%80%9D" w:tgtFrame="_blank">
        <w:r>
          <w:rPr>
            <w:rStyle w:val="Hyperlink"/>
          </w:rPr>
          <w:t>floridaconstructionlegalupdates.com</w:t>
        </w:r>
      </w:hyperlink>
      <w:hyperlink r:id="rId64" w:anchor=":~:text=construction%20lien%20foreclosure%20action%20in,a%20lienholder%20that%20could%20be" w:tgtFrame="_blank">
        <w:r>
          <w:rPr>
            <w:rStyle w:val="Hyperlink"/>
          </w:rPr>
          <w:t>floridaconstructionlegalupdates.com</w:t>
        </w:r>
      </w:hyperlink>
      <w:r>
        <w:rPr/>
        <w:t xml:space="preserve">. </w:t>
      </w:r>
      <w:r>
        <w:rPr>
          <w:rStyle w:val="Emphasis"/>
        </w:rPr>
        <w:t>Best practice:</w:t>
      </w:r>
      <w:r>
        <w:rPr/>
        <w:t xml:space="preserve"> prepare the Lis Pendens when preparing the complaint and submit them together – this way, there’s no gap during which a sneaky transfer or new mortgage could occur. Ensure the lis pendens accurately describes the property (matching your lien) and references the court case. Keep it recorded for the duration of the litigation (renew it if necessary per lis pendens rules) until the foreclosure is resolved.</w:t>
      </w:r>
    </w:p>
    <w:p>
      <w:pPr>
        <w:pStyle w:val="BodyText"/>
        <w:numPr>
          <w:ilvl w:val="0"/>
          <w:numId w:val="6"/>
        </w:numPr>
        <w:tabs>
          <w:tab w:val="clear" w:pos="709"/>
          <w:tab w:val="left" w:pos="709" w:leader="none"/>
        </w:tabs>
        <w:bidi w:val="0"/>
        <w:ind w:hanging="283" w:start="709"/>
        <w:jc w:val="start"/>
        <w:rPr/>
      </w:pPr>
      <w:r>
        <w:rPr>
          <w:rStyle w:val="Strong"/>
        </w:rPr>
        <w:t>Use Statutory Forms and Checklists:</w:t>
      </w:r>
      <w:r>
        <w:rPr/>
        <w:t xml:space="preserve"> Given the technical requirements for a valid lien, use the statutory </w:t>
      </w:r>
      <w:r>
        <w:rPr>
          <w:rStyle w:val="Strong"/>
        </w:rPr>
        <w:t>Claim of Lien</w:t>
      </w:r>
      <w:r>
        <w:rPr/>
        <w:t xml:space="preserve"> form as a guide to avoid omissions</w:t>
      </w:r>
      <w:hyperlink r:id="rId65" w:anchor=":~:text=WARNING%21" w:tgtFrame="_blank">
        <w:r>
          <w:rPr>
            <w:rStyle w:val="Hyperlink"/>
          </w:rPr>
          <w:t>codes.findlaw.com</w:t>
        </w:r>
      </w:hyperlink>
      <w:hyperlink r:id="rId66" w:anchor=":~:text=THIS%20LEGAL%20DOCUMENT%20REFLECTS%20THAT,OR%20TO%20DISCHARGE%20THIS%20LIEN" w:tgtFrame="_blank">
        <w:r>
          <w:rPr>
            <w:rStyle w:val="Hyperlink"/>
          </w:rPr>
          <w:t>codes.findlaw.com</w:t>
        </w:r>
      </w:hyperlink>
      <w:r>
        <w:rPr/>
        <w:t>. Include all required information: property description, names, work description, dates, amounts, service of notice to owner, etc. Don’t forget the warning about lien expiration and owner’s right to contest – it’s mandated by statute and alerts owners that the lien has a limited life</w:t>
      </w:r>
      <w:hyperlink r:id="rId67" w:anchor=":~:text=THIS%20LEGAL%20DOCUMENT%20REFLECTS%20THAT,OR%20TO%20DISCHARGE%20THIS%20LIEN" w:tgtFrame="_blank">
        <w:r>
          <w:rPr>
            <w:rStyle w:val="Hyperlink"/>
          </w:rPr>
          <w:t>codes.findlaw.com</w:t>
        </w:r>
      </w:hyperlink>
      <w:r>
        <w:rPr/>
        <w:t xml:space="preserve">. Before recording, double-check every detail (and have a colleague or attorney review if possible). Likewise, ensure you </w:t>
      </w:r>
      <w:r>
        <w:rPr>
          <w:rStyle w:val="Strong"/>
        </w:rPr>
        <w:t>serve</w:t>
      </w:r>
      <w:r>
        <w:rPr/>
        <w:t xml:space="preserve"> the claim of lien on the owner promptly and document that service (via certified mail, etc.) to prove compliance with §713.08(4). Small mistakes in paperwork can cause major problems later, so a careful upfront review is worth it.</w:t>
      </w:r>
    </w:p>
    <w:p>
      <w:pPr>
        <w:pStyle w:val="BodyText"/>
        <w:numPr>
          <w:ilvl w:val="0"/>
          <w:numId w:val="6"/>
        </w:numPr>
        <w:tabs>
          <w:tab w:val="clear" w:pos="709"/>
          <w:tab w:val="left" w:pos="709" w:leader="none"/>
        </w:tabs>
        <w:bidi w:val="0"/>
        <w:ind w:hanging="283" w:start="709"/>
        <w:jc w:val="start"/>
        <w:rPr/>
      </w:pPr>
      <w:r>
        <w:rPr>
          <w:rStyle w:val="Strong"/>
        </w:rPr>
        <w:t>Fulfill Pre-Suit Conditions:</w:t>
      </w:r>
      <w:r>
        <w:rPr/>
        <w:t xml:space="preserve"> If you’re a contractor (in privity with owner), remember to provide the owner a </w:t>
      </w:r>
      <w:r>
        <w:rPr>
          <w:rStyle w:val="Strong"/>
        </w:rPr>
        <w:t>Final Payment Affidavit</w:t>
      </w:r>
      <w:r>
        <w:rPr/>
        <w:t xml:space="preserve"> at least 5 days before filing the foreclosure suit (or within the shortened period if facing a contest). Even though some courts have allowed late affidavits, it’s risky – noncompliance can lead to dismissal of your lien foreclosure (or, as in </w:t>
      </w:r>
      <w:r>
        <w:rPr>
          <w:rStyle w:val="Emphasis"/>
        </w:rPr>
        <w:t>Pierson</w:t>
      </w:r>
      <w:r>
        <w:rPr/>
        <w:t>, dismissal with prejudice if the deadline passes)</w:t>
      </w:r>
      <w:hyperlink r:id="rId68" w:anchor=":~:text=On%20December%205%2C%202000%2C%20the,court%20later%20dismissed%20the%20case" w:tgtFrame="_blank">
        <w:r>
          <w:rPr>
            <w:rStyle w:val="Hyperlink"/>
          </w:rPr>
          <w:t>caselaw.findlaw.com</w:t>
        </w:r>
      </w:hyperlink>
      <w:hyperlink r:id="rId69" w:anchor=":~:text=Pierson%20contends%20that%20its%20suit,2000%20filing%20of%20the%20lawsuit" w:tgtFrame="_blank">
        <w:r>
          <w:rPr>
            <w:rStyle w:val="Hyperlink"/>
          </w:rPr>
          <w:t>caselaw.findlaw.com</w:t>
        </w:r>
      </w:hyperlink>
      <w:r>
        <w:rPr/>
        <w:t xml:space="preserve">. Similarly, lienors not in privity must have served a </w:t>
      </w:r>
      <w:r>
        <w:rPr>
          <w:rStyle w:val="Strong"/>
        </w:rPr>
        <w:t>Notice to Owner</w:t>
      </w:r>
      <w:r>
        <w:rPr/>
        <w:t xml:space="preserve"> at the project’s outset; a foreclosure action will fail if the Notice to Owner was never sent. In short, make sure all Chapter 713 notice requirements that apply to your role (Notice to Owner, Contractor’s affidavit, etc.) are satisfied </w:t>
      </w:r>
      <w:r>
        <w:rPr>
          <w:rStyle w:val="Emphasis"/>
        </w:rPr>
        <w:t>before</w:t>
      </w:r>
      <w:r>
        <w:rPr/>
        <w:t xml:space="preserve"> you head to court.</w:t>
      </w:r>
    </w:p>
    <w:p>
      <w:pPr>
        <w:pStyle w:val="BodyText"/>
        <w:numPr>
          <w:ilvl w:val="0"/>
          <w:numId w:val="6"/>
        </w:numPr>
        <w:tabs>
          <w:tab w:val="clear" w:pos="709"/>
          <w:tab w:val="left" w:pos="709" w:leader="none"/>
        </w:tabs>
        <w:bidi w:val="0"/>
        <w:ind w:hanging="283" w:start="709"/>
        <w:jc w:val="start"/>
        <w:rPr/>
      </w:pPr>
      <w:r>
        <w:rPr>
          <w:rStyle w:val="Strong"/>
        </w:rPr>
        <w:t>Respond to Owner’s Legal Actions Quickly:</w:t>
      </w:r>
      <w:r>
        <w:rPr/>
        <w:t xml:space="preserve"> If the property owner files a </w:t>
      </w:r>
      <w:r>
        <w:rPr>
          <w:rStyle w:val="Strong"/>
        </w:rPr>
        <w:t>Notice of Contest of Lien</w:t>
      </w:r>
      <w:r>
        <w:rPr/>
        <w:t xml:space="preserve"> (which you’ll typically receive by certified mail or the clerk’s mailing), immediately calculate 60 days out and treat that as your new lawsuit deadline</w:t>
      </w:r>
      <w:hyperlink r:id="rId70" w:anchor=":~:text=limitations%20in%20this%20case,from%20on%20other%20grounds%20by" w:tgtFrame="_blank">
        <w:r>
          <w:rPr>
            <w:rStyle w:val="Hyperlink"/>
          </w:rPr>
          <w:t>caselaw.findlaw.com</w:t>
        </w:r>
      </w:hyperlink>
      <w:r>
        <w:rPr/>
        <w:t>. If the owner files a motion to show cause in court, don’t ignore it – you’ll need to either already have a suit on file or file one within the time allowed by the court’s order. Lienors should also be cautious when an owner files bankruptcy or another action that might affect the lien; consult counsel in those cases because additional steps (like obtaining relief from stay) might be needed, but the state-law deadlines still matter.</w:t>
      </w:r>
    </w:p>
    <w:p>
      <w:pPr>
        <w:pStyle w:val="BodyText"/>
        <w:numPr>
          <w:ilvl w:val="0"/>
          <w:numId w:val="6"/>
        </w:numPr>
        <w:tabs>
          <w:tab w:val="clear" w:pos="709"/>
          <w:tab w:val="left" w:pos="709" w:leader="none"/>
        </w:tabs>
        <w:bidi w:val="0"/>
        <w:ind w:hanging="283" w:start="709"/>
        <w:jc w:val="start"/>
        <w:rPr/>
      </w:pPr>
      <w:r>
        <w:rPr>
          <w:rStyle w:val="Strong"/>
        </w:rPr>
        <w:t>Maintain Priority – Foreclose All Necessary Parties:</w:t>
      </w:r>
      <w:r>
        <w:rPr/>
        <w:t xml:space="preserve"> When enforcing your lien, include all </w:t>
      </w:r>
      <w:r>
        <w:rPr>
          <w:rStyle w:val="Strong"/>
        </w:rPr>
        <w:t>junior interests</w:t>
      </w:r>
      <w:r>
        <w:rPr/>
        <w:t xml:space="preserve"> in the lawsuit (e.g., later mortgages, judgment creditors, or other lienors recorded after your lien) so that those interests can be foreclosed and eliminated if your lien prevails</w:t>
      </w:r>
      <w:hyperlink r:id="rId71" w:anchor=":~:text=First%2C%20you%20want%20to%20make,Decks%20N%20Sunch%20Marine%2C%20infra" w:tgtFrame="_blank">
        <w:r>
          <w:rPr>
            <w:rStyle w:val="Hyperlink"/>
          </w:rPr>
          <w:t>floridaconstructionlegalupdates.com</w:t>
        </w:r>
      </w:hyperlink>
      <w:r>
        <w:rPr/>
        <w:t xml:space="preserve">. However, be mindful that if your lis pendens was late or your suit was late, some of those interests might actually outrank you. The case law shows that a lien not enforced on time essentially loses its </w:t>
      </w:r>
      <w:r>
        <w:rPr>
          <w:rStyle w:val="Emphasis"/>
        </w:rPr>
        <w:t>relation-back</w:t>
      </w:r>
      <w:r>
        <w:rPr/>
        <w:t xml:space="preserve"> priority</w:t>
      </w:r>
      <w:hyperlink r:id="rId72" w:anchor=":~:text=While%20it%20is%20true%20that,2d%2C%20Mechanics%20Liens%2C%20%C2%A7%2055" w:tgtFrame="_blank">
        <w:r>
          <w:rPr>
            <w:rStyle w:val="Hyperlink"/>
          </w:rPr>
          <w:t>case-law.vlex.com</w:t>
        </w:r>
      </w:hyperlink>
      <w:r>
        <w:rPr/>
        <w:t>. Thus, to maintain your priority from the project’s start (the Notice of Commencement date), timely enforcement and notice are key. When in doubt about an intervening interest’s status, assume the burden is on you to prove they had notice of your lien action. The prudent approach is to act as though any delay could cost you priority.</w:t>
      </w:r>
    </w:p>
    <w:p>
      <w:pPr>
        <w:pStyle w:val="BodyText"/>
        <w:numPr>
          <w:ilvl w:val="0"/>
          <w:numId w:val="6"/>
        </w:numPr>
        <w:tabs>
          <w:tab w:val="clear" w:pos="709"/>
          <w:tab w:val="left" w:pos="709" w:leader="none"/>
        </w:tabs>
        <w:bidi w:val="0"/>
        <w:ind w:hanging="283" w:start="709"/>
        <w:jc w:val="start"/>
        <w:rPr/>
      </w:pPr>
      <w:r>
        <w:rPr>
          <w:rStyle w:val="Strong"/>
        </w:rPr>
        <w:t>No “Do-Overs”:</w:t>
      </w:r>
      <w:r>
        <w:rPr/>
        <w:t xml:space="preserve"> Recognize that under Florida law, you typically </w:t>
      </w:r>
      <w:r>
        <w:rPr>
          <w:rStyle w:val="Strong"/>
        </w:rPr>
        <w:t>cannot refile or re-record</w:t>
      </w:r>
      <w:r>
        <w:rPr/>
        <w:t xml:space="preserve"> to fix a missed deadline. Once a lien is expired or a statutory window closes, the lien right is extinguished</w:t>
      </w:r>
      <w:hyperlink r:id="rId73" w:anchor=":~:text=In%20Regal%20Wood%20Products%2C%20this,court%2C%20in%20affirming%20dismissal%2C%20said" w:tgtFrame="_blank">
        <w:r>
          <w:rPr>
            <w:rStyle w:val="Hyperlink"/>
          </w:rPr>
          <w:t>caselaw.findlaw.com</w:t>
        </w:r>
      </w:hyperlink>
      <w:r>
        <w:rPr/>
        <w:t>. For example, filing a new claim of lien will not resurrect an old one, and an amended pleading after the limitations period won’t save a late claim</w:t>
      </w:r>
      <w:hyperlink r:id="rId74" w:anchor=":~:text=We%20also%20reject%20Bergeron%27s%20assertion,lien%20to%20a%20surety%20bond" w:tgtFrame="_blank">
        <w:r>
          <w:rPr>
            <w:rStyle w:val="Hyperlink"/>
          </w:rPr>
          <w:t>caselaw.findlaw.com</w:t>
        </w:r>
      </w:hyperlink>
      <w:r>
        <w:rPr/>
        <w:t>. Therefore, treat each step as if you only get one chance to do it right. If a deadline is approaching and you’re not ready (say, still negotiating payment), it’s usually safer to file the suit to preserve the lien and then consider staying or dismissing the case if payment is resolved, rather than letting the time run out. Owners and their lawyers are well aware of these deadlines and may simply “wait you out” knowing your lien will self-destruct.</w:t>
      </w:r>
    </w:p>
    <w:p>
      <w:pPr>
        <w:pStyle w:val="BodyText"/>
        <w:bidi w:val="0"/>
        <w:jc w:val="start"/>
        <w:rPr/>
      </w:pPr>
      <w:r>
        <w:rPr/>
        <w:t xml:space="preserve">By adhering to these practices, lienors can greatly increase the likelihood their liens remain </w:t>
      </w:r>
      <w:r>
        <w:rPr>
          <w:rStyle w:val="Strong"/>
        </w:rPr>
        <w:t>enforceable and prioritized</w:t>
      </w:r>
      <w:r>
        <w:rPr/>
        <w:t xml:space="preserve"> in any subsequent foreclosure or payoff. The overarching principle is to be </w:t>
      </w:r>
      <w:r>
        <w:rPr>
          <w:rStyle w:val="Strong"/>
        </w:rPr>
        <w:t>proactive and precise</w:t>
      </w:r>
      <w:r>
        <w:rPr/>
        <w:t>: meet every deadline early, obey every statutory requirement to the letter, and give notice to all necessary parties. Florida courts have made it clear that the onus is on the lienor to comply with the statute if they wish to avail themselves of the powerful remedy of a construction lien</w:t>
      </w:r>
      <w:hyperlink r:id="rId75" w:anchor=":~:text=filing%20had%20no%20such%20effect,Palmer%20at%20510" w:tgtFrame="_blank">
        <w:r>
          <w:rPr>
            <w:rStyle w:val="Hyperlink"/>
          </w:rPr>
          <w:t>case-law.vlex.com</w:t>
        </w:r>
      </w:hyperlink>
      <w:r>
        <w:rPr/>
        <w:t>.</w:t>
      </w:r>
    </w:p>
    <w:p>
      <w:pPr>
        <w:pStyle w:val="Heading2"/>
        <w:bidi w:val="0"/>
        <w:jc w:val="start"/>
        <w:rPr/>
      </w:pPr>
      <w:r>
        <w:rPr/>
        <w:t>Conclusion</w:t>
      </w:r>
    </w:p>
    <w:p>
      <w:pPr>
        <w:pStyle w:val="BodyText"/>
        <w:bidi w:val="0"/>
        <w:jc w:val="start"/>
        <w:rPr/>
      </w:pPr>
      <w:r>
        <w:rPr/>
        <w:t xml:space="preserve">Florida’s courts have developed a consistent body of case law underscoring that the </w:t>
      </w:r>
      <w:r>
        <w:rPr>
          <w:rStyle w:val="Emphasis"/>
        </w:rPr>
        <w:t>Notice of Commencement of Lien Action</w:t>
      </w:r>
      <w:r>
        <w:rPr/>
        <w:t xml:space="preserve"> (recorded lis pendens) and the one-year enforcement period are crucial to the life of a construction lien. The common theme is strict adherence to the statute: lien rights are strictly time-bound and notice-dependent. Missteps such as late filings, missing notices, or paperwork errors will usually result in the loss of the lien – either outright extinguishment or loss of priority against other interests. For practitioners and lien claimants, the takeaways are clear. </w:t>
      </w:r>
      <w:r>
        <w:rPr>
          <w:rStyle w:val="Strong"/>
        </w:rPr>
        <w:t>Start early</w:t>
      </w:r>
      <w:r>
        <w:rPr/>
        <w:t xml:space="preserve">, comply scrupulously with all statutory requirements, and provide public notice of your lien action to safeguard against intervening claims. By learning from the recurring errors seen in Florida cases – missed deadlines, untimely lis pendens, and noncompliant filings – lienors can avoid forfeiting their rights and ensure that their liens remain a potent tool for getting paid. In sum, Florida’s lien law rewards the diligent and punishes the dilatory: those who promptly enforce and properly notify will preserve their lien remedies, while those who do not will find their liens </w:t>
      </w:r>
      <w:r>
        <w:rPr>
          <w:rStyle w:val="Strong"/>
        </w:rPr>
        <w:t>automatically dissolved by law</w:t>
      </w:r>
      <w:hyperlink r:id="rId76" w:anchor=":~:text=None%20of%20the%20appellees%2Flienors%2C%20except,1" w:tgtFrame="_blank">
        <w:r>
          <w:rPr>
            <w:rStyle w:val="Hyperlink"/>
          </w:rPr>
          <w:t>case-law.vlex.com</w:t>
        </w:r>
      </w:hyperlink>
      <w:r>
        <w:rPr/>
        <w:t xml:space="preserve"> or subordinated to the rights of others</w:t>
      </w:r>
      <w:hyperlink r:id="rId77" w:anchor=":~:text=construction%20lien%20foreclosure%20action%20in,a%20lienholder%20that%20could%20be" w:tgtFrame="_blank">
        <w:r>
          <w:rPr>
            <w:rStyle w:val="Hyperlink"/>
          </w:rPr>
          <w:t>floridaconstructionlegalupdates.com</w:t>
        </w:r>
      </w:hyperlink>
      <w:r>
        <w:rPr/>
        <w:t>. Following the best practices outlined above will help construction industry participants maintain lien enforceability and priority consistent with Florida’s rigorous legal standards.</w:t>
      </w:r>
    </w:p>
    <w:p>
      <w:pPr>
        <w:pStyle w:val="BodyText"/>
        <w:bidi w:val="0"/>
        <w:jc w:val="start"/>
        <w:rPr/>
      </w:pPr>
      <w:r>
        <w:rPr>
          <w:rStyle w:val="Strong"/>
        </w:rPr>
        <w:t>Sources:</w:t>
      </w:r>
    </w:p>
    <w:p>
      <w:pPr>
        <w:pStyle w:val="BodyText"/>
        <w:numPr>
          <w:ilvl w:val="0"/>
          <w:numId w:val="7"/>
        </w:numPr>
        <w:tabs>
          <w:tab w:val="clear" w:pos="709"/>
          <w:tab w:val="left" w:pos="709" w:leader="none"/>
        </w:tabs>
        <w:bidi w:val="0"/>
        <w:ind w:hanging="283" w:start="709"/>
        <w:jc w:val="start"/>
        <w:rPr/>
      </w:pPr>
      <w:r>
        <w:rPr/>
        <w:t>Fla. Stat. §713.22(1) (2023)</w:t>
      </w:r>
      <w:hyperlink r:id="rId78" w:anchor=":~:text=,of%20lis%20pendens%20is%20recorded" w:tgtFrame="_blank">
        <w:r>
          <w:rPr>
            <w:rStyle w:val="Hyperlink"/>
          </w:rPr>
          <w:t>flsenate.gov</w:t>
        </w:r>
      </w:hyperlink>
      <w:r>
        <w:rPr/>
        <w:t>.</w:t>
      </w:r>
    </w:p>
    <w:p>
      <w:pPr>
        <w:pStyle w:val="BodyText"/>
        <w:numPr>
          <w:ilvl w:val="0"/>
          <w:numId w:val="7"/>
        </w:numPr>
        <w:tabs>
          <w:tab w:val="clear" w:pos="709"/>
          <w:tab w:val="left" w:pos="709" w:leader="none"/>
        </w:tabs>
        <w:bidi w:val="0"/>
        <w:ind w:hanging="283" w:start="709"/>
        <w:jc w:val="start"/>
        <w:rPr/>
      </w:pPr>
      <w:r>
        <w:rPr>
          <w:rStyle w:val="Emphasis"/>
        </w:rPr>
        <w:t>Scott v. Haufler</w:t>
      </w:r>
      <w:r>
        <w:rPr/>
        <w:t>, 526 So.2d 996 (Fla. 1st DCA 1988)</w:t>
      </w:r>
      <w:hyperlink r:id="rId79" w:anchor=":~:text=discharged%20upon%20failure%20of%20those,We%20reverse" w:tgtFrame="_blank">
        <w:r>
          <w:rPr>
            <w:rStyle w:val="Hyperlink"/>
          </w:rPr>
          <w:t>case-law.vlex.com</w:t>
        </w:r>
      </w:hyperlink>
      <w:hyperlink r:id="rId80" w:anchor=":~:text=Section%20713,pertinent%20part" w:tgtFrame="_blank">
        <w:r>
          <w:rPr>
            <w:rStyle w:val="Hyperlink"/>
          </w:rPr>
          <w:t>case-law.vlex.com</w:t>
        </w:r>
      </w:hyperlink>
      <w:r>
        <w:rPr/>
        <w:t>.</w:t>
      </w:r>
    </w:p>
    <w:p>
      <w:pPr>
        <w:pStyle w:val="BodyText"/>
        <w:numPr>
          <w:ilvl w:val="0"/>
          <w:numId w:val="7"/>
        </w:numPr>
        <w:tabs>
          <w:tab w:val="clear" w:pos="709"/>
          <w:tab w:val="left" w:pos="709" w:leader="none"/>
        </w:tabs>
        <w:bidi w:val="0"/>
        <w:ind w:hanging="283" w:start="709"/>
        <w:jc w:val="start"/>
        <w:rPr/>
      </w:pPr>
      <w:r>
        <w:rPr>
          <w:rStyle w:val="Emphasis"/>
        </w:rPr>
        <w:t>Foy v. Mangum</w:t>
      </w:r>
      <w:r>
        <w:rPr/>
        <w:t>, 528 So.2d 1331 (Fla. 5th DCA 1988)</w:t>
      </w:r>
      <w:hyperlink r:id="rId81" w:anchor=":~:text=a%20suit%20to%20foreclose%20his,We%20affirm" w:tgtFrame="_blank">
        <w:r>
          <w:rPr>
            <w:rStyle w:val="Hyperlink"/>
          </w:rPr>
          <w:t>case-law.vlex.com</w:t>
        </w:r>
      </w:hyperlink>
      <w:hyperlink r:id="rId82" w:anchor=":~:text=filing%20had%20no%20such%20effect,Palmer%20at%20510" w:tgtFrame="_blank">
        <w:r>
          <w:rPr>
            <w:rStyle w:val="Hyperlink"/>
          </w:rPr>
          <w:t>case-law.vlex.com</w:t>
        </w:r>
      </w:hyperlink>
      <w:r>
        <w:rPr/>
        <w:t>.</w:t>
      </w:r>
    </w:p>
    <w:p>
      <w:pPr>
        <w:pStyle w:val="BodyText"/>
        <w:numPr>
          <w:ilvl w:val="0"/>
          <w:numId w:val="7"/>
        </w:numPr>
        <w:tabs>
          <w:tab w:val="clear" w:pos="709"/>
          <w:tab w:val="left" w:pos="709" w:leader="none"/>
        </w:tabs>
        <w:bidi w:val="0"/>
        <w:ind w:hanging="283" w:start="709"/>
        <w:jc w:val="start"/>
        <w:rPr/>
      </w:pPr>
      <w:r>
        <w:rPr>
          <w:rStyle w:val="Emphasis"/>
        </w:rPr>
        <w:t>Pierson D. Constr., Inc. v. Yudell</w:t>
      </w:r>
      <w:r>
        <w:rPr/>
        <w:t>, 863 So.2d 413 (Fla. 4th DCA 2003)</w:t>
      </w:r>
      <w:hyperlink r:id="rId83" w:anchor=":~:text=limitations%20in%20this%20case,from%20on%20other%20grounds%20by" w:tgtFrame="_blank">
        <w:r>
          <w:rPr>
            <w:rStyle w:val="Hyperlink"/>
          </w:rPr>
          <w:t>caselaw.findlaw.com</w:t>
        </w:r>
      </w:hyperlink>
      <w:hyperlink r:id="rId84" w:anchor=":~:text=v,without%20intervention%20of%20the%20court%E2%80%9D" w:tgtFrame="_blank">
        <w:r>
          <w:rPr>
            <w:rStyle w:val="Hyperlink"/>
          </w:rPr>
          <w:t>caselaw.findlaw.com</w:t>
        </w:r>
      </w:hyperlink>
      <w:r>
        <w:rPr/>
        <w:t>.</w:t>
      </w:r>
    </w:p>
    <w:p>
      <w:pPr>
        <w:pStyle w:val="BodyText"/>
        <w:numPr>
          <w:ilvl w:val="0"/>
          <w:numId w:val="7"/>
        </w:numPr>
        <w:tabs>
          <w:tab w:val="clear" w:pos="709"/>
          <w:tab w:val="left" w:pos="709" w:leader="none"/>
        </w:tabs>
        <w:bidi w:val="0"/>
        <w:ind w:hanging="283" w:start="709"/>
        <w:jc w:val="start"/>
        <w:rPr/>
      </w:pPr>
      <w:r>
        <w:rPr>
          <w:rStyle w:val="Emphasis"/>
        </w:rPr>
        <w:t>Decks N Such Marine, Inc. v. Daake</w:t>
      </w:r>
      <w:r>
        <w:rPr/>
        <w:t>, 45 Fla. L. Weekly D1168 (Fla. 1st DCA May 8, 2020)</w:t>
      </w:r>
      <w:hyperlink r:id="rId85" w:anchor=":~:text=Second%2C%20you%20want%20to%20record,%E2%80%9D" w:tgtFrame="_blank">
        <w:r>
          <w:rPr>
            <w:rStyle w:val="Hyperlink"/>
          </w:rPr>
          <w:t>floridaconstructionlegalupdates.com</w:t>
        </w:r>
      </w:hyperlink>
      <w:hyperlink r:id="rId86" w:anchor=":~:text=construction%20lien%20foreclosure%20action%20in,a%20lienholder%20that%20could%20be" w:tgtFrame="_blank">
        <w:r>
          <w:rPr>
            <w:rStyle w:val="Hyperlink"/>
          </w:rPr>
          <w:t>floridaconstructionlegalupdates.com</w:t>
        </w:r>
      </w:hyperlink>
      <w:r>
        <w:rPr/>
        <w:t>.</w:t>
      </w:r>
    </w:p>
    <w:p>
      <w:pPr>
        <w:pStyle w:val="BodyText"/>
        <w:numPr>
          <w:ilvl w:val="0"/>
          <w:numId w:val="7"/>
        </w:numPr>
        <w:tabs>
          <w:tab w:val="clear" w:pos="709"/>
          <w:tab w:val="left" w:pos="709" w:leader="none"/>
        </w:tabs>
        <w:bidi w:val="0"/>
        <w:ind w:hanging="283" w:start="709"/>
        <w:jc w:val="start"/>
        <w:rPr/>
      </w:pPr>
      <w:r>
        <w:rPr>
          <w:rStyle w:val="Emphasis"/>
        </w:rPr>
        <w:t>Regal Wood Prods., Inc. v. First Wis. Nat’l Bank</w:t>
      </w:r>
      <w:r>
        <w:rPr/>
        <w:t>, 347 So.2d 643 (Fla. 4th DCA 1977)</w:t>
      </w:r>
      <w:hyperlink r:id="rId87" w:anchor=":~:text=In%20Regal%20Wood%20Products%2C%20this,court%2C%20in%20affirming%20dismissal%2C%20said" w:tgtFrame="_blank">
        <w:r>
          <w:rPr>
            <w:rStyle w:val="Hyperlink"/>
          </w:rPr>
          <w:t>caselaw.findlaw.com</w:t>
        </w:r>
      </w:hyperlink>
      <w:r>
        <w:rPr/>
        <w:t>.</w:t>
      </w:r>
    </w:p>
    <w:p>
      <w:pPr>
        <w:pStyle w:val="BodyText"/>
        <w:numPr>
          <w:ilvl w:val="0"/>
          <w:numId w:val="7"/>
        </w:numPr>
        <w:tabs>
          <w:tab w:val="clear" w:pos="709"/>
          <w:tab w:val="left" w:pos="709" w:leader="none"/>
        </w:tabs>
        <w:bidi w:val="0"/>
        <w:ind w:hanging="283" w:start="709"/>
        <w:jc w:val="start"/>
        <w:rPr/>
      </w:pPr>
      <w:r>
        <w:rPr>
          <w:rStyle w:val="Emphasis"/>
        </w:rPr>
        <w:t>Jack Stilson &amp; Co. v. Caloosa Bayview Corp.</w:t>
      </w:r>
      <w:r>
        <w:rPr/>
        <w:t>, 278 So.2d 282 (Fla. 1973).</w:t>
      </w:r>
    </w:p>
    <w:p>
      <w:pPr>
        <w:pStyle w:val="BodyText"/>
        <w:numPr>
          <w:ilvl w:val="0"/>
          <w:numId w:val="7"/>
        </w:numPr>
        <w:tabs>
          <w:tab w:val="clear" w:pos="709"/>
          <w:tab w:val="left" w:pos="709" w:leader="none"/>
        </w:tabs>
        <w:bidi w:val="0"/>
        <w:ind w:hanging="283" w:start="709"/>
        <w:jc w:val="start"/>
        <w:rPr/>
      </w:pPr>
      <w:r>
        <w:rPr>
          <w:rStyle w:val="Emphasis"/>
        </w:rPr>
        <w:t>Nachon Enters., Inc. v. Alexdex Corp.</w:t>
      </w:r>
      <w:r>
        <w:rPr/>
        <w:t>, 615 So.2d 245 (Fla. 3d DCA 1993)</w:t>
      </w:r>
      <w:hyperlink r:id="rId88" w:anchor=":~:text=to%20be%20strictly%20construed%2C%20as,01%284%29%20which%20specifically%20states%20that" w:tgtFrame="_blank">
        <w:r>
          <w:rPr>
            <w:rStyle w:val="Hyperlink"/>
          </w:rPr>
          <w:t>casemine.com</w:t>
        </w:r>
      </w:hyperlink>
      <w:hyperlink r:id="rId89" w:anchor=":~:text=restricted%20by%20the%20State%20Constitution,or%20the%20laws%20of%20Florida" w:tgtFrame="_blank">
        <w:r>
          <w:rPr>
            <w:rStyle w:val="Hyperlink"/>
          </w:rPr>
          <w:t>casemine.com</w:t>
        </w:r>
      </w:hyperlink>
      <w:r>
        <w:rPr/>
        <w:t>.</w:t>
      </w:r>
    </w:p>
    <w:p>
      <w:pPr>
        <w:pStyle w:val="BodyText"/>
        <w:numPr>
          <w:ilvl w:val="0"/>
          <w:numId w:val="7"/>
        </w:numPr>
        <w:tabs>
          <w:tab w:val="clear" w:pos="709"/>
          <w:tab w:val="left" w:pos="709" w:leader="none"/>
        </w:tabs>
        <w:bidi w:val="0"/>
        <w:ind w:hanging="283" w:start="709"/>
        <w:jc w:val="start"/>
        <w:rPr/>
      </w:pPr>
      <w:r>
        <w:rPr>
          <w:rStyle w:val="Emphasis"/>
        </w:rPr>
        <w:t>Palmer Elec. Servs., Inc. v. Filler</w:t>
      </w:r>
      <w:r>
        <w:rPr/>
        <w:t>, 482 So.2d 509 (Fla. 2d DCA 1986).</w:t>
      </w:r>
    </w:p>
    <w:p>
      <w:pPr>
        <w:pStyle w:val="BodyText"/>
        <w:numPr>
          <w:ilvl w:val="0"/>
          <w:numId w:val="7"/>
        </w:numPr>
        <w:tabs>
          <w:tab w:val="clear" w:pos="709"/>
          <w:tab w:val="left" w:pos="709" w:leader="none"/>
        </w:tabs>
        <w:bidi w:val="0"/>
        <w:ind w:hanging="283" w:start="709"/>
        <w:jc w:val="start"/>
        <w:rPr/>
      </w:pPr>
      <w:r>
        <w:rPr>
          <w:rStyle w:val="Emphasis"/>
        </w:rPr>
        <w:t>Hardrives Co. v. Tri-County Concrete Prods.</w:t>
      </w:r>
      <w:r>
        <w:rPr/>
        <w:t>, 489 So.2d 1211 (Fla. 4th DCA 1986).</w:t>
      </w:r>
    </w:p>
    <w:p>
      <w:pPr>
        <w:pStyle w:val="BodyText"/>
        <w:numPr>
          <w:ilvl w:val="0"/>
          <w:numId w:val="7"/>
        </w:numPr>
        <w:tabs>
          <w:tab w:val="clear" w:pos="709"/>
          <w:tab w:val="left" w:pos="709" w:leader="none"/>
        </w:tabs>
        <w:bidi w:val="0"/>
        <w:ind w:hanging="283" w:start="709"/>
        <w:jc w:val="start"/>
        <w:rPr/>
      </w:pPr>
      <w:r>
        <w:rPr/>
        <w:t>Fla. Stat. §713.08 (Claim of Lien form &amp; content)</w:t>
      </w:r>
      <w:hyperlink r:id="rId90" w:anchor=":~:text=WARNING%21" w:tgtFrame="_blank">
        <w:r>
          <w:rPr>
            <w:rStyle w:val="Hyperlink"/>
          </w:rPr>
          <w:t>codes.findlaw.com</w:t>
        </w:r>
      </w:hyperlink>
      <w:hyperlink r:id="rId91" w:anchor=":~:text=THIS%20LEGAL%20DOCUMENT%20REFLECTS%20THAT,OR%20TO%20DISCHARGE%20THIS%20LIEN" w:tgtFrame="_blank">
        <w:r>
          <w:rPr>
            <w:rStyle w:val="Hyperlink"/>
          </w:rPr>
          <w:t>codes.findlaw.com</w:t>
        </w:r>
      </w:hyperlink>
      <w:r>
        <w:rPr/>
        <w:t>.</w:t>
      </w:r>
    </w:p>
    <w:p>
      <w:pPr>
        <w:pStyle w:val="BodyText"/>
        <w:numPr>
          <w:ilvl w:val="0"/>
          <w:numId w:val="7"/>
        </w:numPr>
        <w:tabs>
          <w:tab w:val="clear" w:pos="709"/>
          <w:tab w:val="left" w:pos="709" w:leader="none"/>
        </w:tabs>
        <w:bidi w:val="0"/>
        <w:ind w:hanging="283" w:start="709"/>
        <w:jc w:val="start"/>
        <w:rPr/>
      </w:pPr>
      <w:r>
        <w:rPr/>
        <w:t>Fla. Stat. §713.21(3) (extinguishment of lien after limitations period)</w:t>
      </w:r>
      <w:hyperlink r:id="rId92" w:anchor=":~:text=None%20of%20the%20appellees%2Flienors%2C%20except,1" w:tgtFrame="_blank">
        <w:r>
          <w:rPr>
            <w:rStyle w:val="Hyperlink"/>
          </w:rPr>
          <w:t>case-law.vlex.com</w:t>
        </w:r>
      </w:hyperlink>
      <w:r>
        <w:rPr/>
        <w:t>.</w:t>
      </w:r>
    </w:p>
    <w:p>
      <w:pPr>
        <w:pStyle w:val="BodyText"/>
        <w:numPr>
          <w:ilvl w:val="0"/>
          <w:numId w:val="7"/>
        </w:numPr>
        <w:tabs>
          <w:tab w:val="clear" w:pos="709"/>
          <w:tab w:val="left" w:pos="709" w:leader="none"/>
        </w:tabs>
        <w:bidi w:val="0"/>
        <w:ind w:hanging="283" w:start="709"/>
        <w:jc w:val="start"/>
        <w:rPr/>
      </w:pPr>
      <w:r>
        <w:rPr/>
        <w:t>Fla. Stat. §713.22(2) (Notice of Contest of Lien, 60-day provision)</w:t>
      </w:r>
      <w:hyperlink r:id="rId93" w:anchor=":~:text=limitations%20in%20this%20case,from%20on%20other%20grounds%20by" w:tgtFrame="_blank">
        <w:r>
          <w:rPr>
            <w:rStyle w:val="Hyperlink"/>
          </w:rPr>
          <w:t>caselaw.findlaw.com</w:t>
        </w:r>
      </w:hyperlink>
      <w:r>
        <w:rPr/>
        <w:t>.</w:t>
      </w:r>
    </w:p>
    <w:p>
      <w:pPr>
        <w:pStyle w:val="BodyText"/>
        <w:numPr>
          <w:ilvl w:val="0"/>
          <w:numId w:val="7"/>
        </w:numPr>
        <w:tabs>
          <w:tab w:val="clear" w:pos="709"/>
          <w:tab w:val="left" w:pos="709" w:leader="none"/>
        </w:tabs>
        <w:bidi w:val="0"/>
        <w:ind w:hanging="283" w:start="709"/>
        <w:jc w:val="start"/>
        <w:rPr/>
      </w:pPr>
      <w:r>
        <w:rPr/>
        <w:t xml:space="preserve">Edward G. White, </w:t>
      </w:r>
      <w:r>
        <w:rPr>
          <w:rStyle w:val="Strong"/>
        </w:rPr>
        <w:t>“Special Statutory Proceedings for the Discharge of Construction Liens,”</w:t>
      </w:r>
      <w:r>
        <w:rPr/>
        <w:t xml:space="preserve"> </w:t>
      </w:r>
      <w:r>
        <w:rPr>
          <w:rStyle w:val="Emphasis"/>
        </w:rPr>
        <w:t>Fla. Bar Journal</w:t>
      </w:r>
      <w:r>
        <w:rPr/>
        <w:t>, Vol. 77, No. 6 (June 2003) (discussing purpose of one-year limitation and contest proceedings)</w:t>
      </w:r>
      <w:hyperlink r:id="rId94" w:anchor=":~:text=,24%284%29%20is%20the%20sp" w:tgtFrame="_blank">
        <w:r>
          <w:rPr>
            <w:rStyle w:val="Hyperlink"/>
          </w:rPr>
          <w:t>case-law.vlex.com</w:t>
        </w:r>
      </w:hyperlink>
      <w:r>
        <w:rPr/>
        <w:t>.</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Unicode MS"/>
      <w:b/>
      <w:bCs/>
      <w:sz w:val="28"/>
      <w:szCs w:val="28"/>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flsenate.gov/laws/statutes/2022/713.22" TargetMode="External"/><Relationship Id="rId3" Type="http://schemas.openxmlformats.org/officeDocument/2006/relationships/hyperlink" Target="https://www.flsenate.gov/laws/statutes/2022/713.22" TargetMode="External"/><Relationship Id="rId4" Type="http://schemas.openxmlformats.org/officeDocument/2006/relationships/hyperlink" Target="https://www.floridaconstructionlegalupdates.com/foreclosing-junior-lienholder-and-recording-lis-pendens/" TargetMode="External"/><Relationship Id="rId5" Type="http://schemas.openxmlformats.org/officeDocument/2006/relationships/hyperlink" Target="https://caselaw.findlaw.com/fl-district-court-of-appeal/1446303.html" TargetMode="External"/><Relationship Id="rId6" Type="http://schemas.openxmlformats.org/officeDocument/2006/relationships/hyperlink" Target="https://case-law.vlex.com/vid/scott-v-haufler-no-892357309" TargetMode="External"/><Relationship Id="rId7" Type="http://schemas.openxmlformats.org/officeDocument/2006/relationships/hyperlink" Target="https://www.flsenate.gov/laws/statutes/2022/713.22" TargetMode="External"/><Relationship Id="rId8" Type="http://schemas.openxmlformats.org/officeDocument/2006/relationships/hyperlink" Target="https://www.floridaconstructionlegalupdates.com/foreclosing-junior-lienholder-and-recording-lis-pendens/" TargetMode="External"/><Relationship Id="rId9" Type="http://schemas.openxmlformats.org/officeDocument/2006/relationships/hyperlink" Target="https://case-law.vlex.com/vid/foy-v-mangum-no-885480257" TargetMode="External"/><Relationship Id="rId10" Type="http://schemas.openxmlformats.org/officeDocument/2006/relationships/hyperlink" Target="https://caselaw.findlaw.com/fl-district-court-of-appeal/1446303.html" TargetMode="External"/><Relationship Id="rId11" Type="http://schemas.openxmlformats.org/officeDocument/2006/relationships/hyperlink" Target="https://caselaw.findlaw.com/fl-district-court-of-appeal/1446303.html" TargetMode="External"/><Relationship Id="rId12" Type="http://schemas.openxmlformats.org/officeDocument/2006/relationships/hyperlink" Target="https://case-law.vlex.com/vid/scott-v-haufler-no-892357309" TargetMode="External"/><Relationship Id="rId13" Type="http://schemas.openxmlformats.org/officeDocument/2006/relationships/hyperlink" Target="https://case-law.vlex.com/vid/scott-v-haufler-no-892357309" TargetMode="External"/><Relationship Id="rId14" Type="http://schemas.openxmlformats.org/officeDocument/2006/relationships/hyperlink" Target="https://case-law.vlex.com/vid/scott-v-haufler-no-892357309" TargetMode="External"/><Relationship Id="rId15" Type="http://schemas.openxmlformats.org/officeDocument/2006/relationships/hyperlink" Target="https://case-law.vlex.com/vid/scott-v-haufler-no-892357309" TargetMode="External"/><Relationship Id="rId16" Type="http://schemas.openxmlformats.org/officeDocument/2006/relationships/hyperlink" Target="https://case-law.vlex.com/vid/scott-v-haufler-no-892357309" TargetMode="External"/><Relationship Id="rId17" Type="http://schemas.openxmlformats.org/officeDocument/2006/relationships/hyperlink" Target="https://case-law.vlex.com/vid/foy-v-mangum-no-885480257" TargetMode="External"/><Relationship Id="rId18" Type="http://schemas.openxmlformats.org/officeDocument/2006/relationships/hyperlink" Target="https://case-law.vlex.com/vid/foy-v-mangum-no-885480257" TargetMode="External"/><Relationship Id="rId19" Type="http://schemas.openxmlformats.org/officeDocument/2006/relationships/hyperlink" Target="https://case-law.vlex.com/vid/foy-v-mangum-no-885480257" TargetMode="External"/><Relationship Id="rId20" Type="http://schemas.openxmlformats.org/officeDocument/2006/relationships/hyperlink" Target="https://case-law.vlex.com/vid/foy-v-mangum-no-885480257" TargetMode="External"/><Relationship Id="rId21" Type="http://schemas.openxmlformats.org/officeDocument/2006/relationships/hyperlink" Target="https://caselaw.findlaw.com/court/fl-district-court-of-appeal/1460985.html" TargetMode="External"/><Relationship Id="rId22" Type="http://schemas.openxmlformats.org/officeDocument/2006/relationships/hyperlink" Target="https://caselaw.findlaw.com/court/fl-district-court-of-appeal/1460985.html" TargetMode="External"/><Relationship Id="rId23" Type="http://schemas.openxmlformats.org/officeDocument/2006/relationships/hyperlink" Target="https://case-law.vlex.com/vid/foy-v-mangum-no-885480257" TargetMode="External"/><Relationship Id="rId24" Type="http://schemas.openxmlformats.org/officeDocument/2006/relationships/hyperlink" Target="https://caselaw.findlaw.com/court/fl-district-court-of-appeal/1460985.html" TargetMode="External"/><Relationship Id="rId25" Type="http://schemas.openxmlformats.org/officeDocument/2006/relationships/hyperlink" Target="https://www.casemine.com/judgement/us/59148684add7b049344d716a" TargetMode="External"/><Relationship Id="rId26" Type="http://schemas.openxmlformats.org/officeDocument/2006/relationships/hyperlink" Target="https://www.casemine.com/judgement/us/59148684add7b049344d716a" TargetMode="External"/><Relationship Id="rId27" Type="http://schemas.openxmlformats.org/officeDocument/2006/relationships/hyperlink" Target="https://caselaw.findlaw.com/court/fl-district-court-of-appeal/1460985.html" TargetMode="External"/><Relationship Id="rId28" Type="http://schemas.openxmlformats.org/officeDocument/2006/relationships/hyperlink" Target="https://caselaw.findlaw.com/court/fl-district-court-of-appeal/1460985.html" TargetMode="External"/><Relationship Id="rId29" Type="http://schemas.openxmlformats.org/officeDocument/2006/relationships/hyperlink" Target="https://www.floridaconstructionlegalupdates.com/foreclosing-junior-lienholder-and-recording-lis-pendens/" TargetMode="External"/><Relationship Id="rId30" Type="http://schemas.openxmlformats.org/officeDocument/2006/relationships/hyperlink" Target="https://www.floridaconstructionlegalupdates.com/foreclosing-junior-lienholder-and-recording-lis-pendens/" TargetMode="External"/><Relationship Id="rId31" Type="http://schemas.openxmlformats.org/officeDocument/2006/relationships/hyperlink" Target="https://www.floridaconstructionlegalupdates.com/foreclosing-junior-lienholder-and-recording-lis-pendens/" TargetMode="External"/><Relationship Id="rId32" Type="http://schemas.openxmlformats.org/officeDocument/2006/relationships/hyperlink" Target="https://www.floridaconstructionlegalupdates.com/foreclosing-junior-lienholder-and-recording-lis-pendens/" TargetMode="External"/><Relationship Id="rId33" Type="http://schemas.openxmlformats.org/officeDocument/2006/relationships/hyperlink" Target="https://www.floridaconstructionlegalupdates.com/foreclosing-junior-lienholder-and-recording-lis-pendens/" TargetMode="External"/><Relationship Id="rId34" Type="http://schemas.openxmlformats.org/officeDocument/2006/relationships/hyperlink" Target="https://www.flsenate.gov/laws/statutes/2022/713.22" TargetMode="External"/><Relationship Id="rId35" Type="http://schemas.openxmlformats.org/officeDocument/2006/relationships/hyperlink" Target="https://codes.findlaw.com/fl/title-xl-real-and-personal-property/fl-st-sect-713-08/" TargetMode="External"/><Relationship Id="rId36" Type="http://schemas.openxmlformats.org/officeDocument/2006/relationships/hyperlink" Target="https://codes.findlaw.com/fl/title-xl-real-and-personal-property/fl-st-sect-713-08/" TargetMode="External"/><Relationship Id="rId37" Type="http://schemas.openxmlformats.org/officeDocument/2006/relationships/hyperlink" Target="https://codes.findlaw.com/fl/title-xl-real-and-personal-property/fl-st-sect-713-08/" TargetMode="External"/><Relationship Id="rId38" Type="http://schemas.openxmlformats.org/officeDocument/2006/relationships/hyperlink" Target="https://codes.findlaw.com/fl/title-xl-real-and-personal-property/fl-st-sect-713-08/" TargetMode="External"/><Relationship Id="rId39" Type="http://schemas.openxmlformats.org/officeDocument/2006/relationships/hyperlink" Target="https://codes.findlaw.com/fl/title-xl-real-and-personal-property/fl-st-sect-713-08/" TargetMode="External"/><Relationship Id="rId40" Type="http://schemas.openxmlformats.org/officeDocument/2006/relationships/hyperlink" Target="https://www.casemine.com/judgement/us/59148684add7b049344d716a" TargetMode="External"/><Relationship Id="rId41" Type="http://schemas.openxmlformats.org/officeDocument/2006/relationships/hyperlink" Target="https://www.casemine.com/judgement/us/59148684add7b049344d716a" TargetMode="External"/><Relationship Id="rId42" Type="http://schemas.openxmlformats.org/officeDocument/2006/relationships/hyperlink" Target="https://www.casemine.com/judgement/us/59148684add7b049344d716a" TargetMode="External"/><Relationship Id="rId43" Type="http://schemas.openxmlformats.org/officeDocument/2006/relationships/hyperlink" Target="https://www.casemine.com/judgement/us/59148684add7b049344d716a" TargetMode="External"/><Relationship Id="rId44" Type="http://schemas.openxmlformats.org/officeDocument/2006/relationships/hyperlink" Target="https://www.casemine.com/judgement/us/59148684add7b049344d716a" TargetMode="External"/><Relationship Id="rId45" Type="http://schemas.openxmlformats.org/officeDocument/2006/relationships/hyperlink" Target="https://www.casemine.com/judgement/us/59148684add7b049344d716a" TargetMode="External"/><Relationship Id="rId46" Type="http://schemas.openxmlformats.org/officeDocument/2006/relationships/hyperlink" Target="https://case-law.vlex.com/vid/foy-v-mangum-no-885480257" TargetMode="External"/><Relationship Id="rId47" Type="http://schemas.openxmlformats.org/officeDocument/2006/relationships/hyperlink" Target="https://case-law.vlex.com/vid/foy-v-mangum-no-885480257" TargetMode="External"/><Relationship Id="rId48" Type="http://schemas.openxmlformats.org/officeDocument/2006/relationships/hyperlink" Target="https://case-law.vlex.com/vid/harris-paint-co-v-890210524" TargetMode="External"/><Relationship Id="rId49" Type="http://schemas.openxmlformats.org/officeDocument/2006/relationships/hyperlink" Target="https://case-law.vlex.com/vid/harris-paint-co-v-890210524" TargetMode="External"/><Relationship Id="rId50" Type="http://schemas.openxmlformats.org/officeDocument/2006/relationships/hyperlink" Target="https://www.casemine.com/judgement/us/59148684add7b049344d716a" TargetMode="External"/><Relationship Id="rId51" Type="http://schemas.openxmlformats.org/officeDocument/2006/relationships/hyperlink" Target="https://case-law.vlex.com/vid/harris-paint-co-v-890210524" TargetMode="External"/><Relationship Id="rId52" Type="http://schemas.openxmlformats.org/officeDocument/2006/relationships/hyperlink" Target="https://case-law.vlex.com/vid/foy-v-mangum-no-885480257" TargetMode="External"/><Relationship Id="rId53" Type="http://schemas.openxmlformats.org/officeDocument/2006/relationships/hyperlink" Target="https://case-law.vlex.com/vid/scott-v-haufler-no-892357309" TargetMode="External"/><Relationship Id="rId54" Type="http://schemas.openxmlformats.org/officeDocument/2006/relationships/hyperlink" Target="https://case-law.vlex.com/vid/scott-v-haufler-no-892357309" TargetMode="External"/><Relationship Id="rId55" Type="http://schemas.openxmlformats.org/officeDocument/2006/relationships/hyperlink" Target="https://case-law.vlex.com/vid/scott-v-haufler-no-892357309" TargetMode="External"/><Relationship Id="rId56" Type="http://schemas.openxmlformats.org/officeDocument/2006/relationships/hyperlink" Target="https://www.floridaconstructionlegalupdates.com/foreclosing-junior-lienholder-and-recording-lis-pendens/" TargetMode="External"/><Relationship Id="rId57" Type="http://schemas.openxmlformats.org/officeDocument/2006/relationships/hyperlink" Target="https://codes.findlaw.com/fl/title-xl-real-and-personal-property/fl-st-sect-713-08/" TargetMode="External"/><Relationship Id="rId58" Type="http://schemas.openxmlformats.org/officeDocument/2006/relationships/hyperlink" Target="https://codes.findlaw.com/fl/title-xl-real-and-personal-property/fl-st-sect-713-08/" TargetMode="External"/><Relationship Id="rId59" Type="http://schemas.openxmlformats.org/officeDocument/2006/relationships/hyperlink" Target="https://case-law.vlex.com/vid/foy-v-mangum-no-885480257" TargetMode="External"/><Relationship Id="rId60" Type="http://schemas.openxmlformats.org/officeDocument/2006/relationships/hyperlink" Target="https://caselaw.findlaw.com/fl-district-court-of-appeal/1446303.html" TargetMode="External"/><Relationship Id="rId61" Type="http://schemas.openxmlformats.org/officeDocument/2006/relationships/hyperlink" Target="https://caselaw.findlaw.com/fl-district-court-of-appeal/1446303.html" TargetMode="External"/><Relationship Id="rId62" Type="http://schemas.openxmlformats.org/officeDocument/2006/relationships/hyperlink" Target="https://caselaw.findlaw.com/court/fl-district-court-of-appeal/1460985.html" TargetMode="External"/><Relationship Id="rId63" Type="http://schemas.openxmlformats.org/officeDocument/2006/relationships/hyperlink" Target="https://www.floridaconstructionlegalupdates.com/foreclosing-junior-lienholder-and-recording-lis-pendens/" TargetMode="External"/><Relationship Id="rId64" Type="http://schemas.openxmlformats.org/officeDocument/2006/relationships/hyperlink" Target="https://www.floridaconstructionlegalupdates.com/foreclosing-junior-lienholder-and-recording-lis-pendens/" TargetMode="External"/><Relationship Id="rId65" Type="http://schemas.openxmlformats.org/officeDocument/2006/relationships/hyperlink" Target="https://codes.findlaw.com/fl/title-xl-real-and-personal-property/fl-st-sect-713-08/" TargetMode="External"/><Relationship Id="rId66" Type="http://schemas.openxmlformats.org/officeDocument/2006/relationships/hyperlink" Target="https://codes.findlaw.com/fl/title-xl-real-and-personal-property/fl-st-sect-713-08/" TargetMode="External"/><Relationship Id="rId67" Type="http://schemas.openxmlformats.org/officeDocument/2006/relationships/hyperlink" Target="https://codes.findlaw.com/fl/title-xl-real-and-personal-property/fl-st-sect-713-08/" TargetMode="External"/><Relationship Id="rId68" Type="http://schemas.openxmlformats.org/officeDocument/2006/relationships/hyperlink" Target="https://caselaw.findlaw.com/court/fl-district-court-of-appeal/1460985.html" TargetMode="External"/><Relationship Id="rId69" Type="http://schemas.openxmlformats.org/officeDocument/2006/relationships/hyperlink" Target="https://caselaw.findlaw.com/court/fl-district-court-of-appeal/1460985.html" TargetMode="External"/><Relationship Id="rId70" Type="http://schemas.openxmlformats.org/officeDocument/2006/relationships/hyperlink" Target="https://caselaw.findlaw.com/court/fl-district-court-of-appeal/1460985.html" TargetMode="External"/><Relationship Id="rId71" Type="http://schemas.openxmlformats.org/officeDocument/2006/relationships/hyperlink" Target="https://www.floridaconstructionlegalupdates.com/foreclosing-junior-lienholder-and-recording-lis-pendens/" TargetMode="External"/><Relationship Id="rId72" Type="http://schemas.openxmlformats.org/officeDocument/2006/relationships/hyperlink" Target="https://case-law.vlex.com/vid/scott-v-haufler-no-892357309" TargetMode="External"/><Relationship Id="rId73" Type="http://schemas.openxmlformats.org/officeDocument/2006/relationships/hyperlink" Target="https://caselaw.findlaw.com/fl-district-court-of-appeal/1446303.html" TargetMode="External"/><Relationship Id="rId74" Type="http://schemas.openxmlformats.org/officeDocument/2006/relationships/hyperlink" Target="https://caselaw.findlaw.com/fl-district-court-of-appeal/1446303.html" TargetMode="External"/><Relationship Id="rId75" Type="http://schemas.openxmlformats.org/officeDocument/2006/relationships/hyperlink" Target="https://case-law.vlex.com/vid/foy-v-mangum-no-885480257" TargetMode="External"/><Relationship Id="rId76" Type="http://schemas.openxmlformats.org/officeDocument/2006/relationships/hyperlink" Target="https://case-law.vlex.com/vid/scott-v-haufler-no-892357309" TargetMode="External"/><Relationship Id="rId77" Type="http://schemas.openxmlformats.org/officeDocument/2006/relationships/hyperlink" Target="https://www.floridaconstructionlegalupdates.com/foreclosing-junior-lienholder-and-recording-lis-pendens/" TargetMode="External"/><Relationship Id="rId78" Type="http://schemas.openxmlformats.org/officeDocument/2006/relationships/hyperlink" Target="https://www.flsenate.gov/laws/statutes/2022/713.22" TargetMode="External"/><Relationship Id="rId79" Type="http://schemas.openxmlformats.org/officeDocument/2006/relationships/hyperlink" Target="https://case-law.vlex.com/vid/scott-v-haufler-no-892357309" TargetMode="External"/><Relationship Id="rId80" Type="http://schemas.openxmlformats.org/officeDocument/2006/relationships/hyperlink" Target="https://case-law.vlex.com/vid/scott-v-haufler-no-892357309" TargetMode="External"/><Relationship Id="rId81" Type="http://schemas.openxmlformats.org/officeDocument/2006/relationships/hyperlink" Target="https://case-law.vlex.com/vid/foy-v-mangum-no-885480257" TargetMode="External"/><Relationship Id="rId82" Type="http://schemas.openxmlformats.org/officeDocument/2006/relationships/hyperlink" Target="https://case-law.vlex.com/vid/foy-v-mangum-no-885480257" TargetMode="External"/><Relationship Id="rId83" Type="http://schemas.openxmlformats.org/officeDocument/2006/relationships/hyperlink" Target="https://caselaw.findlaw.com/court/fl-district-court-of-appeal/1460985.html" TargetMode="External"/><Relationship Id="rId84" Type="http://schemas.openxmlformats.org/officeDocument/2006/relationships/hyperlink" Target="https://caselaw.findlaw.com/court/fl-district-court-of-appeal/1460985.html" TargetMode="External"/><Relationship Id="rId85" Type="http://schemas.openxmlformats.org/officeDocument/2006/relationships/hyperlink" Target="https://www.floridaconstructionlegalupdates.com/foreclosing-junior-lienholder-and-recording-lis-pendens/" TargetMode="External"/><Relationship Id="rId86" Type="http://schemas.openxmlformats.org/officeDocument/2006/relationships/hyperlink" Target="https://www.floridaconstructionlegalupdates.com/foreclosing-junior-lienholder-and-recording-lis-pendens/" TargetMode="External"/><Relationship Id="rId87" Type="http://schemas.openxmlformats.org/officeDocument/2006/relationships/hyperlink" Target="https://caselaw.findlaw.com/fl-district-court-of-appeal/1446303.html" TargetMode="External"/><Relationship Id="rId88" Type="http://schemas.openxmlformats.org/officeDocument/2006/relationships/hyperlink" Target="https://www.casemine.com/judgement/us/59148684add7b049344d716a" TargetMode="External"/><Relationship Id="rId89" Type="http://schemas.openxmlformats.org/officeDocument/2006/relationships/hyperlink" Target="https://www.casemine.com/judgement/us/59148684add7b049344d716a" TargetMode="External"/><Relationship Id="rId90" Type="http://schemas.openxmlformats.org/officeDocument/2006/relationships/hyperlink" Target="https://codes.findlaw.com/fl/title-xl-real-and-personal-property/fl-st-sect-713-08/" TargetMode="External"/><Relationship Id="rId91" Type="http://schemas.openxmlformats.org/officeDocument/2006/relationships/hyperlink" Target="https://codes.findlaw.com/fl/title-xl-real-and-personal-property/fl-st-sect-713-08/" TargetMode="External"/><Relationship Id="rId92" Type="http://schemas.openxmlformats.org/officeDocument/2006/relationships/hyperlink" Target="https://case-law.vlex.com/vid/scott-v-haufler-no-892357309" TargetMode="External"/><Relationship Id="rId93" Type="http://schemas.openxmlformats.org/officeDocument/2006/relationships/hyperlink" Target="https://caselaw.findlaw.com/court/fl-district-court-of-appeal/1460985.html" TargetMode="External"/><Relationship Id="rId94" Type="http://schemas.openxmlformats.org/officeDocument/2006/relationships/hyperlink" Target="https://case-law.vlex.com/vid/harris-paint-co-v-890210524" TargetMode="External"/><Relationship Id="rId95" Type="http://schemas.openxmlformats.org/officeDocument/2006/relationships/numbering" Target="numbering.xml"/><Relationship Id="rId96" Type="http://schemas.openxmlformats.org/officeDocument/2006/relationships/fontTable" Target="fontTable.xml"/><Relationship Id="rId97" Type="http://schemas.openxmlformats.org/officeDocument/2006/relationships/settings" Target="settings.xml"/><Relationship Id="rId9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LibreOffice/25.2.6.2$Windows_X86_64 LibreOffice_project/729c5bfe710f5eb71ed3bbde9e06a6065e9c6c5d</Application>
  <AppVersion>15.0000</AppVersion>
  <Pages>9</Pages>
  <Words>4335</Words>
  <Characters>24413</Characters>
  <CharactersWithSpaces>28664</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2025-11-30T21:56:30Z</dcterms:created>
  <dc:creator/>
  <dc:description/>
  <dc:language>en-US</dc:language>
  <cp:lastModifiedBy/>
  <dcterms:modified xsi:type="dcterms:W3CDTF">2025-11-30T21:57:44Z</dcterms:modified>
  <cp:revision>1</cp:revision>
  <dc:subject/>
  <dc:title/>
</cp:coreProperties>
</file>